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0A0" w:rsidRPr="006051CE" w:rsidRDefault="00472A6E" w:rsidP="006239C7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r w:rsidRPr="006051CE">
        <w:rPr>
          <w:noProof/>
          <w:lang w:val="es-419" w:eastAsia="es-E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30A0" w:rsidRPr="006051CE" w:rsidRDefault="006239C7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6051CE">
        <w:rPr>
          <w:rFonts w:ascii="Arial Black" w:hAnsi="Arial Black"/>
          <w:caps/>
          <w:sz w:val="15"/>
          <w:lang w:val="es-419"/>
        </w:rPr>
        <w:t>WIPO/GRTKF/IC/46/</w:t>
      </w:r>
      <w:bookmarkStart w:id="0" w:name="Code"/>
      <w:bookmarkEnd w:id="0"/>
      <w:r w:rsidR="00055E8A" w:rsidRPr="006051CE">
        <w:rPr>
          <w:rFonts w:ascii="Arial Black" w:hAnsi="Arial Black"/>
          <w:caps/>
          <w:sz w:val="15"/>
          <w:lang w:val="es-419"/>
        </w:rPr>
        <w:t>10</w:t>
      </w:r>
    </w:p>
    <w:p w:rsidR="001730A0" w:rsidRPr="006051CE" w:rsidRDefault="00472A6E" w:rsidP="00472A6E">
      <w:pPr>
        <w:jc w:val="right"/>
        <w:rPr>
          <w:lang w:val="es-419"/>
        </w:rPr>
      </w:pPr>
      <w:r w:rsidRPr="006051CE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055E8A" w:rsidRPr="006051CE">
        <w:rPr>
          <w:rFonts w:ascii="Arial Black" w:hAnsi="Arial Black"/>
          <w:caps/>
          <w:sz w:val="15"/>
          <w:lang w:val="es-419"/>
        </w:rPr>
        <w:t>Inglés</w:t>
      </w:r>
    </w:p>
    <w:bookmarkEnd w:id="1"/>
    <w:p w:rsidR="001730A0" w:rsidRPr="006051CE" w:rsidRDefault="00472A6E" w:rsidP="00472A6E">
      <w:pPr>
        <w:spacing w:after="1200"/>
        <w:jc w:val="right"/>
        <w:rPr>
          <w:lang w:val="es-419"/>
        </w:rPr>
      </w:pPr>
      <w:r w:rsidRPr="006051CE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1730A0" w:rsidRPr="006051CE">
        <w:rPr>
          <w:rFonts w:ascii="Arial Black" w:hAnsi="Arial Black"/>
          <w:caps/>
          <w:sz w:val="15"/>
          <w:lang w:val="es-419"/>
        </w:rPr>
        <w:t>23 de febrero de 2023</w:t>
      </w:r>
    </w:p>
    <w:bookmarkEnd w:id="2"/>
    <w:p w:rsidR="001730A0" w:rsidRPr="006051CE" w:rsidRDefault="006239C7" w:rsidP="00472A6E">
      <w:pPr>
        <w:pStyle w:val="Heading1"/>
        <w:spacing w:before="0" w:after="480"/>
        <w:rPr>
          <w:sz w:val="28"/>
          <w:lang w:val="es-419"/>
        </w:rPr>
      </w:pPr>
      <w:r w:rsidRPr="006051CE">
        <w:rPr>
          <w:caps w:val="0"/>
          <w:sz w:val="28"/>
          <w:lang w:val="es-419"/>
        </w:rPr>
        <w:t>Comité Intergubernamental sobre Propiedad Intelectual y Recursos Genéticos, Conocimientos Tradicionales y Folclore</w:t>
      </w:r>
    </w:p>
    <w:p w:rsidR="001730A0" w:rsidRPr="006051CE" w:rsidRDefault="006239C7" w:rsidP="005B2EAE">
      <w:pPr>
        <w:outlineLvl w:val="1"/>
        <w:rPr>
          <w:b/>
          <w:sz w:val="24"/>
          <w:szCs w:val="24"/>
          <w:lang w:val="es-419"/>
        </w:rPr>
      </w:pPr>
      <w:r w:rsidRPr="006051CE">
        <w:rPr>
          <w:b/>
          <w:sz w:val="24"/>
          <w:szCs w:val="24"/>
          <w:lang w:val="es-419"/>
        </w:rPr>
        <w:t>Cuadragésima sexta sesión</w:t>
      </w:r>
    </w:p>
    <w:p w:rsidR="001730A0" w:rsidRPr="006051CE" w:rsidRDefault="006239C7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6051CE">
        <w:rPr>
          <w:b/>
          <w:sz w:val="24"/>
          <w:szCs w:val="24"/>
          <w:lang w:val="es-419"/>
        </w:rPr>
        <w:t>Ginebra, 27 de febrero a 3 de marzo de 2023</w:t>
      </w:r>
    </w:p>
    <w:p w:rsidR="001730A0" w:rsidRPr="006051CE" w:rsidRDefault="00055E8A" w:rsidP="00472A6E">
      <w:pPr>
        <w:spacing w:after="360"/>
        <w:rPr>
          <w:caps/>
          <w:sz w:val="24"/>
          <w:lang w:val="es-419"/>
        </w:rPr>
      </w:pPr>
      <w:bookmarkStart w:id="3" w:name="TitleOfDoc"/>
      <w:r w:rsidRPr="006051CE">
        <w:rPr>
          <w:caps/>
          <w:sz w:val="24"/>
          <w:lang w:val="es-419"/>
        </w:rPr>
        <w:t>Principios jurídicos relativos a un instrumento internacional</w:t>
      </w:r>
    </w:p>
    <w:p w:rsidR="001730A0" w:rsidRPr="006051CE" w:rsidRDefault="00055E8A" w:rsidP="00472A6E">
      <w:pPr>
        <w:spacing w:after="1040"/>
        <w:rPr>
          <w:i/>
          <w:lang w:val="es-419"/>
        </w:rPr>
      </w:pPr>
      <w:bookmarkStart w:id="4" w:name="Prepared"/>
      <w:bookmarkEnd w:id="3"/>
      <w:bookmarkEnd w:id="4"/>
      <w:r w:rsidRPr="006051CE">
        <w:rPr>
          <w:i/>
          <w:lang w:val="es-419"/>
        </w:rPr>
        <w:t>Documento preparado por la Secretaría</w:t>
      </w:r>
    </w:p>
    <w:p w:rsidR="001730A0" w:rsidRPr="006051CE" w:rsidRDefault="00536891" w:rsidP="006051CE">
      <w:pPr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CC5F1A" w:rsidRPr="006051CE">
        <w:rPr>
          <w:lang w:val="es-419"/>
        </w:rPr>
        <w:t>En su cuadragésima quinta sesión</w:t>
      </w:r>
      <w:r w:rsidRPr="006051CE">
        <w:rPr>
          <w:lang w:val="es-419"/>
        </w:rPr>
        <w:t xml:space="preserve">, </w:t>
      </w:r>
      <w:r w:rsidR="00CC5F1A" w:rsidRPr="006051CE">
        <w:rPr>
          <w:lang w:val="es-419"/>
        </w:rPr>
        <w:t xml:space="preserve">en la que se abordaron los conocimientos tradicionales </w:t>
      </w:r>
      <w:r w:rsidRPr="006051CE">
        <w:rPr>
          <w:lang w:val="es-419"/>
        </w:rPr>
        <w:t>(</w:t>
      </w:r>
      <w:r w:rsidR="001730A0" w:rsidRPr="006051CE">
        <w:rPr>
          <w:lang w:val="es-419"/>
        </w:rPr>
        <w:t>CC.TT.</w:t>
      </w:r>
      <w:r w:rsidRPr="006051CE">
        <w:rPr>
          <w:lang w:val="es-419"/>
        </w:rPr>
        <w:t xml:space="preserve">) </w:t>
      </w:r>
      <w:r w:rsidR="00CC5F1A" w:rsidRPr="006051CE">
        <w:rPr>
          <w:lang w:val="es-419"/>
        </w:rPr>
        <w:t xml:space="preserve">y las expresiones culturales tradicionales </w:t>
      </w:r>
      <w:r w:rsidRPr="006051CE">
        <w:rPr>
          <w:lang w:val="es-419"/>
        </w:rPr>
        <w:t>(</w:t>
      </w:r>
      <w:r w:rsidR="001730A0" w:rsidRPr="006051CE">
        <w:rPr>
          <w:lang w:val="es-419"/>
        </w:rPr>
        <w:t>ECT</w:t>
      </w:r>
      <w:r w:rsidRPr="006051CE">
        <w:rPr>
          <w:lang w:val="es-419"/>
        </w:rPr>
        <w:t xml:space="preserve">), </w:t>
      </w:r>
      <w:r w:rsidR="00CC5F1A" w:rsidRPr="006051CE">
        <w:rPr>
          <w:lang w:val="es-419"/>
        </w:rPr>
        <w:t xml:space="preserve">el Comité Intergubernamental sobre Propiedad Intelectual y Recursos Genéticos, Conocimientos Tradicionales y Folclore </w:t>
      </w:r>
      <w:r w:rsidRPr="006051CE">
        <w:rPr>
          <w:lang w:val="es-419"/>
        </w:rPr>
        <w:t>(</w:t>
      </w:r>
      <w:r w:rsidR="00CC5F1A" w:rsidRPr="006051CE">
        <w:rPr>
          <w:lang w:val="es-419"/>
        </w:rPr>
        <w:t>el CIG</w:t>
      </w:r>
      <w:r w:rsidRPr="006051CE">
        <w:rPr>
          <w:lang w:val="es-419"/>
        </w:rPr>
        <w:t xml:space="preserve">) </w:t>
      </w:r>
      <w:r w:rsidR="00CC5F1A" w:rsidRPr="006051CE">
        <w:rPr>
          <w:lang w:val="es-419"/>
        </w:rPr>
        <w:t xml:space="preserve">“pidió a la Secretaría que, para la 46.ª sesión del CIG, actualice y agilice algunos documentos de los primeros años del CIG sobre temas como los enfoques </w:t>
      </w:r>
      <w:r w:rsidR="00CC5F1A" w:rsidRPr="006051CE">
        <w:rPr>
          <w:rFonts w:eastAsia="Times New Roman"/>
          <w:lang w:val="es-419" w:eastAsia="en-AU"/>
        </w:rPr>
        <w:t>basados</w:t>
      </w:r>
      <w:r w:rsidR="00CC5F1A" w:rsidRPr="006051CE">
        <w:rPr>
          <w:lang w:val="es-419"/>
        </w:rPr>
        <w:t xml:space="preserve"> en derechos y en medidas, la interacción de los instrumentos nacionales e internacionales, las diferencias entre normas mínimas y máximas, y las opciones relativas a la naturaleza jurídica de los instrumentos internacionales</w:t>
      </w:r>
      <w:r w:rsidRPr="006051CE">
        <w:rPr>
          <w:lang w:val="es-419"/>
        </w:rPr>
        <w:t xml:space="preserve">.” </w:t>
      </w:r>
      <w:r w:rsidR="00CC5F1A" w:rsidRPr="006051CE">
        <w:rPr>
          <w:lang w:val="es-419"/>
        </w:rPr>
        <w:t xml:space="preserve">Con arreglo a esa decisión, se ha preparado para esta sesión el presente </w:t>
      </w:r>
      <w:r w:rsidR="00453197" w:rsidRPr="006051CE">
        <w:rPr>
          <w:lang w:val="es-419"/>
        </w:rPr>
        <w:t>documento</w:t>
      </w:r>
      <w:r w:rsidR="00CC5F1A" w:rsidRPr="006051CE">
        <w:rPr>
          <w:lang w:val="es-419"/>
        </w:rPr>
        <w:t xml:space="preserve">, en </w:t>
      </w:r>
      <w:r w:rsidR="00453197" w:rsidRPr="006051CE">
        <w:rPr>
          <w:lang w:val="es-419"/>
        </w:rPr>
        <w:t>relación</w:t>
      </w:r>
      <w:r w:rsidRPr="006051CE">
        <w:rPr>
          <w:lang w:val="es-419"/>
        </w:rPr>
        <w:t xml:space="preserve"> </w:t>
      </w:r>
      <w:r w:rsidR="00CC5F1A" w:rsidRPr="006051CE">
        <w:rPr>
          <w:lang w:val="es-419"/>
        </w:rPr>
        <w:t xml:space="preserve">con un </w:t>
      </w:r>
      <w:r w:rsidR="00453197" w:rsidRPr="006051CE">
        <w:rPr>
          <w:lang w:val="es-419"/>
        </w:rPr>
        <w:t>instrumento</w:t>
      </w:r>
      <w:r w:rsidR="00CC5F1A" w:rsidRPr="006051CE">
        <w:rPr>
          <w:lang w:val="es-419"/>
        </w:rPr>
        <w:t xml:space="preserve"> </w:t>
      </w:r>
      <w:r w:rsidR="00453197" w:rsidRPr="006051CE">
        <w:rPr>
          <w:lang w:val="es-419"/>
        </w:rPr>
        <w:t>internacional</w:t>
      </w:r>
      <w:r w:rsidR="00CC5F1A" w:rsidRPr="006051CE">
        <w:rPr>
          <w:lang w:val="es-419"/>
        </w:rPr>
        <w:t>, o más de uno, sobre los</w:t>
      </w:r>
      <w:r w:rsidRPr="006051CE">
        <w:rPr>
          <w:lang w:val="es-419"/>
        </w:rPr>
        <w:t xml:space="preserve"> </w:t>
      </w:r>
      <w:r w:rsidR="001730A0" w:rsidRPr="006051CE">
        <w:rPr>
          <w:lang w:val="es-419"/>
        </w:rPr>
        <w:t>CC.TT.</w:t>
      </w:r>
      <w:r w:rsidRPr="006051CE">
        <w:rPr>
          <w:lang w:val="es-419"/>
        </w:rPr>
        <w:t xml:space="preserve"> </w:t>
      </w:r>
      <w:r w:rsidR="00CC5F1A" w:rsidRPr="006051CE">
        <w:rPr>
          <w:lang w:val="es-419"/>
        </w:rPr>
        <w:t>y las</w:t>
      </w:r>
      <w:r w:rsidRPr="006051CE">
        <w:rPr>
          <w:lang w:val="es-419"/>
        </w:rPr>
        <w:t xml:space="preserve"> </w:t>
      </w:r>
      <w:r w:rsidR="001730A0" w:rsidRPr="006051CE">
        <w:rPr>
          <w:lang w:val="es-419"/>
        </w:rPr>
        <w:t>ECT</w:t>
      </w:r>
      <w:r w:rsidRPr="006051CE">
        <w:rPr>
          <w:lang w:val="es-419"/>
        </w:rPr>
        <w:t xml:space="preserve">. </w:t>
      </w:r>
      <w:r w:rsidR="00CC5F1A" w:rsidRPr="006051CE">
        <w:rPr>
          <w:lang w:val="es-419"/>
        </w:rPr>
        <w:t xml:space="preserve">Se trata de un proyecto inicial, que podrá seguir desarrollándose para futuras </w:t>
      </w:r>
      <w:r w:rsidR="00453197" w:rsidRPr="006051CE">
        <w:rPr>
          <w:lang w:val="es-419"/>
        </w:rPr>
        <w:t>sesiones</w:t>
      </w:r>
      <w:r w:rsidRPr="006051CE">
        <w:rPr>
          <w:lang w:val="es-419"/>
        </w:rPr>
        <w:t xml:space="preserve"> </w:t>
      </w:r>
      <w:r w:rsidR="00CC5F1A" w:rsidRPr="006051CE">
        <w:rPr>
          <w:lang w:val="es-419"/>
        </w:rPr>
        <w:t xml:space="preserve">del </w:t>
      </w:r>
      <w:r w:rsidR="00453197" w:rsidRPr="006051CE">
        <w:rPr>
          <w:lang w:val="es-419"/>
        </w:rPr>
        <w:t>Comité</w:t>
      </w:r>
      <w:r w:rsidR="00CC5F1A" w:rsidRPr="006051CE">
        <w:rPr>
          <w:lang w:val="es-419"/>
        </w:rPr>
        <w:t>.</w:t>
      </w:r>
    </w:p>
    <w:p w:rsidR="001730A0" w:rsidRPr="006051CE" w:rsidRDefault="00C96797" w:rsidP="006051CE">
      <w:pPr>
        <w:pStyle w:val="onume0"/>
        <w:spacing w:before="480"/>
        <w:rPr>
          <w:b w:val="0"/>
          <w:caps/>
          <w:lang w:val="es-419"/>
        </w:rPr>
      </w:pPr>
      <w:r w:rsidRPr="006051CE">
        <w:rPr>
          <w:b w:val="0"/>
          <w:caps/>
          <w:lang w:val="es-419"/>
        </w:rPr>
        <w:t>opciones relativas a la naturaleza jurídica de los instrumentos internacionales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C96797" w:rsidRPr="006051CE">
        <w:rPr>
          <w:rFonts w:eastAsia="Times New Roman"/>
          <w:lang w:val="es-419" w:eastAsia="en-AU"/>
        </w:rPr>
        <w:t xml:space="preserve">La elección de la naturaleza jurídica de un </w:t>
      </w:r>
      <w:r w:rsidR="00453197" w:rsidRPr="006051CE">
        <w:rPr>
          <w:rFonts w:eastAsia="Times New Roman"/>
          <w:lang w:val="es-419" w:eastAsia="en-AU"/>
        </w:rPr>
        <w:t>instrumento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</w:t>
      </w:r>
      <w:r w:rsidR="00C96797" w:rsidRPr="006051CE">
        <w:rPr>
          <w:rFonts w:eastAsia="Times New Roman"/>
          <w:lang w:val="es-419" w:eastAsia="en-AU"/>
        </w:rPr>
        <w:t xml:space="preserve"> e</w:t>
      </w:r>
      <w:r w:rsidRPr="006051CE">
        <w:rPr>
          <w:rFonts w:eastAsia="Times New Roman"/>
          <w:lang w:val="es-419" w:eastAsia="en-AU"/>
        </w:rPr>
        <w:t xml:space="preserve">s </w:t>
      </w:r>
      <w:r w:rsidR="00C96797" w:rsidRPr="006051CE">
        <w:rPr>
          <w:rFonts w:eastAsia="Times New Roman"/>
          <w:lang w:val="es-419" w:eastAsia="en-AU"/>
        </w:rPr>
        <w:t>una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cuestión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política</w:t>
      </w:r>
      <w:r w:rsidR="00C96797" w:rsidRPr="006051CE">
        <w:rPr>
          <w:rFonts w:eastAsia="Times New Roman"/>
          <w:lang w:val="es-419" w:eastAsia="en-AU"/>
        </w:rPr>
        <w:t xml:space="preserve"> que los </w:t>
      </w:r>
      <w:r w:rsidR="001730A0" w:rsidRPr="006051CE">
        <w:rPr>
          <w:rFonts w:eastAsia="Times New Roman"/>
          <w:lang w:val="es-419" w:eastAsia="en-AU"/>
        </w:rPr>
        <w:t>Estados miembros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 xml:space="preserve">de la OMPI han de </w:t>
      </w:r>
      <w:r w:rsidRPr="006051CE">
        <w:rPr>
          <w:rFonts w:eastAsia="Times New Roman"/>
          <w:lang w:val="es-419" w:eastAsia="en-AU"/>
        </w:rPr>
        <w:t>consider</w:t>
      </w:r>
      <w:r w:rsidR="00C96797" w:rsidRPr="006051CE">
        <w:rPr>
          <w:rFonts w:eastAsia="Times New Roman"/>
          <w:lang w:val="es-419" w:eastAsia="en-AU"/>
        </w:rPr>
        <w:t>ar y determinar</w:t>
      </w:r>
      <w:r w:rsidRPr="006051CE">
        <w:rPr>
          <w:rFonts w:eastAsia="Times New Roman"/>
          <w:lang w:val="es-419" w:eastAsia="en-AU"/>
        </w:rPr>
        <w:t xml:space="preserve">. </w:t>
      </w:r>
      <w:r w:rsidR="00C96797" w:rsidRPr="006051CE">
        <w:rPr>
          <w:rFonts w:eastAsia="Times New Roman"/>
          <w:lang w:val="es-419" w:eastAsia="en-AU"/>
        </w:rPr>
        <w:t>En el mandato del CIG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>se solicitó al CIG que siga “agilizando su labor con objeto de alcanzar un acuerdo sobre uno o varios instrumentos jurídicos internacionales, sin prejuzgar la naturaleza del resultado o resultados</w:t>
      </w:r>
      <w:r w:rsidRPr="006051CE">
        <w:rPr>
          <w:rFonts w:eastAsia="Times New Roman"/>
          <w:lang w:val="es-419" w:eastAsia="en-AU"/>
        </w:rPr>
        <w:t xml:space="preserve">.” </w:t>
      </w:r>
      <w:r w:rsidR="00C96797" w:rsidRPr="006051CE">
        <w:rPr>
          <w:rFonts w:eastAsia="Times New Roman"/>
          <w:lang w:val="es-419" w:eastAsia="en-AU"/>
        </w:rPr>
        <w:t>En consecuencia</w:t>
      </w:r>
      <w:r w:rsidRPr="006051CE">
        <w:rPr>
          <w:rFonts w:eastAsia="Times New Roman"/>
          <w:lang w:val="es-419" w:eastAsia="en-AU"/>
        </w:rPr>
        <w:t xml:space="preserve">, </w:t>
      </w:r>
      <w:r w:rsidR="00C96797" w:rsidRPr="006051CE">
        <w:rPr>
          <w:rFonts w:eastAsia="Times New Roman"/>
          <w:lang w:val="es-419" w:eastAsia="en-AU"/>
        </w:rPr>
        <w:t>el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presente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documento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no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>pretende promover ningún resultado en particular</w:t>
      </w:r>
      <w:r w:rsidR="00EB31DB" w:rsidRPr="006051CE">
        <w:rPr>
          <w:rFonts w:eastAsia="Times New Roman"/>
          <w:lang w:val="es-419" w:eastAsia="en-AU"/>
        </w:rPr>
        <w:t>;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>su objetivo es simplemente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>documentar y describir en los hechos algunas de las principales opciones disponibles. La serie de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opciones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descritas</w:t>
      </w:r>
      <w:r w:rsidR="00C96797" w:rsidRPr="006051CE">
        <w:rPr>
          <w:rFonts w:eastAsia="Times New Roman"/>
          <w:lang w:val="es-419" w:eastAsia="en-AU"/>
        </w:rPr>
        <w:t xml:space="preserve"> más abajo es </w:t>
      </w:r>
      <w:r w:rsidR="00453197" w:rsidRPr="006051CE">
        <w:rPr>
          <w:rFonts w:eastAsia="Times New Roman"/>
          <w:lang w:val="es-419" w:eastAsia="en-AU"/>
        </w:rPr>
        <w:t>descriptiva</w:t>
      </w:r>
      <w:r w:rsidR="00C96797" w:rsidRPr="006051CE">
        <w:rPr>
          <w:rFonts w:eastAsia="Times New Roman"/>
          <w:lang w:val="es-419" w:eastAsia="en-AU"/>
        </w:rPr>
        <w:t xml:space="preserve"> y no </w:t>
      </w:r>
      <w:r w:rsidRPr="006051CE">
        <w:rPr>
          <w:rFonts w:eastAsia="Times New Roman"/>
          <w:lang w:val="es-419" w:eastAsia="en-AU"/>
        </w:rPr>
        <w:t>exhaustiv</w:t>
      </w:r>
      <w:r w:rsidR="00C96797" w:rsidRPr="006051CE">
        <w:rPr>
          <w:rFonts w:eastAsia="Times New Roman"/>
          <w:lang w:val="es-419" w:eastAsia="en-AU"/>
        </w:rPr>
        <w:t>a</w:t>
      </w:r>
      <w:r w:rsidRPr="006051CE">
        <w:rPr>
          <w:rFonts w:eastAsia="Times New Roman"/>
          <w:lang w:val="es-419" w:eastAsia="en-AU"/>
        </w:rPr>
        <w:t>:</w:t>
      </w:r>
    </w:p>
    <w:p w:rsidR="001730A0" w:rsidRPr="006051CE" w:rsidRDefault="00C96797" w:rsidP="006051CE">
      <w:pPr>
        <w:keepNext/>
        <w:keepLines/>
        <w:numPr>
          <w:ilvl w:val="1"/>
          <w:numId w:val="7"/>
        </w:numPr>
        <w:spacing w:before="240"/>
        <w:ind w:left="1122" w:hanging="561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lastRenderedPageBreak/>
        <w:t xml:space="preserve">un </w:t>
      </w:r>
      <w:r w:rsidR="001730A0" w:rsidRPr="006051CE">
        <w:rPr>
          <w:rFonts w:eastAsia="Times New Roman"/>
          <w:lang w:val="es-419" w:eastAsia="en-AU"/>
        </w:rPr>
        <w:t>instrumento internacional vinculante</w:t>
      </w:r>
      <w:r w:rsidRPr="006051CE">
        <w:rPr>
          <w:rFonts w:eastAsia="Times New Roman"/>
          <w:lang w:val="es-419" w:eastAsia="en-AU"/>
        </w:rPr>
        <w:t>;</w:t>
      </w:r>
    </w:p>
    <w:p w:rsidR="001730A0" w:rsidRPr="006051CE" w:rsidRDefault="00C96797" w:rsidP="006051CE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t xml:space="preserve">un instrumento internacional no vinculante </w:t>
      </w:r>
      <w:r w:rsidR="00536891" w:rsidRPr="006051CE">
        <w:rPr>
          <w:rFonts w:eastAsia="Times New Roman"/>
          <w:lang w:val="es-419" w:eastAsia="en-AU"/>
        </w:rPr>
        <w:t>(</w:t>
      </w:r>
      <w:r w:rsidR="001730A0" w:rsidRPr="006051CE">
        <w:rPr>
          <w:rFonts w:eastAsia="Times New Roman"/>
          <w:lang w:val="es-419" w:eastAsia="en-AU"/>
        </w:rPr>
        <w:t>Derecho indicativo</w:t>
      </w:r>
      <w:r w:rsidR="00536891" w:rsidRPr="006051CE">
        <w:rPr>
          <w:rFonts w:eastAsia="Times New Roman"/>
          <w:lang w:val="es-419" w:eastAsia="en-AU"/>
        </w:rPr>
        <w:t>);</w:t>
      </w:r>
    </w:p>
    <w:p w:rsidR="001730A0" w:rsidRPr="006051CE" w:rsidRDefault="00C96797" w:rsidP="006051CE">
      <w:pPr>
        <w:keepNext/>
        <w:keepLines/>
        <w:numPr>
          <w:ilvl w:val="1"/>
          <w:numId w:val="7"/>
        </w:numPr>
        <w:ind w:left="1124" w:hanging="562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t>leyes tipo o</w:t>
      </w:r>
      <w:r w:rsidR="00536891" w:rsidRPr="006051CE">
        <w:rPr>
          <w:rFonts w:eastAsia="Times New Roman"/>
          <w:lang w:val="es-419" w:eastAsia="en-AU"/>
        </w:rPr>
        <w:t xml:space="preserve"> </w:t>
      </w:r>
      <w:r w:rsidR="001730A0" w:rsidRPr="006051CE">
        <w:rPr>
          <w:rFonts w:eastAsia="Times New Roman"/>
          <w:lang w:val="es-419" w:eastAsia="en-AU"/>
        </w:rPr>
        <w:t>directrices</w:t>
      </w:r>
      <w:r w:rsidR="00536891" w:rsidRPr="006051CE">
        <w:rPr>
          <w:rFonts w:eastAsia="Times New Roman"/>
          <w:lang w:val="es-419" w:eastAsia="en-AU"/>
        </w:rPr>
        <w:t>.</w:t>
      </w:r>
    </w:p>
    <w:p w:rsidR="001730A0" w:rsidRPr="006051CE" w:rsidRDefault="001730A0" w:rsidP="006051CE">
      <w:pPr>
        <w:keepNext/>
        <w:spacing w:before="240"/>
        <w:rPr>
          <w:rFonts w:eastAsia="Times New Roman"/>
          <w:b/>
          <w:lang w:val="es-419" w:eastAsia="en-AU"/>
        </w:rPr>
      </w:pPr>
      <w:r w:rsidRPr="006051CE">
        <w:rPr>
          <w:rFonts w:eastAsia="Times New Roman"/>
          <w:b/>
          <w:lang w:val="es-419" w:eastAsia="en-AU"/>
        </w:rPr>
        <w:t>Un instrumento internacional vinculante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="00C96797" w:rsidRPr="006051CE">
        <w:rPr>
          <w:rFonts w:eastAsia="Times New Roman"/>
          <w:lang w:val="es-419" w:eastAsia="en-AU"/>
        </w:rPr>
        <w:tab/>
        <w:t>Un instrumento internacional vinculante se refiere a un tratado o convenio que cre</w:t>
      </w:r>
      <w:r w:rsidR="00F43082" w:rsidRPr="006051CE">
        <w:rPr>
          <w:rFonts w:eastAsia="Times New Roman"/>
          <w:lang w:val="es-419" w:eastAsia="en-AU"/>
        </w:rPr>
        <w:t>a</w:t>
      </w:r>
      <w:r w:rsidR="00C96797" w:rsidRPr="006051CE">
        <w:rPr>
          <w:rFonts w:eastAsia="Times New Roman"/>
          <w:lang w:val="es-419" w:eastAsia="en-AU"/>
        </w:rPr>
        <w:t xml:space="preserve"> obligaciones jurídicamente vinculantes para los Estados signatarios</w:t>
      </w:r>
      <w:r w:rsidRPr="006051CE">
        <w:rPr>
          <w:rFonts w:eastAsia="Times New Roman"/>
          <w:lang w:val="es-419" w:eastAsia="en-AU"/>
        </w:rPr>
        <w:t xml:space="preserve">. </w:t>
      </w:r>
      <w:r w:rsidR="00C96797" w:rsidRPr="006051CE">
        <w:rPr>
          <w:rFonts w:eastAsia="Times New Roman"/>
          <w:lang w:val="es-419" w:eastAsia="en-AU"/>
        </w:rPr>
        <w:t>Obligaría a las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 xml:space="preserve">Partes Contratantes a aplicar </w:t>
      </w:r>
      <w:r w:rsidR="00F43082" w:rsidRPr="006051CE">
        <w:rPr>
          <w:rFonts w:eastAsia="Times New Roman"/>
          <w:lang w:val="es-419" w:eastAsia="en-AU"/>
        </w:rPr>
        <w:t xml:space="preserve">en su legislación nacional </w:t>
      </w:r>
      <w:r w:rsidR="00C96797" w:rsidRPr="006051CE">
        <w:rPr>
          <w:rFonts w:eastAsia="Times New Roman"/>
          <w:lang w:val="es-419" w:eastAsia="en-AU"/>
        </w:rPr>
        <w:t>las normas prescritas, en virtud del Derecho internacional</w:t>
      </w:r>
      <w:r w:rsidRPr="006051CE">
        <w:rPr>
          <w:rFonts w:eastAsia="Times New Roman"/>
          <w:lang w:val="es-419" w:eastAsia="en-AU"/>
        </w:rPr>
        <w:t xml:space="preserve">. </w:t>
      </w:r>
      <w:r w:rsidR="00C96797" w:rsidRPr="006051CE">
        <w:rPr>
          <w:rFonts w:eastAsia="Times New Roman"/>
          <w:lang w:val="es-419" w:eastAsia="en-AU"/>
        </w:rPr>
        <w:t>Este tipo de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instrumento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>puede utilizarse para establecer un conjunto común de reglas y normas para la</w:t>
      </w:r>
      <w:r w:rsidRPr="006051CE">
        <w:rPr>
          <w:rFonts w:eastAsia="Times New Roman"/>
          <w:lang w:val="es-419" w:eastAsia="en-AU"/>
        </w:rPr>
        <w:t xml:space="preserve"> </w:t>
      </w:r>
      <w:r w:rsidR="001730A0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C96797" w:rsidRPr="006051CE">
        <w:rPr>
          <w:rFonts w:eastAsia="Times New Roman"/>
          <w:lang w:val="es-419" w:eastAsia="en-AU"/>
        </w:rPr>
        <w:t>y la observancia de la</w:t>
      </w:r>
      <w:r w:rsidRPr="006051CE">
        <w:rPr>
          <w:rFonts w:eastAsia="Times New Roman"/>
          <w:lang w:val="es-419" w:eastAsia="en-AU"/>
        </w:rPr>
        <w:t xml:space="preserve"> </w:t>
      </w:r>
      <w:r w:rsidR="001730A0" w:rsidRPr="006051CE">
        <w:rPr>
          <w:rFonts w:eastAsia="Times New Roman"/>
          <w:lang w:val="es-419" w:eastAsia="en-AU"/>
        </w:rPr>
        <w:t>propiedad intelectual</w:t>
      </w:r>
      <w:r w:rsidRPr="006051CE">
        <w:rPr>
          <w:rFonts w:eastAsia="Times New Roman"/>
          <w:lang w:val="es-419" w:eastAsia="en-AU"/>
        </w:rPr>
        <w:t xml:space="preserve"> (</w:t>
      </w:r>
      <w:r w:rsidR="00C96797" w:rsidRPr="006051CE">
        <w:rPr>
          <w:rFonts w:eastAsia="Times New Roman"/>
          <w:lang w:val="es-419" w:eastAsia="en-AU"/>
        </w:rPr>
        <w:t>PI</w:t>
      </w:r>
      <w:r w:rsidRPr="006051CE">
        <w:rPr>
          <w:rFonts w:eastAsia="Times New Roman"/>
          <w:lang w:val="es-419" w:eastAsia="en-AU"/>
        </w:rPr>
        <w:t xml:space="preserve">) </w:t>
      </w:r>
      <w:r w:rsidR="00C96797" w:rsidRPr="006051CE">
        <w:rPr>
          <w:rFonts w:eastAsia="Times New Roman"/>
          <w:lang w:val="es-419" w:eastAsia="en-AU"/>
        </w:rPr>
        <w:t>a escala mundial.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5E59D6" w:rsidRPr="006051CE">
        <w:rPr>
          <w:rFonts w:eastAsia="Times New Roman"/>
          <w:lang w:val="es-419" w:eastAsia="en-AU"/>
        </w:rPr>
        <w:t xml:space="preserve">Sería necesario un procedimiento específico de </w:t>
      </w:r>
      <w:r w:rsidR="00F43082" w:rsidRPr="006051CE">
        <w:rPr>
          <w:rFonts w:eastAsia="Times New Roman"/>
          <w:lang w:val="es-419" w:eastAsia="en-AU"/>
        </w:rPr>
        <w:t>establecimiento</w:t>
      </w:r>
      <w:r w:rsidR="005E59D6" w:rsidRPr="006051CE">
        <w:rPr>
          <w:rFonts w:eastAsia="Times New Roman"/>
          <w:lang w:val="es-419" w:eastAsia="en-AU"/>
        </w:rPr>
        <w:t xml:space="preserve"> de tratados (por lo general, una conferencia diplomática) para negociar y adoptar ese instrumento</w:t>
      </w:r>
      <w:r w:rsidR="00F43082" w:rsidRPr="006051CE">
        <w:rPr>
          <w:rFonts w:eastAsia="Times New Roman"/>
          <w:lang w:val="es-419" w:eastAsia="en-AU"/>
        </w:rPr>
        <w:t>, que</w:t>
      </w:r>
      <w:r w:rsidR="005E59D6" w:rsidRPr="006051CE">
        <w:rPr>
          <w:rFonts w:eastAsia="Times New Roman"/>
          <w:lang w:val="es-419" w:eastAsia="en-AU"/>
        </w:rPr>
        <w:t xml:space="preserve"> pasaría a ser jurídicamente vinculante únicamente en los países que decidan adherirse a él mediante la adopción de una norma específica de ratificación o adhesión.</w:t>
      </w:r>
      <w:r w:rsidRPr="006051CE">
        <w:rPr>
          <w:rFonts w:eastAsia="Times New Roman"/>
          <w:lang w:val="es-419" w:eastAsia="en-AU"/>
        </w:rPr>
        <w:t xml:space="preserve"> </w:t>
      </w:r>
      <w:r w:rsidR="00FD01EB" w:rsidRPr="006051CE">
        <w:rPr>
          <w:rFonts w:eastAsia="Times New Roman"/>
          <w:lang w:val="es-419" w:eastAsia="en-AU"/>
        </w:rPr>
        <w:t>Si bien otros Estados no estarían obligados por el tratado en sí mismo</w:t>
      </w:r>
      <w:r w:rsidRPr="006051CE">
        <w:rPr>
          <w:rFonts w:eastAsia="Times New Roman"/>
          <w:lang w:val="es-419" w:eastAsia="en-AU"/>
        </w:rPr>
        <w:t xml:space="preserve">, </w:t>
      </w:r>
      <w:r w:rsidR="00F43082" w:rsidRPr="006051CE">
        <w:rPr>
          <w:rFonts w:eastAsia="Times New Roman"/>
          <w:lang w:val="es-419" w:eastAsia="en-AU"/>
        </w:rPr>
        <w:t>es</w:t>
      </w:r>
      <w:r w:rsidR="00FD01EB" w:rsidRPr="006051CE">
        <w:rPr>
          <w:rFonts w:eastAsia="Times New Roman"/>
          <w:lang w:val="es-419" w:eastAsia="en-AU"/>
        </w:rPr>
        <w:t>os Estados pod</w:t>
      </w:r>
      <w:r w:rsidR="00F43082" w:rsidRPr="006051CE">
        <w:rPr>
          <w:rFonts w:eastAsia="Times New Roman"/>
          <w:lang w:val="es-419" w:eastAsia="en-AU"/>
        </w:rPr>
        <w:t>r</w:t>
      </w:r>
      <w:r w:rsidR="00FD01EB" w:rsidRPr="006051CE">
        <w:rPr>
          <w:rFonts w:eastAsia="Times New Roman"/>
          <w:lang w:val="es-419" w:eastAsia="en-AU"/>
        </w:rPr>
        <w:t xml:space="preserve">ían decidir aplicar las normas creadas por el </w:t>
      </w:r>
      <w:r w:rsidR="00453197" w:rsidRPr="006051CE">
        <w:rPr>
          <w:rFonts w:eastAsia="Times New Roman"/>
          <w:lang w:val="es-419" w:eastAsia="en-AU"/>
        </w:rPr>
        <w:t>instrumento</w:t>
      </w:r>
      <w:r w:rsidRPr="006051CE">
        <w:rPr>
          <w:rFonts w:eastAsia="Times New Roman"/>
          <w:lang w:val="es-419" w:eastAsia="en-AU"/>
        </w:rPr>
        <w:t xml:space="preserve"> </w:t>
      </w:r>
      <w:r w:rsidR="00FD01EB" w:rsidRPr="006051CE">
        <w:rPr>
          <w:rFonts w:eastAsia="Times New Roman"/>
          <w:lang w:val="es-419" w:eastAsia="en-AU"/>
        </w:rPr>
        <w:t>sin adherirse formalmente a él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FD01EB" w:rsidRPr="006051CE">
        <w:rPr>
          <w:rFonts w:eastAsia="Times New Roman"/>
          <w:lang w:val="es-419" w:eastAsia="en-AU"/>
        </w:rPr>
        <w:t>Los instrumentos jurídicamente vinculantes pueden adoptar la forma de convenios marco o normativos que sirven de base o de plataforma normativa para avanzar en el proceso de formulación de políticas y lograr una mayor convergencia y transparencia en las iniciativas nacionales en materia de políticas</w:t>
      </w:r>
      <w:r w:rsidRPr="006051CE">
        <w:rPr>
          <w:rFonts w:eastAsia="Times New Roman"/>
          <w:lang w:val="es-419" w:eastAsia="en-AU"/>
        </w:rPr>
        <w:t xml:space="preserve">. </w:t>
      </w:r>
      <w:r w:rsidR="005E59D6" w:rsidRPr="006051CE">
        <w:rPr>
          <w:rFonts w:eastAsia="Times New Roman"/>
          <w:lang w:val="es-419" w:eastAsia="en-AU"/>
        </w:rPr>
        <w:t xml:space="preserve">Concluida esa fase, </w:t>
      </w:r>
      <w:r w:rsidR="00FD01EB" w:rsidRPr="006051CE">
        <w:rPr>
          <w:rFonts w:eastAsia="Times New Roman"/>
          <w:lang w:val="es-419" w:eastAsia="en-AU"/>
        </w:rPr>
        <w:t>podrán</w:t>
      </w:r>
      <w:r w:rsidR="005E59D6" w:rsidRPr="006051CE">
        <w:rPr>
          <w:rFonts w:eastAsia="Times New Roman"/>
          <w:lang w:val="es-419" w:eastAsia="en-AU"/>
        </w:rPr>
        <w:t xml:space="preserve"> negociar</w:t>
      </w:r>
      <w:r w:rsidR="00FD01EB" w:rsidRPr="006051CE">
        <w:rPr>
          <w:rFonts w:eastAsia="Times New Roman"/>
          <w:lang w:val="es-419" w:eastAsia="en-AU"/>
        </w:rPr>
        <w:t>se</w:t>
      </w:r>
      <w:r w:rsidR="005E59D6" w:rsidRPr="006051CE">
        <w:rPr>
          <w:rFonts w:eastAsia="Times New Roman"/>
          <w:lang w:val="es-419" w:eastAsia="en-AU"/>
        </w:rPr>
        <w:t xml:space="preserve"> mecanismos jurídicos internacionales específicos con obligaciones más precisas en forma de protocolos del acuerdo marco original.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  <w:t>E</w:t>
      </w:r>
      <w:r w:rsidR="00FD01EB" w:rsidRPr="006051CE">
        <w:rPr>
          <w:rFonts w:eastAsia="Times New Roman"/>
          <w:lang w:val="es-419" w:eastAsia="en-AU"/>
        </w:rPr>
        <w:t xml:space="preserve">ntre los ejemplos de </w:t>
      </w:r>
      <w:r w:rsidR="00453197" w:rsidRPr="006051CE">
        <w:rPr>
          <w:rFonts w:eastAsia="Times New Roman"/>
          <w:lang w:val="es-419" w:eastAsia="en-AU"/>
        </w:rPr>
        <w:t>instrumentos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internacionales</w:t>
      </w:r>
      <w:r w:rsidR="00FD01EB" w:rsidRPr="006051CE">
        <w:rPr>
          <w:rFonts w:eastAsia="Times New Roman"/>
          <w:lang w:val="es-419" w:eastAsia="en-AU"/>
        </w:rPr>
        <w:t xml:space="preserve"> vinculantes en materia de PI pueden señalarse el Tratado sobre el</w:t>
      </w:r>
      <w:r w:rsidRPr="006051CE">
        <w:rPr>
          <w:rFonts w:eastAsia="Times New Roman"/>
          <w:lang w:val="es-419" w:eastAsia="en-AU"/>
        </w:rPr>
        <w:t xml:space="preserve"> </w:t>
      </w:r>
      <w:r w:rsidR="005E59D6" w:rsidRPr="006051CE">
        <w:rPr>
          <w:rFonts w:eastAsia="Times New Roman"/>
          <w:lang w:val="es-419" w:eastAsia="en-AU"/>
        </w:rPr>
        <w:t xml:space="preserve">Derecho de </w:t>
      </w:r>
      <w:r w:rsidR="00FD01EB" w:rsidRPr="006051CE">
        <w:rPr>
          <w:rFonts w:eastAsia="Times New Roman"/>
          <w:lang w:val="es-419" w:eastAsia="en-AU"/>
        </w:rPr>
        <w:t xml:space="preserve">Patentes </w:t>
      </w:r>
      <w:r w:rsidRPr="006051CE">
        <w:rPr>
          <w:rFonts w:eastAsia="Times New Roman"/>
          <w:lang w:val="es-419" w:eastAsia="en-AU"/>
        </w:rPr>
        <w:t xml:space="preserve">(2010), </w:t>
      </w:r>
      <w:r w:rsidR="00FD01EB" w:rsidRPr="006051CE">
        <w:rPr>
          <w:rFonts w:eastAsia="Times New Roman"/>
          <w:lang w:val="es-419" w:eastAsia="en-AU"/>
        </w:rPr>
        <w:t>el Tratado de la OMPI sobre Derecho de Autor</w:t>
      </w:r>
      <w:r w:rsidRPr="006051CE">
        <w:rPr>
          <w:rFonts w:eastAsia="Times New Roman"/>
          <w:lang w:val="es-419" w:eastAsia="en-AU"/>
        </w:rPr>
        <w:t xml:space="preserve"> (1996), </w:t>
      </w:r>
      <w:r w:rsidR="00FD01EB" w:rsidRPr="006051CE">
        <w:rPr>
          <w:rFonts w:eastAsia="Times New Roman"/>
          <w:lang w:val="es-419" w:eastAsia="en-AU"/>
        </w:rPr>
        <w:t xml:space="preserve">el Tratado de la </w:t>
      </w:r>
      <w:r w:rsidR="005E59D6" w:rsidRPr="006051CE">
        <w:rPr>
          <w:rFonts w:eastAsia="Times New Roman"/>
          <w:lang w:val="es-419" w:eastAsia="en-AU"/>
        </w:rPr>
        <w:t>OMPI</w:t>
      </w:r>
      <w:r w:rsidRPr="006051CE">
        <w:rPr>
          <w:rFonts w:eastAsia="Times New Roman"/>
          <w:lang w:val="es-419" w:eastAsia="en-AU"/>
        </w:rPr>
        <w:t xml:space="preserve"> </w:t>
      </w:r>
      <w:r w:rsidR="00FD01EB" w:rsidRPr="006051CE">
        <w:rPr>
          <w:rFonts w:eastAsia="Times New Roman"/>
          <w:lang w:val="es-419" w:eastAsia="en-AU"/>
        </w:rPr>
        <w:t>sobre Interpretación o Ejecución y Fonogramas</w:t>
      </w:r>
      <w:r w:rsidRPr="006051CE">
        <w:rPr>
          <w:rFonts w:eastAsia="Times New Roman"/>
          <w:lang w:val="es-419" w:eastAsia="en-AU"/>
        </w:rPr>
        <w:t xml:space="preserve"> (1996) </w:t>
      </w:r>
      <w:r w:rsidR="00FD01EB" w:rsidRPr="006051CE">
        <w:rPr>
          <w:rFonts w:eastAsia="Times New Roman"/>
          <w:lang w:val="es-419" w:eastAsia="en-AU"/>
        </w:rPr>
        <w:t>y el</w:t>
      </w:r>
      <w:r w:rsidRPr="006051CE">
        <w:rPr>
          <w:rFonts w:eastAsia="Times New Roman"/>
          <w:lang w:val="es-419" w:eastAsia="en-AU"/>
        </w:rPr>
        <w:t xml:space="preserve"> </w:t>
      </w:r>
      <w:r w:rsidR="005E59D6" w:rsidRPr="006051CE">
        <w:rPr>
          <w:rFonts w:eastAsia="Times New Roman"/>
          <w:lang w:val="es-419" w:eastAsia="en-AU"/>
        </w:rPr>
        <w:t>Arreglo de Madrid</w:t>
      </w:r>
      <w:r w:rsidRPr="006051CE">
        <w:rPr>
          <w:rFonts w:eastAsia="Times New Roman"/>
          <w:lang w:val="es-419" w:eastAsia="en-AU"/>
        </w:rPr>
        <w:t xml:space="preserve"> (1979).</w:t>
      </w:r>
    </w:p>
    <w:p w:rsidR="001730A0" w:rsidRPr="006051CE" w:rsidRDefault="005E59D6" w:rsidP="006051CE">
      <w:pPr>
        <w:keepNext/>
        <w:spacing w:before="240"/>
        <w:rPr>
          <w:rFonts w:eastAsia="Times New Roman"/>
          <w:b/>
          <w:lang w:val="es-419" w:eastAsia="en-AU"/>
        </w:rPr>
      </w:pPr>
      <w:r w:rsidRPr="006051CE">
        <w:rPr>
          <w:rFonts w:eastAsia="Times New Roman"/>
          <w:b/>
          <w:lang w:val="es-419" w:eastAsia="en-AU"/>
        </w:rPr>
        <w:t>Un instrumento internacional no vinculante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F50345" w:rsidRPr="006051CE">
        <w:rPr>
          <w:rFonts w:eastAsia="Times New Roman"/>
          <w:lang w:val="es-419" w:eastAsia="en-AU"/>
        </w:rPr>
        <w:t>Un instrumento internacional no vinculante puede tomar la forma de una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recomendación</w:t>
      </w:r>
      <w:r w:rsidRPr="006051CE">
        <w:rPr>
          <w:rFonts w:eastAsia="Times New Roman"/>
          <w:lang w:val="es-419" w:eastAsia="en-AU"/>
        </w:rPr>
        <w:t xml:space="preserve">, </w:t>
      </w:r>
      <w:r w:rsidR="00453197" w:rsidRPr="006051CE">
        <w:rPr>
          <w:rFonts w:eastAsia="Times New Roman"/>
          <w:lang w:val="es-419" w:eastAsia="en-AU"/>
        </w:rPr>
        <w:t>resolución</w:t>
      </w:r>
      <w:r w:rsidRPr="006051CE">
        <w:rPr>
          <w:rFonts w:eastAsia="Times New Roman"/>
          <w:lang w:val="es-419" w:eastAsia="en-AU"/>
        </w:rPr>
        <w:t xml:space="preserve">, </w:t>
      </w:r>
      <w:r w:rsidR="00453197" w:rsidRPr="006051CE">
        <w:rPr>
          <w:rFonts w:eastAsia="Times New Roman"/>
          <w:lang w:val="es-419" w:eastAsia="en-AU"/>
        </w:rPr>
        <w:t>declaración</w:t>
      </w:r>
      <w:r w:rsidRPr="006051CE">
        <w:rPr>
          <w:rFonts w:eastAsia="Times New Roman"/>
          <w:lang w:val="es-419" w:eastAsia="en-AU"/>
        </w:rPr>
        <w:t xml:space="preserve">, </w:t>
      </w:r>
      <w:r w:rsidR="00453197" w:rsidRPr="006051CE">
        <w:rPr>
          <w:rFonts w:eastAsia="Times New Roman"/>
          <w:lang w:val="es-419" w:eastAsia="en-AU"/>
        </w:rPr>
        <w:t>decisión</w:t>
      </w:r>
      <w:r w:rsidRPr="006051CE">
        <w:rPr>
          <w:rFonts w:eastAsia="Times New Roman"/>
          <w:lang w:val="es-419" w:eastAsia="en-AU"/>
        </w:rPr>
        <w:t xml:space="preserve"> o</w:t>
      </w:r>
      <w:r w:rsidR="00F50345" w:rsidRPr="006051CE">
        <w:rPr>
          <w:rFonts w:eastAsia="Times New Roman"/>
          <w:lang w:val="es-419" w:eastAsia="en-AU"/>
        </w:rPr>
        <w:t xml:space="preserve"> cualquier otra forma de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instrumento</w:t>
      </w:r>
      <w:r w:rsidRPr="006051CE">
        <w:rPr>
          <w:rFonts w:eastAsia="Times New Roman"/>
          <w:lang w:val="es-419" w:eastAsia="en-AU"/>
        </w:rPr>
        <w:t xml:space="preserve"> </w:t>
      </w:r>
      <w:r w:rsidR="00F50345" w:rsidRPr="006051CE">
        <w:rPr>
          <w:rFonts w:eastAsia="Times New Roman"/>
          <w:lang w:val="es-419" w:eastAsia="en-AU"/>
        </w:rPr>
        <w:t>que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no</w:t>
      </w:r>
      <w:r w:rsidRPr="006051CE">
        <w:rPr>
          <w:rFonts w:eastAsia="Times New Roman"/>
          <w:lang w:val="es-419" w:eastAsia="en-AU"/>
        </w:rPr>
        <w:t xml:space="preserve"> cre</w:t>
      </w:r>
      <w:r w:rsidR="00F43082" w:rsidRPr="006051CE">
        <w:rPr>
          <w:rFonts w:eastAsia="Times New Roman"/>
          <w:lang w:val="es-419" w:eastAsia="en-AU"/>
        </w:rPr>
        <w:t>a</w:t>
      </w:r>
      <w:r w:rsidR="00F50345" w:rsidRPr="006051CE">
        <w:rPr>
          <w:rFonts w:eastAsia="Times New Roman"/>
          <w:lang w:val="es-419" w:eastAsia="en-AU"/>
        </w:rPr>
        <w:t xml:space="preserve"> obligaciones jurídicamente vinculantes para sus Estados signatarios</w:t>
      </w:r>
      <w:r w:rsidRPr="006051CE">
        <w:rPr>
          <w:rFonts w:eastAsia="Times New Roman"/>
          <w:lang w:val="es-419" w:eastAsia="en-AU"/>
        </w:rPr>
        <w:t xml:space="preserve"> (“</w:t>
      </w:r>
      <w:r w:rsidR="005E59D6" w:rsidRPr="006051CE">
        <w:rPr>
          <w:rFonts w:eastAsia="Times New Roman"/>
          <w:lang w:val="es-419" w:eastAsia="en-AU"/>
        </w:rPr>
        <w:t>Derecho indicativo</w:t>
      </w:r>
      <w:r w:rsidRPr="006051CE">
        <w:rPr>
          <w:rFonts w:eastAsia="Times New Roman"/>
          <w:lang w:val="es-419" w:eastAsia="en-AU"/>
        </w:rPr>
        <w:t>”).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F50345" w:rsidRPr="006051CE">
        <w:rPr>
          <w:rFonts w:eastAsia="Times New Roman"/>
          <w:lang w:val="es-419" w:eastAsia="en-AU"/>
        </w:rPr>
        <w:t xml:space="preserve">Un </w:t>
      </w:r>
      <w:r w:rsidR="00453197" w:rsidRPr="006051CE">
        <w:rPr>
          <w:rFonts w:eastAsia="Times New Roman"/>
          <w:lang w:val="es-419" w:eastAsia="en-AU"/>
        </w:rPr>
        <w:t>instrumento</w:t>
      </w:r>
      <w:r w:rsidRPr="006051CE">
        <w:rPr>
          <w:rFonts w:eastAsia="Times New Roman"/>
          <w:lang w:val="es-419" w:eastAsia="en-AU"/>
        </w:rPr>
        <w:t xml:space="preserve"> </w:t>
      </w:r>
      <w:r w:rsidR="00F50345" w:rsidRPr="006051CE">
        <w:rPr>
          <w:rFonts w:eastAsia="Times New Roman"/>
          <w:lang w:val="es-419" w:eastAsia="en-AU"/>
        </w:rPr>
        <w:t xml:space="preserve">de esa índole puede reflejar la voluntad </w:t>
      </w:r>
      <w:r w:rsidR="00453197" w:rsidRPr="006051CE">
        <w:rPr>
          <w:rFonts w:eastAsia="Times New Roman"/>
          <w:lang w:val="es-419" w:eastAsia="en-AU"/>
        </w:rPr>
        <w:t>política</w:t>
      </w:r>
      <w:r w:rsidRPr="006051CE">
        <w:rPr>
          <w:rFonts w:eastAsia="Times New Roman"/>
          <w:lang w:val="es-419" w:eastAsia="en-AU"/>
        </w:rPr>
        <w:t xml:space="preserve"> </w:t>
      </w:r>
      <w:r w:rsidR="00F50345" w:rsidRPr="006051CE">
        <w:rPr>
          <w:rFonts w:eastAsia="Times New Roman"/>
          <w:lang w:val="es-419" w:eastAsia="en-AU"/>
        </w:rPr>
        <w:t>de los Estados miembros</w:t>
      </w:r>
      <w:r w:rsidRPr="006051CE">
        <w:rPr>
          <w:rFonts w:eastAsia="Times New Roman"/>
          <w:lang w:val="es-419" w:eastAsia="en-AU"/>
        </w:rPr>
        <w:t xml:space="preserve">, </w:t>
      </w:r>
      <w:r w:rsidR="00196CB6" w:rsidRPr="006051CE">
        <w:rPr>
          <w:rFonts w:eastAsia="Times New Roman"/>
          <w:lang w:val="es-419" w:eastAsia="en-AU"/>
        </w:rPr>
        <w:t>lo que incluye el acuerdo sobre</w:t>
      </w:r>
      <w:r w:rsidRPr="006051CE">
        <w:rPr>
          <w:rFonts w:eastAsia="Times New Roman"/>
          <w:lang w:val="es-419" w:eastAsia="en-AU"/>
        </w:rPr>
        <w:t xml:space="preserve"> </w:t>
      </w:r>
      <w:r w:rsidR="005E59D6" w:rsidRPr="006051CE">
        <w:rPr>
          <w:rFonts w:eastAsia="Times New Roman"/>
          <w:lang w:val="es-419" w:eastAsia="en-AU"/>
        </w:rPr>
        <w:t>cuestiones esenciales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o</w:t>
      </w:r>
      <w:r w:rsidRPr="006051CE">
        <w:rPr>
          <w:rFonts w:eastAsia="Times New Roman"/>
          <w:lang w:val="es-419" w:eastAsia="en-AU"/>
        </w:rPr>
        <w:t xml:space="preserve"> princip</w:t>
      </w:r>
      <w:r w:rsidR="00196CB6" w:rsidRPr="006051CE">
        <w:rPr>
          <w:rFonts w:eastAsia="Times New Roman"/>
          <w:lang w:val="es-419" w:eastAsia="en-AU"/>
        </w:rPr>
        <w:t>ios en determinado ámbito, u ofrecer orientación sobre cuestiones de política o</w:t>
      </w:r>
      <w:r w:rsidRPr="006051CE">
        <w:rPr>
          <w:rFonts w:eastAsia="Times New Roman"/>
          <w:lang w:val="es-419" w:eastAsia="en-AU"/>
        </w:rPr>
        <w:t xml:space="preserve"> </w:t>
      </w:r>
      <w:r w:rsidR="005E59D6" w:rsidRPr="006051CE">
        <w:rPr>
          <w:rFonts w:eastAsia="Times New Roman"/>
          <w:lang w:val="es-419" w:eastAsia="en-AU"/>
        </w:rPr>
        <w:t>mejores prácticas</w:t>
      </w:r>
      <w:r w:rsidRPr="006051CE">
        <w:rPr>
          <w:rFonts w:eastAsia="Times New Roman"/>
          <w:lang w:val="es-419" w:eastAsia="en-AU"/>
        </w:rPr>
        <w:t xml:space="preserve"> </w:t>
      </w:r>
      <w:r w:rsidR="00196CB6" w:rsidRPr="006051CE">
        <w:rPr>
          <w:rFonts w:eastAsia="Times New Roman"/>
          <w:lang w:val="es-419" w:eastAsia="en-AU"/>
        </w:rPr>
        <w:t>y normas</w:t>
      </w:r>
      <w:r w:rsidRPr="006051CE">
        <w:rPr>
          <w:rFonts w:eastAsia="Times New Roman"/>
          <w:lang w:val="es-419" w:eastAsia="en-AU"/>
        </w:rPr>
        <w:t xml:space="preserve">. </w:t>
      </w:r>
      <w:r w:rsidR="00F769E8" w:rsidRPr="006051CE">
        <w:rPr>
          <w:rFonts w:eastAsia="Times New Roman"/>
          <w:lang w:val="es-419" w:eastAsia="en-AU"/>
        </w:rPr>
        <w:t xml:space="preserve">Podría recomendar a los Estados que </w:t>
      </w:r>
      <w:r w:rsidR="00F43082" w:rsidRPr="006051CE">
        <w:rPr>
          <w:rFonts w:eastAsia="Times New Roman"/>
          <w:lang w:val="es-419" w:eastAsia="en-AU"/>
        </w:rPr>
        <w:t>den aplicación a</w:t>
      </w:r>
      <w:r w:rsidR="00F769E8" w:rsidRPr="006051CE">
        <w:rPr>
          <w:rFonts w:eastAsia="Times New Roman"/>
          <w:lang w:val="es-419" w:eastAsia="en-AU"/>
        </w:rPr>
        <w:t xml:space="preserve"> determinadas normas en su legislación nacional y en otros procesos y políticas de carácter administrativo no jurídico, o alentarlos a que lo hagan, o simplemente ofrecer un marco para la coordinación entre los Estados que decidan seguir ese enfoque.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  <w:t>E</w:t>
      </w:r>
      <w:r w:rsidR="004811B3" w:rsidRPr="006051CE">
        <w:rPr>
          <w:rFonts w:eastAsia="Times New Roman"/>
          <w:lang w:val="es-419" w:eastAsia="en-AU"/>
        </w:rPr>
        <w:t>ntre los ejemplos correspondientes cabe señalar la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Declaración de las Naciones Unidas sobre los derechos de los pueblos indígenas</w:t>
      </w:r>
      <w:r w:rsidRPr="006051CE">
        <w:rPr>
          <w:rFonts w:eastAsia="Times New Roman"/>
          <w:lang w:val="es-419" w:eastAsia="en-AU"/>
        </w:rPr>
        <w:t xml:space="preserve"> (UNDRIP) (2007) o</w:t>
      </w:r>
      <w:r w:rsidR="004811B3" w:rsidRPr="006051CE">
        <w:rPr>
          <w:rFonts w:eastAsia="Times New Roman"/>
          <w:lang w:val="es-419" w:eastAsia="en-AU"/>
        </w:rPr>
        <w:t xml:space="preserve"> la</w:t>
      </w:r>
      <w:r w:rsidRPr="006051CE">
        <w:rPr>
          <w:rFonts w:eastAsia="Times New Roman"/>
          <w:lang w:val="es-419" w:eastAsia="en-AU"/>
        </w:rPr>
        <w:t xml:space="preserve"> </w:t>
      </w:r>
      <w:r w:rsidR="004811B3" w:rsidRPr="006051CE">
        <w:rPr>
          <w:rFonts w:eastAsia="Times New Roman"/>
          <w:lang w:val="es-419" w:eastAsia="en-AU"/>
        </w:rPr>
        <w:t xml:space="preserve">Recomendación Conjunta relativa las Disposiciones sobre la Protección de las Marcas Notoriamente Conocidas, adoptada en 1999 por la Asamblea de la Unión de París para la </w:t>
      </w:r>
      <w:r w:rsidR="00453197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4811B3" w:rsidRPr="006051CE">
        <w:rPr>
          <w:rFonts w:eastAsia="Times New Roman"/>
          <w:lang w:val="es-419" w:eastAsia="en-AU"/>
        </w:rPr>
        <w:t xml:space="preserve">de la Propiedad </w:t>
      </w:r>
      <w:r w:rsidRPr="006051CE">
        <w:rPr>
          <w:rFonts w:eastAsia="Times New Roman"/>
          <w:lang w:val="es-419" w:eastAsia="en-AU"/>
        </w:rPr>
        <w:t xml:space="preserve">Industrial </w:t>
      </w:r>
      <w:r w:rsidR="004811B3" w:rsidRPr="006051CE">
        <w:rPr>
          <w:rFonts w:eastAsia="Times New Roman"/>
          <w:lang w:val="es-419" w:eastAsia="en-AU"/>
        </w:rPr>
        <w:t>y la Asamblea</w:t>
      </w:r>
      <w:r w:rsidRPr="006051CE">
        <w:rPr>
          <w:rFonts w:eastAsia="Times New Roman"/>
          <w:lang w:val="es-419" w:eastAsia="en-AU"/>
        </w:rPr>
        <w:t xml:space="preserve"> General.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4811B3" w:rsidRPr="006051CE">
        <w:rPr>
          <w:rFonts w:eastAsia="Times New Roman"/>
          <w:lang w:val="es-419" w:eastAsia="en-AU"/>
        </w:rPr>
        <w:t xml:space="preserve">Un </w:t>
      </w:r>
      <w:r w:rsidR="00453197" w:rsidRPr="006051CE">
        <w:rPr>
          <w:rFonts w:eastAsia="Times New Roman"/>
          <w:lang w:val="es-419" w:eastAsia="en-AU"/>
        </w:rPr>
        <w:t>instrumento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</w:t>
      </w:r>
      <w:r w:rsidR="004811B3" w:rsidRPr="006051CE">
        <w:rPr>
          <w:rFonts w:eastAsia="Times New Roman"/>
          <w:lang w:val="es-419" w:eastAsia="en-AU"/>
        </w:rPr>
        <w:t xml:space="preserve"> no vinculante puede producir un efecto de creación de consenso y sentar las bases para negociaciones futuras respecto de normas internacionales vinculantes.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3E5393" w:rsidRPr="006051CE">
        <w:rPr>
          <w:rFonts w:eastAsia="Times New Roman"/>
          <w:lang w:val="es-419" w:eastAsia="en-AU"/>
        </w:rPr>
        <w:t>E</w:t>
      </w:r>
      <w:r w:rsidRPr="006051CE">
        <w:rPr>
          <w:rFonts w:eastAsia="Times New Roman"/>
          <w:lang w:val="es-419" w:eastAsia="en-AU"/>
        </w:rPr>
        <w:t xml:space="preserve">n </w:t>
      </w:r>
      <w:r w:rsidR="003E5393" w:rsidRPr="006051CE">
        <w:rPr>
          <w:rFonts w:eastAsia="Times New Roman"/>
          <w:lang w:val="es-419" w:eastAsia="en-AU"/>
        </w:rPr>
        <w:t>algunos casos</w:t>
      </w:r>
      <w:r w:rsidRPr="006051CE">
        <w:rPr>
          <w:rFonts w:eastAsia="Times New Roman"/>
          <w:lang w:val="es-419" w:eastAsia="en-AU"/>
        </w:rPr>
        <w:t xml:space="preserve">, </w:t>
      </w:r>
      <w:r w:rsidR="003E5393" w:rsidRPr="006051CE">
        <w:rPr>
          <w:rFonts w:eastAsia="Times New Roman"/>
          <w:lang w:val="es-419" w:eastAsia="en-AU"/>
        </w:rPr>
        <w:t xml:space="preserve">las </w:t>
      </w:r>
      <w:r w:rsidR="00453197" w:rsidRPr="006051CE">
        <w:rPr>
          <w:rFonts w:eastAsia="Times New Roman"/>
          <w:lang w:val="es-419" w:eastAsia="en-AU"/>
        </w:rPr>
        <w:t>declaraciones</w:t>
      </w:r>
      <w:r w:rsidRPr="006051CE">
        <w:rPr>
          <w:rFonts w:eastAsia="Times New Roman"/>
          <w:lang w:val="es-419" w:eastAsia="en-AU"/>
        </w:rPr>
        <w:t xml:space="preserve"> </w:t>
      </w:r>
      <w:r w:rsidR="003E5393" w:rsidRPr="006051CE">
        <w:rPr>
          <w:rFonts w:eastAsia="Times New Roman"/>
          <w:lang w:val="es-419" w:eastAsia="en-AU"/>
        </w:rPr>
        <w:t>y otras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formas</w:t>
      </w:r>
      <w:r w:rsidRPr="006051CE">
        <w:rPr>
          <w:rFonts w:eastAsia="Times New Roman"/>
          <w:lang w:val="es-419" w:eastAsia="en-AU"/>
        </w:rPr>
        <w:t xml:space="preserve"> </w:t>
      </w:r>
      <w:r w:rsidR="003E5393" w:rsidRPr="006051CE">
        <w:rPr>
          <w:rFonts w:eastAsia="Times New Roman"/>
          <w:lang w:val="es-419" w:eastAsia="en-AU"/>
        </w:rPr>
        <w:t>de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Derecho indicativo</w:t>
      </w:r>
      <w:r w:rsidRPr="006051CE">
        <w:rPr>
          <w:rFonts w:eastAsia="Times New Roman"/>
          <w:lang w:val="es-419" w:eastAsia="en-AU"/>
        </w:rPr>
        <w:t xml:space="preserve"> </w:t>
      </w:r>
      <w:r w:rsidR="003E5393" w:rsidRPr="006051CE">
        <w:rPr>
          <w:rFonts w:eastAsia="Times New Roman"/>
          <w:lang w:val="es-419" w:eastAsia="en-AU"/>
        </w:rPr>
        <w:t>pueden pasar a constituir, con el tiempo, Derecho internacional consuetudinario jurídicamente vinculante</w:t>
      </w:r>
      <w:r w:rsidRPr="006051CE">
        <w:rPr>
          <w:rFonts w:eastAsia="Times New Roman"/>
          <w:lang w:val="es-419" w:eastAsia="en-AU"/>
        </w:rPr>
        <w:t xml:space="preserve">. </w:t>
      </w:r>
      <w:r w:rsidR="003E5393" w:rsidRPr="006051CE">
        <w:rPr>
          <w:rFonts w:eastAsia="Times New Roman"/>
          <w:lang w:val="es-419" w:eastAsia="en-AU"/>
        </w:rPr>
        <w:t>El Derecho internacional consuetudinario deriva de una práctica aceptada como norma jurídica</w:t>
      </w:r>
      <w:r w:rsidRPr="006051CE">
        <w:rPr>
          <w:rFonts w:eastAsia="Times New Roman"/>
          <w:lang w:val="es-419" w:eastAsia="en-AU"/>
        </w:rPr>
        <w:t xml:space="preserve">. </w:t>
      </w:r>
      <w:r w:rsidR="003E5393" w:rsidRPr="006051CE">
        <w:rPr>
          <w:rFonts w:eastAsia="Times New Roman"/>
          <w:lang w:val="es-419" w:eastAsia="en-AU"/>
        </w:rPr>
        <w:lastRenderedPageBreak/>
        <w:t>Por ejemplo</w:t>
      </w:r>
      <w:r w:rsidRPr="006051CE">
        <w:rPr>
          <w:rFonts w:eastAsia="Times New Roman"/>
          <w:lang w:val="es-419" w:eastAsia="en-AU"/>
        </w:rPr>
        <w:t xml:space="preserve">, </w:t>
      </w:r>
      <w:r w:rsidR="003E5393" w:rsidRPr="006051CE">
        <w:rPr>
          <w:rFonts w:eastAsia="Times New Roman"/>
          <w:lang w:val="es-419" w:eastAsia="en-AU"/>
        </w:rPr>
        <w:t xml:space="preserve">algunos </w:t>
      </w:r>
      <w:r w:rsidRPr="006051CE">
        <w:rPr>
          <w:rFonts w:eastAsia="Times New Roman"/>
          <w:lang w:val="es-419" w:eastAsia="en-AU"/>
        </w:rPr>
        <w:t>consider</w:t>
      </w:r>
      <w:r w:rsidR="003E5393" w:rsidRPr="006051CE">
        <w:rPr>
          <w:rFonts w:eastAsia="Times New Roman"/>
          <w:lang w:val="es-419" w:eastAsia="en-AU"/>
        </w:rPr>
        <w:t xml:space="preserve">an que </w:t>
      </w:r>
      <w:r w:rsidR="0061533C" w:rsidRPr="006051CE">
        <w:rPr>
          <w:rFonts w:eastAsia="Times New Roman"/>
          <w:lang w:val="es-419" w:eastAsia="en-AU"/>
        </w:rPr>
        <w:t xml:space="preserve">constituyen Derecho internacional consuetudinario </w:t>
      </w:r>
      <w:r w:rsidR="003E5393" w:rsidRPr="006051CE">
        <w:rPr>
          <w:rFonts w:eastAsia="Times New Roman"/>
          <w:lang w:val="es-419" w:eastAsia="en-AU"/>
        </w:rPr>
        <w:t xml:space="preserve">determinados </w:t>
      </w:r>
      <w:r w:rsidR="00453197" w:rsidRPr="006051CE">
        <w:rPr>
          <w:rFonts w:eastAsia="Times New Roman"/>
          <w:lang w:val="es-419" w:eastAsia="en-AU"/>
        </w:rPr>
        <w:t>aspectos</w:t>
      </w:r>
      <w:r w:rsidRPr="006051CE">
        <w:rPr>
          <w:rFonts w:eastAsia="Times New Roman"/>
          <w:lang w:val="es-419" w:eastAsia="en-AU"/>
        </w:rPr>
        <w:t xml:space="preserve"> </w:t>
      </w:r>
      <w:r w:rsidR="003E5393" w:rsidRPr="006051CE">
        <w:rPr>
          <w:rFonts w:eastAsia="Times New Roman"/>
          <w:lang w:val="es-419" w:eastAsia="en-AU"/>
        </w:rPr>
        <w:t xml:space="preserve">de la </w:t>
      </w:r>
      <w:r w:rsidR="00453197" w:rsidRPr="006051CE">
        <w:rPr>
          <w:rFonts w:eastAsia="Times New Roman"/>
          <w:lang w:val="es-419" w:eastAsia="en-AU"/>
        </w:rPr>
        <w:t>Declaración</w:t>
      </w:r>
      <w:r w:rsidRPr="006051CE">
        <w:rPr>
          <w:rFonts w:eastAsia="Times New Roman"/>
          <w:lang w:val="es-419" w:eastAsia="en-AU"/>
        </w:rPr>
        <w:t xml:space="preserve"> </w:t>
      </w:r>
      <w:r w:rsidR="003E5393" w:rsidRPr="006051CE">
        <w:rPr>
          <w:rFonts w:eastAsia="Times New Roman"/>
          <w:lang w:val="es-419" w:eastAsia="en-AU"/>
        </w:rPr>
        <w:t xml:space="preserve">Universal </w:t>
      </w:r>
      <w:r w:rsidR="0061533C" w:rsidRPr="006051CE">
        <w:rPr>
          <w:rFonts w:eastAsia="Times New Roman"/>
          <w:lang w:val="es-419" w:eastAsia="en-AU"/>
        </w:rPr>
        <w:t>de Derechos Humanos </w:t>
      </w:r>
      <w:r w:rsidRPr="006051CE">
        <w:rPr>
          <w:rFonts w:eastAsia="Times New Roman"/>
          <w:lang w:val="es-419" w:eastAsia="en-AU"/>
        </w:rPr>
        <w:t xml:space="preserve">(1948), </w:t>
      </w:r>
      <w:r w:rsidR="0061533C" w:rsidRPr="006051CE">
        <w:rPr>
          <w:rFonts w:eastAsia="Times New Roman"/>
          <w:lang w:val="es-419" w:eastAsia="en-AU"/>
        </w:rPr>
        <w:t>como el derecho a no ser sometido a tortura ni a detención arbitraria</w:t>
      </w:r>
      <w:r w:rsidRPr="006051CE">
        <w:rPr>
          <w:rFonts w:eastAsia="Times New Roman"/>
          <w:lang w:val="es-419" w:eastAsia="en-AU"/>
        </w:rPr>
        <w:t xml:space="preserve">. </w:t>
      </w:r>
      <w:r w:rsidR="0061533C" w:rsidRPr="006051CE">
        <w:rPr>
          <w:rFonts w:eastAsia="Times New Roman"/>
          <w:lang w:val="es-419" w:eastAsia="en-AU"/>
        </w:rPr>
        <w:t>De manera similar</w:t>
      </w:r>
      <w:r w:rsidRPr="006051CE">
        <w:rPr>
          <w:rFonts w:eastAsia="Times New Roman"/>
          <w:lang w:val="es-419" w:eastAsia="en-AU"/>
        </w:rPr>
        <w:t xml:space="preserve">, </w:t>
      </w:r>
      <w:r w:rsidR="0061533C" w:rsidRPr="006051CE">
        <w:rPr>
          <w:rFonts w:eastAsia="Times New Roman"/>
          <w:lang w:val="es-419" w:eastAsia="en-AU"/>
        </w:rPr>
        <w:t>algunos consideran que varias disposiciones clave de la</w:t>
      </w:r>
      <w:r w:rsidRPr="006051CE">
        <w:rPr>
          <w:rFonts w:eastAsia="Times New Roman"/>
          <w:lang w:val="es-419" w:eastAsia="en-AU"/>
        </w:rPr>
        <w:t xml:space="preserve"> UNDRIP </w:t>
      </w:r>
      <w:r w:rsidR="00F43082" w:rsidRPr="006051CE">
        <w:rPr>
          <w:rFonts w:eastAsia="Times New Roman"/>
          <w:lang w:val="es-419" w:eastAsia="en-AU"/>
        </w:rPr>
        <w:t>forman</w:t>
      </w:r>
      <w:r w:rsidR="0061533C" w:rsidRPr="006051CE">
        <w:rPr>
          <w:rFonts w:eastAsia="Times New Roman"/>
          <w:lang w:val="es-419" w:eastAsia="en-AU"/>
        </w:rPr>
        <w:t xml:space="preserve"> parte del ámbito del Derecho internacional consuetudinario, en rápida evolución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61533C" w:rsidP="006051CE">
      <w:pPr>
        <w:keepNext/>
        <w:spacing w:before="240"/>
        <w:rPr>
          <w:rFonts w:eastAsia="Times New Roman"/>
          <w:b/>
          <w:lang w:val="es-419" w:eastAsia="en-AU"/>
        </w:rPr>
      </w:pPr>
      <w:r w:rsidRPr="006051CE">
        <w:rPr>
          <w:rFonts w:eastAsia="Times New Roman"/>
          <w:b/>
          <w:lang w:val="es-419" w:eastAsia="en-AU"/>
        </w:rPr>
        <w:t>Leyes tipo o</w:t>
      </w:r>
      <w:r w:rsidR="00536891" w:rsidRPr="006051CE">
        <w:rPr>
          <w:rFonts w:eastAsia="Times New Roman"/>
          <w:b/>
          <w:lang w:val="es-419" w:eastAsia="en-AU"/>
        </w:rPr>
        <w:t xml:space="preserve"> </w:t>
      </w:r>
      <w:r w:rsidR="00F769E8" w:rsidRPr="006051CE">
        <w:rPr>
          <w:rFonts w:eastAsia="Times New Roman"/>
          <w:b/>
          <w:lang w:val="es-419" w:eastAsia="en-AU"/>
        </w:rPr>
        <w:t>directrices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61533C" w:rsidRPr="006051CE">
        <w:rPr>
          <w:rFonts w:eastAsia="Times New Roman"/>
          <w:lang w:val="es-419" w:eastAsia="en-AU"/>
        </w:rPr>
        <w:t>Las leyes tipo o las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directrices</w:t>
      </w:r>
      <w:r w:rsidRPr="006051CE">
        <w:rPr>
          <w:rFonts w:eastAsia="Times New Roman"/>
          <w:lang w:val="es-419" w:eastAsia="en-AU"/>
        </w:rPr>
        <w:t xml:space="preserve"> </w:t>
      </w:r>
      <w:r w:rsidR="0061533C" w:rsidRPr="006051CE">
        <w:rPr>
          <w:rFonts w:eastAsia="Times New Roman"/>
          <w:lang w:val="es-419" w:eastAsia="en-AU"/>
        </w:rPr>
        <w:t>son un conjunto estandarizado de disposiciones jurídicas que pueden servir de referencia para la legislación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nacional</w:t>
      </w:r>
      <w:r w:rsidRPr="006051CE">
        <w:rPr>
          <w:rFonts w:eastAsia="Times New Roman"/>
          <w:lang w:val="es-419" w:eastAsia="en-AU"/>
        </w:rPr>
        <w:t xml:space="preserve">. </w:t>
      </w:r>
      <w:r w:rsidR="0061533C" w:rsidRPr="006051CE">
        <w:rPr>
          <w:rFonts w:eastAsia="Times New Roman"/>
          <w:lang w:val="es-419" w:eastAsia="en-AU"/>
        </w:rPr>
        <w:t xml:space="preserve">Su propósito es brindar orientación a los Estados en la elaboración de sus propias leyes o reglamentos y pueden contribuir a velar por que el nivel de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61533C" w:rsidRPr="006051CE">
        <w:rPr>
          <w:rFonts w:eastAsia="Times New Roman"/>
          <w:lang w:val="es-419" w:eastAsia="en-AU"/>
        </w:rPr>
        <w:t>sea homogéneo entre los países y fomentar la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armonización</w:t>
      </w:r>
      <w:r w:rsidRPr="006051CE">
        <w:rPr>
          <w:rFonts w:eastAsia="Times New Roman"/>
          <w:lang w:val="es-419" w:eastAsia="en-AU"/>
        </w:rPr>
        <w:t xml:space="preserve"> </w:t>
      </w:r>
      <w:r w:rsidR="0061533C" w:rsidRPr="006051CE">
        <w:rPr>
          <w:rFonts w:eastAsia="Times New Roman"/>
          <w:lang w:val="es-419" w:eastAsia="en-AU"/>
        </w:rPr>
        <w:t xml:space="preserve">de las normas sobre PI a escala </w:t>
      </w:r>
      <w:r w:rsidR="00453197" w:rsidRPr="006051CE">
        <w:rPr>
          <w:rFonts w:eastAsia="Times New Roman"/>
          <w:lang w:val="es-419" w:eastAsia="en-AU"/>
        </w:rPr>
        <w:t>internacional</w:t>
      </w:r>
      <w:r w:rsidRPr="006051CE">
        <w:rPr>
          <w:rFonts w:eastAsia="Times New Roman"/>
          <w:lang w:val="es-419" w:eastAsia="en-AU"/>
        </w:rPr>
        <w:t xml:space="preserve">. </w:t>
      </w:r>
      <w:r w:rsidR="0061533C" w:rsidRPr="006051CE">
        <w:rPr>
          <w:rFonts w:eastAsia="Times New Roman"/>
          <w:lang w:val="es-419" w:eastAsia="en-AU"/>
        </w:rPr>
        <w:t xml:space="preserve">No son jurídicamente vinculantes y cada país mantiene la libertad de adoptar o </w:t>
      </w:r>
      <w:r w:rsidR="00D32450" w:rsidRPr="006051CE">
        <w:rPr>
          <w:rFonts w:eastAsia="Times New Roman"/>
          <w:lang w:val="es-419" w:eastAsia="en-AU"/>
        </w:rPr>
        <w:t>ajustar las disposiciones según su conveniencia.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B27FA2" w:rsidRPr="006051CE">
        <w:rPr>
          <w:rFonts w:eastAsia="Times New Roman"/>
          <w:lang w:val="es-419" w:eastAsia="en-AU"/>
        </w:rPr>
        <w:t xml:space="preserve">En el pasado, esas herramientas se han utilizado para </w:t>
      </w:r>
      <w:r w:rsidR="00453197" w:rsidRPr="006051CE">
        <w:rPr>
          <w:rFonts w:eastAsia="Times New Roman"/>
          <w:lang w:val="es-419" w:eastAsia="en-AU"/>
        </w:rPr>
        <w:t>reflejar</w:t>
      </w:r>
      <w:r w:rsidR="00B27FA2" w:rsidRPr="006051CE">
        <w:rPr>
          <w:rFonts w:eastAsia="Times New Roman"/>
          <w:lang w:val="es-419" w:eastAsia="en-AU"/>
        </w:rPr>
        <w:t xml:space="preserve"> perspectivas internacionales comunes y </w:t>
      </w:r>
      <w:r w:rsidR="004D12E2" w:rsidRPr="006051CE">
        <w:rPr>
          <w:rFonts w:eastAsia="Times New Roman"/>
          <w:lang w:val="es-419" w:eastAsia="en-AU"/>
        </w:rPr>
        <w:t>contribuir a la coordinación de la labor de formulación de leyes y políticas de alcance nacional, sin pasar por la adopción de un instrumento internacional específico</w:t>
      </w:r>
      <w:r w:rsidRPr="006051CE">
        <w:rPr>
          <w:rFonts w:eastAsia="Times New Roman"/>
          <w:lang w:val="es-419" w:eastAsia="en-AU"/>
        </w:rPr>
        <w:t xml:space="preserve">. </w:t>
      </w:r>
      <w:r w:rsidR="004D12E2" w:rsidRPr="006051CE">
        <w:rPr>
          <w:rFonts w:eastAsia="Times New Roman"/>
          <w:lang w:val="es-419" w:eastAsia="en-AU"/>
        </w:rPr>
        <w:t>Ello puede sentar las bases para la cooperación, la convergencia y compatibilidad mutua de las iniciativas legislativas nacionales</w:t>
      </w:r>
      <w:r w:rsidRPr="006051CE">
        <w:rPr>
          <w:rFonts w:eastAsia="Times New Roman"/>
          <w:lang w:val="es-419" w:eastAsia="en-AU"/>
        </w:rPr>
        <w:t xml:space="preserve">, </w:t>
      </w:r>
      <w:r w:rsidR="004D12E2" w:rsidRPr="006051CE">
        <w:rPr>
          <w:rFonts w:eastAsia="Times New Roman"/>
          <w:lang w:val="es-419" w:eastAsia="en-AU"/>
        </w:rPr>
        <w:t>así como la creación de instrumentos internacionales más formales</w:t>
      </w:r>
      <w:r w:rsidR="00A05EE2" w:rsidRPr="006051CE">
        <w:rPr>
          <w:rFonts w:eastAsia="Times New Roman"/>
          <w:lang w:val="es-419" w:eastAsia="en-AU"/>
        </w:rPr>
        <w:t>.</w:t>
      </w:r>
    </w:p>
    <w:p w:rsidR="001730A0" w:rsidRPr="006051CE" w:rsidRDefault="00536891" w:rsidP="006051CE">
      <w:pPr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F769E8" w:rsidRPr="006051CE">
        <w:rPr>
          <w:rFonts w:eastAsia="Times New Roman"/>
          <w:lang w:val="es-419" w:eastAsia="en-AU"/>
        </w:rPr>
        <w:t>En la práctica, podría ser difícil distinguir entre las leyes tipo o las directrices y las normas no vinculantes expuestas más arriba.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  <w:t>E</w:t>
      </w:r>
      <w:r w:rsidR="00B84A2D" w:rsidRPr="006051CE">
        <w:rPr>
          <w:rFonts w:eastAsia="Times New Roman"/>
          <w:lang w:val="es-419" w:eastAsia="en-AU"/>
        </w:rPr>
        <w:t xml:space="preserve">ntre los ejemplos correspondientes, cabe señalar las Disposiciones Tipo </w:t>
      </w:r>
      <w:r w:rsidR="00F43082" w:rsidRPr="006051CE">
        <w:rPr>
          <w:rFonts w:eastAsia="Times New Roman"/>
          <w:lang w:val="es-419" w:eastAsia="en-AU"/>
        </w:rPr>
        <w:t>OMPI</w:t>
      </w:r>
      <w:r w:rsidR="00F43082" w:rsidRPr="006051CE">
        <w:rPr>
          <w:rFonts w:eastAsia="Times New Roman"/>
          <w:lang w:val="es-419" w:eastAsia="en-AU"/>
        </w:rPr>
        <w:noBreakHyphen/>
        <w:t xml:space="preserve">UNESCO </w:t>
      </w:r>
      <w:r w:rsidR="00B84A2D" w:rsidRPr="006051CE">
        <w:rPr>
          <w:rFonts w:eastAsia="Times New Roman"/>
          <w:lang w:val="es-419" w:eastAsia="en-AU"/>
        </w:rPr>
        <w:t xml:space="preserve">para leyes nacionales sobre la protección de las expresiones del folclore contra la explotación ilícita y otras acciones lesivas </w:t>
      </w:r>
      <w:r w:rsidRPr="006051CE">
        <w:rPr>
          <w:rFonts w:eastAsia="Times New Roman"/>
          <w:lang w:val="es-419" w:eastAsia="en-AU"/>
        </w:rPr>
        <w:t xml:space="preserve">(1982) </w:t>
      </w:r>
      <w:r w:rsidR="00B84A2D" w:rsidRPr="006051CE">
        <w:rPr>
          <w:rFonts w:eastAsia="Times New Roman"/>
          <w:lang w:val="es-419" w:eastAsia="en-AU"/>
        </w:rPr>
        <w:t xml:space="preserve">y la </w:t>
      </w:r>
      <w:r w:rsidR="0043248D" w:rsidRPr="006051CE">
        <w:rPr>
          <w:rFonts w:eastAsia="Times New Roman"/>
          <w:lang w:val="es-419" w:eastAsia="en-AU"/>
        </w:rPr>
        <w:t>Ley Modelo del Pacífico para la Protección de los Conocimientos Tradicionales y las Expresiones de la Cultura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C30BEC" w:rsidP="006051CE">
      <w:pPr>
        <w:spacing w:before="48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t>PANORAMA DE LOS ENFOQUES PERTINENTES A LA REDACCIÓN DE UN INSTRUMENTO JURÍDICO INTERNACIONAL, O MÁS DE UNO, SOBRE LOS CONOCIMIENTOS TRADICIONALES Y LAS EXPRESIONES CULTURALES TRADICIONALES</w:t>
      </w:r>
    </w:p>
    <w:p w:rsidR="001730A0" w:rsidRPr="006051CE" w:rsidRDefault="00F769E8" w:rsidP="006051CE">
      <w:pPr>
        <w:pStyle w:val="onume0"/>
        <w:keepNext/>
        <w:spacing w:before="240"/>
        <w:rPr>
          <w:bCs/>
          <w:lang w:val="es-419"/>
        </w:rPr>
      </w:pPr>
      <w:r w:rsidRPr="006051CE">
        <w:rPr>
          <w:bCs/>
          <w:lang w:val="es-419"/>
        </w:rPr>
        <w:t>Enfoques de protección positivos y preventivos</w:t>
      </w:r>
    </w:p>
    <w:p w:rsidR="001730A0" w:rsidRPr="006051CE" w:rsidRDefault="00536891" w:rsidP="006051CE">
      <w:pPr>
        <w:spacing w:before="240"/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ED510F" w:rsidRPr="006051CE">
        <w:rPr>
          <w:lang w:val="es-419"/>
        </w:rPr>
        <w:t xml:space="preserve">En lo </w:t>
      </w:r>
      <w:r w:rsidR="00ED510F" w:rsidRPr="006051CE">
        <w:rPr>
          <w:rFonts w:eastAsia="Times New Roman"/>
          <w:lang w:val="es-419" w:eastAsia="en-AU"/>
        </w:rPr>
        <w:t>que</w:t>
      </w:r>
      <w:r w:rsidR="00ED510F" w:rsidRPr="006051CE">
        <w:rPr>
          <w:lang w:val="es-419"/>
        </w:rPr>
        <w:t xml:space="preserve"> atañe a velar por la protección de los CC.TT. y las ECT, e</w:t>
      </w:r>
      <w:r w:rsidR="00326687" w:rsidRPr="006051CE">
        <w:rPr>
          <w:lang w:val="es-419"/>
        </w:rPr>
        <w:t xml:space="preserve">l sistema de PI puede enfocarse desde dos ángulos distintos. Esos dos </w:t>
      </w:r>
      <w:r w:rsidR="00ED510F" w:rsidRPr="006051CE">
        <w:rPr>
          <w:lang w:val="es-419"/>
        </w:rPr>
        <w:t xml:space="preserve">ángulos de </w:t>
      </w:r>
      <w:r w:rsidR="00326687" w:rsidRPr="006051CE">
        <w:rPr>
          <w:lang w:val="es-419"/>
        </w:rPr>
        <w:t>enfoque, que suelen denominarse protección “positiva” y protección “preventiva”, pueden aplicarse de manera conjunta y complementaria</w:t>
      </w:r>
      <w:r w:rsidR="00F769E8" w:rsidRPr="006051CE">
        <w:rPr>
          <w:lang w:val="es-419"/>
        </w:rPr>
        <w:t>.</w:t>
      </w:r>
    </w:p>
    <w:p w:rsidR="001730A0" w:rsidRPr="006051CE" w:rsidRDefault="00536891" w:rsidP="006051CE">
      <w:pPr>
        <w:spacing w:before="240"/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2C475D" w:rsidRPr="006051CE">
        <w:rPr>
          <w:lang w:val="es-419"/>
        </w:rPr>
        <w:t xml:space="preserve">Desde el enfoque de la “protección positiva”, el sistema de PI está concebido para permitir que </w:t>
      </w:r>
      <w:r w:rsidR="002C475D" w:rsidRPr="006051CE">
        <w:rPr>
          <w:rFonts w:eastAsia="Times New Roman"/>
          <w:lang w:val="es-419" w:eastAsia="en-AU"/>
        </w:rPr>
        <w:t>los</w:t>
      </w:r>
      <w:r w:rsidR="002C475D" w:rsidRPr="006051CE">
        <w:rPr>
          <w:lang w:val="es-419"/>
        </w:rPr>
        <w:t xml:space="preserve"> poseedores de CC.TT. o de ECT, si lo desean, adquieran y hagan valer los derechos de PI correspondientes. Podrán así impedir la utilización no deseada, no autorizada o inadecuada por terceros (incluidos los usos culturalmente ofensivos o despectivos) </w:t>
      </w:r>
      <w:r w:rsidR="00ED510F" w:rsidRPr="006051CE">
        <w:rPr>
          <w:lang w:val="es-419"/>
        </w:rPr>
        <w:t xml:space="preserve">o </w:t>
      </w:r>
      <w:r w:rsidR="002C475D" w:rsidRPr="006051CE">
        <w:rPr>
          <w:lang w:val="es-419"/>
        </w:rPr>
        <w:t>explotar comercialmente sus CC.TT./ECT, por ejemplo, mediante la concesión de licencias, como forma de contribuir a su desarrollo económico</w:t>
      </w:r>
      <w:r w:rsidRPr="006051CE">
        <w:rPr>
          <w:lang w:val="es-419"/>
        </w:rPr>
        <w:t xml:space="preserve">. </w:t>
      </w:r>
      <w:r w:rsidR="00F769E8" w:rsidRPr="006051CE">
        <w:rPr>
          <w:lang w:val="es-419"/>
        </w:rPr>
        <w:t xml:space="preserve">En resumen, por protección positiva se entiende la concesión de derechos que dan a las comunidades los medios necesarios para fomentar sus CC.TT./ECT, controlar </w:t>
      </w:r>
      <w:r w:rsidR="00ED510F" w:rsidRPr="006051CE">
        <w:rPr>
          <w:lang w:val="es-419"/>
        </w:rPr>
        <w:t>los</w:t>
      </w:r>
      <w:r w:rsidR="00F769E8" w:rsidRPr="006051CE">
        <w:rPr>
          <w:lang w:val="es-419"/>
        </w:rPr>
        <w:t xml:space="preserve"> usos </w:t>
      </w:r>
      <w:r w:rsidR="00ED510F" w:rsidRPr="006051CE">
        <w:rPr>
          <w:lang w:val="es-419"/>
        </w:rPr>
        <w:t xml:space="preserve">de aquellos </w:t>
      </w:r>
      <w:r w:rsidR="00F769E8" w:rsidRPr="006051CE">
        <w:rPr>
          <w:lang w:val="es-419"/>
        </w:rPr>
        <w:t>y beneficiarse de su explotación comercial.</w:t>
      </w:r>
      <w:r w:rsidRPr="006051CE">
        <w:rPr>
          <w:lang w:val="es-419"/>
        </w:rPr>
        <w:t xml:space="preserve"> </w:t>
      </w:r>
      <w:r w:rsidR="002C475D" w:rsidRPr="006051CE">
        <w:rPr>
          <w:lang w:val="es-419"/>
        </w:rPr>
        <w:t xml:space="preserve">En muchas legislaciones </w:t>
      </w:r>
      <w:r w:rsidR="00453197" w:rsidRPr="006051CE">
        <w:rPr>
          <w:lang w:val="es-419"/>
        </w:rPr>
        <w:t>nacionales</w:t>
      </w:r>
      <w:r w:rsidR="002C475D" w:rsidRPr="006051CE">
        <w:rPr>
          <w:lang w:val="es-419"/>
        </w:rPr>
        <w:t xml:space="preserve"> y</w:t>
      </w:r>
      <w:r w:rsidRPr="006051CE">
        <w:rPr>
          <w:lang w:val="es-419"/>
        </w:rPr>
        <w:t xml:space="preserve"> </w:t>
      </w:r>
      <w:r w:rsidR="00453197" w:rsidRPr="006051CE">
        <w:rPr>
          <w:lang w:val="es-419"/>
        </w:rPr>
        <w:t>regionales</w:t>
      </w:r>
      <w:r w:rsidR="002C475D" w:rsidRPr="006051CE">
        <w:rPr>
          <w:lang w:val="es-419"/>
        </w:rPr>
        <w:t xml:space="preserve"> se prevén derechos</w:t>
      </w:r>
      <w:r w:rsidRPr="006051CE">
        <w:rPr>
          <w:lang w:val="es-419"/>
        </w:rPr>
        <w:t xml:space="preserve"> </w:t>
      </w:r>
      <w:r w:rsidR="002C475D" w:rsidRPr="006051CE">
        <w:rPr>
          <w:lang w:val="es-419"/>
        </w:rPr>
        <w:t xml:space="preserve">de PI </w:t>
      </w:r>
      <w:r w:rsidR="00F769E8" w:rsidRPr="006051CE">
        <w:rPr>
          <w:lang w:val="es-419"/>
        </w:rPr>
        <w:t>sui géneris</w:t>
      </w:r>
      <w:r w:rsidRPr="006051CE">
        <w:rPr>
          <w:lang w:val="es-419"/>
        </w:rPr>
        <w:t xml:space="preserve"> </w:t>
      </w:r>
      <w:r w:rsidR="002C475D" w:rsidRPr="006051CE">
        <w:rPr>
          <w:lang w:val="es-419"/>
        </w:rPr>
        <w:t>sobre los</w:t>
      </w:r>
      <w:r w:rsidRPr="006051CE">
        <w:rPr>
          <w:lang w:val="es-419"/>
        </w:rPr>
        <w:t xml:space="preserve"> </w:t>
      </w:r>
      <w:r w:rsidR="002C475D" w:rsidRPr="006051CE">
        <w:rPr>
          <w:lang w:val="es-419"/>
        </w:rPr>
        <w:t xml:space="preserve">CC.TT. y las ECT </w:t>
      </w:r>
      <w:r w:rsidRPr="006051CE">
        <w:rPr>
          <w:lang w:val="es-419"/>
        </w:rPr>
        <w:t>–</w:t>
      </w:r>
      <w:r w:rsidR="00ED510F" w:rsidRPr="006051CE">
        <w:rPr>
          <w:lang w:val="es-419"/>
        </w:rPr>
        <w:t>se trata de</w:t>
      </w:r>
      <w:r w:rsidR="002C475D" w:rsidRPr="006051CE">
        <w:rPr>
          <w:lang w:val="es-419"/>
        </w:rPr>
        <w:t xml:space="preserve"> ejemplos de enfoque “positivo</w:t>
      </w:r>
      <w:r w:rsidRPr="006051CE">
        <w:rPr>
          <w:lang w:val="es-419"/>
        </w:rPr>
        <w:t>”</w:t>
      </w:r>
      <w:r w:rsidR="002C475D" w:rsidRPr="006051CE">
        <w:rPr>
          <w:lang w:val="es-419"/>
        </w:rPr>
        <w:t>.</w:t>
      </w:r>
    </w:p>
    <w:p w:rsidR="001730A0" w:rsidRPr="006051CE" w:rsidRDefault="00536891" w:rsidP="006051CE">
      <w:pPr>
        <w:spacing w:before="240"/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553AA8" w:rsidRPr="006051CE">
        <w:rPr>
          <w:lang w:val="es-419"/>
        </w:rPr>
        <w:t>El enfoque de la “</w:t>
      </w:r>
      <w:r w:rsidR="00F769E8" w:rsidRPr="006051CE">
        <w:rPr>
          <w:lang w:val="es-419"/>
        </w:rPr>
        <w:t xml:space="preserve">protección </w:t>
      </w:r>
      <w:r w:rsidR="00553AA8" w:rsidRPr="006051CE">
        <w:rPr>
          <w:lang w:val="es-419"/>
        </w:rPr>
        <w:t>preventiv</w:t>
      </w:r>
      <w:r w:rsidR="00026AA4" w:rsidRPr="006051CE">
        <w:rPr>
          <w:lang w:val="es-419"/>
        </w:rPr>
        <w:t>a</w:t>
      </w:r>
      <w:r w:rsidR="00553AA8" w:rsidRPr="006051CE">
        <w:rPr>
          <w:lang w:val="es-419"/>
        </w:rPr>
        <w:t>”, por su parte</w:t>
      </w:r>
      <w:r w:rsidRPr="006051CE">
        <w:rPr>
          <w:lang w:val="es-419"/>
        </w:rPr>
        <w:t xml:space="preserve">, </w:t>
      </w:r>
      <w:r w:rsidR="00553AA8" w:rsidRPr="006051CE">
        <w:rPr>
          <w:lang w:val="es-419"/>
        </w:rPr>
        <w:t>está concebido para</w:t>
      </w:r>
      <w:r w:rsidRPr="006051CE">
        <w:rPr>
          <w:lang w:val="es-419"/>
        </w:rPr>
        <w:t xml:space="preserve"> </w:t>
      </w:r>
      <w:r w:rsidR="00026AA4" w:rsidRPr="006051CE">
        <w:rPr>
          <w:lang w:val="es-419"/>
        </w:rPr>
        <w:t xml:space="preserve">impedir la adquisición o el mantenimiento ilegítimos de derechos de PI por terceros. Dicho de otro modo, la protección preventiva tiene por fin impedir que personas ajenas a la comunidad adquieran derechos de PI sobre los CC.TT. y las ECT. Las medidas utilizadas para colocar los CC.TT. en </w:t>
      </w:r>
      <w:r w:rsidR="00026AA4" w:rsidRPr="006051CE">
        <w:rPr>
          <w:lang w:val="es-419"/>
        </w:rPr>
        <w:lastRenderedPageBreak/>
        <w:t>el dominio público con el fin de impedir que terceros adquieran patentes sobre invenciones que se basan en gran medida en CC.TT. son un buen ejemplo de enfoque “preventivo</w:t>
      </w:r>
      <w:r w:rsidRPr="006051CE">
        <w:rPr>
          <w:lang w:val="es-419"/>
        </w:rPr>
        <w:t>”</w:t>
      </w:r>
      <w:r w:rsidR="00026AA4" w:rsidRPr="006051CE">
        <w:rPr>
          <w:lang w:val="es-419"/>
        </w:rPr>
        <w:t>.</w:t>
      </w:r>
    </w:p>
    <w:p w:rsidR="001730A0" w:rsidRPr="006051CE" w:rsidRDefault="00026AA4" w:rsidP="006051CE">
      <w:pPr>
        <w:pStyle w:val="onume0"/>
        <w:keepNext/>
        <w:spacing w:before="240"/>
        <w:rPr>
          <w:bCs/>
          <w:lang w:val="es-419"/>
        </w:rPr>
      </w:pPr>
      <w:r w:rsidRPr="006051CE">
        <w:rPr>
          <w:bCs/>
          <w:lang w:val="es-419"/>
        </w:rPr>
        <w:t xml:space="preserve">Los </w:t>
      </w:r>
      <w:r w:rsidR="00F769E8" w:rsidRPr="006051CE">
        <w:rPr>
          <w:bCs/>
          <w:lang w:val="es-419"/>
        </w:rPr>
        <w:t>enfoques basados en derechos y en medidas</w:t>
      </w:r>
    </w:p>
    <w:p w:rsidR="001730A0" w:rsidRPr="006051CE" w:rsidRDefault="00536891" w:rsidP="006051CE">
      <w:pPr>
        <w:spacing w:before="240"/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7556F4" w:rsidRPr="006051CE">
        <w:rPr>
          <w:lang w:val="es-419"/>
        </w:rPr>
        <w:t xml:space="preserve">En virtud del </w:t>
      </w:r>
      <w:r w:rsidR="00F769E8" w:rsidRPr="006051CE">
        <w:rPr>
          <w:lang w:val="es-419"/>
        </w:rPr>
        <w:t>enfoque basado en derechos</w:t>
      </w:r>
      <w:r w:rsidRPr="006051CE">
        <w:rPr>
          <w:lang w:val="es-419"/>
        </w:rPr>
        <w:t xml:space="preserve"> </w:t>
      </w:r>
      <w:r w:rsidR="007556F4" w:rsidRPr="006051CE">
        <w:rPr>
          <w:lang w:val="es-419"/>
        </w:rPr>
        <w:t xml:space="preserve">se </w:t>
      </w:r>
      <w:r w:rsidR="00026AA4" w:rsidRPr="006051CE">
        <w:rPr>
          <w:lang w:val="es-419"/>
        </w:rPr>
        <w:t xml:space="preserve">hace hincapié en </w:t>
      </w:r>
      <w:r w:rsidR="007556F4" w:rsidRPr="006051CE">
        <w:rPr>
          <w:lang w:val="es-419"/>
        </w:rPr>
        <w:t xml:space="preserve">que </w:t>
      </w:r>
      <w:r w:rsidR="00026AA4" w:rsidRPr="006051CE">
        <w:rPr>
          <w:lang w:val="es-419"/>
        </w:rPr>
        <w:t xml:space="preserve">el reconocimiento y la protección </w:t>
      </w:r>
      <w:r w:rsidR="00026AA4" w:rsidRPr="006051CE">
        <w:rPr>
          <w:rFonts w:eastAsia="Times New Roman"/>
          <w:lang w:val="es-419" w:eastAsia="en-AU"/>
        </w:rPr>
        <w:t>de</w:t>
      </w:r>
      <w:r w:rsidR="00026AA4" w:rsidRPr="006051CE">
        <w:rPr>
          <w:lang w:val="es-419"/>
        </w:rPr>
        <w:t xml:space="preserve"> los derechos de PI </w:t>
      </w:r>
      <w:r w:rsidR="007556F4" w:rsidRPr="006051CE">
        <w:rPr>
          <w:lang w:val="es-419"/>
        </w:rPr>
        <w:t>son lo que faculta</w:t>
      </w:r>
      <w:r w:rsidR="0026298B" w:rsidRPr="006051CE">
        <w:rPr>
          <w:lang w:val="es-419"/>
        </w:rPr>
        <w:t>, desde el punto de vista jurídico,</w:t>
      </w:r>
      <w:r w:rsidR="007556F4" w:rsidRPr="006051CE">
        <w:rPr>
          <w:lang w:val="es-419"/>
        </w:rPr>
        <w:t xml:space="preserve"> a</w:t>
      </w:r>
      <w:r w:rsidR="0026298B" w:rsidRPr="006051CE">
        <w:rPr>
          <w:lang w:val="es-419"/>
        </w:rPr>
        <w:t xml:space="preserve"> su ejercicio</w:t>
      </w:r>
      <w:r w:rsidRPr="006051CE">
        <w:rPr>
          <w:lang w:val="es-419"/>
        </w:rPr>
        <w:t xml:space="preserve">. </w:t>
      </w:r>
      <w:r w:rsidR="007556F4" w:rsidRPr="006051CE">
        <w:rPr>
          <w:lang w:val="es-419"/>
        </w:rPr>
        <w:t>El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objetivo</w:t>
      </w:r>
      <w:r w:rsidRPr="006051CE">
        <w:rPr>
          <w:lang w:val="es-419"/>
        </w:rPr>
        <w:t xml:space="preserve"> </w:t>
      </w:r>
      <w:r w:rsidR="007556F4" w:rsidRPr="006051CE">
        <w:rPr>
          <w:lang w:val="es-419"/>
        </w:rPr>
        <w:t xml:space="preserve">de este enfoque </w:t>
      </w:r>
      <w:r w:rsidR="00453197" w:rsidRPr="006051CE">
        <w:rPr>
          <w:lang w:val="es-419"/>
        </w:rPr>
        <w:t>es</w:t>
      </w:r>
      <w:r w:rsidR="007556F4" w:rsidRPr="006051CE">
        <w:rPr>
          <w:lang w:val="es-419"/>
        </w:rPr>
        <w:t xml:space="preserve"> </w:t>
      </w:r>
      <w:r w:rsidR="00453197" w:rsidRPr="006051CE">
        <w:rPr>
          <w:lang w:val="es-419"/>
        </w:rPr>
        <w:t>crear</w:t>
      </w:r>
      <w:r w:rsidR="007556F4" w:rsidRPr="006051CE">
        <w:rPr>
          <w:lang w:val="es-419"/>
        </w:rPr>
        <w:t xml:space="preserve"> un </w:t>
      </w:r>
      <w:r w:rsidR="00F769E8" w:rsidRPr="006051CE">
        <w:rPr>
          <w:lang w:val="es-419"/>
        </w:rPr>
        <w:t>marco jurídico</w:t>
      </w:r>
      <w:r w:rsidRPr="006051CE">
        <w:rPr>
          <w:lang w:val="es-419"/>
        </w:rPr>
        <w:t xml:space="preserve"> </w:t>
      </w:r>
      <w:r w:rsidR="007556F4" w:rsidRPr="006051CE">
        <w:rPr>
          <w:lang w:val="es-419"/>
        </w:rPr>
        <w:t xml:space="preserve">que salvaguarde los derechos de los creadores y los titulares de </w:t>
      </w:r>
      <w:r w:rsidR="00F769E8" w:rsidRPr="006051CE">
        <w:rPr>
          <w:lang w:val="es-419"/>
        </w:rPr>
        <w:t>PI</w:t>
      </w:r>
      <w:r w:rsidR="007556F4" w:rsidRPr="006051CE">
        <w:rPr>
          <w:lang w:val="es-419"/>
        </w:rPr>
        <w:t>.</w:t>
      </w:r>
      <w:r w:rsidRPr="006051CE">
        <w:rPr>
          <w:lang w:val="es-419"/>
        </w:rPr>
        <w:t xml:space="preserve"> </w:t>
      </w:r>
      <w:r w:rsidR="007556F4" w:rsidRPr="006051CE">
        <w:rPr>
          <w:lang w:val="es-419"/>
        </w:rPr>
        <w:t>E</w:t>
      </w:r>
      <w:r w:rsidRPr="006051CE">
        <w:rPr>
          <w:lang w:val="es-419"/>
        </w:rPr>
        <w:t xml:space="preserve">n </w:t>
      </w:r>
      <w:r w:rsidR="007556F4" w:rsidRPr="006051CE">
        <w:rPr>
          <w:lang w:val="es-419"/>
        </w:rPr>
        <w:t>un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enfoque basado en derechos</w:t>
      </w:r>
      <w:r w:rsidRPr="006051CE">
        <w:rPr>
          <w:lang w:val="es-419"/>
        </w:rPr>
        <w:t xml:space="preserve">, </w:t>
      </w:r>
      <w:r w:rsidR="007556F4" w:rsidRPr="006051CE">
        <w:rPr>
          <w:lang w:val="es-419"/>
        </w:rPr>
        <w:t>se concede a los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beneficiarios</w:t>
      </w:r>
      <w:r w:rsidRPr="006051CE">
        <w:rPr>
          <w:lang w:val="es-419"/>
        </w:rPr>
        <w:t xml:space="preserve"> </w:t>
      </w:r>
      <w:r w:rsidR="0073338F" w:rsidRPr="006051CE">
        <w:rPr>
          <w:lang w:val="es-419"/>
        </w:rPr>
        <w:t>derechos que aquellos pueden administrar y hacer valer</w:t>
      </w:r>
      <w:r w:rsidRPr="006051CE">
        <w:rPr>
          <w:lang w:val="es-419"/>
        </w:rPr>
        <w:t xml:space="preserve">. </w:t>
      </w:r>
      <w:r w:rsidR="0073338F" w:rsidRPr="006051CE">
        <w:rPr>
          <w:lang w:val="es-419"/>
        </w:rPr>
        <w:t>Los terceros</w:t>
      </w:r>
      <w:r w:rsidRPr="006051CE">
        <w:rPr>
          <w:lang w:val="es-419"/>
        </w:rPr>
        <w:t xml:space="preserve"> </w:t>
      </w:r>
      <w:r w:rsidR="0073338F" w:rsidRPr="006051CE">
        <w:rPr>
          <w:lang w:val="es-419"/>
        </w:rPr>
        <w:t>tienen la obligación correspondiente de respetar esos derechos. Por ejemplo</w:t>
      </w:r>
      <w:r w:rsidRPr="006051CE">
        <w:rPr>
          <w:lang w:val="es-419"/>
        </w:rPr>
        <w:t xml:space="preserve">, </w:t>
      </w:r>
      <w:r w:rsidR="0073338F" w:rsidRPr="006051CE">
        <w:rPr>
          <w:lang w:val="es-419"/>
        </w:rPr>
        <w:t>el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Convenio de Berna</w:t>
      </w:r>
      <w:r w:rsidRPr="006051CE">
        <w:rPr>
          <w:lang w:val="es-419"/>
        </w:rPr>
        <w:t xml:space="preserve"> </w:t>
      </w:r>
      <w:r w:rsidR="0073338F" w:rsidRPr="006051CE">
        <w:rPr>
          <w:lang w:val="es-419"/>
        </w:rPr>
        <w:t>para la Protección de las Obras Literarias y Artísticas</w:t>
      </w:r>
      <w:r w:rsidRPr="006051CE">
        <w:rPr>
          <w:lang w:val="es-419"/>
        </w:rPr>
        <w:t xml:space="preserve"> (1971) (</w:t>
      </w:r>
      <w:r w:rsidR="00F769E8" w:rsidRPr="006051CE">
        <w:rPr>
          <w:lang w:val="es-419"/>
        </w:rPr>
        <w:t>Convenio de Berna</w:t>
      </w:r>
      <w:r w:rsidRPr="006051CE">
        <w:rPr>
          <w:lang w:val="es-419"/>
        </w:rPr>
        <w:t xml:space="preserve">) </w:t>
      </w:r>
      <w:r w:rsidR="0073338F" w:rsidRPr="006051CE">
        <w:rPr>
          <w:lang w:val="es-419"/>
        </w:rPr>
        <w:t>concede a los</w:t>
      </w:r>
      <w:r w:rsidRPr="006051CE">
        <w:rPr>
          <w:lang w:val="es-419"/>
        </w:rPr>
        <w:t xml:space="preserve"> </w:t>
      </w:r>
      <w:r w:rsidR="00453197" w:rsidRPr="006051CE">
        <w:rPr>
          <w:lang w:val="es-419"/>
        </w:rPr>
        <w:t>autores</w:t>
      </w:r>
      <w:r w:rsidRPr="006051CE">
        <w:rPr>
          <w:lang w:val="es-419"/>
        </w:rPr>
        <w:t xml:space="preserve"> </w:t>
      </w:r>
      <w:r w:rsidR="0073338F" w:rsidRPr="006051CE">
        <w:rPr>
          <w:lang w:val="es-419"/>
        </w:rPr>
        <w:t xml:space="preserve">una serie de derechos exclusivos, patrimoniales y </w:t>
      </w:r>
      <w:r w:rsidR="00F769E8" w:rsidRPr="006051CE">
        <w:rPr>
          <w:lang w:val="es-419"/>
        </w:rPr>
        <w:t>morales</w:t>
      </w:r>
      <w:r w:rsidR="0073338F" w:rsidRPr="006051CE">
        <w:rPr>
          <w:lang w:val="es-419"/>
        </w:rPr>
        <w:t>.</w:t>
      </w:r>
    </w:p>
    <w:p w:rsidR="001730A0" w:rsidRPr="006051CE" w:rsidRDefault="00536891" w:rsidP="006051CE">
      <w:pPr>
        <w:spacing w:before="240"/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26298B" w:rsidRPr="006051CE">
        <w:rPr>
          <w:lang w:val="es-419"/>
        </w:rPr>
        <w:t>E</w:t>
      </w:r>
      <w:r w:rsidRPr="006051CE">
        <w:rPr>
          <w:lang w:val="es-419"/>
        </w:rPr>
        <w:t xml:space="preserve">n </w:t>
      </w:r>
      <w:r w:rsidR="0026298B" w:rsidRPr="006051CE">
        <w:rPr>
          <w:lang w:val="es-419"/>
        </w:rPr>
        <w:t>un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enfoque basado en medidas</w:t>
      </w:r>
      <w:r w:rsidRPr="006051CE">
        <w:rPr>
          <w:lang w:val="es-419"/>
        </w:rPr>
        <w:t xml:space="preserve">, </w:t>
      </w:r>
      <w:r w:rsidR="0026298B" w:rsidRPr="006051CE">
        <w:rPr>
          <w:lang w:val="es-419"/>
        </w:rPr>
        <w:t>se hace hincapié en las medidas adoptadas para proteger la PI, antes que en los derechos propiamente dichos</w:t>
      </w:r>
      <w:r w:rsidRPr="006051CE">
        <w:rPr>
          <w:lang w:val="es-419"/>
        </w:rPr>
        <w:t xml:space="preserve">. </w:t>
      </w:r>
      <w:r w:rsidR="0026298B" w:rsidRPr="006051CE">
        <w:rPr>
          <w:lang w:val="es-419"/>
        </w:rPr>
        <w:t xml:space="preserve">Únicamente se exige a los Estados contratantes que </w:t>
      </w:r>
      <w:r w:rsidR="00ED510F" w:rsidRPr="006051CE">
        <w:rPr>
          <w:lang w:val="es-419"/>
        </w:rPr>
        <w:t>prevea</w:t>
      </w:r>
      <w:r w:rsidR="0026298B" w:rsidRPr="006051CE">
        <w:rPr>
          <w:lang w:val="es-419"/>
        </w:rPr>
        <w:t xml:space="preserve">n “medidas”, por ejemplo, para velar por la protección de los CC.TT. y las ECT </w:t>
      </w:r>
      <w:r w:rsidRPr="006051CE">
        <w:rPr>
          <w:lang w:val="es-419"/>
        </w:rPr>
        <w:t xml:space="preserve">o </w:t>
      </w:r>
      <w:r w:rsidR="0026298B" w:rsidRPr="006051CE">
        <w:rPr>
          <w:lang w:val="es-419"/>
        </w:rPr>
        <w:t>impedir que se realicen determinados actos</w:t>
      </w:r>
      <w:r w:rsidRPr="006051CE">
        <w:rPr>
          <w:lang w:val="es-419"/>
        </w:rPr>
        <w:t xml:space="preserve">. </w:t>
      </w:r>
      <w:r w:rsidR="0026298B" w:rsidRPr="006051CE">
        <w:rPr>
          <w:lang w:val="es-419"/>
        </w:rPr>
        <w:t>Esas medidas pueden ser de naturaleza legal, administrativa</w:t>
      </w:r>
      <w:r w:rsidRPr="006051CE">
        <w:rPr>
          <w:lang w:val="es-419"/>
        </w:rPr>
        <w:t xml:space="preserve"> </w:t>
      </w:r>
      <w:r w:rsidR="00453197" w:rsidRPr="006051CE">
        <w:rPr>
          <w:lang w:val="es-419"/>
        </w:rPr>
        <w:t>o</w:t>
      </w:r>
      <w:r w:rsidRPr="006051CE">
        <w:rPr>
          <w:lang w:val="es-419"/>
        </w:rPr>
        <w:t xml:space="preserve"> </w:t>
      </w:r>
      <w:r w:rsidR="00453197" w:rsidRPr="006051CE">
        <w:rPr>
          <w:lang w:val="es-419"/>
        </w:rPr>
        <w:t>práctica</w:t>
      </w:r>
      <w:r w:rsidR="0026298B" w:rsidRPr="006051CE">
        <w:rPr>
          <w:lang w:val="es-419"/>
        </w:rPr>
        <w:t>.</w:t>
      </w:r>
    </w:p>
    <w:p w:rsidR="001730A0" w:rsidRPr="006051CE" w:rsidRDefault="00536891" w:rsidP="006051CE">
      <w:pPr>
        <w:spacing w:before="240"/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730613" w:rsidRPr="006051CE">
        <w:rPr>
          <w:lang w:val="es-419"/>
        </w:rPr>
        <w:t xml:space="preserve">Por </w:t>
      </w:r>
      <w:r w:rsidR="00730613" w:rsidRPr="006051CE">
        <w:rPr>
          <w:rFonts w:eastAsia="Times New Roman"/>
          <w:lang w:val="es-419" w:eastAsia="en-AU"/>
        </w:rPr>
        <w:t>ejemplo</w:t>
      </w:r>
      <w:r w:rsidRPr="006051CE">
        <w:rPr>
          <w:lang w:val="es-419"/>
        </w:rPr>
        <w:t xml:space="preserve">, </w:t>
      </w:r>
      <w:r w:rsidR="00730613" w:rsidRPr="006051CE">
        <w:rPr>
          <w:lang w:val="es-419"/>
        </w:rPr>
        <w:t>el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Convenio de Bruselas sobre la distribución de señales portadoras de programas transmitidas por satélite</w:t>
      </w:r>
      <w:r w:rsidRPr="006051CE">
        <w:rPr>
          <w:lang w:val="es-419"/>
        </w:rPr>
        <w:t xml:space="preserve"> (1974) </w:t>
      </w:r>
      <w:r w:rsidR="00730613" w:rsidRPr="006051CE">
        <w:rPr>
          <w:lang w:val="es-419"/>
        </w:rPr>
        <w:t>exige a los Estados contratantes que tomen las</w:t>
      </w:r>
      <w:r w:rsidRPr="006051CE">
        <w:rPr>
          <w:lang w:val="es-419"/>
        </w:rPr>
        <w:t xml:space="preserve"> </w:t>
      </w:r>
      <w:r w:rsidR="0031578D" w:rsidRPr="006051CE">
        <w:rPr>
          <w:lang w:val="es-419"/>
        </w:rPr>
        <w:t xml:space="preserve">medidas adecuadas para impedir </w:t>
      </w:r>
      <w:r w:rsidR="0000265B" w:rsidRPr="006051CE">
        <w:rPr>
          <w:lang w:val="es-419"/>
        </w:rPr>
        <w:t>la distribución no autorizada</w:t>
      </w:r>
      <w:r w:rsidR="0031578D" w:rsidRPr="006051CE">
        <w:rPr>
          <w:lang w:val="es-419"/>
        </w:rPr>
        <w:t xml:space="preserve">, en o desde su territorio, </w:t>
      </w:r>
      <w:r w:rsidR="0000265B" w:rsidRPr="006051CE">
        <w:rPr>
          <w:lang w:val="es-419"/>
        </w:rPr>
        <w:t>de</w:t>
      </w:r>
      <w:r w:rsidR="0031578D" w:rsidRPr="006051CE">
        <w:rPr>
          <w:lang w:val="es-419"/>
        </w:rPr>
        <w:t xml:space="preserve"> cualquier señal portadora de programa</w:t>
      </w:r>
      <w:r w:rsidR="00356070" w:rsidRPr="006051CE">
        <w:rPr>
          <w:lang w:val="es-419"/>
        </w:rPr>
        <w:t xml:space="preserve"> transmitida</w:t>
      </w:r>
      <w:r w:rsidR="0000265B" w:rsidRPr="006051CE">
        <w:rPr>
          <w:lang w:val="es-419"/>
        </w:rPr>
        <w:t xml:space="preserve"> por</w:t>
      </w:r>
      <w:r w:rsidR="0031578D" w:rsidRPr="006051CE">
        <w:rPr>
          <w:lang w:val="es-419"/>
        </w:rPr>
        <w:t xml:space="preserve"> satélite</w:t>
      </w:r>
      <w:r w:rsidR="00356070" w:rsidRPr="006051CE">
        <w:rPr>
          <w:lang w:val="es-419"/>
        </w:rPr>
        <w:t>.</w:t>
      </w:r>
    </w:p>
    <w:p w:rsidR="001730A0" w:rsidRPr="006051CE" w:rsidRDefault="00536891" w:rsidP="006051CE">
      <w:pPr>
        <w:spacing w:before="240"/>
        <w:rPr>
          <w:b/>
          <w:lang w:val="es-419"/>
        </w:rPr>
      </w:pPr>
      <w:r w:rsidRPr="006051CE">
        <w:rPr>
          <w:b/>
          <w:lang w:val="es-419"/>
        </w:rPr>
        <w:fldChar w:fldCharType="begin"/>
      </w:r>
      <w:r w:rsidRPr="006051CE">
        <w:rPr>
          <w:lang w:val="es-419"/>
        </w:rPr>
        <w:instrText xml:space="preserve"> AUTONUM  </w:instrText>
      </w:r>
      <w:r w:rsidRPr="006051CE">
        <w:rPr>
          <w:b/>
          <w:lang w:val="es-419"/>
        </w:rPr>
        <w:fldChar w:fldCharType="end"/>
      </w:r>
      <w:r w:rsidRPr="006051CE">
        <w:rPr>
          <w:lang w:val="es-419"/>
        </w:rPr>
        <w:tab/>
      </w:r>
      <w:r w:rsidR="005A7BBC" w:rsidRPr="006051CE">
        <w:rPr>
          <w:lang w:val="es-419"/>
        </w:rPr>
        <w:t xml:space="preserve">Los enfoques basados en derechos y en medidas no se excluyen mutuamente y hay ejemplos de </w:t>
      </w:r>
      <w:r w:rsidR="00453197" w:rsidRPr="006051CE">
        <w:rPr>
          <w:lang w:val="es-419"/>
        </w:rPr>
        <w:t>instrumentos</w:t>
      </w:r>
      <w:r w:rsidRPr="006051CE">
        <w:rPr>
          <w:lang w:val="es-419"/>
        </w:rPr>
        <w:t xml:space="preserve"> </w:t>
      </w:r>
      <w:r w:rsidR="00453197" w:rsidRPr="006051CE">
        <w:rPr>
          <w:lang w:val="es-419"/>
        </w:rPr>
        <w:t>internacional</w:t>
      </w:r>
      <w:r w:rsidR="00ED510F" w:rsidRPr="006051CE">
        <w:rPr>
          <w:lang w:val="es-419"/>
        </w:rPr>
        <w:t>es</w:t>
      </w:r>
      <w:r w:rsidR="005A7BBC" w:rsidRPr="006051CE">
        <w:rPr>
          <w:lang w:val="es-419"/>
        </w:rPr>
        <w:t xml:space="preserve"> que contienen ambos enfoques</w:t>
      </w:r>
      <w:r w:rsidRPr="006051CE">
        <w:rPr>
          <w:lang w:val="es-419"/>
        </w:rPr>
        <w:t xml:space="preserve">. </w:t>
      </w:r>
      <w:r w:rsidR="005A7BBC" w:rsidRPr="006051CE">
        <w:rPr>
          <w:lang w:val="es-419"/>
        </w:rPr>
        <w:t>P</w:t>
      </w:r>
      <w:r w:rsidRPr="006051CE">
        <w:rPr>
          <w:lang w:val="es-419"/>
        </w:rPr>
        <w:t xml:space="preserve">or </w:t>
      </w:r>
      <w:r w:rsidR="005A7BBC" w:rsidRPr="006051CE">
        <w:rPr>
          <w:lang w:val="es-419"/>
        </w:rPr>
        <w:t>ejemplo</w:t>
      </w:r>
      <w:r w:rsidRPr="006051CE">
        <w:rPr>
          <w:lang w:val="es-419"/>
        </w:rPr>
        <w:t xml:space="preserve">, </w:t>
      </w:r>
      <w:r w:rsidR="005A7BBC" w:rsidRPr="006051CE">
        <w:rPr>
          <w:lang w:val="es-419"/>
        </w:rPr>
        <w:t>el Tratado de la OMPI sobre Derecho de Autor</w:t>
      </w:r>
      <w:r w:rsidRPr="006051CE">
        <w:rPr>
          <w:lang w:val="es-419"/>
        </w:rPr>
        <w:t xml:space="preserve"> (1996) </w:t>
      </w:r>
      <w:r w:rsidR="005A7BBC" w:rsidRPr="006051CE">
        <w:rPr>
          <w:lang w:val="es-419"/>
        </w:rPr>
        <w:t>establ</w:t>
      </w:r>
      <w:r w:rsidRPr="006051CE">
        <w:rPr>
          <w:lang w:val="es-419"/>
        </w:rPr>
        <w:t>e</w:t>
      </w:r>
      <w:r w:rsidR="005A7BBC" w:rsidRPr="006051CE">
        <w:rPr>
          <w:lang w:val="es-419"/>
        </w:rPr>
        <w:t>ce</w:t>
      </w:r>
      <w:r w:rsidRPr="006051CE">
        <w:rPr>
          <w:lang w:val="es-419"/>
        </w:rPr>
        <w:t xml:space="preserve"> </w:t>
      </w:r>
      <w:r w:rsidR="005A7BBC" w:rsidRPr="006051CE">
        <w:rPr>
          <w:lang w:val="es-419"/>
        </w:rPr>
        <w:t xml:space="preserve">el </w:t>
      </w:r>
      <w:r w:rsidR="00F769E8" w:rsidRPr="006051CE">
        <w:rPr>
          <w:lang w:val="es-419"/>
        </w:rPr>
        <w:t>derecho de reproducción</w:t>
      </w:r>
      <w:r w:rsidRPr="006051CE">
        <w:rPr>
          <w:lang w:val="es-419"/>
        </w:rPr>
        <w:t xml:space="preserve">, </w:t>
      </w:r>
      <w:r w:rsidR="005A7BBC" w:rsidRPr="006051CE">
        <w:rPr>
          <w:lang w:val="es-419"/>
        </w:rPr>
        <w:t xml:space="preserve">de </w:t>
      </w:r>
      <w:r w:rsidR="00F769E8" w:rsidRPr="006051CE">
        <w:rPr>
          <w:lang w:val="es-419"/>
        </w:rPr>
        <w:t>distribución</w:t>
      </w:r>
      <w:r w:rsidRPr="006051CE">
        <w:rPr>
          <w:lang w:val="es-419"/>
        </w:rPr>
        <w:t xml:space="preserve"> </w:t>
      </w:r>
      <w:r w:rsidR="005A7BBC" w:rsidRPr="006051CE">
        <w:rPr>
          <w:lang w:val="es-419"/>
        </w:rPr>
        <w:t>y</w:t>
      </w:r>
      <w:r w:rsidRPr="006051CE">
        <w:rPr>
          <w:lang w:val="es-419"/>
        </w:rPr>
        <w:t xml:space="preserve"> </w:t>
      </w:r>
      <w:r w:rsidR="005A7BBC" w:rsidRPr="006051CE">
        <w:rPr>
          <w:lang w:val="es-419"/>
        </w:rPr>
        <w:t xml:space="preserve">de </w:t>
      </w:r>
      <w:r w:rsidR="00F769E8" w:rsidRPr="006051CE">
        <w:rPr>
          <w:lang w:val="es-419"/>
        </w:rPr>
        <w:t>comunicación al público</w:t>
      </w:r>
      <w:r w:rsidRPr="006051CE">
        <w:rPr>
          <w:lang w:val="es-419"/>
        </w:rPr>
        <w:t xml:space="preserve"> </w:t>
      </w:r>
      <w:r w:rsidR="005A7BBC" w:rsidRPr="006051CE">
        <w:rPr>
          <w:lang w:val="es-419"/>
        </w:rPr>
        <w:t>como derechos exclusivos del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titular de los derechos de autor</w:t>
      </w:r>
      <w:r w:rsidRPr="006051CE">
        <w:rPr>
          <w:lang w:val="es-419"/>
        </w:rPr>
        <w:t xml:space="preserve"> (</w:t>
      </w:r>
      <w:r w:rsidR="005A7BBC" w:rsidRPr="006051CE">
        <w:rPr>
          <w:lang w:val="es-419"/>
        </w:rPr>
        <w:t>enfoque basado en derechos</w:t>
      </w:r>
      <w:r w:rsidRPr="006051CE">
        <w:rPr>
          <w:lang w:val="es-419"/>
        </w:rPr>
        <w:t xml:space="preserve">), </w:t>
      </w:r>
      <w:r w:rsidR="005A7BBC" w:rsidRPr="006051CE">
        <w:rPr>
          <w:lang w:val="es-419"/>
        </w:rPr>
        <w:t>pero también prohíbe la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elusión</w:t>
      </w:r>
      <w:r w:rsidRPr="006051CE">
        <w:rPr>
          <w:lang w:val="es-419"/>
        </w:rPr>
        <w:t xml:space="preserve"> </w:t>
      </w:r>
      <w:r w:rsidR="005A7BBC" w:rsidRPr="006051CE">
        <w:rPr>
          <w:lang w:val="es-419"/>
        </w:rPr>
        <w:t>de las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medidas tecnológicas de protección</w:t>
      </w:r>
      <w:r w:rsidRPr="006051CE">
        <w:rPr>
          <w:lang w:val="es-419"/>
        </w:rPr>
        <w:t xml:space="preserve"> </w:t>
      </w:r>
      <w:r w:rsidR="005A7BBC" w:rsidRPr="006051CE">
        <w:rPr>
          <w:lang w:val="es-419"/>
        </w:rPr>
        <w:t>y la</w:t>
      </w:r>
      <w:r w:rsidRPr="006051CE">
        <w:rPr>
          <w:lang w:val="es-419"/>
        </w:rPr>
        <w:t xml:space="preserve"> </w:t>
      </w:r>
      <w:r w:rsidR="00F769E8" w:rsidRPr="006051CE">
        <w:rPr>
          <w:lang w:val="es-419"/>
        </w:rPr>
        <w:t>distribución</w:t>
      </w:r>
      <w:r w:rsidRPr="006051CE">
        <w:rPr>
          <w:lang w:val="es-419"/>
        </w:rPr>
        <w:t xml:space="preserve"> </w:t>
      </w:r>
      <w:r w:rsidR="005A7BBC" w:rsidRPr="006051CE">
        <w:rPr>
          <w:lang w:val="es-419"/>
        </w:rPr>
        <w:t>de herramientas destinadas a eludirlas</w:t>
      </w:r>
      <w:r w:rsidRPr="006051CE">
        <w:rPr>
          <w:lang w:val="es-419"/>
        </w:rPr>
        <w:t xml:space="preserve"> (</w:t>
      </w:r>
      <w:r w:rsidR="005A7BBC" w:rsidRPr="006051CE">
        <w:rPr>
          <w:lang w:val="es-419"/>
        </w:rPr>
        <w:t>enfoque basado en medidas</w:t>
      </w:r>
      <w:r w:rsidRPr="006051CE">
        <w:rPr>
          <w:lang w:val="es-419"/>
        </w:rPr>
        <w:t>).</w:t>
      </w:r>
    </w:p>
    <w:p w:rsidR="001730A0" w:rsidRPr="006051CE" w:rsidRDefault="005A7BBC" w:rsidP="006051CE">
      <w:pPr>
        <w:keepNext/>
        <w:spacing w:before="240"/>
        <w:rPr>
          <w:rFonts w:eastAsia="Times New Roman"/>
          <w:b/>
          <w:lang w:val="es-419" w:eastAsia="en-AU"/>
        </w:rPr>
      </w:pPr>
      <w:r w:rsidRPr="006051CE">
        <w:rPr>
          <w:rFonts w:eastAsia="Times New Roman"/>
          <w:b/>
          <w:lang w:val="es-419" w:eastAsia="en-AU"/>
        </w:rPr>
        <w:t>Normas mínimas y</w:t>
      </w:r>
      <w:r w:rsidR="00536891" w:rsidRPr="006051CE">
        <w:rPr>
          <w:rFonts w:eastAsia="Times New Roman"/>
          <w:b/>
          <w:lang w:val="es-419" w:eastAsia="en-AU"/>
        </w:rPr>
        <w:t xml:space="preserve"> </w:t>
      </w:r>
      <w:r w:rsidRPr="006051CE">
        <w:rPr>
          <w:rFonts w:eastAsia="Times New Roman"/>
          <w:b/>
          <w:lang w:val="es-419" w:eastAsia="en-AU"/>
        </w:rPr>
        <w:t xml:space="preserve">máximas de </w:t>
      </w:r>
      <w:r w:rsidR="00F769E8" w:rsidRPr="006051CE">
        <w:rPr>
          <w:rFonts w:eastAsia="Times New Roman"/>
          <w:b/>
          <w:lang w:val="es-419" w:eastAsia="en-AU"/>
        </w:rPr>
        <w:t>protección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5A7BBC" w:rsidRPr="006051CE">
        <w:rPr>
          <w:rFonts w:eastAsia="Times New Roman"/>
          <w:lang w:val="es-419" w:eastAsia="en-AU"/>
        </w:rPr>
        <w:t xml:space="preserve">Las normas mínimas de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5A7BBC" w:rsidRPr="006051CE">
        <w:rPr>
          <w:rFonts w:eastAsia="Times New Roman"/>
          <w:lang w:val="es-419" w:eastAsia="en-AU"/>
        </w:rPr>
        <w:t>se refieren al nivel básico de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5A7BBC" w:rsidRPr="006051CE">
        <w:rPr>
          <w:rFonts w:eastAsia="Times New Roman"/>
          <w:lang w:val="es-419" w:eastAsia="en-AU"/>
        </w:rPr>
        <w:t>al que todos los signatarios de un instrumento jurídico internacional deben ajustarse e</w:t>
      </w:r>
      <w:r w:rsidRPr="006051CE">
        <w:rPr>
          <w:rFonts w:eastAsia="Times New Roman"/>
          <w:lang w:val="es-419" w:eastAsia="en-AU"/>
        </w:rPr>
        <w:t xml:space="preserve">n </w:t>
      </w:r>
      <w:r w:rsidR="005A7BBC" w:rsidRPr="006051CE">
        <w:rPr>
          <w:rFonts w:eastAsia="Times New Roman"/>
          <w:lang w:val="es-419" w:eastAsia="en-AU"/>
        </w:rPr>
        <w:t>su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legislación nacional</w:t>
      </w:r>
      <w:r w:rsidR="005A7BBC" w:rsidRPr="006051CE">
        <w:rPr>
          <w:rFonts w:eastAsia="Times New Roman"/>
          <w:lang w:val="es-419" w:eastAsia="en-AU"/>
        </w:rPr>
        <w:t xml:space="preserve">. Este enfoque garantiza un nivel básico común de </w:t>
      </w:r>
      <w:r w:rsidR="00F769E8" w:rsidRPr="006051CE">
        <w:rPr>
          <w:rFonts w:eastAsia="Times New Roman"/>
          <w:lang w:val="es-419" w:eastAsia="en-AU"/>
        </w:rPr>
        <w:t>protección</w:t>
      </w:r>
      <w:r w:rsidR="005A7BBC" w:rsidRPr="006051CE">
        <w:rPr>
          <w:rFonts w:eastAsia="Times New Roman"/>
          <w:lang w:val="es-419" w:eastAsia="en-AU"/>
        </w:rPr>
        <w:t xml:space="preserve"> y</w:t>
      </w:r>
      <w:r w:rsidRPr="006051CE">
        <w:rPr>
          <w:rFonts w:eastAsia="Times New Roman"/>
          <w:lang w:val="es-419" w:eastAsia="en-AU"/>
        </w:rPr>
        <w:t xml:space="preserve">, </w:t>
      </w:r>
      <w:r w:rsidR="005A7BBC" w:rsidRPr="006051CE">
        <w:rPr>
          <w:rFonts w:eastAsia="Times New Roman"/>
          <w:lang w:val="es-419" w:eastAsia="en-AU"/>
        </w:rPr>
        <w:t>al mismo tiempo, deja espacio para un cierto grado de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variación</w:t>
      </w:r>
      <w:r w:rsidRPr="006051CE">
        <w:rPr>
          <w:rFonts w:eastAsia="Times New Roman"/>
          <w:lang w:val="es-419" w:eastAsia="en-AU"/>
        </w:rPr>
        <w:t xml:space="preserve"> </w:t>
      </w:r>
      <w:r w:rsidR="005A7BBC" w:rsidRPr="006051CE">
        <w:rPr>
          <w:rFonts w:eastAsia="Times New Roman"/>
          <w:lang w:val="es-419" w:eastAsia="en-AU"/>
        </w:rPr>
        <w:t>entre los países, e</w:t>
      </w:r>
      <w:r w:rsidRPr="006051CE">
        <w:rPr>
          <w:rFonts w:eastAsia="Times New Roman"/>
          <w:lang w:val="es-419" w:eastAsia="en-AU"/>
        </w:rPr>
        <w:t xml:space="preserve">n </w:t>
      </w:r>
      <w:r w:rsidR="005A7BBC" w:rsidRPr="006051CE">
        <w:rPr>
          <w:rFonts w:eastAsia="Times New Roman"/>
          <w:lang w:val="es-419" w:eastAsia="en-AU"/>
        </w:rPr>
        <w:t xml:space="preserve">lo relativo a los niveles y las características </w:t>
      </w:r>
      <w:r w:rsidR="00453197" w:rsidRPr="006051CE">
        <w:rPr>
          <w:rFonts w:eastAsia="Times New Roman"/>
          <w:lang w:val="es-419" w:eastAsia="en-AU"/>
        </w:rPr>
        <w:t>específicas</w:t>
      </w:r>
      <w:r w:rsidRPr="006051CE">
        <w:rPr>
          <w:rFonts w:eastAsia="Times New Roman"/>
          <w:lang w:val="es-419" w:eastAsia="en-AU"/>
        </w:rPr>
        <w:t xml:space="preserve"> </w:t>
      </w:r>
      <w:r w:rsidR="005A7BBC" w:rsidRPr="006051CE">
        <w:rPr>
          <w:rFonts w:eastAsia="Times New Roman"/>
          <w:lang w:val="es-419" w:eastAsia="en-AU"/>
        </w:rPr>
        <w:t>de la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, </w:t>
      </w:r>
      <w:r w:rsidR="005A7BBC" w:rsidRPr="006051CE">
        <w:rPr>
          <w:rFonts w:eastAsia="Times New Roman"/>
          <w:lang w:val="es-419" w:eastAsia="en-AU"/>
        </w:rPr>
        <w:t xml:space="preserve">puesto que los países pueden contemplar niveles más elevados en </w:t>
      </w:r>
      <w:r w:rsidR="00453197" w:rsidRPr="006051CE">
        <w:rPr>
          <w:rFonts w:eastAsia="Times New Roman"/>
          <w:lang w:val="es-419" w:eastAsia="en-AU"/>
        </w:rPr>
        <w:t>su legislación nacional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5A7BBC" w:rsidRPr="006051CE">
        <w:rPr>
          <w:rFonts w:eastAsia="Times New Roman"/>
          <w:lang w:val="es-419" w:eastAsia="en-AU"/>
        </w:rPr>
        <w:t>Por ejemplo</w:t>
      </w:r>
      <w:r w:rsidRPr="006051CE">
        <w:rPr>
          <w:rFonts w:eastAsia="Times New Roman"/>
          <w:lang w:val="es-419" w:eastAsia="en-AU"/>
        </w:rPr>
        <w:t xml:space="preserve">, </w:t>
      </w:r>
      <w:r w:rsidR="005A7BBC" w:rsidRPr="006051CE">
        <w:rPr>
          <w:rFonts w:eastAsia="Times New Roman"/>
          <w:lang w:val="es-419" w:eastAsia="en-AU"/>
        </w:rPr>
        <w:t xml:space="preserve">en el </w:t>
      </w:r>
      <w:r w:rsidR="00F769E8" w:rsidRPr="006051CE">
        <w:rPr>
          <w:rFonts w:eastAsia="Times New Roman"/>
          <w:lang w:val="es-419" w:eastAsia="en-AU"/>
        </w:rPr>
        <w:t>Convenio de Berna</w:t>
      </w:r>
      <w:r w:rsidRPr="006051CE">
        <w:rPr>
          <w:rFonts w:eastAsia="Times New Roman"/>
          <w:lang w:val="es-419" w:eastAsia="en-AU"/>
        </w:rPr>
        <w:t xml:space="preserve"> </w:t>
      </w:r>
      <w:r w:rsidR="005A7BBC" w:rsidRPr="006051CE">
        <w:rPr>
          <w:rFonts w:eastAsia="Times New Roman"/>
          <w:lang w:val="es-419" w:eastAsia="en-AU"/>
        </w:rPr>
        <w:t xml:space="preserve">se contemplan determinadas normas mínimas en relación con la </w:t>
      </w:r>
      <w:r w:rsidR="00F769E8" w:rsidRPr="006051CE">
        <w:rPr>
          <w:rFonts w:eastAsia="Times New Roman"/>
          <w:lang w:val="es-419" w:eastAsia="en-AU"/>
        </w:rPr>
        <w:t>duración de la protección</w:t>
      </w:r>
      <w:r w:rsidR="005A7BBC" w:rsidRPr="006051CE">
        <w:rPr>
          <w:rFonts w:eastAsia="Times New Roman"/>
          <w:lang w:val="es-419" w:eastAsia="en-AU"/>
        </w:rPr>
        <w:t>. Con arreglo al Artículo</w:t>
      </w:r>
      <w:r w:rsidRPr="006051CE">
        <w:rPr>
          <w:rFonts w:eastAsia="Times New Roman"/>
          <w:lang w:val="es-419" w:eastAsia="en-AU"/>
        </w:rPr>
        <w:t xml:space="preserve"> 7, </w:t>
      </w:r>
      <w:r w:rsidR="005A7BBC" w:rsidRPr="006051CE">
        <w:rPr>
          <w:rFonts w:eastAsia="Times New Roman"/>
          <w:lang w:val="es-419" w:eastAsia="en-AU"/>
        </w:rPr>
        <w:t xml:space="preserve">el plazo mínimo de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616291" w:rsidRPr="006051CE">
        <w:rPr>
          <w:rFonts w:eastAsia="Times New Roman"/>
          <w:lang w:val="es-419" w:eastAsia="en-AU"/>
        </w:rPr>
        <w:t>se extiende durante la</w:t>
      </w:r>
      <w:r w:rsidR="00A72811" w:rsidRPr="006051CE">
        <w:rPr>
          <w:rFonts w:eastAsia="Times New Roman"/>
          <w:lang w:val="es-419" w:eastAsia="en-AU"/>
        </w:rPr>
        <w:t xml:space="preserve"> vida</w:t>
      </w:r>
      <w:r w:rsidR="00616291" w:rsidRPr="006051CE">
        <w:rPr>
          <w:rFonts w:eastAsia="Times New Roman"/>
          <w:lang w:val="es-419" w:eastAsia="en-AU"/>
        </w:rPr>
        <w:t xml:space="preserve"> del autor</w:t>
      </w:r>
      <w:r w:rsidR="00A72811" w:rsidRPr="006051CE">
        <w:rPr>
          <w:rFonts w:eastAsia="Times New Roman"/>
          <w:lang w:val="es-419" w:eastAsia="en-AU"/>
        </w:rPr>
        <w:t xml:space="preserve">, </w:t>
      </w:r>
      <w:r w:rsidR="00616291" w:rsidRPr="006051CE">
        <w:rPr>
          <w:rFonts w:eastAsia="Times New Roman"/>
          <w:lang w:val="es-419" w:eastAsia="en-AU"/>
        </w:rPr>
        <w:t>y</w:t>
      </w:r>
      <w:r w:rsidRPr="006051CE">
        <w:rPr>
          <w:rFonts w:eastAsia="Times New Roman"/>
          <w:lang w:val="es-419" w:eastAsia="en-AU"/>
        </w:rPr>
        <w:t xml:space="preserve"> 50 </w:t>
      </w:r>
      <w:r w:rsidR="00A72811" w:rsidRPr="006051CE">
        <w:rPr>
          <w:rFonts w:eastAsia="Times New Roman"/>
          <w:lang w:val="es-419" w:eastAsia="en-AU"/>
        </w:rPr>
        <w:t>años después de su muerte. Sin embargo</w:t>
      </w:r>
      <w:r w:rsidRPr="006051CE">
        <w:rPr>
          <w:rFonts w:eastAsia="Times New Roman"/>
          <w:lang w:val="es-419" w:eastAsia="en-AU"/>
        </w:rPr>
        <w:t xml:space="preserve">, </w:t>
      </w:r>
      <w:r w:rsidR="00A72811" w:rsidRPr="006051CE">
        <w:rPr>
          <w:rFonts w:eastAsia="Times New Roman"/>
          <w:lang w:val="es-419" w:eastAsia="en-AU"/>
        </w:rPr>
        <w:t xml:space="preserve">varios países han decidido que el </w:t>
      </w:r>
      <w:r w:rsidR="00453197" w:rsidRPr="006051CE">
        <w:rPr>
          <w:rFonts w:eastAsia="Times New Roman"/>
          <w:lang w:val="es-419" w:eastAsia="en-AU"/>
        </w:rPr>
        <w:t>plazo</w:t>
      </w:r>
      <w:r w:rsidR="00A72811" w:rsidRPr="006051CE">
        <w:rPr>
          <w:rFonts w:eastAsia="Times New Roman"/>
          <w:lang w:val="es-419" w:eastAsia="en-AU"/>
        </w:rPr>
        <w:t xml:space="preserve"> de protección </w:t>
      </w:r>
      <w:r w:rsidR="00616291" w:rsidRPr="006051CE">
        <w:rPr>
          <w:rFonts w:eastAsia="Times New Roman"/>
          <w:lang w:val="es-419" w:eastAsia="en-AU"/>
        </w:rPr>
        <w:t>sea</w:t>
      </w:r>
      <w:r w:rsidR="00A72811" w:rsidRPr="006051CE">
        <w:rPr>
          <w:rFonts w:eastAsia="Times New Roman"/>
          <w:lang w:val="es-419" w:eastAsia="en-AU"/>
        </w:rPr>
        <w:t xml:space="preserve"> más largo que el mínimo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="00A72811" w:rsidRPr="006051CE">
        <w:rPr>
          <w:rFonts w:eastAsia="Times New Roman"/>
          <w:lang w:val="es-419" w:eastAsia="en-AU"/>
        </w:rPr>
        <w:tab/>
        <w:t>Por otra parte</w:t>
      </w:r>
      <w:r w:rsidRPr="006051CE">
        <w:rPr>
          <w:rFonts w:eastAsia="Times New Roman"/>
          <w:lang w:val="es-419" w:eastAsia="en-AU"/>
        </w:rPr>
        <w:t xml:space="preserve">, </w:t>
      </w:r>
      <w:r w:rsidR="00A72811" w:rsidRPr="006051CE">
        <w:rPr>
          <w:rFonts w:eastAsia="Times New Roman"/>
          <w:lang w:val="es-419" w:eastAsia="en-AU"/>
        </w:rPr>
        <w:t xml:space="preserve">las normas máximas de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A72811" w:rsidRPr="006051CE">
        <w:rPr>
          <w:rFonts w:eastAsia="Times New Roman"/>
          <w:lang w:val="es-419" w:eastAsia="en-AU"/>
        </w:rPr>
        <w:t xml:space="preserve">se refieren al nivel más alto de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A72811" w:rsidRPr="006051CE">
        <w:rPr>
          <w:rFonts w:eastAsia="Times New Roman"/>
          <w:lang w:val="es-419" w:eastAsia="en-AU"/>
        </w:rPr>
        <w:t>que puede concederse en virtud de la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legislación nacional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5A7BBC" w:rsidRPr="006051CE">
        <w:rPr>
          <w:rFonts w:eastAsia="Times New Roman"/>
          <w:lang w:val="es-419" w:eastAsia="en-AU"/>
        </w:rPr>
        <w:t>Por ejemplo</w:t>
      </w:r>
      <w:r w:rsidRPr="006051CE">
        <w:rPr>
          <w:rFonts w:eastAsia="Times New Roman"/>
          <w:lang w:val="es-419" w:eastAsia="en-AU"/>
        </w:rPr>
        <w:t xml:space="preserve">, </w:t>
      </w:r>
      <w:r w:rsidR="00A72811" w:rsidRPr="006051CE">
        <w:rPr>
          <w:rFonts w:eastAsia="Times New Roman"/>
          <w:lang w:val="es-419" w:eastAsia="en-AU"/>
        </w:rPr>
        <w:t>e</w:t>
      </w:r>
      <w:r w:rsidRPr="006051CE">
        <w:rPr>
          <w:rFonts w:eastAsia="Times New Roman"/>
          <w:lang w:val="es-419" w:eastAsia="en-AU"/>
        </w:rPr>
        <w:t>n</w:t>
      </w:r>
      <w:r w:rsidR="00A72811" w:rsidRPr="006051CE">
        <w:rPr>
          <w:rFonts w:eastAsia="Times New Roman"/>
          <w:lang w:val="es-419" w:eastAsia="en-AU"/>
        </w:rPr>
        <w:t xml:space="preserve"> el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contexto</w:t>
      </w:r>
      <w:r w:rsidR="00A72811" w:rsidRPr="006051CE">
        <w:rPr>
          <w:rFonts w:eastAsia="Times New Roman"/>
          <w:lang w:val="es-419" w:eastAsia="en-AU"/>
        </w:rPr>
        <w:t xml:space="preserve"> del Tratado sobre el Derecho de Marcas</w:t>
      </w:r>
      <w:r w:rsidRPr="006051CE">
        <w:rPr>
          <w:rFonts w:eastAsia="Times New Roman"/>
          <w:lang w:val="es-419" w:eastAsia="en-AU"/>
        </w:rPr>
        <w:t xml:space="preserve"> (1994), </w:t>
      </w:r>
      <w:r w:rsidR="00A72811" w:rsidRPr="006051CE">
        <w:rPr>
          <w:rFonts w:eastAsia="Times New Roman"/>
          <w:lang w:val="es-419" w:eastAsia="en-AU"/>
        </w:rPr>
        <w:t xml:space="preserve">el </w:t>
      </w:r>
      <w:r w:rsidRPr="006051CE">
        <w:rPr>
          <w:rFonts w:eastAsia="Times New Roman"/>
          <w:lang w:val="es-419" w:eastAsia="en-AU"/>
        </w:rPr>
        <w:t>Art</w:t>
      </w:r>
      <w:r w:rsidR="00A72811" w:rsidRPr="006051CE">
        <w:rPr>
          <w:rFonts w:eastAsia="Times New Roman"/>
          <w:lang w:val="es-419" w:eastAsia="en-AU"/>
        </w:rPr>
        <w:t>ículo</w:t>
      </w:r>
      <w:r w:rsidRPr="006051CE">
        <w:rPr>
          <w:rFonts w:eastAsia="Times New Roman"/>
          <w:lang w:val="es-419" w:eastAsia="en-AU"/>
        </w:rPr>
        <w:t xml:space="preserve"> 5 </w:t>
      </w:r>
      <w:r w:rsidR="00A72811" w:rsidRPr="006051CE">
        <w:rPr>
          <w:rFonts w:eastAsia="Times New Roman"/>
          <w:lang w:val="es-419" w:eastAsia="en-AU"/>
        </w:rPr>
        <w:t xml:space="preserve">de dicho </w:t>
      </w:r>
      <w:r w:rsidR="00E91D66" w:rsidRPr="006051CE">
        <w:rPr>
          <w:rFonts w:eastAsia="Times New Roman"/>
          <w:lang w:val="es-419" w:eastAsia="en-AU"/>
        </w:rPr>
        <w:t xml:space="preserve">Tratado </w:t>
      </w:r>
      <w:r w:rsidR="00A72811" w:rsidRPr="006051CE">
        <w:rPr>
          <w:rFonts w:eastAsia="Times New Roman"/>
          <w:lang w:val="es-419" w:eastAsia="en-AU"/>
        </w:rPr>
        <w:t xml:space="preserve">dispone el nivel máximo de </w:t>
      </w:r>
      <w:r w:rsidR="00453197" w:rsidRPr="006051CE">
        <w:rPr>
          <w:rFonts w:eastAsia="Times New Roman"/>
          <w:lang w:val="es-419" w:eastAsia="en-AU"/>
        </w:rPr>
        <w:t>información</w:t>
      </w:r>
      <w:r w:rsidRPr="006051CE">
        <w:rPr>
          <w:rFonts w:eastAsia="Times New Roman"/>
          <w:lang w:val="es-419" w:eastAsia="en-AU"/>
        </w:rPr>
        <w:t xml:space="preserve"> </w:t>
      </w:r>
      <w:r w:rsidR="00A72811" w:rsidRPr="006051CE">
        <w:rPr>
          <w:rFonts w:eastAsia="Times New Roman"/>
          <w:lang w:val="es-419" w:eastAsia="en-AU"/>
        </w:rPr>
        <w:t xml:space="preserve">que una Oficina podrá exigir para </w:t>
      </w:r>
      <w:r w:rsidR="00E91D66" w:rsidRPr="006051CE">
        <w:rPr>
          <w:rFonts w:eastAsia="Times New Roman"/>
          <w:lang w:val="es-419" w:eastAsia="en-AU"/>
        </w:rPr>
        <w:t xml:space="preserve">asignar </w:t>
      </w:r>
      <w:r w:rsidR="00A72811" w:rsidRPr="006051CE">
        <w:rPr>
          <w:rFonts w:eastAsia="Times New Roman"/>
          <w:lang w:val="es-419" w:eastAsia="en-AU"/>
        </w:rPr>
        <w:t>una fecha de presentación</w:t>
      </w:r>
      <w:r w:rsidRPr="006051CE">
        <w:rPr>
          <w:rFonts w:eastAsia="Times New Roman"/>
          <w:lang w:val="es-419" w:eastAsia="en-AU"/>
        </w:rPr>
        <w:t xml:space="preserve">; </w:t>
      </w:r>
      <w:r w:rsidR="00E91D66" w:rsidRPr="006051CE">
        <w:rPr>
          <w:rFonts w:eastAsia="Times New Roman"/>
          <w:lang w:val="es-419" w:eastAsia="en-AU"/>
        </w:rPr>
        <w:t>el Artículo</w:t>
      </w:r>
      <w:r w:rsidRPr="006051CE">
        <w:rPr>
          <w:rFonts w:eastAsia="Times New Roman"/>
          <w:lang w:val="es-419" w:eastAsia="en-AU"/>
        </w:rPr>
        <w:t xml:space="preserve"> 12 </w:t>
      </w:r>
      <w:r w:rsidR="00E91D66" w:rsidRPr="006051CE">
        <w:rPr>
          <w:rFonts w:eastAsia="Times New Roman"/>
          <w:lang w:val="es-419" w:eastAsia="en-AU"/>
        </w:rPr>
        <w:t xml:space="preserve">contiene los requisitos </w:t>
      </w:r>
      <w:r w:rsidR="00453197" w:rsidRPr="006051CE">
        <w:rPr>
          <w:rFonts w:eastAsia="Times New Roman"/>
          <w:lang w:val="es-419" w:eastAsia="en-AU"/>
        </w:rPr>
        <w:t>máximos</w:t>
      </w:r>
      <w:r w:rsidR="00E91D66" w:rsidRPr="006051CE">
        <w:rPr>
          <w:rFonts w:eastAsia="Times New Roman"/>
          <w:lang w:val="es-419" w:eastAsia="en-AU"/>
        </w:rPr>
        <w:t xml:space="preserve"> que una</w:t>
      </w:r>
      <w:r w:rsidRPr="006051CE">
        <w:rPr>
          <w:rFonts w:eastAsia="Times New Roman"/>
          <w:lang w:val="es-419" w:eastAsia="en-AU"/>
        </w:rPr>
        <w:t xml:space="preserve"> Of</w:t>
      </w:r>
      <w:r w:rsidR="00E91D66" w:rsidRPr="006051CE">
        <w:rPr>
          <w:rFonts w:eastAsia="Times New Roman"/>
          <w:lang w:val="es-419" w:eastAsia="en-AU"/>
        </w:rPr>
        <w:t xml:space="preserve">icina puede imponer para la </w:t>
      </w:r>
      <w:r w:rsidR="00F769E8" w:rsidRPr="006051CE">
        <w:rPr>
          <w:rFonts w:eastAsia="Times New Roman"/>
          <w:lang w:val="es-419" w:eastAsia="en-AU"/>
        </w:rPr>
        <w:t>corrección</w:t>
      </w:r>
      <w:r w:rsidRPr="006051CE">
        <w:rPr>
          <w:rFonts w:eastAsia="Times New Roman"/>
          <w:lang w:val="es-419" w:eastAsia="en-AU"/>
        </w:rPr>
        <w:t xml:space="preserve"> </w:t>
      </w:r>
      <w:r w:rsidR="00E91D66" w:rsidRPr="006051CE">
        <w:rPr>
          <w:rFonts w:eastAsia="Times New Roman"/>
          <w:lang w:val="es-419" w:eastAsia="en-AU"/>
        </w:rPr>
        <w:t>de errores cometidos por un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solicitante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o</w:t>
      </w:r>
      <w:r w:rsidRPr="006051CE">
        <w:rPr>
          <w:rFonts w:eastAsia="Times New Roman"/>
          <w:lang w:val="es-419" w:eastAsia="en-AU"/>
        </w:rPr>
        <w:t xml:space="preserve"> </w:t>
      </w:r>
      <w:r w:rsidR="00E91D66" w:rsidRPr="006051CE">
        <w:rPr>
          <w:rFonts w:eastAsia="Times New Roman"/>
          <w:lang w:val="es-419" w:eastAsia="en-AU"/>
        </w:rPr>
        <w:t xml:space="preserve">un </w:t>
      </w:r>
      <w:r w:rsidR="00F769E8" w:rsidRPr="006051CE">
        <w:rPr>
          <w:rFonts w:eastAsia="Times New Roman"/>
          <w:lang w:val="es-419" w:eastAsia="en-AU"/>
        </w:rPr>
        <w:t>titular de un registro internacional</w:t>
      </w:r>
      <w:r w:rsidRPr="006051CE">
        <w:rPr>
          <w:rFonts w:eastAsia="Times New Roman"/>
          <w:lang w:val="es-419" w:eastAsia="en-AU"/>
        </w:rPr>
        <w:t xml:space="preserve"> </w:t>
      </w:r>
      <w:r w:rsidR="00E91D66" w:rsidRPr="006051CE">
        <w:rPr>
          <w:rFonts w:eastAsia="Times New Roman"/>
          <w:lang w:val="es-419" w:eastAsia="en-AU"/>
        </w:rPr>
        <w:t>e</w:t>
      </w:r>
      <w:r w:rsidRPr="006051CE">
        <w:rPr>
          <w:rFonts w:eastAsia="Times New Roman"/>
          <w:lang w:val="es-419" w:eastAsia="en-AU"/>
        </w:rPr>
        <w:t xml:space="preserve">n </w:t>
      </w:r>
      <w:r w:rsidR="00E91D66" w:rsidRPr="006051CE">
        <w:rPr>
          <w:rFonts w:eastAsia="Times New Roman"/>
          <w:lang w:val="es-419" w:eastAsia="en-AU"/>
        </w:rPr>
        <w:t>cualquier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comunicación</w:t>
      </w:r>
      <w:r w:rsidRPr="006051CE">
        <w:rPr>
          <w:rFonts w:eastAsia="Times New Roman"/>
          <w:lang w:val="es-419" w:eastAsia="en-AU"/>
        </w:rPr>
        <w:t xml:space="preserve"> </w:t>
      </w:r>
      <w:r w:rsidR="00E91D66" w:rsidRPr="006051CE">
        <w:rPr>
          <w:rFonts w:eastAsia="Times New Roman"/>
          <w:lang w:val="es-419" w:eastAsia="en-AU"/>
        </w:rPr>
        <w:t>con la Oficina</w:t>
      </w:r>
      <w:r w:rsidRPr="006051CE">
        <w:rPr>
          <w:rFonts w:eastAsia="Times New Roman"/>
          <w:lang w:val="es-419" w:eastAsia="en-AU"/>
        </w:rPr>
        <w:t xml:space="preserve">, </w:t>
      </w:r>
      <w:r w:rsidR="00E91D66" w:rsidRPr="006051CE">
        <w:rPr>
          <w:rFonts w:eastAsia="Times New Roman"/>
          <w:lang w:val="es-419" w:eastAsia="en-AU"/>
        </w:rPr>
        <w:t>y en el Artículo </w:t>
      </w:r>
      <w:r w:rsidRPr="006051CE">
        <w:rPr>
          <w:rFonts w:eastAsia="Times New Roman"/>
          <w:lang w:val="es-419" w:eastAsia="en-AU"/>
        </w:rPr>
        <w:t xml:space="preserve">13 </w:t>
      </w:r>
      <w:r w:rsidR="00E91D66" w:rsidRPr="006051CE">
        <w:rPr>
          <w:rFonts w:eastAsia="Times New Roman"/>
          <w:lang w:val="es-419" w:eastAsia="en-AU"/>
        </w:rPr>
        <w:t xml:space="preserve">se </w:t>
      </w:r>
      <w:r w:rsidRPr="006051CE">
        <w:rPr>
          <w:rFonts w:eastAsia="Times New Roman"/>
          <w:lang w:val="es-419" w:eastAsia="en-AU"/>
        </w:rPr>
        <w:t>enumera</w:t>
      </w:r>
      <w:r w:rsidR="00E91D66" w:rsidRPr="006051CE">
        <w:rPr>
          <w:rFonts w:eastAsia="Times New Roman"/>
          <w:lang w:val="es-419" w:eastAsia="en-AU"/>
        </w:rPr>
        <w:t xml:space="preserve"> </w:t>
      </w:r>
      <w:r w:rsidR="00EE113F" w:rsidRPr="006051CE">
        <w:rPr>
          <w:rFonts w:eastAsia="Times New Roman"/>
          <w:lang w:val="es-419" w:eastAsia="en-AU"/>
        </w:rPr>
        <w:t>el máximo de los requisitos que una Oficina puede imponer con respecto a la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renovación de un registro internacional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EE113F" w:rsidP="006051CE">
      <w:pPr>
        <w:spacing w:before="48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lastRenderedPageBreak/>
        <w:t>LA INTER</w:t>
      </w:r>
      <w:r w:rsidR="00824184" w:rsidRPr="006051CE">
        <w:rPr>
          <w:rFonts w:eastAsia="Times New Roman"/>
          <w:lang w:val="es-419" w:eastAsia="en-AU"/>
        </w:rPr>
        <w:t>AC</w:t>
      </w:r>
      <w:r w:rsidRPr="006051CE">
        <w:rPr>
          <w:rFonts w:eastAsia="Times New Roman"/>
          <w:lang w:val="es-419" w:eastAsia="en-AU"/>
        </w:rPr>
        <w:t>CIÓN DE LAS NORMAS NACIONALES CON LAS NORMAS INTERNACIONALES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824184" w:rsidRPr="006051CE">
        <w:rPr>
          <w:rFonts w:eastAsia="Times New Roman"/>
          <w:lang w:val="es-419" w:eastAsia="en-AU"/>
        </w:rPr>
        <w:t>La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evolución</w:t>
      </w:r>
      <w:r w:rsidRPr="006051CE">
        <w:rPr>
          <w:rFonts w:eastAsia="Times New Roman"/>
          <w:lang w:val="es-419" w:eastAsia="en-AU"/>
        </w:rPr>
        <w:t xml:space="preserve"> </w:t>
      </w:r>
      <w:r w:rsidR="00824184" w:rsidRPr="006051CE">
        <w:rPr>
          <w:rFonts w:eastAsia="Times New Roman"/>
          <w:lang w:val="es-419" w:eastAsia="en-AU"/>
        </w:rPr>
        <w:t>y el desarrollo del Derecho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</w:t>
      </w:r>
      <w:r w:rsidRPr="006051CE">
        <w:rPr>
          <w:rFonts w:eastAsia="Times New Roman"/>
          <w:lang w:val="es-419" w:eastAsia="en-AU"/>
        </w:rPr>
        <w:t xml:space="preserve"> </w:t>
      </w:r>
      <w:r w:rsidR="00824184" w:rsidRPr="006051CE">
        <w:rPr>
          <w:rFonts w:eastAsia="Times New Roman"/>
          <w:lang w:val="es-419" w:eastAsia="en-AU"/>
        </w:rPr>
        <w:t xml:space="preserve">de </w:t>
      </w:r>
      <w:r w:rsidR="00F769E8" w:rsidRPr="006051CE">
        <w:rPr>
          <w:rFonts w:eastAsia="Times New Roman"/>
          <w:lang w:val="es-419" w:eastAsia="en-AU"/>
        </w:rPr>
        <w:t>PI</w:t>
      </w:r>
      <w:r w:rsidRPr="006051CE">
        <w:rPr>
          <w:rFonts w:eastAsia="Times New Roman"/>
          <w:lang w:val="es-419" w:eastAsia="en-AU"/>
        </w:rPr>
        <w:t xml:space="preserve"> </w:t>
      </w:r>
      <w:r w:rsidR="00824184" w:rsidRPr="006051CE">
        <w:rPr>
          <w:rFonts w:eastAsia="Times New Roman"/>
          <w:lang w:val="es-419" w:eastAsia="en-AU"/>
        </w:rPr>
        <w:t xml:space="preserve">se </w:t>
      </w:r>
      <w:r w:rsidRPr="006051CE">
        <w:rPr>
          <w:rFonts w:eastAsia="Times New Roman"/>
          <w:lang w:val="es-419" w:eastAsia="en-AU"/>
        </w:rPr>
        <w:t>ha</w:t>
      </w:r>
      <w:r w:rsidR="00824184" w:rsidRPr="006051CE">
        <w:rPr>
          <w:rFonts w:eastAsia="Times New Roman"/>
          <w:lang w:val="es-419" w:eastAsia="en-AU"/>
        </w:rPr>
        <w:t xml:space="preserve">n producido a partir de una serie de elementos fundamentales, entre los cuales cabe señalar el reconocimiento del </w:t>
      </w:r>
      <w:r w:rsidR="00F769E8" w:rsidRPr="006051CE">
        <w:rPr>
          <w:rFonts w:eastAsia="Times New Roman"/>
          <w:lang w:val="es-419" w:eastAsia="en-AU"/>
        </w:rPr>
        <w:t>trato nacional</w:t>
      </w:r>
      <w:r w:rsidRPr="006051CE">
        <w:rPr>
          <w:rFonts w:eastAsia="Times New Roman"/>
          <w:lang w:val="es-419" w:eastAsia="en-AU"/>
        </w:rPr>
        <w:t xml:space="preserve">, </w:t>
      </w:r>
      <w:r w:rsidR="00824184" w:rsidRPr="006051CE">
        <w:rPr>
          <w:rFonts w:eastAsia="Times New Roman"/>
          <w:lang w:val="es-419" w:eastAsia="en-AU"/>
        </w:rPr>
        <w:t>la</w:t>
      </w:r>
      <w:r w:rsidRPr="006051CE">
        <w:rPr>
          <w:rFonts w:eastAsia="Times New Roman"/>
          <w:lang w:val="es-419" w:eastAsia="en-AU"/>
        </w:rPr>
        <w:t xml:space="preserve"> </w:t>
      </w:r>
      <w:r w:rsidR="00824184" w:rsidRPr="006051CE">
        <w:rPr>
          <w:rFonts w:eastAsia="Times New Roman"/>
          <w:lang w:val="es-419" w:eastAsia="en-AU"/>
        </w:rPr>
        <w:t>independencia general de los derechos concedidos en virtud de distintas legislaciones nacionales</w:t>
      </w:r>
      <w:r w:rsidRPr="006051CE">
        <w:rPr>
          <w:rFonts w:eastAsia="Times New Roman"/>
          <w:lang w:val="es-419" w:eastAsia="en-AU"/>
        </w:rPr>
        <w:t xml:space="preserve">, </w:t>
      </w:r>
      <w:r w:rsidR="00824184" w:rsidRPr="006051CE">
        <w:rPr>
          <w:rFonts w:eastAsia="Times New Roman"/>
          <w:lang w:val="es-419" w:eastAsia="en-AU"/>
        </w:rPr>
        <w:t xml:space="preserve">la discrecionalidad </w:t>
      </w:r>
      <w:r w:rsidR="00453197" w:rsidRPr="006051CE">
        <w:rPr>
          <w:rFonts w:eastAsia="Times New Roman"/>
          <w:lang w:val="es-419" w:eastAsia="en-AU"/>
        </w:rPr>
        <w:t>nacional</w:t>
      </w:r>
      <w:r w:rsidRPr="006051CE">
        <w:rPr>
          <w:rFonts w:eastAsia="Times New Roman"/>
          <w:lang w:val="es-419" w:eastAsia="en-AU"/>
        </w:rPr>
        <w:t xml:space="preserve"> </w:t>
      </w:r>
      <w:r w:rsidR="00824184" w:rsidRPr="006051CE">
        <w:rPr>
          <w:rFonts w:eastAsia="Times New Roman"/>
          <w:lang w:val="es-419" w:eastAsia="en-AU"/>
        </w:rPr>
        <w:t>para aplicar las normas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internacionales</w:t>
      </w:r>
      <w:r w:rsidR="00824184" w:rsidRPr="006051CE">
        <w:rPr>
          <w:rFonts w:eastAsia="Times New Roman"/>
          <w:lang w:val="es-419" w:eastAsia="en-AU"/>
        </w:rPr>
        <w:t xml:space="preserve"> mediante una serie de doctrinas y </w:t>
      </w:r>
      <w:r w:rsidR="00453197" w:rsidRPr="006051CE">
        <w:rPr>
          <w:rFonts w:eastAsia="Times New Roman"/>
          <w:lang w:val="es-419" w:eastAsia="en-AU"/>
        </w:rPr>
        <w:t>mecanismos</w:t>
      </w:r>
      <w:r w:rsidR="00824184" w:rsidRPr="006051CE">
        <w:rPr>
          <w:rFonts w:eastAsia="Times New Roman"/>
          <w:lang w:val="es-419" w:eastAsia="en-AU"/>
        </w:rPr>
        <w:t xml:space="preserve"> jurídicos</w:t>
      </w:r>
      <w:r w:rsidRPr="006051CE">
        <w:rPr>
          <w:rFonts w:eastAsia="Times New Roman"/>
          <w:lang w:val="es-419" w:eastAsia="en-AU"/>
        </w:rPr>
        <w:t xml:space="preserve">, </w:t>
      </w:r>
      <w:r w:rsidR="00211590" w:rsidRPr="006051CE">
        <w:rPr>
          <w:rFonts w:eastAsia="Times New Roman"/>
          <w:lang w:val="es-419" w:eastAsia="en-AU"/>
        </w:rPr>
        <w:t>l</w:t>
      </w:r>
      <w:r w:rsidRPr="006051CE">
        <w:rPr>
          <w:rFonts w:eastAsia="Times New Roman"/>
          <w:lang w:val="es-419" w:eastAsia="en-AU"/>
        </w:rPr>
        <w:t xml:space="preserve">a </w:t>
      </w:r>
      <w:r w:rsidR="00211590" w:rsidRPr="006051CE">
        <w:rPr>
          <w:rFonts w:eastAsia="Times New Roman"/>
          <w:lang w:val="es-419" w:eastAsia="en-AU"/>
        </w:rPr>
        <w:t xml:space="preserve">atención centrada en abordar </w:t>
      </w:r>
      <w:r w:rsidR="00FB536A" w:rsidRPr="006051CE">
        <w:rPr>
          <w:rFonts w:eastAsia="Times New Roman"/>
          <w:lang w:val="es-419" w:eastAsia="en-AU"/>
        </w:rPr>
        <w:t>los obstáculos prácticos a los que hacen frente los titulares de derechos cuando han adquirido sus derechos mediante procedimientos formales</w:t>
      </w:r>
      <w:r w:rsidRPr="006051CE">
        <w:rPr>
          <w:rFonts w:eastAsia="Times New Roman"/>
          <w:lang w:val="es-419" w:eastAsia="en-AU"/>
        </w:rPr>
        <w:t xml:space="preserve">, </w:t>
      </w:r>
      <w:r w:rsidR="00FB536A" w:rsidRPr="006051CE">
        <w:rPr>
          <w:rFonts w:eastAsia="Times New Roman"/>
          <w:lang w:val="es-419" w:eastAsia="en-AU"/>
        </w:rPr>
        <w:t>y la necesidad de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coordinación</w:t>
      </w:r>
      <w:r w:rsidR="00FB536A" w:rsidRPr="006051CE">
        <w:rPr>
          <w:rFonts w:eastAsia="Times New Roman"/>
          <w:lang w:val="es-419" w:eastAsia="en-AU"/>
        </w:rPr>
        <w:t xml:space="preserve"> administrativa</w:t>
      </w:r>
      <w:r w:rsidRPr="006051CE">
        <w:rPr>
          <w:rFonts w:eastAsia="Times New Roman"/>
          <w:lang w:val="es-419" w:eastAsia="en-AU"/>
        </w:rPr>
        <w:t xml:space="preserve">. </w:t>
      </w:r>
      <w:r w:rsidR="00FB536A" w:rsidRPr="006051CE">
        <w:rPr>
          <w:rFonts w:eastAsia="Times New Roman"/>
          <w:lang w:val="es-419" w:eastAsia="en-AU"/>
        </w:rPr>
        <w:t xml:space="preserve">Los párrafos siguientes giran en torno al principio de la discrecionalidad </w:t>
      </w:r>
      <w:r w:rsidR="00453197" w:rsidRPr="006051CE">
        <w:rPr>
          <w:rFonts w:eastAsia="Times New Roman"/>
          <w:lang w:val="es-419" w:eastAsia="en-AU"/>
        </w:rPr>
        <w:t>nacional</w:t>
      </w:r>
      <w:r w:rsidRPr="006051CE">
        <w:rPr>
          <w:rFonts w:eastAsia="Times New Roman"/>
          <w:lang w:val="es-419" w:eastAsia="en-AU"/>
        </w:rPr>
        <w:t xml:space="preserve"> </w:t>
      </w:r>
      <w:r w:rsidR="00FB536A" w:rsidRPr="006051CE">
        <w:rPr>
          <w:rFonts w:eastAsia="Times New Roman"/>
          <w:lang w:val="es-419" w:eastAsia="en-AU"/>
        </w:rPr>
        <w:t>para aplicar</w:t>
      </w:r>
      <w:r w:rsidRPr="006051CE">
        <w:rPr>
          <w:rFonts w:eastAsia="Times New Roman"/>
          <w:lang w:val="es-419" w:eastAsia="en-AU"/>
        </w:rPr>
        <w:t xml:space="preserve"> </w:t>
      </w:r>
      <w:r w:rsidR="00FB536A" w:rsidRPr="006051CE">
        <w:rPr>
          <w:rFonts w:eastAsia="Times New Roman"/>
          <w:lang w:val="es-419" w:eastAsia="en-AU"/>
        </w:rPr>
        <w:t xml:space="preserve">las normas </w:t>
      </w:r>
      <w:r w:rsidR="00453197" w:rsidRPr="006051CE">
        <w:rPr>
          <w:rFonts w:eastAsia="Times New Roman"/>
          <w:lang w:val="es-419" w:eastAsia="en-AU"/>
        </w:rPr>
        <w:t>internacionales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66141A" w:rsidP="006051CE">
      <w:pPr>
        <w:keepNext/>
        <w:spacing w:before="240"/>
        <w:rPr>
          <w:rFonts w:eastAsia="Times New Roman"/>
          <w:b/>
          <w:lang w:val="es-419" w:eastAsia="en-AU"/>
        </w:rPr>
      </w:pPr>
      <w:r w:rsidRPr="006051CE">
        <w:rPr>
          <w:rFonts w:eastAsia="Times New Roman"/>
          <w:b/>
          <w:lang w:val="es-419" w:eastAsia="en-AU"/>
        </w:rPr>
        <w:t xml:space="preserve">Discrecionalidad nacional en la aplicación de las normas </w:t>
      </w:r>
      <w:r w:rsidR="00453197" w:rsidRPr="006051CE">
        <w:rPr>
          <w:rFonts w:eastAsia="Times New Roman"/>
          <w:b/>
          <w:lang w:val="es-419" w:eastAsia="en-AU"/>
        </w:rPr>
        <w:t>internacionales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66141A" w:rsidRPr="006051CE">
        <w:rPr>
          <w:rFonts w:eastAsia="Times New Roman"/>
          <w:lang w:val="es-419" w:eastAsia="en-AU"/>
        </w:rPr>
        <w:t xml:space="preserve">En el Derecho </w:t>
      </w:r>
      <w:r w:rsidR="00453197" w:rsidRPr="006051CE">
        <w:rPr>
          <w:rFonts w:eastAsia="Times New Roman"/>
          <w:lang w:val="es-419" w:eastAsia="en-AU"/>
        </w:rPr>
        <w:t>internacional</w:t>
      </w:r>
      <w:r w:rsidRPr="006051CE">
        <w:rPr>
          <w:rFonts w:eastAsia="Times New Roman"/>
          <w:lang w:val="es-419" w:eastAsia="en-AU"/>
        </w:rPr>
        <w:t xml:space="preserve"> </w:t>
      </w:r>
      <w:r w:rsidR="0066141A" w:rsidRPr="006051CE">
        <w:rPr>
          <w:rFonts w:eastAsia="Times New Roman"/>
          <w:lang w:val="es-419" w:eastAsia="en-AU"/>
        </w:rPr>
        <w:t xml:space="preserve">de </w:t>
      </w:r>
      <w:r w:rsidR="00F769E8" w:rsidRPr="006051CE">
        <w:rPr>
          <w:rFonts w:eastAsia="Times New Roman"/>
          <w:lang w:val="es-419" w:eastAsia="en-AU"/>
        </w:rPr>
        <w:t>PI</w:t>
      </w:r>
      <w:r w:rsidRPr="006051CE">
        <w:rPr>
          <w:rFonts w:eastAsia="Times New Roman"/>
          <w:lang w:val="es-419" w:eastAsia="en-AU"/>
        </w:rPr>
        <w:t xml:space="preserve"> </w:t>
      </w:r>
      <w:r w:rsidR="0066141A" w:rsidRPr="006051CE">
        <w:rPr>
          <w:rFonts w:eastAsia="Times New Roman"/>
          <w:lang w:val="es-419" w:eastAsia="en-AU"/>
        </w:rPr>
        <w:t xml:space="preserve">se traza una </w:t>
      </w:r>
      <w:r w:rsidR="00453197" w:rsidRPr="006051CE">
        <w:rPr>
          <w:rFonts w:eastAsia="Times New Roman"/>
          <w:lang w:val="es-419" w:eastAsia="en-AU"/>
        </w:rPr>
        <w:t>distinción</w:t>
      </w:r>
      <w:r w:rsidRPr="006051CE">
        <w:rPr>
          <w:rFonts w:eastAsia="Times New Roman"/>
          <w:lang w:val="es-419" w:eastAsia="en-AU"/>
        </w:rPr>
        <w:t xml:space="preserve"> </w:t>
      </w:r>
      <w:r w:rsidR="0066141A" w:rsidRPr="006051CE">
        <w:rPr>
          <w:rFonts w:eastAsia="Times New Roman"/>
          <w:lang w:val="es-419" w:eastAsia="en-AU"/>
        </w:rPr>
        <w:t>entre la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formulación</w:t>
      </w:r>
      <w:r w:rsidRPr="006051CE">
        <w:rPr>
          <w:rFonts w:eastAsia="Times New Roman"/>
          <w:lang w:val="es-419" w:eastAsia="en-AU"/>
        </w:rPr>
        <w:t xml:space="preserve"> </w:t>
      </w:r>
      <w:r w:rsidR="0066141A" w:rsidRPr="006051CE">
        <w:rPr>
          <w:rFonts w:eastAsia="Times New Roman"/>
          <w:lang w:val="es-419" w:eastAsia="en-AU"/>
        </w:rPr>
        <w:t xml:space="preserve">de las normas y los principios </w:t>
      </w:r>
      <w:r w:rsidR="00453197" w:rsidRPr="006051CE">
        <w:rPr>
          <w:rFonts w:eastAsia="Times New Roman"/>
          <w:lang w:val="es-419" w:eastAsia="en-AU"/>
        </w:rPr>
        <w:t>internacionales</w:t>
      </w:r>
      <w:r w:rsidR="0066141A" w:rsidRPr="006051CE">
        <w:rPr>
          <w:rFonts w:eastAsia="Times New Roman"/>
          <w:lang w:val="es-419" w:eastAsia="en-AU"/>
        </w:rPr>
        <w:t xml:space="preserve"> y la elección de los mecanismos jurídicos nacionales destinados a dar </w:t>
      </w:r>
      <w:r w:rsidR="00616291" w:rsidRPr="006051CE">
        <w:rPr>
          <w:rFonts w:eastAsia="Times New Roman"/>
          <w:lang w:val="es-419" w:eastAsia="en-AU"/>
        </w:rPr>
        <w:t>aplicación</w:t>
      </w:r>
      <w:r w:rsidR="0066141A" w:rsidRPr="006051CE">
        <w:rPr>
          <w:rFonts w:eastAsia="Times New Roman"/>
          <w:lang w:val="es-419" w:eastAsia="en-AU"/>
        </w:rPr>
        <w:t xml:space="preserve"> a lo que se ha acordado</w:t>
      </w:r>
      <w:r w:rsidRPr="006051CE">
        <w:rPr>
          <w:rFonts w:eastAsia="Times New Roman"/>
          <w:lang w:val="es-419" w:eastAsia="en-AU"/>
        </w:rPr>
        <w:t xml:space="preserve">. </w:t>
      </w:r>
      <w:r w:rsidR="0066141A" w:rsidRPr="006051CE">
        <w:rPr>
          <w:rFonts w:eastAsia="Times New Roman"/>
          <w:lang w:val="es-419" w:eastAsia="en-AU"/>
        </w:rPr>
        <w:t xml:space="preserve">A menudo, ello da a los Estado contratantes </w:t>
      </w:r>
      <w:r w:rsidR="00616291" w:rsidRPr="006051CE">
        <w:rPr>
          <w:rFonts w:eastAsia="Times New Roman"/>
          <w:lang w:val="es-419" w:eastAsia="en-AU"/>
        </w:rPr>
        <w:t xml:space="preserve">amplios </w:t>
      </w:r>
      <w:r w:rsidR="0066141A" w:rsidRPr="006051CE">
        <w:rPr>
          <w:rFonts w:eastAsia="Times New Roman"/>
          <w:lang w:val="es-419" w:eastAsia="en-AU"/>
        </w:rPr>
        <w:t xml:space="preserve">ámbitos de discrecionalidad en lo relativo a la manera y las herramientas y doctrinas jurídicas mediante las cuales </w:t>
      </w:r>
      <w:r w:rsidR="00CA0169" w:rsidRPr="006051CE">
        <w:rPr>
          <w:rFonts w:eastAsia="Times New Roman"/>
          <w:lang w:val="es-419" w:eastAsia="en-AU"/>
        </w:rPr>
        <w:t xml:space="preserve">se </w:t>
      </w:r>
      <w:r w:rsidR="0066141A" w:rsidRPr="006051CE">
        <w:rPr>
          <w:rFonts w:eastAsia="Times New Roman"/>
          <w:lang w:val="es-419" w:eastAsia="en-AU"/>
        </w:rPr>
        <w:t>d</w:t>
      </w:r>
      <w:r w:rsidR="00CA0169" w:rsidRPr="006051CE">
        <w:rPr>
          <w:rFonts w:eastAsia="Times New Roman"/>
          <w:lang w:val="es-419" w:eastAsia="en-AU"/>
        </w:rPr>
        <w:t>a</w:t>
      </w:r>
      <w:r w:rsidR="0066141A" w:rsidRPr="006051CE">
        <w:rPr>
          <w:rFonts w:eastAsia="Times New Roman"/>
          <w:lang w:val="es-419" w:eastAsia="en-AU"/>
        </w:rPr>
        <w:t xml:space="preserve"> </w:t>
      </w:r>
      <w:r w:rsidR="00170CEF" w:rsidRPr="006051CE">
        <w:rPr>
          <w:rFonts w:eastAsia="Times New Roman"/>
          <w:lang w:val="es-419" w:eastAsia="en-AU"/>
        </w:rPr>
        <w:t>aplicación</w:t>
      </w:r>
      <w:r w:rsidR="0066141A" w:rsidRPr="006051CE">
        <w:rPr>
          <w:rFonts w:eastAsia="Times New Roman"/>
          <w:lang w:val="es-419" w:eastAsia="en-AU"/>
        </w:rPr>
        <w:t xml:space="preserve"> a las normas internacionales.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66141A" w:rsidRPr="006051CE">
        <w:rPr>
          <w:rFonts w:eastAsia="Times New Roman"/>
          <w:lang w:val="es-419" w:eastAsia="en-AU"/>
        </w:rPr>
        <w:t>En algunos casos</w:t>
      </w:r>
      <w:r w:rsidRPr="006051CE">
        <w:rPr>
          <w:rFonts w:eastAsia="Times New Roman"/>
          <w:lang w:val="es-419" w:eastAsia="en-AU"/>
        </w:rPr>
        <w:t xml:space="preserve">, </w:t>
      </w:r>
      <w:r w:rsidR="0066141A" w:rsidRPr="006051CE">
        <w:rPr>
          <w:rFonts w:eastAsia="Times New Roman"/>
          <w:lang w:val="es-419" w:eastAsia="en-AU"/>
        </w:rPr>
        <w:t xml:space="preserve">los </w:t>
      </w:r>
      <w:r w:rsidR="00453197" w:rsidRPr="006051CE">
        <w:rPr>
          <w:rFonts w:eastAsia="Times New Roman"/>
          <w:lang w:val="es-419" w:eastAsia="en-AU"/>
        </w:rPr>
        <w:t>instrumentos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internacionales</w:t>
      </w:r>
      <w:r w:rsidR="0066141A" w:rsidRPr="006051CE">
        <w:rPr>
          <w:rFonts w:eastAsia="Times New Roman"/>
          <w:lang w:val="es-419" w:eastAsia="en-AU"/>
        </w:rPr>
        <w:t xml:space="preserve"> </w:t>
      </w:r>
      <w:r w:rsidR="008D2BC2" w:rsidRPr="006051CE">
        <w:rPr>
          <w:rFonts w:eastAsia="Times New Roman"/>
          <w:lang w:val="es-419" w:eastAsia="en-AU"/>
        </w:rPr>
        <w:t xml:space="preserve">indican expresamente </w:t>
      </w:r>
      <w:r w:rsidR="00CA0169" w:rsidRPr="006051CE">
        <w:rPr>
          <w:rFonts w:eastAsia="Times New Roman"/>
          <w:lang w:val="es-419" w:eastAsia="en-AU"/>
        </w:rPr>
        <w:t>los varios mecanismos jurídicos previstos en la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>legislación nacional</w:t>
      </w:r>
      <w:r w:rsidRPr="006051CE">
        <w:rPr>
          <w:rFonts w:eastAsia="Times New Roman"/>
          <w:lang w:val="es-419" w:eastAsia="en-AU"/>
        </w:rPr>
        <w:t xml:space="preserve"> </w:t>
      </w:r>
      <w:r w:rsidR="00CA0169" w:rsidRPr="006051CE">
        <w:rPr>
          <w:rFonts w:eastAsia="Times New Roman"/>
          <w:lang w:val="es-419" w:eastAsia="en-AU"/>
        </w:rPr>
        <w:t xml:space="preserve">para dar aplicación a las normas generales de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CA0169" w:rsidRPr="006051CE">
        <w:rPr>
          <w:rFonts w:eastAsia="Times New Roman"/>
          <w:lang w:val="es-419" w:eastAsia="en-AU"/>
        </w:rPr>
        <w:t>formuladas a escala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</w:t>
      </w:r>
      <w:r w:rsidR="00CA0169" w:rsidRPr="006051CE">
        <w:rPr>
          <w:rFonts w:eastAsia="Times New Roman"/>
          <w:lang w:val="es-419" w:eastAsia="en-AU"/>
        </w:rPr>
        <w:t xml:space="preserve">. Asimismo, es posible que los requisitos de </w:t>
      </w:r>
      <w:r w:rsidR="00453197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CA0169" w:rsidRPr="006051CE">
        <w:rPr>
          <w:rFonts w:eastAsia="Times New Roman"/>
          <w:lang w:val="es-419" w:eastAsia="en-AU"/>
        </w:rPr>
        <w:t xml:space="preserve">simplemente se formulen en relación con quienes están facultados a iniciar acciones </w:t>
      </w:r>
      <w:r w:rsidR="00554A29" w:rsidRPr="006051CE">
        <w:rPr>
          <w:rFonts w:eastAsia="Times New Roman"/>
          <w:lang w:val="es-419" w:eastAsia="en-AU"/>
        </w:rPr>
        <w:t>ante la</w:t>
      </w:r>
      <w:r w:rsidR="00616291" w:rsidRPr="006051CE">
        <w:rPr>
          <w:rFonts w:eastAsia="Times New Roman"/>
          <w:lang w:val="es-419" w:eastAsia="en-AU"/>
        </w:rPr>
        <w:t>s autoridades competentes</w:t>
      </w:r>
      <w:r w:rsidR="00554A29" w:rsidRPr="006051CE">
        <w:rPr>
          <w:rFonts w:eastAsia="Times New Roman"/>
          <w:lang w:val="es-419" w:eastAsia="en-AU"/>
        </w:rPr>
        <w:t xml:space="preserve"> o solicitar </w:t>
      </w:r>
      <w:r w:rsidR="00E53598" w:rsidRPr="006051CE">
        <w:rPr>
          <w:rFonts w:eastAsia="Times New Roman"/>
          <w:lang w:val="es-419" w:eastAsia="en-AU"/>
        </w:rPr>
        <w:t xml:space="preserve">reparación, en sintonía con las normas </w:t>
      </w:r>
      <w:r w:rsidRPr="006051CE">
        <w:rPr>
          <w:rFonts w:eastAsia="Times New Roman"/>
          <w:lang w:val="es-419" w:eastAsia="en-AU"/>
        </w:rPr>
        <w:t>general</w:t>
      </w:r>
      <w:r w:rsidR="00E53598" w:rsidRPr="006051CE">
        <w:rPr>
          <w:rFonts w:eastAsia="Times New Roman"/>
          <w:lang w:val="es-419" w:eastAsia="en-AU"/>
        </w:rPr>
        <w:t xml:space="preserve">es </w:t>
      </w:r>
      <w:r w:rsidR="00453197" w:rsidRPr="006051CE">
        <w:rPr>
          <w:rFonts w:eastAsia="Times New Roman"/>
          <w:lang w:val="es-419" w:eastAsia="en-AU"/>
        </w:rPr>
        <w:t>indicadas</w:t>
      </w:r>
      <w:r w:rsidR="00E53598" w:rsidRPr="006051CE">
        <w:rPr>
          <w:rFonts w:eastAsia="Times New Roman"/>
          <w:lang w:val="es-419" w:eastAsia="en-AU"/>
        </w:rPr>
        <w:t xml:space="preserve"> en el </w:t>
      </w:r>
      <w:r w:rsidR="00453197" w:rsidRPr="006051CE">
        <w:rPr>
          <w:rFonts w:eastAsia="Times New Roman"/>
          <w:lang w:val="es-419" w:eastAsia="en-AU"/>
        </w:rPr>
        <w:t>instrumento</w:t>
      </w:r>
      <w:r w:rsidR="00E53598"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="00CD644B" w:rsidRPr="006051CE">
        <w:rPr>
          <w:rFonts w:eastAsia="Times New Roman"/>
          <w:lang w:val="es-419" w:eastAsia="en-AU"/>
        </w:rPr>
        <w:tab/>
      </w:r>
      <w:r w:rsidR="00E53598" w:rsidRPr="006051CE">
        <w:rPr>
          <w:rFonts w:eastAsia="Times New Roman"/>
          <w:lang w:val="es-419" w:eastAsia="en-AU"/>
        </w:rPr>
        <w:t xml:space="preserve">Si bien la </w:t>
      </w:r>
      <w:r w:rsidR="00453197" w:rsidRPr="006051CE">
        <w:rPr>
          <w:rFonts w:eastAsia="Times New Roman"/>
          <w:lang w:val="es-419" w:eastAsia="en-AU"/>
        </w:rPr>
        <w:t>discrecionalidad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nacional</w:t>
      </w:r>
      <w:r w:rsidR="00E53598" w:rsidRPr="006051CE">
        <w:rPr>
          <w:rFonts w:eastAsia="Times New Roman"/>
          <w:lang w:val="es-419" w:eastAsia="en-AU"/>
        </w:rPr>
        <w:t xml:space="preserve"> e</w:t>
      </w:r>
      <w:r w:rsidRPr="006051CE">
        <w:rPr>
          <w:rFonts w:eastAsia="Times New Roman"/>
          <w:lang w:val="es-419" w:eastAsia="en-AU"/>
        </w:rPr>
        <w:t xml:space="preserve">s </w:t>
      </w:r>
      <w:r w:rsidR="00E53598" w:rsidRPr="006051CE">
        <w:rPr>
          <w:rFonts w:eastAsia="Times New Roman"/>
          <w:lang w:val="es-419" w:eastAsia="en-AU"/>
        </w:rPr>
        <w:t>u</w:t>
      </w:r>
      <w:r w:rsidRPr="006051CE">
        <w:rPr>
          <w:rFonts w:eastAsia="Times New Roman"/>
          <w:lang w:val="es-419" w:eastAsia="en-AU"/>
        </w:rPr>
        <w:t xml:space="preserve">n </w:t>
      </w:r>
      <w:r w:rsidR="00453197" w:rsidRPr="006051CE">
        <w:rPr>
          <w:rFonts w:eastAsia="Times New Roman"/>
          <w:lang w:val="es-419" w:eastAsia="en-AU"/>
        </w:rPr>
        <w:t>aspecto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importante</w:t>
      </w:r>
      <w:r w:rsidR="00E53598" w:rsidRPr="006051CE">
        <w:rPr>
          <w:rFonts w:eastAsia="Times New Roman"/>
          <w:lang w:val="es-419" w:eastAsia="en-AU"/>
        </w:rPr>
        <w:t xml:space="preserve"> del</w:t>
      </w:r>
      <w:r w:rsidRPr="006051CE">
        <w:rPr>
          <w:rFonts w:eastAsia="Times New Roman"/>
          <w:lang w:val="es-419" w:eastAsia="en-AU"/>
        </w:rPr>
        <w:t xml:space="preserve"> </w:t>
      </w:r>
      <w:r w:rsidR="00F769E8" w:rsidRPr="006051CE">
        <w:rPr>
          <w:rFonts w:eastAsia="Times New Roman"/>
          <w:lang w:val="es-419" w:eastAsia="en-AU"/>
        </w:rPr>
        <w:t xml:space="preserve">sistema </w:t>
      </w:r>
      <w:r w:rsidR="00453197" w:rsidRPr="006051CE">
        <w:rPr>
          <w:rFonts w:eastAsia="Times New Roman"/>
          <w:lang w:val="es-419" w:eastAsia="en-AU"/>
        </w:rPr>
        <w:t>internacional</w:t>
      </w:r>
      <w:r w:rsidR="00E53598" w:rsidRPr="006051CE">
        <w:rPr>
          <w:rFonts w:eastAsia="Times New Roman"/>
          <w:lang w:val="es-419" w:eastAsia="en-AU"/>
        </w:rPr>
        <w:t xml:space="preserve"> </w:t>
      </w:r>
      <w:r w:rsidR="00616291" w:rsidRPr="006051CE">
        <w:rPr>
          <w:rFonts w:eastAsia="Times New Roman"/>
          <w:lang w:val="es-419" w:eastAsia="en-AU"/>
        </w:rPr>
        <w:t>de </w:t>
      </w:r>
      <w:r w:rsidR="00F769E8" w:rsidRPr="006051CE">
        <w:rPr>
          <w:rFonts w:eastAsia="Times New Roman"/>
          <w:lang w:val="es-419" w:eastAsia="en-AU"/>
        </w:rPr>
        <w:t>PI</w:t>
      </w:r>
      <w:r w:rsidRPr="006051CE">
        <w:rPr>
          <w:rFonts w:eastAsia="Times New Roman"/>
          <w:lang w:val="es-419" w:eastAsia="en-AU"/>
        </w:rPr>
        <w:t xml:space="preserve">, </w:t>
      </w:r>
      <w:r w:rsidR="00E53598" w:rsidRPr="006051CE">
        <w:rPr>
          <w:rFonts w:eastAsia="Times New Roman"/>
          <w:lang w:val="es-419" w:eastAsia="en-AU"/>
        </w:rPr>
        <w:t xml:space="preserve">ha de ejercerse de manera que guarde coherencia con las </w:t>
      </w:r>
      <w:r w:rsidR="00453197" w:rsidRPr="006051CE">
        <w:rPr>
          <w:rFonts w:eastAsia="Times New Roman"/>
          <w:lang w:val="es-419" w:eastAsia="en-AU"/>
        </w:rPr>
        <w:t>obligaciones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internacionales</w:t>
      </w:r>
      <w:r w:rsidR="00E53598" w:rsidRPr="006051CE">
        <w:rPr>
          <w:rFonts w:eastAsia="Times New Roman"/>
          <w:lang w:val="es-419" w:eastAsia="en-AU"/>
        </w:rPr>
        <w:t xml:space="preserve"> y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no</w:t>
      </w:r>
      <w:r w:rsidRPr="006051CE">
        <w:rPr>
          <w:rFonts w:eastAsia="Times New Roman"/>
          <w:lang w:val="es-419" w:eastAsia="en-AU"/>
        </w:rPr>
        <w:t xml:space="preserve"> </w:t>
      </w:r>
      <w:r w:rsidR="00E53598" w:rsidRPr="006051CE">
        <w:rPr>
          <w:rFonts w:eastAsia="Times New Roman"/>
          <w:lang w:val="es-419" w:eastAsia="en-AU"/>
        </w:rPr>
        <w:t xml:space="preserve">menoscabe las normas </w:t>
      </w:r>
      <w:r w:rsidRPr="006051CE">
        <w:rPr>
          <w:rFonts w:eastAsia="Times New Roman"/>
          <w:lang w:val="es-419" w:eastAsia="en-AU"/>
        </w:rPr>
        <w:t>general</w:t>
      </w:r>
      <w:r w:rsidR="00E53598" w:rsidRPr="006051CE">
        <w:rPr>
          <w:rFonts w:eastAsia="Times New Roman"/>
          <w:lang w:val="es-419" w:eastAsia="en-AU"/>
        </w:rPr>
        <w:t xml:space="preserve">es previstas en el </w:t>
      </w:r>
      <w:r w:rsidR="00453197" w:rsidRPr="006051CE">
        <w:rPr>
          <w:rFonts w:eastAsia="Times New Roman"/>
          <w:lang w:val="es-419" w:eastAsia="en-AU"/>
        </w:rPr>
        <w:t>instrumento</w:t>
      </w:r>
      <w:r w:rsidR="00E53598"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internacional</w:t>
      </w:r>
      <w:r w:rsidRPr="006051CE">
        <w:rPr>
          <w:rFonts w:eastAsia="Times New Roman"/>
          <w:lang w:val="es-419" w:eastAsia="en-AU"/>
        </w:rPr>
        <w:t xml:space="preserve">. </w:t>
      </w:r>
      <w:r w:rsidR="00E53598" w:rsidRPr="006051CE">
        <w:rPr>
          <w:rFonts w:eastAsia="Times New Roman"/>
          <w:lang w:val="es-419" w:eastAsia="en-AU"/>
        </w:rPr>
        <w:t xml:space="preserve">El objetivo de la discrecionalidad </w:t>
      </w:r>
      <w:r w:rsidR="00453197" w:rsidRPr="006051CE">
        <w:rPr>
          <w:rFonts w:eastAsia="Times New Roman"/>
          <w:lang w:val="es-419" w:eastAsia="en-AU"/>
        </w:rPr>
        <w:t>nacional</w:t>
      </w:r>
      <w:r w:rsidRPr="006051CE">
        <w:rPr>
          <w:rFonts w:eastAsia="Times New Roman"/>
          <w:lang w:val="es-419" w:eastAsia="en-AU"/>
        </w:rPr>
        <w:t xml:space="preserve"> </w:t>
      </w:r>
      <w:r w:rsidR="00E53598" w:rsidRPr="006051CE">
        <w:rPr>
          <w:rFonts w:eastAsia="Times New Roman"/>
          <w:lang w:val="es-419" w:eastAsia="en-AU"/>
        </w:rPr>
        <w:t>e</w:t>
      </w:r>
      <w:r w:rsidRPr="006051CE">
        <w:rPr>
          <w:rFonts w:eastAsia="Times New Roman"/>
          <w:lang w:val="es-419" w:eastAsia="en-AU"/>
        </w:rPr>
        <w:t xml:space="preserve">s </w:t>
      </w:r>
      <w:r w:rsidR="00E53598" w:rsidRPr="006051CE">
        <w:rPr>
          <w:rFonts w:eastAsia="Times New Roman"/>
          <w:lang w:val="es-419" w:eastAsia="en-AU"/>
        </w:rPr>
        <w:t xml:space="preserve">velar por que cada país pueda adaptar su legislación sobre PI a sus propias necesidades, contribuyendo al mismo tiempo a la estabilidad y previsibilidad generales del sistema </w:t>
      </w:r>
      <w:r w:rsidR="00453197" w:rsidRPr="006051CE">
        <w:rPr>
          <w:rFonts w:eastAsia="Times New Roman"/>
          <w:lang w:val="es-419" w:eastAsia="en-AU"/>
        </w:rPr>
        <w:t>internacional</w:t>
      </w:r>
      <w:r w:rsidRPr="006051CE">
        <w:rPr>
          <w:rFonts w:eastAsia="Times New Roman"/>
          <w:lang w:val="es-419" w:eastAsia="en-AU"/>
        </w:rPr>
        <w:t>.</w:t>
      </w:r>
    </w:p>
    <w:p w:rsidR="001730A0" w:rsidRPr="006051CE" w:rsidRDefault="00536891" w:rsidP="006051CE">
      <w:pPr>
        <w:spacing w:before="240"/>
        <w:rPr>
          <w:rFonts w:eastAsia="Times New Roman"/>
          <w:lang w:val="es-419" w:eastAsia="en-AU"/>
        </w:rPr>
      </w:pPr>
      <w:r w:rsidRPr="006051CE">
        <w:rPr>
          <w:rFonts w:eastAsia="Times New Roman"/>
          <w:lang w:val="es-419" w:eastAsia="en-AU"/>
        </w:rPr>
        <w:fldChar w:fldCharType="begin"/>
      </w:r>
      <w:r w:rsidRPr="006051CE">
        <w:rPr>
          <w:rFonts w:eastAsia="Times New Roman"/>
          <w:lang w:val="es-419" w:eastAsia="en-AU"/>
        </w:rPr>
        <w:instrText xml:space="preserve"> AUTONUM  </w:instrText>
      </w:r>
      <w:r w:rsidRPr="006051CE">
        <w:rPr>
          <w:rFonts w:eastAsia="Times New Roman"/>
          <w:lang w:val="es-419" w:eastAsia="en-AU"/>
        </w:rPr>
        <w:fldChar w:fldCharType="end"/>
      </w:r>
      <w:r w:rsidRPr="006051CE">
        <w:rPr>
          <w:rFonts w:eastAsia="Times New Roman"/>
          <w:lang w:val="es-419" w:eastAsia="en-AU"/>
        </w:rPr>
        <w:tab/>
      </w:r>
      <w:r w:rsidR="005A7BBC" w:rsidRPr="006051CE">
        <w:rPr>
          <w:rFonts w:eastAsia="Times New Roman"/>
          <w:lang w:val="es-419" w:eastAsia="en-AU"/>
        </w:rPr>
        <w:t>Por ejemplo</w:t>
      </w:r>
      <w:r w:rsidRPr="006051CE">
        <w:rPr>
          <w:rFonts w:eastAsia="Times New Roman"/>
          <w:lang w:val="es-419" w:eastAsia="en-AU"/>
        </w:rPr>
        <w:t xml:space="preserve">, </w:t>
      </w:r>
      <w:r w:rsidR="008C4526" w:rsidRPr="006051CE">
        <w:rPr>
          <w:rFonts w:eastAsia="Times New Roman"/>
          <w:lang w:val="es-419" w:eastAsia="en-AU"/>
        </w:rPr>
        <w:t>en virtud del Acuerdo sobre los Derechos de Propiedad Intelectual relacionados con el Comercio (Acuerdo sobre los ADPIC) de la OMC</w:t>
      </w:r>
      <w:r w:rsidRPr="006051CE">
        <w:rPr>
          <w:rFonts w:eastAsia="Times New Roman"/>
          <w:lang w:val="es-419" w:eastAsia="en-AU"/>
        </w:rPr>
        <w:t xml:space="preserve"> (1994), </w:t>
      </w:r>
      <w:r w:rsidR="008C4526" w:rsidRPr="006051CE">
        <w:rPr>
          <w:rFonts w:eastAsia="Times New Roman"/>
          <w:lang w:val="es-419" w:eastAsia="en-AU"/>
        </w:rPr>
        <w:t>los M</w:t>
      </w:r>
      <w:r w:rsidR="008C4526" w:rsidRPr="006051CE">
        <w:rPr>
          <w:spacing w:val="-2"/>
          <w:lang w:val="es-419"/>
        </w:rPr>
        <w:t>iembros podrán establecer libremente el método adecuado para aplicar las disposiciones del Acuerdo en el marco de su propio sistema y práctica jurídicos</w:t>
      </w:r>
      <w:r w:rsidRPr="006051CE">
        <w:rPr>
          <w:rFonts w:eastAsia="Times New Roman"/>
          <w:lang w:val="es-419" w:eastAsia="en-AU"/>
        </w:rPr>
        <w:t xml:space="preserve">, </w:t>
      </w:r>
      <w:r w:rsidR="008C4526" w:rsidRPr="006051CE">
        <w:rPr>
          <w:rFonts w:eastAsia="Times New Roman"/>
          <w:lang w:val="es-419" w:eastAsia="en-AU"/>
        </w:rPr>
        <w:t xml:space="preserve">y pueden prever una protección más amplia </w:t>
      </w:r>
      <w:r w:rsidR="008C4526" w:rsidRPr="006051CE">
        <w:rPr>
          <w:spacing w:val="-2"/>
          <w:lang w:val="es-419"/>
        </w:rPr>
        <w:t>que la exigida</w:t>
      </w:r>
      <w:r w:rsidRPr="006051CE">
        <w:rPr>
          <w:rFonts w:eastAsia="Times New Roman"/>
          <w:lang w:val="es-419" w:eastAsia="en-AU"/>
        </w:rPr>
        <w:t xml:space="preserve">, </w:t>
      </w:r>
      <w:r w:rsidR="008C4526" w:rsidRPr="006051CE">
        <w:rPr>
          <w:rFonts w:eastAsia="Times New Roman"/>
          <w:lang w:val="es-419" w:eastAsia="en-AU"/>
        </w:rPr>
        <w:t xml:space="preserve">siempre y cuando esa </w:t>
      </w:r>
      <w:r w:rsidR="00F769E8" w:rsidRPr="006051CE">
        <w:rPr>
          <w:rFonts w:eastAsia="Times New Roman"/>
          <w:lang w:val="es-419" w:eastAsia="en-AU"/>
        </w:rPr>
        <w:t>protección</w:t>
      </w:r>
      <w:r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adicional</w:t>
      </w:r>
      <w:r w:rsidR="008C4526" w:rsidRPr="006051CE">
        <w:rPr>
          <w:rFonts w:eastAsia="Times New Roman"/>
          <w:lang w:val="es-419" w:eastAsia="en-AU"/>
        </w:rPr>
        <w:t xml:space="preserve"> </w:t>
      </w:r>
      <w:r w:rsidR="00453197" w:rsidRPr="006051CE">
        <w:rPr>
          <w:rFonts w:eastAsia="Times New Roman"/>
          <w:lang w:val="es-419" w:eastAsia="en-AU"/>
        </w:rPr>
        <w:t>no</w:t>
      </w:r>
      <w:r w:rsidRPr="006051CE">
        <w:rPr>
          <w:rFonts w:eastAsia="Times New Roman"/>
          <w:lang w:val="es-419" w:eastAsia="en-AU"/>
        </w:rPr>
        <w:t xml:space="preserve"> </w:t>
      </w:r>
      <w:r w:rsidR="008C4526" w:rsidRPr="006051CE">
        <w:rPr>
          <w:rFonts w:eastAsia="Times New Roman"/>
          <w:lang w:val="es-419" w:eastAsia="en-AU"/>
        </w:rPr>
        <w:t>infrinja otras disposiciones del Acuerdo</w:t>
      </w:r>
      <w:r w:rsidRPr="006051CE">
        <w:rPr>
          <w:rFonts w:eastAsia="Times New Roman"/>
          <w:lang w:val="es-419" w:eastAsia="en-AU"/>
        </w:rPr>
        <w:t xml:space="preserve"> (</w:t>
      </w:r>
      <w:r w:rsidR="008C4526" w:rsidRPr="006051CE">
        <w:rPr>
          <w:rFonts w:eastAsia="Times New Roman"/>
          <w:lang w:val="es-419" w:eastAsia="en-AU"/>
        </w:rPr>
        <w:t xml:space="preserve">artículo 1). </w:t>
      </w:r>
      <w:r w:rsidR="00947D44" w:rsidRPr="006051CE">
        <w:rPr>
          <w:rFonts w:eastAsia="Times New Roman"/>
          <w:lang w:val="es-419" w:eastAsia="en-AU"/>
        </w:rPr>
        <w:t>En virtud del</w:t>
      </w:r>
      <w:r w:rsidRPr="006051CE">
        <w:rPr>
          <w:rFonts w:eastAsia="Times New Roman"/>
          <w:lang w:val="es-419" w:eastAsia="en-AU"/>
        </w:rPr>
        <w:t xml:space="preserve"> </w:t>
      </w:r>
      <w:r w:rsidR="00655FB4" w:rsidRPr="006051CE">
        <w:rPr>
          <w:rFonts w:eastAsia="Times New Roman"/>
          <w:lang w:val="es-419" w:eastAsia="en-AU"/>
        </w:rPr>
        <w:t xml:space="preserve">Convenio para la protección de los productores de fonogramas contra la reproducción no autorizada de sus fonogramas </w:t>
      </w:r>
      <w:r w:rsidRPr="006051CE">
        <w:rPr>
          <w:rFonts w:eastAsia="Times New Roman"/>
          <w:lang w:val="es-419" w:eastAsia="en-AU"/>
        </w:rPr>
        <w:t>(1971),</w:t>
      </w:r>
      <w:r w:rsidR="00655FB4" w:rsidRPr="006051CE">
        <w:rPr>
          <w:lang w:val="es-419"/>
        </w:rPr>
        <w:t xml:space="preserve"> </w:t>
      </w:r>
      <w:r w:rsidR="00655FB4" w:rsidRPr="006051CE">
        <w:rPr>
          <w:rFonts w:eastAsia="Times New Roman"/>
          <w:lang w:val="es-419" w:eastAsia="en-AU"/>
        </w:rPr>
        <w:t>los medios para la aplicación del Convenio son de la incumbencia de la legislación nacional. Los Estados contratantes pueden elegir entre uno o más métodos de aplicación, por ejemplo, protección mediante la concesión de un derecho de autor o de otro derecho específico; protección mediante la legislación relativa a la competen</w:t>
      </w:r>
      <w:bookmarkStart w:id="5" w:name="_GoBack"/>
      <w:bookmarkEnd w:id="5"/>
      <w:r w:rsidR="00655FB4" w:rsidRPr="006051CE">
        <w:rPr>
          <w:rFonts w:eastAsia="Times New Roman"/>
          <w:lang w:val="es-419" w:eastAsia="en-AU"/>
        </w:rPr>
        <w:t>cia desleal o protección mediante sanciones penales</w:t>
      </w:r>
      <w:r w:rsidRPr="006051CE">
        <w:rPr>
          <w:rFonts w:eastAsia="Times New Roman"/>
          <w:lang w:val="es-419" w:eastAsia="en-AU"/>
        </w:rPr>
        <w:t xml:space="preserve"> (Art</w:t>
      </w:r>
      <w:r w:rsidR="00655FB4" w:rsidRPr="006051CE">
        <w:rPr>
          <w:rFonts w:eastAsia="Times New Roman"/>
          <w:lang w:val="es-419" w:eastAsia="en-AU"/>
        </w:rPr>
        <w:t>ículo</w:t>
      </w:r>
      <w:r w:rsidRPr="006051CE">
        <w:rPr>
          <w:rFonts w:eastAsia="Times New Roman"/>
          <w:lang w:val="es-419" w:eastAsia="en-AU"/>
        </w:rPr>
        <w:t xml:space="preserve"> 3).</w:t>
      </w:r>
    </w:p>
    <w:p w:rsidR="001730A0" w:rsidRPr="006051CE" w:rsidRDefault="00536891" w:rsidP="006051CE">
      <w:pPr>
        <w:ind w:left="5534"/>
        <w:rPr>
          <w:rFonts w:eastAsia="Times New Roman"/>
          <w:i/>
          <w:lang w:val="es-419" w:eastAsia="en-AU"/>
        </w:rPr>
      </w:pPr>
      <w:r w:rsidRPr="006051CE">
        <w:rPr>
          <w:rFonts w:eastAsia="Times New Roman"/>
          <w:i/>
          <w:lang w:val="es-419" w:eastAsia="en-AU"/>
        </w:rPr>
        <w:fldChar w:fldCharType="begin"/>
      </w:r>
      <w:r w:rsidRPr="006051CE">
        <w:rPr>
          <w:rFonts w:eastAsia="Times New Roman"/>
          <w:i/>
          <w:lang w:val="es-419" w:eastAsia="en-AU"/>
        </w:rPr>
        <w:instrText xml:space="preserve"> AUTONUM  </w:instrText>
      </w:r>
      <w:r w:rsidRPr="006051CE">
        <w:rPr>
          <w:rFonts w:eastAsia="Times New Roman"/>
          <w:i/>
          <w:lang w:val="es-419" w:eastAsia="en-AU"/>
        </w:rPr>
        <w:fldChar w:fldCharType="end"/>
      </w:r>
      <w:r w:rsidRPr="006051CE">
        <w:rPr>
          <w:rFonts w:eastAsia="Times New Roman"/>
          <w:i/>
          <w:lang w:val="es-419" w:eastAsia="en-AU"/>
        </w:rPr>
        <w:tab/>
      </w:r>
      <w:r w:rsidR="00400D7F" w:rsidRPr="006051CE">
        <w:rPr>
          <w:rFonts w:eastAsia="Times New Roman"/>
          <w:i/>
          <w:lang w:val="es-419" w:eastAsia="en-AU"/>
        </w:rPr>
        <w:t>Se invita al CIG a tomar nota del presente</w:t>
      </w:r>
      <w:r w:rsidRPr="006051CE">
        <w:rPr>
          <w:rFonts w:eastAsia="Times New Roman"/>
          <w:i/>
          <w:lang w:val="es-419" w:eastAsia="en-AU"/>
        </w:rPr>
        <w:t xml:space="preserve"> </w:t>
      </w:r>
      <w:r w:rsidR="00453197" w:rsidRPr="006051CE">
        <w:rPr>
          <w:rFonts w:eastAsia="Times New Roman"/>
          <w:i/>
          <w:lang w:val="es-419" w:eastAsia="en-AU"/>
        </w:rPr>
        <w:t>documento</w:t>
      </w:r>
      <w:r w:rsidR="00400D7F" w:rsidRPr="006051CE">
        <w:rPr>
          <w:rFonts w:eastAsia="Times New Roman"/>
          <w:i/>
          <w:lang w:val="es-419" w:eastAsia="en-AU"/>
        </w:rPr>
        <w:t xml:space="preserve"> y formular comentarios</w:t>
      </w:r>
      <w:r w:rsidRPr="006051CE">
        <w:rPr>
          <w:rFonts w:eastAsia="Times New Roman"/>
          <w:i/>
          <w:lang w:val="es-419" w:eastAsia="en-AU"/>
        </w:rPr>
        <w:t xml:space="preserve">, </w:t>
      </w:r>
      <w:r w:rsidR="00400D7F" w:rsidRPr="006051CE">
        <w:rPr>
          <w:rFonts w:eastAsia="Times New Roman"/>
          <w:i/>
          <w:lang w:val="es-419" w:eastAsia="en-AU"/>
        </w:rPr>
        <w:t>según lo desee, con el fin de que la</w:t>
      </w:r>
      <w:r w:rsidR="00F769E8" w:rsidRPr="006051CE">
        <w:rPr>
          <w:rFonts w:eastAsia="Times New Roman"/>
          <w:i/>
          <w:lang w:val="es-419" w:eastAsia="en-AU"/>
        </w:rPr>
        <w:t xml:space="preserve"> Secretaría</w:t>
      </w:r>
      <w:r w:rsidRPr="006051CE">
        <w:rPr>
          <w:rFonts w:eastAsia="Times New Roman"/>
          <w:i/>
          <w:lang w:val="es-419" w:eastAsia="en-AU"/>
        </w:rPr>
        <w:t xml:space="preserve"> </w:t>
      </w:r>
      <w:r w:rsidR="00400D7F" w:rsidRPr="006051CE">
        <w:rPr>
          <w:rFonts w:eastAsia="Times New Roman"/>
          <w:i/>
          <w:lang w:val="es-419" w:eastAsia="en-AU"/>
        </w:rPr>
        <w:t>elabore una versión revisada del mismo</w:t>
      </w:r>
      <w:r w:rsidRPr="006051CE">
        <w:rPr>
          <w:rFonts w:eastAsia="Times New Roman"/>
          <w:i/>
          <w:lang w:val="es-419" w:eastAsia="en-AU"/>
        </w:rPr>
        <w:t>.</w:t>
      </w:r>
    </w:p>
    <w:p w:rsidR="001730A0" w:rsidRPr="006051CE" w:rsidRDefault="00F769E8" w:rsidP="006051CE">
      <w:pPr>
        <w:pStyle w:val="Endofdocument-Annex"/>
        <w:spacing w:before="720"/>
        <w:rPr>
          <w:lang w:val="es-419"/>
        </w:rPr>
      </w:pPr>
      <w:r w:rsidRPr="006051CE">
        <w:rPr>
          <w:lang w:val="es-419"/>
        </w:rPr>
        <w:t>[Fin del documento]</w:t>
      </w:r>
    </w:p>
    <w:sectPr w:rsidR="001730A0" w:rsidRPr="006051CE" w:rsidSect="00055E8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393" w:rsidRDefault="003E5393">
      <w:r>
        <w:separator/>
      </w:r>
    </w:p>
  </w:endnote>
  <w:endnote w:type="continuationSeparator" w:id="0">
    <w:p w:rsidR="003E5393" w:rsidRPr="009D30E6" w:rsidRDefault="003E539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5393" w:rsidRPr="007E663E" w:rsidRDefault="003E539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3E5393" w:rsidRPr="007E663E" w:rsidRDefault="003E539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93" w:rsidRDefault="003E53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93" w:rsidRDefault="003E53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93" w:rsidRDefault="003E53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393" w:rsidRDefault="003E5393">
      <w:r>
        <w:separator/>
      </w:r>
    </w:p>
  </w:footnote>
  <w:footnote w:type="continuationSeparator" w:id="0">
    <w:p w:rsidR="003E5393" w:rsidRPr="009D30E6" w:rsidRDefault="003E539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3E5393" w:rsidRPr="007E663E" w:rsidRDefault="003E539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3E5393" w:rsidRPr="007E663E" w:rsidRDefault="003E539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93" w:rsidRDefault="003E53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93" w:rsidRPr="00EB0D93" w:rsidRDefault="003E5393" w:rsidP="00477D6B">
    <w:pPr>
      <w:jc w:val="right"/>
      <w:rPr>
        <w:caps/>
      </w:rPr>
    </w:pPr>
    <w:bookmarkStart w:id="6" w:name="Code2"/>
    <w:bookmarkEnd w:id="6"/>
    <w:r>
      <w:rPr>
        <w:caps/>
      </w:rPr>
      <w:t>WIPO/GRTKF/IC/46/10</w:t>
    </w:r>
  </w:p>
  <w:p w:rsidR="003E5393" w:rsidRDefault="003E5393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051CE">
      <w:rPr>
        <w:noProof/>
      </w:rPr>
      <w:t>5</w:t>
    </w:r>
    <w:r>
      <w:fldChar w:fldCharType="end"/>
    </w:r>
  </w:p>
  <w:p w:rsidR="003E5393" w:rsidRDefault="003E5393" w:rsidP="00477D6B">
    <w:pPr>
      <w:jc w:val="right"/>
    </w:pPr>
  </w:p>
  <w:p w:rsidR="003E5393" w:rsidRDefault="003E5393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393" w:rsidRDefault="003E53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415A48"/>
    <w:multiLevelType w:val="multilevel"/>
    <w:tmpl w:val="1856E66E"/>
    <w:lvl w:ilvl="0">
      <w:start w:val="1"/>
      <w:numFmt w:val="bullet"/>
      <w:lvlText w:val="-"/>
      <w:lvlJc w:val="left"/>
      <w:pPr>
        <w:tabs>
          <w:tab w:val="num" w:pos="567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134"/>
        </w:tabs>
        <w:ind w:left="0" w:firstLine="567"/>
      </w:pPr>
      <w:rPr>
        <w:rFonts w:ascii="Symbol" w:hAnsi="Symbol" w:hint="default"/>
      </w:rPr>
    </w:lvl>
    <w:lvl w:ilvl="2">
      <w:start w:val="1"/>
      <w:numFmt w:val="bullet"/>
      <w:lvlText w:val="-"/>
      <w:lvlJc w:val="left"/>
      <w:pPr>
        <w:tabs>
          <w:tab w:val="num" w:pos="1701"/>
        </w:tabs>
        <w:ind w:left="0" w:firstLine="113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tabs>
          <w:tab w:val="num" w:pos="2268"/>
        </w:tabs>
        <w:ind w:left="0" w:firstLine="1701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tabs>
          <w:tab w:val="num" w:pos="2835"/>
        </w:tabs>
        <w:ind w:left="0" w:firstLine="2268"/>
      </w:pPr>
      <w:rPr>
        <w:rFonts w:ascii="Symbol" w:hAnsi="Symbol" w:hint="default"/>
      </w:rPr>
    </w:lvl>
    <w:lvl w:ilvl="5">
      <w:start w:val="1"/>
      <w:numFmt w:val="bullet"/>
      <w:lvlText w:val="-"/>
      <w:lvlJc w:val="left"/>
      <w:pPr>
        <w:tabs>
          <w:tab w:val="num" w:pos="3402"/>
        </w:tabs>
        <w:ind w:left="0" w:firstLine="2835"/>
      </w:pPr>
      <w:rPr>
        <w:rFonts w:ascii="Symbol" w:hAnsi="Symbol" w:hint="default"/>
      </w:rPr>
    </w:lvl>
    <w:lvl w:ilvl="6">
      <w:start w:val="1"/>
      <w:numFmt w:val="bullet"/>
      <w:lvlText w:val="-"/>
      <w:lvlJc w:val="left"/>
      <w:pPr>
        <w:tabs>
          <w:tab w:val="num" w:pos="3969"/>
        </w:tabs>
        <w:ind w:left="0" w:firstLine="3402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tabs>
          <w:tab w:val="num" w:pos="4535"/>
        </w:tabs>
        <w:ind w:left="0" w:firstLine="3969"/>
      </w:pPr>
      <w:rPr>
        <w:rFonts w:ascii="Symbol" w:hAnsi="Symbol" w:hint="default"/>
      </w:rPr>
    </w:lvl>
    <w:lvl w:ilvl="8">
      <w:start w:val="1"/>
      <w:numFmt w:val="bullet"/>
      <w:lvlText w:val="-"/>
      <w:lvlJc w:val="left"/>
      <w:pPr>
        <w:tabs>
          <w:tab w:val="num" w:pos="5102"/>
        </w:tabs>
        <w:ind w:left="0" w:firstLine="4535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|Términos útiles|Fechas|Sesiones"/>
    <w:docVar w:name="TermBaseURL" w:val="empty"/>
    <w:docVar w:name="TextBases" w:val="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 New|TextBase TMs\WorkspaceSTS\Outreach\Economist|TextBase TMs\WorkspaceSTS\Outreach\IP Advantage|TextBase TMs\WorkspaceSTS\Outreach\POW Main|TextBase TMs\WorkspaceSTS\Outreach\POW Main New|TextBase TMs\WorkspaceSTS\Patents &amp; Innovation\P Instruments|TextBase TMs\WorkspaceSTS\Patents &amp; Innovation\Patents Main|TextBase TMs\WorkspaceSTS\Treaties &amp; Laws\WIPO Lex|TextBase TMs\WorkspaceSTS\UPOV\TGP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055E8A"/>
    <w:rsid w:val="0000265B"/>
    <w:rsid w:val="00010686"/>
    <w:rsid w:val="00013125"/>
    <w:rsid w:val="00026AA4"/>
    <w:rsid w:val="00052915"/>
    <w:rsid w:val="00055E8A"/>
    <w:rsid w:val="000E3BB3"/>
    <w:rsid w:val="000F5E56"/>
    <w:rsid w:val="00111E9F"/>
    <w:rsid w:val="001362EE"/>
    <w:rsid w:val="00152CEA"/>
    <w:rsid w:val="00170CEF"/>
    <w:rsid w:val="001730A0"/>
    <w:rsid w:val="001832A6"/>
    <w:rsid w:val="00196CB6"/>
    <w:rsid w:val="00211590"/>
    <w:rsid w:val="0026298B"/>
    <w:rsid w:val="002634C4"/>
    <w:rsid w:val="002C2E2F"/>
    <w:rsid w:val="002C475D"/>
    <w:rsid w:val="002D23B5"/>
    <w:rsid w:val="002E0F47"/>
    <w:rsid w:val="002F4E68"/>
    <w:rsid w:val="00310826"/>
    <w:rsid w:val="0031578D"/>
    <w:rsid w:val="00326687"/>
    <w:rsid w:val="00354647"/>
    <w:rsid w:val="00356070"/>
    <w:rsid w:val="00377273"/>
    <w:rsid w:val="003845C1"/>
    <w:rsid w:val="00387287"/>
    <w:rsid w:val="003919E3"/>
    <w:rsid w:val="003E48F1"/>
    <w:rsid w:val="003E5393"/>
    <w:rsid w:val="003F347A"/>
    <w:rsid w:val="00400D7F"/>
    <w:rsid w:val="00423E3E"/>
    <w:rsid w:val="00427AF4"/>
    <w:rsid w:val="0043248D"/>
    <w:rsid w:val="0045231F"/>
    <w:rsid w:val="00453197"/>
    <w:rsid w:val="004647DA"/>
    <w:rsid w:val="0046793F"/>
    <w:rsid w:val="00472A6E"/>
    <w:rsid w:val="00477808"/>
    <w:rsid w:val="00477D6B"/>
    <w:rsid w:val="004811B3"/>
    <w:rsid w:val="004A6C37"/>
    <w:rsid w:val="004D12E2"/>
    <w:rsid w:val="004E297D"/>
    <w:rsid w:val="00531B02"/>
    <w:rsid w:val="005332F0"/>
    <w:rsid w:val="00536891"/>
    <w:rsid w:val="0055013B"/>
    <w:rsid w:val="00553AA8"/>
    <w:rsid w:val="00554A29"/>
    <w:rsid w:val="00571B99"/>
    <w:rsid w:val="005A7BBC"/>
    <w:rsid w:val="005B2EAE"/>
    <w:rsid w:val="005E59D6"/>
    <w:rsid w:val="005E65DA"/>
    <w:rsid w:val="006051CE"/>
    <w:rsid w:val="00605827"/>
    <w:rsid w:val="0061533C"/>
    <w:rsid w:val="00616291"/>
    <w:rsid w:val="006239C7"/>
    <w:rsid w:val="00655FB4"/>
    <w:rsid w:val="0066141A"/>
    <w:rsid w:val="00675021"/>
    <w:rsid w:val="006A06C6"/>
    <w:rsid w:val="006A1EA1"/>
    <w:rsid w:val="007224C8"/>
    <w:rsid w:val="00730613"/>
    <w:rsid w:val="0073338F"/>
    <w:rsid w:val="007556F4"/>
    <w:rsid w:val="00794BE2"/>
    <w:rsid w:val="007A5581"/>
    <w:rsid w:val="007B71FE"/>
    <w:rsid w:val="007D781E"/>
    <w:rsid w:val="007E663E"/>
    <w:rsid w:val="00815082"/>
    <w:rsid w:val="00824184"/>
    <w:rsid w:val="0088395E"/>
    <w:rsid w:val="008B2CC1"/>
    <w:rsid w:val="008C4526"/>
    <w:rsid w:val="008D2BC2"/>
    <w:rsid w:val="008E6BD6"/>
    <w:rsid w:val="0090731E"/>
    <w:rsid w:val="00947D44"/>
    <w:rsid w:val="00966A22"/>
    <w:rsid w:val="00972F03"/>
    <w:rsid w:val="0098367F"/>
    <w:rsid w:val="009A0C8B"/>
    <w:rsid w:val="009A20CD"/>
    <w:rsid w:val="009B6241"/>
    <w:rsid w:val="00A05EE2"/>
    <w:rsid w:val="00A16FC0"/>
    <w:rsid w:val="00A32C9E"/>
    <w:rsid w:val="00A72811"/>
    <w:rsid w:val="00AB613D"/>
    <w:rsid w:val="00AE7F20"/>
    <w:rsid w:val="00B27FA2"/>
    <w:rsid w:val="00B534D5"/>
    <w:rsid w:val="00B65A0A"/>
    <w:rsid w:val="00B67CDC"/>
    <w:rsid w:val="00B72D36"/>
    <w:rsid w:val="00B84A2D"/>
    <w:rsid w:val="00BC4164"/>
    <w:rsid w:val="00BD2DCC"/>
    <w:rsid w:val="00BE311A"/>
    <w:rsid w:val="00BF5A8E"/>
    <w:rsid w:val="00C30BEC"/>
    <w:rsid w:val="00C90559"/>
    <w:rsid w:val="00C96797"/>
    <w:rsid w:val="00CA0169"/>
    <w:rsid w:val="00CA0500"/>
    <w:rsid w:val="00CA2251"/>
    <w:rsid w:val="00CC5F1A"/>
    <w:rsid w:val="00CD644B"/>
    <w:rsid w:val="00D32450"/>
    <w:rsid w:val="00D56C7C"/>
    <w:rsid w:val="00D71B4D"/>
    <w:rsid w:val="00D90289"/>
    <w:rsid w:val="00D93D55"/>
    <w:rsid w:val="00DC4C60"/>
    <w:rsid w:val="00DD6CF4"/>
    <w:rsid w:val="00E0079A"/>
    <w:rsid w:val="00E444DA"/>
    <w:rsid w:val="00E45C84"/>
    <w:rsid w:val="00E504E5"/>
    <w:rsid w:val="00E53598"/>
    <w:rsid w:val="00E91D66"/>
    <w:rsid w:val="00EB0D93"/>
    <w:rsid w:val="00EB31DB"/>
    <w:rsid w:val="00EB7A3E"/>
    <w:rsid w:val="00EC1AA7"/>
    <w:rsid w:val="00EC401A"/>
    <w:rsid w:val="00ED510F"/>
    <w:rsid w:val="00EE113F"/>
    <w:rsid w:val="00EF530A"/>
    <w:rsid w:val="00EF6622"/>
    <w:rsid w:val="00EF78A9"/>
    <w:rsid w:val="00F43082"/>
    <w:rsid w:val="00F50345"/>
    <w:rsid w:val="00F55408"/>
    <w:rsid w:val="00F66152"/>
    <w:rsid w:val="00F769E8"/>
    <w:rsid w:val="00F80845"/>
    <w:rsid w:val="00F84474"/>
    <w:rsid w:val="00FA0F0D"/>
    <w:rsid w:val="00FB536A"/>
    <w:rsid w:val="00FD01EB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,"/>
  <w15:docId w15:val="{9E8F94EA-EFD4-4751-AD54-DAFC6EB5C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customStyle="1" w:styleId="onume0">
    <w:name w:val="onume"/>
    <w:basedOn w:val="Normal"/>
    <w:qFormat/>
    <w:rsid w:val="00536891"/>
    <w:rPr>
      <w:rFonts w:eastAsia="Times New Roman"/>
      <w:b/>
      <w:szCs w:val="22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GC\WIPO_GRTKF_IC_4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38DF0-BDCF-4116-9E7B-5BE92EA2D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WIPO_GRTKF_IC_46 (S).dotm</Template>
  <TotalTime>6</TotalTime>
  <Pages>6</Pages>
  <Words>2546</Words>
  <Characters>14595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WIPO/GRTKF/IC/46/10</vt:lpstr>
    </vt:vector>
  </TitlesOfParts>
  <Company>WIPO</Company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WIPO/GRTKF/IC/46/10</dc:title>
  <dc:creator>MIGLIORE Liliana</dc:creator>
  <cp:keywords>FOR OFFICIAL USE ONLY</cp:keywords>
  <cp:lastModifiedBy>CEVALLOS DUQUE Nilo</cp:lastModifiedBy>
  <cp:revision>3</cp:revision>
  <dcterms:created xsi:type="dcterms:W3CDTF">2023-02-28T14:58:00Z</dcterms:created>
  <dcterms:modified xsi:type="dcterms:W3CDTF">2023-02-28T15:05:00Z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27f4ed21-4333-46ee-ba4d-a2b8332310c7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