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2654D" w:rsidRDefault="00472A6E" w:rsidP="00E95171">
      <w:pPr>
        <w:pBdr>
          <w:bottom w:val="single" w:sz="4" w:space="10" w:color="auto"/>
        </w:pBdr>
        <w:spacing w:after="120"/>
        <w:ind w:right="-57"/>
        <w:jc w:val="right"/>
        <w:rPr>
          <w:lang w:val="es-419"/>
        </w:rPr>
      </w:pPr>
      <w:r w:rsidRPr="0052654D">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2654D" w:rsidRDefault="00E95171" w:rsidP="00472A6E">
      <w:pPr>
        <w:jc w:val="right"/>
        <w:rPr>
          <w:rFonts w:ascii="Arial Black" w:hAnsi="Arial Black"/>
          <w:caps/>
          <w:sz w:val="15"/>
          <w:lang w:val="es-419"/>
        </w:rPr>
      </w:pPr>
      <w:r w:rsidRPr="0052654D">
        <w:rPr>
          <w:rFonts w:ascii="Arial Black" w:hAnsi="Arial Black"/>
          <w:caps/>
          <w:sz w:val="15"/>
          <w:lang w:val="es-419"/>
        </w:rPr>
        <w:t>WIPO/GRTKF/IC/45/</w:t>
      </w:r>
      <w:bookmarkStart w:id="0" w:name="Code"/>
      <w:bookmarkEnd w:id="0"/>
      <w:r w:rsidR="00391546" w:rsidRPr="0052654D">
        <w:rPr>
          <w:rFonts w:ascii="Arial Black" w:hAnsi="Arial Black"/>
          <w:caps/>
          <w:sz w:val="15"/>
          <w:lang w:val="es-419"/>
        </w:rPr>
        <w:t>3</w:t>
      </w:r>
    </w:p>
    <w:p w:rsidR="008B2CC1" w:rsidRPr="0052654D" w:rsidRDefault="00472A6E" w:rsidP="00472A6E">
      <w:pPr>
        <w:jc w:val="right"/>
        <w:rPr>
          <w:lang w:val="es-419"/>
        </w:rPr>
      </w:pPr>
      <w:r w:rsidRPr="0052654D">
        <w:rPr>
          <w:rFonts w:ascii="Arial Black" w:hAnsi="Arial Black"/>
          <w:caps/>
          <w:sz w:val="15"/>
          <w:lang w:val="es-419"/>
        </w:rPr>
        <w:t>ORIGINAL:</w:t>
      </w:r>
      <w:bookmarkStart w:id="1" w:name="Original"/>
      <w:r w:rsidR="00391546" w:rsidRPr="0052654D">
        <w:rPr>
          <w:rFonts w:ascii="Arial Black" w:hAnsi="Arial Black"/>
          <w:caps/>
          <w:sz w:val="15"/>
          <w:lang w:val="es-419"/>
        </w:rPr>
        <w:t xml:space="preserve"> INGLÉS</w:t>
      </w:r>
    </w:p>
    <w:bookmarkEnd w:id="1"/>
    <w:p w:rsidR="008B2CC1" w:rsidRPr="0052654D" w:rsidRDefault="00472A6E" w:rsidP="00472A6E">
      <w:pPr>
        <w:spacing w:after="1200"/>
        <w:jc w:val="right"/>
        <w:rPr>
          <w:lang w:val="es-419"/>
        </w:rPr>
      </w:pPr>
      <w:r w:rsidRPr="0052654D">
        <w:rPr>
          <w:rFonts w:ascii="Arial Black" w:hAnsi="Arial Black"/>
          <w:caps/>
          <w:sz w:val="15"/>
          <w:lang w:val="es-419"/>
        </w:rPr>
        <w:t>fecha:</w:t>
      </w:r>
      <w:bookmarkStart w:id="2" w:name="Date"/>
      <w:r w:rsidR="00391546" w:rsidRPr="0052654D">
        <w:rPr>
          <w:rFonts w:ascii="Arial Black" w:hAnsi="Arial Black"/>
          <w:caps/>
          <w:sz w:val="15"/>
          <w:lang w:val="es-419"/>
        </w:rPr>
        <w:t xml:space="preserve"> 23 DE NOVIEMBRE DE 2022</w:t>
      </w:r>
    </w:p>
    <w:bookmarkEnd w:id="2"/>
    <w:p w:rsidR="00B67CDC" w:rsidRPr="0052654D" w:rsidRDefault="00E95171" w:rsidP="00472A6E">
      <w:pPr>
        <w:pStyle w:val="Heading1"/>
        <w:spacing w:before="0" w:after="480"/>
        <w:rPr>
          <w:sz w:val="28"/>
          <w:lang w:val="es-419"/>
        </w:rPr>
      </w:pPr>
      <w:r w:rsidRPr="0052654D">
        <w:rPr>
          <w:caps w:val="0"/>
          <w:sz w:val="28"/>
          <w:lang w:val="es-419"/>
        </w:rPr>
        <w:t xml:space="preserve">Comité Intergubernamental sobre Propiedad Intelectual y Recursos Genéticos, Conocimientos Tradicionales y Folclore </w:t>
      </w:r>
    </w:p>
    <w:p w:rsidR="005B2EAE" w:rsidRPr="0052654D" w:rsidRDefault="00E95171" w:rsidP="005B2EAE">
      <w:pPr>
        <w:outlineLvl w:val="1"/>
        <w:rPr>
          <w:b/>
          <w:sz w:val="24"/>
          <w:szCs w:val="24"/>
          <w:lang w:val="es-419"/>
        </w:rPr>
      </w:pPr>
      <w:r w:rsidRPr="0052654D">
        <w:rPr>
          <w:b/>
          <w:sz w:val="24"/>
          <w:szCs w:val="24"/>
          <w:lang w:val="es-419"/>
        </w:rPr>
        <w:t>Cuadragésima quinta sesión</w:t>
      </w:r>
    </w:p>
    <w:p w:rsidR="00B67CDC" w:rsidRPr="0052654D" w:rsidRDefault="00E95171" w:rsidP="00472A6E">
      <w:pPr>
        <w:spacing w:after="720"/>
        <w:outlineLvl w:val="1"/>
        <w:rPr>
          <w:b/>
          <w:sz w:val="24"/>
          <w:szCs w:val="24"/>
          <w:lang w:val="es-419"/>
        </w:rPr>
      </w:pPr>
      <w:r w:rsidRPr="0052654D">
        <w:rPr>
          <w:b/>
          <w:sz w:val="24"/>
          <w:szCs w:val="24"/>
          <w:lang w:val="es-419"/>
        </w:rPr>
        <w:t>Ginebra, 5 a 9 de diciembre de 2022</w:t>
      </w:r>
    </w:p>
    <w:p w:rsidR="008B2CC1" w:rsidRPr="0052654D" w:rsidRDefault="00391546" w:rsidP="00472A6E">
      <w:pPr>
        <w:spacing w:after="360"/>
        <w:rPr>
          <w:caps/>
          <w:sz w:val="24"/>
          <w:lang w:val="es-419"/>
        </w:rPr>
      </w:pPr>
      <w:bookmarkStart w:id="3" w:name="TitleOfDoc"/>
      <w:r w:rsidRPr="0052654D">
        <w:rPr>
          <w:rFonts w:eastAsia="Times New Roman"/>
          <w:caps/>
          <w:sz w:val="24"/>
          <w:szCs w:val="24"/>
          <w:lang w:val="es-419"/>
        </w:rPr>
        <w:t>PARTICIPACIÓN DE LAS COMUNIDADES INDÍGENAS Y LOCALES: FONDO DE CONTRIBUCIONES VOLUNTARIAS</w:t>
      </w:r>
    </w:p>
    <w:p w:rsidR="008B2CC1" w:rsidRPr="0052654D" w:rsidRDefault="00391546" w:rsidP="00472A6E">
      <w:pPr>
        <w:spacing w:after="1040"/>
        <w:rPr>
          <w:i/>
          <w:lang w:val="es-419"/>
        </w:rPr>
      </w:pPr>
      <w:bookmarkStart w:id="4" w:name="Prepared"/>
      <w:bookmarkEnd w:id="3"/>
      <w:bookmarkEnd w:id="4"/>
      <w:r w:rsidRPr="0052654D">
        <w:rPr>
          <w:i/>
          <w:lang w:val="es-419"/>
        </w:rPr>
        <w:t>Documento preparado por la Secretaría</w:t>
      </w:r>
    </w:p>
    <w:p w:rsidR="00391546" w:rsidRPr="0052654D" w:rsidRDefault="00391546" w:rsidP="00391546">
      <w:pPr>
        <w:outlineLvl w:val="1"/>
        <w:rPr>
          <w:bCs/>
          <w:iCs/>
          <w:caps/>
          <w:szCs w:val="28"/>
          <w:lang w:val="es-419"/>
        </w:rPr>
      </w:pPr>
      <w:r w:rsidRPr="0052654D">
        <w:rPr>
          <w:bCs/>
          <w:iCs/>
          <w:caps/>
          <w:szCs w:val="28"/>
          <w:lang w:val="es-419"/>
        </w:rPr>
        <w:t>REPOSICIÓN DE LAS reservas del fondo de contribuciones voluntarias</w:t>
      </w:r>
    </w:p>
    <w:p w:rsidR="00391546" w:rsidRPr="0052654D" w:rsidRDefault="00391546" w:rsidP="00391546">
      <w:pPr>
        <w:rPr>
          <w:sz w:val="20"/>
          <w:lang w:val="es-419"/>
        </w:rPr>
      </w:pPr>
    </w:p>
    <w:p w:rsidR="00391546" w:rsidRPr="0052654D" w:rsidRDefault="00391546" w:rsidP="00391546">
      <w:pPr>
        <w:numPr>
          <w:ilvl w:val="0"/>
          <w:numId w:val="22"/>
        </w:numPr>
        <w:ind w:left="0" w:firstLine="0"/>
        <w:contextualSpacing/>
        <w:rPr>
          <w:lang w:val="es-419"/>
        </w:rPr>
      </w:pPr>
      <w:r w:rsidRPr="0052654D">
        <w:rPr>
          <w:lang w:val="es-419"/>
        </w:rPr>
        <w:t>El importe disponible en la cuenta del Fondo de la OMPI de Contribuciones Voluntarias para las Comunidades Indígenas y Locales Acreditadas (“el Fondo”) era de 14.989,98 francos suizos al 7 de noviembre de 2022</w:t>
      </w:r>
      <w:r w:rsidRPr="0052654D">
        <w:rPr>
          <w:szCs w:val="22"/>
          <w:lang w:val="es-419"/>
        </w:rPr>
        <w:t>.</w:t>
      </w:r>
    </w:p>
    <w:p w:rsidR="00391546" w:rsidRPr="0052654D" w:rsidRDefault="00391546" w:rsidP="00391546">
      <w:pPr>
        <w:contextualSpacing/>
        <w:rPr>
          <w:lang w:val="es-419"/>
        </w:rPr>
      </w:pPr>
    </w:p>
    <w:p w:rsidR="00391546" w:rsidRPr="0052654D" w:rsidRDefault="00391546" w:rsidP="00391546">
      <w:pPr>
        <w:numPr>
          <w:ilvl w:val="0"/>
          <w:numId w:val="22"/>
        </w:numPr>
        <w:ind w:left="0" w:firstLine="0"/>
        <w:contextualSpacing/>
        <w:rPr>
          <w:lang w:val="es-419"/>
        </w:rPr>
      </w:pPr>
      <w:r w:rsidRPr="0052654D">
        <w:rPr>
          <w:lang w:val="es-419"/>
        </w:rPr>
        <w:t>El Gobierno de Finlandia aportó 16,227.93 francos suizos el 6 de noviembre de 2019 y el Gobierno de Alemania 14.233,70 francos suizos el 13 de septiembre de 2022 (el equivalente a 15.000 euros cada uno en la fecha de las operaciones de transferencia</w:t>
      </w:r>
      <w:r w:rsidRPr="0052654D">
        <w:rPr>
          <w:rFonts w:eastAsiaTheme="minorHAnsi"/>
          <w:szCs w:val="22"/>
          <w:lang w:val="es-419" w:eastAsia="en-US"/>
        </w:rPr>
        <w:t>)</w:t>
      </w:r>
      <w:r w:rsidRPr="0052654D">
        <w:rPr>
          <w:lang w:val="es-419"/>
        </w:rPr>
        <w:t>. Esas son las contribuciones más recientes hechas por cualquier donante, después de una contribución realizada por el Gobierno del Canadá el 27 de marzo de 2019.</w:t>
      </w:r>
    </w:p>
    <w:p w:rsidR="00391546" w:rsidRPr="0052654D" w:rsidRDefault="00391546" w:rsidP="00391546">
      <w:pPr>
        <w:contextualSpacing/>
        <w:rPr>
          <w:lang w:val="es-419"/>
        </w:rPr>
      </w:pPr>
    </w:p>
    <w:p w:rsidR="00391546" w:rsidRPr="0052654D" w:rsidRDefault="00391546" w:rsidP="00391546">
      <w:pPr>
        <w:numPr>
          <w:ilvl w:val="0"/>
          <w:numId w:val="22"/>
        </w:numPr>
        <w:tabs>
          <w:tab w:val="num" w:pos="-153"/>
        </w:tabs>
        <w:ind w:left="0" w:firstLine="0"/>
        <w:contextualSpacing/>
        <w:rPr>
          <w:lang w:val="es-419"/>
        </w:rPr>
      </w:pPr>
      <w:r w:rsidRPr="0052654D">
        <w:rPr>
          <w:lang w:val="es-419"/>
        </w:rPr>
        <w:t>Con arreglo a las normas vigentes del Fondo, y que constan en el Anexo</w:t>
      </w:r>
      <w:r w:rsidRPr="0052654D">
        <w:rPr>
          <w:rFonts w:eastAsiaTheme="minorHAnsi"/>
          <w:szCs w:val="22"/>
          <w:lang w:val="es-419" w:eastAsia="en-US"/>
        </w:rPr>
        <w:t xml:space="preserve"> I</w:t>
      </w:r>
      <w:r w:rsidRPr="0052654D">
        <w:rPr>
          <w:rStyle w:val="FootnoteReference"/>
          <w:rFonts w:eastAsiaTheme="minorHAnsi"/>
          <w:szCs w:val="22"/>
          <w:lang w:val="es-419" w:eastAsia="en-US"/>
        </w:rPr>
        <w:footnoteReference w:id="2"/>
      </w:r>
      <w:r w:rsidRPr="0052654D">
        <w:rPr>
          <w:lang w:val="es-419"/>
        </w:rPr>
        <w:t>, la ayuda que se puede conceder mediante el Fondo depende exclusivamente de las contribuciones voluntarias realizadas por los donantes. Merece la pena recordar a ese respecto que el Fondo, tras años de funcionamiento, no ha podido ofrecer financiación a ningún candidato recomendado desde la vigesimoséptima a la trigésima tercera sesión del Comité, ni en las sesiones trigésima séptima ni trigésima novena, al no haber recibido nuevas contribuciones. El Fondo solo ha podido financiar parcialmente a una solicitante recomendada de cara a la trigésima octava sesión y a cuatro de los siete solicitantes recomendados de cara a la cuadragésima sesión.</w:t>
      </w:r>
    </w:p>
    <w:p w:rsidR="00391546" w:rsidRPr="0052654D" w:rsidRDefault="00391546" w:rsidP="00391546">
      <w:pPr>
        <w:contextualSpacing/>
        <w:rPr>
          <w:lang w:val="es-419"/>
        </w:rPr>
      </w:pPr>
    </w:p>
    <w:p w:rsidR="00391546" w:rsidRPr="0052654D" w:rsidRDefault="00391546" w:rsidP="00391546">
      <w:pPr>
        <w:numPr>
          <w:ilvl w:val="0"/>
          <w:numId w:val="22"/>
        </w:numPr>
        <w:ind w:left="0" w:firstLine="0"/>
        <w:contextualSpacing/>
        <w:rPr>
          <w:lang w:val="es-419"/>
        </w:rPr>
      </w:pPr>
      <w:r w:rsidRPr="0052654D">
        <w:rPr>
          <w:lang w:val="es-419"/>
        </w:rPr>
        <w:lastRenderedPageBreak/>
        <w:t>El director general de la OMPI y los presidentes del Comité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también en la cuadragésima cuarta sesión del Comité. En su último informe, la Junta Asesora del Fondo “alentó encarecidamente a los Estados miembros de la OMPI y a otros donantes potenciales a que efectúen contribuciones al Fondo”. (Véase el Anexo del documento WIPO/GRTKF/IC/44/INF/6).</w:t>
      </w:r>
    </w:p>
    <w:p w:rsidR="00391546" w:rsidRPr="0052654D" w:rsidRDefault="00391546" w:rsidP="00391546">
      <w:pPr>
        <w:contextualSpacing/>
        <w:rPr>
          <w:lang w:val="es-419"/>
        </w:rPr>
      </w:pPr>
    </w:p>
    <w:p w:rsidR="00391546" w:rsidRPr="0052654D" w:rsidRDefault="00391546" w:rsidP="00391546">
      <w:pPr>
        <w:numPr>
          <w:ilvl w:val="0"/>
          <w:numId w:val="22"/>
        </w:numPr>
        <w:ind w:left="0" w:firstLine="0"/>
        <w:contextualSpacing/>
        <w:rPr>
          <w:lang w:val="es-419"/>
        </w:rPr>
      </w:pPr>
      <w:r w:rsidRPr="0052654D">
        <w:rPr>
          <w:lang w:val="es-419"/>
        </w:rPr>
        <w:t>Paralelamente, el Foro Permanente de las Naciones Unidas para las Cuestiones Indígenas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plena y efectiva participación de los pueblos indígenas y de las comunidades locales en las negociaciones del [Comité] de conformidad con el artículo 41 [de la Declaración de las Naciones Unidas sobre los Derechos de las Poblaciones Indígenas]. A tal efecto, el Foro anima encarecidamente a los Estados miembros de la OMPI a que contribuyan al Fondo de la OMPI de 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 En el informe de su decimoctavo período de sesiones, que tuvo lugar del 22 de abril al 3 de mayo de 2019 (véase el documento del Consejo Económico y Social de las Naciones Unidas E/2019/43 E/C.19/2019/10), el Foro, en su párrafo 9, pidió al Comité que “utilice su presupuesto básico para financiar la participación de los pueblos indígenas en las deliberaciones”.</w:t>
      </w:r>
    </w:p>
    <w:p w:rsidR="00391546" w:rsidRPr="0052654D" w:rsidRDefault="00391546" w:rsidP="00391546">
      <w:pPr>
        <w:contextualSpacing/>
        <w:rPr>
          <w:lang w:val="es-419"/>
        </w:rPr>
      </w:pPr>
    </w:p>
    <w:p w:rsidR="00391546" w:rsidRPr="0052654D" w:rsidRDefault="00391546" w:rsidP="00391546">
      <w:pPr>
        <w:numPr>
          <w:ilvl w:val="0"/>
          <w:numId w:val="22"/>
        </w:numPr>
        <w:ind w:left="0" w:firstLine="0"/>
        <w:contextualSpacing/>
        <w:rPr>
          <w:u w:val="single"/>
          <w:lang w:val="es-419"/>
        </w:rPr>
      </w:pPr>
      <w:r w:rsidRPr="0052654D">
        <w:rPr>
          <w:lang w:val="es-419"/>
        </w:rPr>
        <w:t>Se recuerda que, ante la situación financiera del Fondo, el presidente del Comité invitó al Comité, en sus sesiones vigesimoséptima y vigesimoctava, a reflexionar sobre nuevas formas de engrosar el Fondo (véase el documento WIPO/GRTKF/IC/29/3)</w:t>
      </w:r>
      <w:r w:rsidRPr="0052654D">
        <w:rPr>
          <w:rFonts w:eastAsiaTheme="minorHAnsi"/>
          <w:szCs w:val="22"/>
          <w:lang w:val="es-419" w:eastAsia="en-US"/>
        </w:rPr>
        <w:t>.</w:t>
      </w:r>
    </w:p>
    <w:p w:rsidR="00391546" w:rsidRPr="0052654D" w:rsidRDefault="00391546" w:rsidP="00391546">
      <w:pPr>
        <w:contextualSpacing/>
        <w:rPr>
          <w:u w:val="single"/>
          <w:lang w:val="es-419"/>
        </w:rPr>
      </w:pPr>
    </w:p>
    <w:p w:rsidR="00391546" w:rsidRPr="0052654D" w:rsidRDefault="00391546" w:rsidP="00391546">
      <w:pPr>
        <w:numPr>
          <w:ilvl w:val="0"/>
          <w:numId w:val="22"/>
        </w:numPr>
        <w:ind w:left="0" w:firstLine="0"/>
        <w:contextualSpacing/>
        <w:rPr>
          <w:u w:val="single"/>
          <w:lang w:val="es-419"/>
        </w:rPr>
      </w:pPr>
      <w:r w:rsidRPr="0052654D">
        <w:rPr>
          <w:lang w:val="es-419"/>
        </w:rPr>
        <w:t>La Asamblea General de la OMPI de 2021 “f) reconoció la importancia de la participación de los pueblos indígenas y las comunidades locales en la labor del Comité, tomó nota de que el Fondo de la OMPI de Contribuciones Voluntarias para Comunidades Indígenas y Locales acreditadas está bajo mínimos, alentó a los Estados miembros a ponderar la posibilidad de realizar aportaciones a dicho Fondo e invitó a los Estados miembros a examinar otros posibles acuerdos de financiación”. (Véase el documento WO/GA/54/15 párr.168 iii)).</w:t>
      </w:r>
    </w:p>
    <w:p w:rsidR="00391546" w:rsidRPr="0052654D" w:rsidRDefault="00391546" w:rsidP="00391546">
      <w:pPr>
        <w:contextualSpacing/>
        <w:rPr>
          <w:lang w:val="es-419"/>
        </w:rPr>
      </w:pPr>
    </w:p>
    <w:p w:rsidR="00391546" w:rsidRPr="0052654D" w:rsidRDefault="00391546" w:rsidP="00391546">
      <w:pPr>
        <w:numPr>
          <w:ilvl w:val="0"/>
          <w:numId w:val="22"/>
        </w:numPr>
        <w:ind w:left="0" w:firstLine="0"/>
        <w:contextualSpacing/>
        <w:rPr>
          <w:u w:val="single"/>
          <w:lang w:val="es-419"/>
        </w:rPr>
      </w:pPr>
      <w:r w:rsidRPr="0052654D">
        <w:rPr>
          <w:lang w:val="es-419"/>
        </w:rPr>
        <w:t>De conformidad con el Reglamento del Fondo, se proporciona más información actualizada en la nota informativa (WIPO/GRTKF/IC/45/INF/4) que se comunicará al Comité antes de la sesión en curso. En esa nota informativa se expondrán, entre otras cosas, las contribuciones efectuadas y prometidas hasta la fecha de la nota, el importe disponible en el Fondo, el nombre de los contribuyentes, el nombre del candidato o de los candidatos que recibieron financiación en las sesiones cuadragésima cuarta y cuadragésima quinta, si los hubiere, y, por último, el nombre de los candidatos que hayan solicitado financiación.</w:t>
      </w:r>
    </w:p>
    <w:p w:rsidR="00391546" w:rsidRPr="0052654D" w:rsidRDefault="00391546" w:rsidP="00391546">
      <w:pPr>
        <w:pStyle w:val="ListParagraph"/>
        <w:rPr>
          <w:lang w:val="es-419"/>
        </w:rPr>
      </w:pPr>
    </w:p>
    <w:p w:rsidR="00391546" w:rsidRPr="0052654D" w:rsidRDefault="00391546" w:rsidP="00391546">
      <w:pPr>
        <w:outlineLvl w:val="1"/>
        <w:rPr>
          <w:bCs/>
          <w:iCs/>
          <w:caps/>
          <w:szCs w:val="28"/>
          <w:lang w:val="es-419"/>
        </w:rPr>
      </w:pPr>
      <w:r w:rsidRPr="0052654D">
        <w:rPr>
          <w:bCs/>
          <w:iCs/>
          <w:caps/>
          <w:szCs w:val="28"/>
          <w:lang w:val="es-419"/>
        </w:rPr>
        <w:t>NOMBRAMIENTO DE LA JUNTA ASESORA</w:t>
      </w:r>
    </w:p>
    <w:p w:rsidR="00391546" w:rsidRPr="0052654D" w:rsidRDefault="00391546" w:rsidP="00391546">
      <w:pPr>
        <w:keepNext/>
        <w:rPr>
          <w:sz w:val="20"/>
          <w:lang w:val="es-419"/>
        </w:rPr>
      </w:pPr>
    </w:p>
    <w:p w:rsidR="00391546" w:rsidRPr="0052654D" w:rsidRDefault="00391546" w:rsidP="00391546">
      <w:pPr>
        <w:pStyle w:val="ListParagraph"/>
        <w:numPr>
          <w:ilvl w:val="0"/>
          <w:numId w:val="22"/>
        </w:numPr>
        <w:tabs>
          <w:tab w:val="num" w:pos="567"/>
        </w:tabs>
        <w:ind w:left="0" w:firstLine="0"/>
        <w:rPr>
          <w:lang w:val="es-419"/>
        </w:rPr>
      </w:pPr>
      <w:r w:rsidRPr="0052654D">
        <w:rPr>
          <w:lang w:val="es-419"/>
        </w:rPr>
        <w:t xml:space="preserve">En la decisión en que se exponen los objetivos y el funcionamiento del Fondo se establece que “[a]l margen del miembro designado </w:t>
      </w:r>
      <w:r w:rsidRPr="0052654D">
        <w:rPr>
          <w:i/>
          <w:lang w:val="es-419"/>
        </w:rPr>
        <w:t>ex officio</w:t>
      </w:r>
      <w:r w:rsidRPr="0052654D">
        <w:rPr>
          <w:lang w:val="es-419"/>
        </w:rPr>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52654D">
        <w:rPr>
          <w:i/>
          <w:lang w:val="es-419"/>
        </w:rPr>
        <w:t>ex officio</w:t>
      </w:r>
      <w:r w:rsidRPr="0052654D">
        <w:rPr>
          <w:lang w:val="es-419"/>
        </w:rPr>
        <w:t>, finalizará al comienzo de la siguiente sesión del Comité” (artículo 8).</w:t>
      </w:r>
    </w:p>
    <w:p w:rsidR="00391546" w:rsidRPr="0052654D" w:rsidRDefault="00391546" w:rsidP="00391546">
      <w:pPr>
        <w:contextualSpacing/>
        <w:rPr>
          <w:lang w:val="es-419"/>
        </w:rPr>
      </w:pPr>
    </w:p>
    <w:p w:rsidR="00391546" w:rsidRPr="0052654D" w:rsidRDefault="00391546" w:rsidP="00391546">
      <w:pPr>
        <w:numPr>
          <w:ilvl w:val="0"/>
          <w:numId w:val="22"/>
        </w:numPr>
        <w:ind w:left="0" w:firstLine="0"/>
        <w:contextualSpacing/>
        <w:rPr>
          <w:lang w:val="es-419"/>
        </w:rPr>
      </w:pPr>
      <w:r w:rsidRPr="0052654D">
        <w:rPr>
          <w:lang w:val="es-419"/>
        </w:rPr>
        <w:lastRenderedPageBreak/>
        <w:t>En la cuadragésima cuarta sesión, el presidente propuso a las ocho personas siguientes para que intervinieran a título personal en la Junta Asesora, y el Comité las eligió por aclamación:</w:t>
      </w:r>
    </w:p>
    <w:p w:rsidR="00391546" w:rsidRPr="0052654D" w:rsidRDefault="00391546" w:rsidP="00391546">
      <w:pPr>
        <w:rPr>
          <w:sz w:val="20"/>
          <w:lang w:val="es-419"/>
        </w:rPr>
      </w:pPr>
    </w:p>
    <w:p w:rsidR="00391546" w:rsidRPr="0052654D" w:rsidRDefault="00391546" w:rsidP="00391546">
      <w:pPr>
        <w:ind w:left="1100" w:hanging="550"/>
        <w:rPr>
          <w:rFonts w:eastAsiaTheme="minorHAnsi"/>
          <w:szCs w:val="22"/>
          <w:lang w:val="es-419" w:eastAsia="en-US"/>
        </w:rPr>
      </w:pPr>
      <w:r w:rsidRPr="0052654D">
        <w:rPr>
          <w:lang w:val="es-419"/>
        </w:rPr>
        <w:t>i)</w:t>
      </w:r>
      <w:r w:rsidRPr="0052654D">
        <w:rPr>
          <w:lang w:val="es-419"/>
        </w:rPr>
        <w:tab/>
        <w:t>en calidad de miembros de delegaciones de Estados miembros de la OMPI:</w:t>
      </w:r>
      <w:r w:rsidRPr="0052654D">
        <w:rPr>
          <w:lang w:val="es-419"/>
        </w:rPr>
        <w:br/>
      </w:r>
      <w:r w:rsidRPr="0052654D">
        <w:rPr>
          <w:rFonts w:eastAsiaTheme="minorHAnsi"/>
          <w:szCs w:val="22"/>
          <w:lang w:val="es-419" w:eastAsia="en-US"/>
        </w:rPr>
        <w:t>Vueti KOSONIU MAY (Sr.), primer secretario, Misión Permanente de Fiji, Ginebra; Allan NDAGIJE MUGARURA (Sr.), tercer secretario, Misión Permanente de Uganda, Ginebra; Thomas REITINGER (Sr.), examinador principal de patentes, División de Patentes, Oficina Alemana de Patentes y Marcas, Ministerio Federal de Justicia (Alemania); Alison Anabella URQUIZO OLAZABALA (Sra.), segunda secretaria, Misión Permanente de Perú, Ginebra;</w:t>
      </w:r>
    </w:p>
    <w:p w:rsidR="00391546" w:rsidRPr="0052654D" w:rsidRDefault="00391546" w:rsidP="00391546">
      <w:pPr>
        <w:ind w:left="550" w:hanging="566"/>
        <w:rPr>
          <w:sz w:val="20"/>
          <w:lang w:val="es-419"/>
        </w:rPr>
      </w:pPr>
    </w:p>
    <w:p w:rsidR="00391546" w:rsidRPr="0052654D" w:rsidRDefault="00391546" w:rsidP="00391546">
      <w:pPr>
        <w:ind w:left="1100" w:hanging="550"/>
        <w:rPr>
          <w:szCs w:val="22"/>
          <w:lang w:val="es-419"/>
        </w:rPr>
      </w:pPr>
      <w:r w:rsidRPr="0052654D">
        <w:rPr>
          <w:lang w:val="es-419"/>
        </w:rPr>
        <w:t>ii)</w:t>
      </w:r>
      <w:r w:rsidRPr="0052654D">
        <w:rPr>
          <w:lang w:val="es-419"/>
        </w:rPr>
        <w:tab/>
        <w:t>en calidad de miembros de observadores acreditados, representantes de las comunidades indígenas y locales o de otros titulares o custodios consuetudinarios de conocimientos tradicionales o de expresiones culturales tradicionales:</w:t>
      </w:r>
    </w:p>
    <w:p w:rsidR="00391546" w:rsidRPr="0052654D" w:rsidRDefault="00391546" w:rsidP="00391546">
      <w:pPr>
        <w:ind w:left="1100" w:firstLine="17"/>
        <w:rPr>
          <w:rFonts w:eastAsiaTheme="minorHAnsi"/>
          <w:szCs w:val="22"/>
          <w:lang w:val="es-419" w:eastAsia="en-US"/>
        </w:rPr>
      </w:pPr>
      <w:r w:rsidRPr="0052654D">
        <w:rPr>
          <w:szCs w:val="22"/>
          <w:lang w:val="es-419"/>
        </w:rPr>
        <w:t>Joā Anne DRIESSENS (Sra.), representante, Arts Law Centre de Australia; Lucy MULENKEI (Sra.), representante, directora ejecutiva, Departamento de Derechos Humanos, Género y Medio Ambiente, Red de Información Indígena; Herlinda Guadalupe QUE DZUL (Sra.), representante, asesora, Agencia Internacional de Prensa Indígena (AIPIN).</w:t>
      </w:r>
    </w:p>
    <w:p w:rsidR="00391546" w:rsidRPr="0052654D" w:rsidRDefault="00391546" w:rsidP="00391546">
      <w:pPr>
        <w:ind w:left="1100" w:hanging="550"/>
        <w:rPr>
          <w:lang w:val="es-419"/>
        </w:rPr>
      </w:pPr>
    </w:p>
    <w:p w:rsidR="00391546" w:rsidRPr="0052654D" w:rsidRDefault="00391546" w:rsidP="00391546">
      <w:pPr>
        <w:numPr>
          <w:ilvl w:val="0"/>
          <w:numId w:val="22"/>
        </w:numPr>
        <w:ind w:left="0" w:firstLine="0"/>
        <w:contextualSpacing/>
        <w:rPr>
          <w:sz w:val="20"/>
          <w:lang w:val="es-419"/>
        </w:rPr>
      </w:pPr>
      <w:r w:rsidRPr="0052654D">
        <w:rPr>
          <w:lang w:val="es-419"/>
        </w:rPr>
        <w:t xml:space="preserve">El presidente del Comité nombró al Sr. </w:t>
      </w:r>
      <w:r w:rsidRPr="0052654D">
        <w:rPr>
          <w:szCs w:val="22"/>
          <w:lang w:val="es-419"/>
        </w:rPr>
        <w:t xml:space="preserve">Yonah SELETI, </w:t>
      </w:r>
      <w:r w:rsidRPr="0052654D">
        <w:rPr>
          <w:iCs/>
          <w:szCs w:val="22"/>
          <w:lang w:val="es-419"/>
        </w:rPr>
        <w:t xml:space="preserve">director general, Labores Científicas, Departamento de Ciencia e Innovación, Sudáfrica, </w:t>
      </w:r>
      <w:r w:rsidRPr="0052654D">
        <w:rPr>
          <w:lang w:val="es-419"/>
        </w:rPr>
        <w:t xml:space="preserve">vicepresidente del Comité Intergubernamental como </w:t>
      </w:r>
      <w:r w:rsidRPr="0052654D">
        <w:rPr>
          <w:iCs/>
          <w:szCs w:val="22"/>
          <w:lang w:val="es-419"/>
        </w:rPr>
        <w:t>miembro de oficio</w:t>
      </w:r>
      <w:r w:rsidRPr="0052654D">
        <w:rPr>
          <w:szCs w:val="22"/>
          <w:lang w:val="es-419"/>
        </w:rPr>
        <w:t>.</w:t>
      </w:r>
    </w:p>
    <w:p w:rsidR="00391546" w:rsidRPr="0052654D" w:rsidRDefault="00391546" w:rsidP="00391546">
      <w:pPr>
        <w:rPr>
          <w:sz w:val="20"/>
          <w:lang w:val="es-419"/>
        </w:rPr>
      </w:pPr>
    </w:p>
    <w:p w:rsidR="00391546" w:rsidRPr="0052654D" w:rsidRDefault="00391546" w:rsidP="00391546">
      <w:pPr>
        <w:numPr>
          <w:ilvl w:val="0"/>
          <w:numId w:val="22"/>
        </w:numPr>
        <w:ind w:left="0" w:firstLine="0"/>
        <w:contextualSpacing/>
        <w:rPr>
          <w:lang w:val="es-419"/>
        </w:rPr>
      </w:pPr>
      <w:r w:rsidRPr="0052654D">
        <w:rPr>
          <w:lang w:val="es-419"/>
        </w:rPr>
        <w:t>Puesto que el mandato de cada uno de los actuales miembros de la Junta Asesora vencerá al inicio de la cuadragésima quinta sesión, el Comité tendrá que elegir, a más tardar en el segundo día de dicha sesión, a los nuevos miembros. En el Reglamento del Fondo se deja abierta la posibilidad de que los antiguos miembros sean reelegidos.</w:t>
      </w:r>
    </w:p>
    <w:p w:rsidR="00391546" w:rsidRPr="0052654D" w:rsidRDefault="00391546" w:rsidP="00391546">
      <w:pPr>
        <w:ind w:left="1100" w:hanging="550"/>
        <w:rPr>
          <w:szCs w:val="22"/>
          <w:lang w:val="es-419"/>
        </w:rPr>
      </w:pPr>
    </w:p>
    <w:p w:rsidR="00391546" w:rsidRPr="0052654D" w:rsidRDefault="00391546" w:rsidP="00391546">
      <w:pPr>
        <w:contextualSpacing/>
        <w:rPr>
          <w:i/>
          <w:lang w:val="es-419"/>
        </w:rPr>
      </w:pPr>
    </w:p>
    <w:p w:rsidR="00391546" w:rsidRPr="0052654D" w:rsidRDefault="00391546" w:rsidP="00391546">
      <w:pPr>
        <w:numPr>
          <w:ilvl w:val="0"/>
          <w:numId w:val="22"/>
        </w:numPr>
        <w:tabs>
          <w:tab w:val="num" w:pos="207"/>
        </w:tabs>
        <w:ind w:left="5533" w:firstLine="0"/>
        <w:contextualSpacing/>
        <w:rPr>
          <w:i/>
          <w:lang w:val="es-419"/>
        </w:rPr>
      </w:pPr>
      <w:r w:rsidRPr="0052654D">
        <w:rPr>
          <w:i/>
          <w:lang w:val="es-419"/>
        </w:rPr>
        <w:t>Se invita al Comité a:</w:t>
      </w:r>
    </w:p>
    <w:p w:rsidR="00391546" w:rsidRPr="0052654D" w:rsidRDefault="00391546" w:rsidP="00391546">
      <w:pPr>
        <w:tabs>
          <w:tab w:val="left" w:pos="5940"/>
        </w:tabs>
        <w:ind w:left="5533" w:hanging="33"/>
        <w:rPr>
          <w:i/>
          <w:szCs w:val="22"/>
          <w:lang w:val="es-419"/>
        </w:rPr>
      </w:pPr>
    </w:p>
    <w:p w:rsidR="00391546" w:rsidRPr="0052654D" w:rsidRDefault="00391546" w:rsidP="00391546">
      <w:pPr>
        <w:pStyle w:val="ListParagraph"/>
        <w:tabs>
          <w:tab w:val="left" w:pos="6096"/>
        </w:tabs>
        <w:spacing w:line="276" w:lineRule="auto"/>
        <w:ind w:left="5529"/>
        <w:contextualSpacing w:val="0"/>
        <w:rPr>
          <w:i/>
          <w:szCs w:val="22"/>
          <w:lang w:val="es-419"/>
        </w:rPr>
      </w:pPr>
      <w:r w:rsidRPr="0052654D">
        <w:rPr>
          <w:i/>
          <w:szCs w:val="22"/>
          <w:lang w:val="es-419"/>
        </w:rPr>
        <w:t>i)</w:t>
      </w:r>
      <w:r w:rsidRPr="0052654D">
        <w:rPr>
          <w:i/>
          <w:szCs w:val="22"/>
          <w:lang w:val="es-419"/>
        </w:rPr>
        <w:tab/>
      </w:r>
      <w:r w:rsidRPr="0052654D">
        <w:rPr>
          <w:i/>
          <w:lang w:val="es-419"/>
        </w:rPr>
        <w:t>instar encarecidamente a los miembros y a las entidades interesadas, tanto públicas como privadas, a que hagan una aportación al Fondo a fin de garantizar su funcionamiento; y</w:t>
      </w:r>
    </w:p>
    <w:p w:rsidR="00391546" w:rsidRPr="0052654D" w:rsidRDefault="00391546" w:rsidP="00391546">
      <w:pPr>
        <w:ind w:left="5533" w:hanging="33"/>
        <w:rPr>
          <w:i/>
          <w:szCs w:val="22"/>
          <w:lang w:val="es-419"/>
        </w:rPr>
      </w:pPr>
    </w:p>
    <w:p w:rsidR="00391546" w:rsidRPr="0052654D" w:rsidRDefault="00391546" w:rsidP="00391546">
      <w:pPr>
        <w:pStyle w:val="ListParagraph"/>
        <w:tabs>
          <w:tab w:val="left" w:pos="6096"/>
        </w:tabs>
        <w:spacing w:line="276" w:lineRule="auto"/>
        <w:ind w:left="5529"/>
        <w:contextualSpacing w:val="0"/>
        <w:rPr>
          <w:i/>
          <w:lang w:val="es-419"/>
        </w:rPr>
      </w:pPr>
      <w:r w:rsidRPr="0052654D">
        <w:rPr>
          <w:i/>
          <w:szCs w:val="22"/>
          <w:lang w:val="es-419"/>
        </w:rPr>
        <w:t>ii)</w:t>
      </w:r>
      <w:r w:rsidRPr="0052654D">
        <w:rPr>
          <w:i/>
          <w:szCs w:val="22"/>
          <w:lang w:val="es-419"/>
        </w:rPr>
        <w:tab/>
      </w:r>
      <w:r w:rsidRPr="0052654D">
        <w:rPr>
          <w:i/>
          <w:lang w:val="es-419"/>
        </w:rPr>
        <w:t>elegir a los miembros de la Junta Asesora del Fondo a partir de la propuesta del presidente a más tardar en el segundo día de su sesión.</w:t>
      </w:r>
    </w:p>
    <w:p w:rsidR="00391546" w:rsidRPr="0052654D" w:rsidRDefault="00391546" w:rsidP="00391546">
      <w:pPr>
        <w:ind w:left="774" w:hanging="1275"/>
        <w:rPr>
          <w:i/>
          <w:szCs w:val="22"/>
          <w:lang w:val="es-419"/>
        </w:rPr>
      </w:pPr>
    </w:p>
    <w:p w:rsidR="00391546" w:rsidRPr="0052654D" w:rsidRDefault="00391546" w:rsidP="00391546">
      <w:pPr>
        <w:ind w:left="5490"/>
        <w:contextualSpacing/>
        <w:rPr>
          <w:rFonts w:eastAsia="Times New Roman" w:cs="Times New Roman"/>
          <w:szCs w:val="22"/>
          <w:lang w:val="es-419" w:eastAsia="en-US"/>
        </w:rPr>
      </w:pPr>
      <w:r w:rsidRPr="0052654D">
        <w:rPr>
          <w:rFonts w:eastAsia="Times New Roman" w:cs="Times New Roman"/>
          <w:szCs w:val="22"/>
          <w:lang w:val="es-419" w:eastAsia="en-US"/>
        </w:rPr>
        <w:t>[Siguen los Anexos]</w:t>
      </w:r>
    </w:p>
    <w:p w:rsidR="00391546" w:rsidRPr="0052654D" w:rsidRDefault="00391546" w:rsidP="00391546">
      <w:pPr>
        <w:ind w:left="5490"/>
        <w:contextualSpacing/>
        <w:rPr>
          <w:rFonts w:eastAsia="Times New Roman" w:cs="Times New Roman"/>
          <w:szCs w:val="22"/>
          <w:lang w:val="es-419" w:eastAsia="en-US"/>
        </w:rPr>
      </w:pPr>
    </w:p>
    <w:p w:rsidR="00391546" w:rsidRPr="0052654D" w:rsidRDefault="00391546" w:rsidP="00391546">
      <w:pPr>
        <w:ind w:left="5490"/>
        <w:contextualSpacing/>
        <w:rPr>
          <w:rFonts w:eastAsia="Times New Roman" w:cs="Times New Roman"/>
          <w:szCs w:val="22"/>
          <w:lang w:val="es-419" w:eastAsia="en-US"/>
        </w:rPr>
        <w:sectPr w:rsidR="00391546" w:rsidRPr="0052654D" w:rsidSect="00391546">
          <w:headerReference w:type="even" r:id="rId9"/>
          <w:headerReference w:type="default" r:id="rId10"/>
          <w:footnotePr>
            <w:numRestart w:val="eachSect"/>
          </w:footnotePr>
          <w:endnotePr>
            <w:numFmt w:val="decimal"/>
          </w:endnotePr>
          <w:pgSz w:w="11907" w:h="16840" w:code="9"/>
          <w:pgMar w:top="567" w:right="797" w:bottom="1418" w:left="1418" w:header="510" w:footer="1021" w:gutter="0"/>
          <w:cols w:space="720"/>
          <w:titlePg/>
          <w:docGrid w:linePitch="299"/>
        </w:sectPr>
      </w:pPr>
    </w:p>
    <w:p w:rsidR="00391546" w:rsidRPr="0052654D" w:rsidRDefault="00391546" w:rsidP="00391546">
      <w:pPr>
        <w:spacing w:before="240"/>
        <w:ind w:left="1620" w:right="1772"/>
        <w:jc w:val="center"/>
        <w:outlineLvl w:val="6"/>
        <w:rPr>
          <w:rFonts w:eastAsia="Times New Roman"/>
          <w:u w:val="single"/>
          <w:lang w:val="es-419"/>
        </w:rPr>
      </w:pPr>
      <w:r w:rsidRPr="0052654D">
        <w:rPr>
          <w:rFonts w:eastAsia="Times New Roman"/>
          <w:u w:val="single"/>
          <w:lang w:val="es-419"/>
        </w:rPr>
        <w:lastRenderedPageBreak/>
        <w:t>Creación del Fondo de la OMPI de Contribuciones Voluntarias para las Comunidades Indígenas y Locales Acreditadas por la Asamblea General de la OMPI (32.º período de sesiones) y modificado posteriormente por la Asamblea General de la OMPI (39.º período de sesiones)</w:t>
      </w:r>
    </w:p>
    <w:p w:rsidR="00391546" w:rsidRPr="0052654D" w:rsidRDefault="00391546" w:rsidP="00391546">
      <w:pPr>
        <w:rPr>
          <w:lang w:val="es-419"/>
        </w:rPr>
      </w:pPr>
    </w:p>
    <w:p w:rsidR="00391546" w:rsidRPr="0052654D" w:rsidRDefault="00391546" w:rsidP="00391546">
      <w:pPr>
        <w:spacing w:after="120"/>
        <w:rPr>
          <w:lang w:val="es-419"/>
        </w:rPr>
      </w:pPr>
      <w:r w:rsidRPr="0052654D">
        <w:rPr>
          <w:i/>
          <w:lang w:val="es-419"/>
        </w:rPr>
        <w:t xml:space="preserve">Resuelto </w:t>
      </w:r>
      <w:r w:rsidRPr="0052654D">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391546" w:rsidRPr="0052654D" w:rsidRDefault="00391546" w:rsidP="00391546">
      <w:pPr>
        <w:spacing w:after="120"/>
        <w:rPr>
          <w:lang w:val="es-419"/>
        </w:rPr>
      </w:pPr>
      <w:r w:rsidRPr="0052654D">
        <w:rPr>
          <w:i/>
          <w:lang w:val="es-419"/>
        </w:rPr>
        <w:t>Reconociendo</w:t>
      </w:r>
      <w:r w:rsidRPr="0052654D">
        <w:rPr>
          <w:lang w:val="es-419"/>
        </w:rPr>
        <w:t xml:space="preserve"> que la eficacia de esas medidas depende, entre otras cosas, de que se obtenga el apoyo financiero adecuado;</w:t>
      </w:r>
    </w:p>
    <w:p w:rsidR="00391546" w:rsidRPr="0052654D" w:rsidRDefault="00391546" w:rsidP="00391546">
      <w:pPr>
        <w:spacing w:after="120"/>
        <w:rPr>
          <w:lang w:val="es-419"/>
        </w:rPr>
      </w:pPr>
      <w:r w:rsidRPr="0052654D">
        <w:rPr>
          <w:i/>
          <w:lang w:val="es-419"/>
        </w:rPr>
        <w:t xml:space="preserve">Reconociendo </w:t>
      </w:r>
      <w:r w:rsidRPr="0052654D">
        <w:rPr>
          <w:lang w:val="es-419"/>
        </w:rPr>
        <w:t>además que un marco adecuado y estructurado para financiar dicha participación fomentaría las contribuciones anteriormente mencionadas;</w:t>
      </w:r>
    </w:p>
    <w:p w:rsidR="00391546" w:rsidRPr="0052654D" w:rsidRDefault="00391546" w:rsidP="00391546">
      <w:pPr>
        <w:spacing w:after="240"/>
        <w:rPr>
          <w:lang w:val="es-419"/>
        </w:rPr>
      </w:pPr>
      <w:r w:rsidRPr="0052654D">
        <w:rPr>
          <w:lang w:val="es-419"/>
        </w:rPr>
        <w:t>[</w:t>
      </w:r>
      <w:r w:rsidRPr="0052654D">
        <w:rPr>
          <w:i/>
          <w:lang w:val="es-419"/>
        </w:rPr>
        <w:t>Si</w:t>
      </w:r>
      <w:r w:rsidRPr="0052654D">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52654D">
        <w:rPr>
          <w:rStyle w:val="FootnoteReference"/>
          <w:lang w:val="es-419"/>
        </w:rPr>
        <w:footnoteReference w:id="3"/>
      </w:r>
      <w:r w:rsidRPr="0052654D">
        <w:rPr>
          <w:lang w:val="es-419"/>
        </w:rPr>
        <w:t xml:space="preserve"> </w:t>
      </w:r>
      <w:r w:rsidRPr="0052654D">
        <w:rPr>
          <w:i/>
          <w:u w:val="single"/>
          <w:lang w:val="es-419"/>
        </w:rPr>
        <w:t>en dicho caso</w:t>
      </w:r>
      <w:r w:rsidRPr="0052654D">
        <w:rPr>
          <w:lang w:val="es-419"/>
        </w:rPr>
        <w:t xml:space="preserve"> se recomienda que la Asamblea [decida]</w:t>
      </w:r>
      <w:r w:rsidRPr="0052654D">
        <w:rPr>
          <w:rStyle w:val="FootnoteReference"/>
          <w:lang w:val="es-419"/>
        </w:rPr>
        <w:footnoteReference w:id="4"/>
      </w:r>
      <w:r w:rsidRPr="0052654D">
        <w:rPr>
          <w:lang w:val="es-419"/>
        </w:rPr>
        <w:t xml:space="preserve"> crear un fondo de contribuciones voluntarias cuyo nombre, objetivos, criterios de utilización y funcionamiento sean los siguientes:</w:t>
      </w:r>
    </w:p>
    <w:p w:rsidR="00391546" w:rsidRPr="0052654D" w:rsidRDefault="00391546" w:rsidP="00391546">
      <w:pPr>
        <w:rPr>
          <w:lang w:val="es-419"/>
        </w:rPr>
      </w:pPr>
      <w:r w:rsidRPr="0052654D">
        <w:rPr>
          <w:lang w:val="es-419"/>
        </w:rPr>
        <w:t>I.</w:t>
      </w:r>
      <w:r w:rsidRPr="0052654D">
        <w:rPr>
          <w:lang w:val="es-419"/>
        </w:rPr>
        <w:tab/>
        <w:t>NOMBRE</w:t>
      </w:r>
    </w:p>
    <w:p w:rsidR="00391546" w:rsidRPr="0052654D" w:rsidRDefault="00391546" w:rsidP="00391546">
      <w:pPr>
        <w:rPr>
          <w:lang w:val="es-419"/>
        </w:rPr>
      </w:pPr>
    </w:p>
    <w:p w:rsidR="00391546" w:rsidRPr="0052654D" w:rsidRDefault="00391546" w:rsidP="00391546">
      <w:pPr>
        <w:numPr>
          <w:ilvl w:val="0"/>
          <w:numId w:val="20"/>
        </w:numPr>
        <w:tabs>
          <w:tab w:val="clear" w:pos="360"/>
          <w:tab w:val="left" w:pos="540"/>
        </w:tabs>
        <w:spacing w:after="240"/>
        <w:ind w:left="0" w:firstLine="0"/>
        <w:rPr>
          <w:lang w:val="es-419"/>
        </w:rPr>
      </w:pPr>
      <w:r w:rsidRPr="0052654D">
        <w:rPr>
          <w:lang w:val="es-419"/>
        </w:rPr>
        <w:t>El fondo se conocerá por “Fondo de la OMPI de Contribuciones Voluntarias para las Comunidades Indígenas y Locales Acreditadas”, en adelante denominado el “Fondo”.</w:t>
      </w:r>
    </w:p>
    <w:p w:rsidR="00391546" w:rsidRPr="0052654D" w:rsidRDefault="00391546" w:rsidP="00391546">
      <w:pPr>
        <w:rPr>
          <w:lang w:val="es-419"/>
        </w:rPr>
      </w:pPr>
      <w:r w:rsidRPr="0052654D">
        <w:rPr>
          <w:lang w:val="es-419"/>
        </w:rPr>
        <w:t>II.</w:t>
      </w:r>
      <w:r w:rsidRPr="0052654D">
        <w:rPr>
          <w:lang w:val="es-419"/>
        </w:rPr>
        <w:tab/>
        <w:t>FINALIDAD Y ALCANCE</w:t>
      </w:r>
    </w:p>
    <w:p w:rsidR="00391546" w:rsidRPr="0052654D" w:rsidRDefault="00391546" w:rsidP="00391546">
      <w:pPr>
        <w:rPr>
          <w:lang w:val="es-419"/>
        </w:rPr>
      </w:pPr>
    </w:p>
    <w:p w:rsidR="00391546" w:rsidRPr="0052654D" w:rsidRDefault="00391546" w:rsidP="00391546">
      <w:pPr>
        <w:tabs>
          <w:tab w:val="left" w:pos="550"/>
        </w:tabs>
        <w:rPr>
          <w:lang w:val="es-419"/>
        </w:rPr>
      </w:pPr>
      <w:r w:rsidRPr="0052654D">
        <w:rPr>
          <w:lang w:val="es-419"/>
        </w:rPr>
        <w:t>2.</w:t>
      </w:r>
      <w:r w:rsidRPr="0052654D">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391546" w:rsidRPr="0052654D" w:rsidRDefault="00391546" w:rsidP="00391546">
      <w:pPr>
        <w:rPr>
          <w:lang w:val="es-419"/>
        </w:rPr>
      </w:pPr>
    </w:p>
    <w:p w:rsidR="00391546" w:rsidRPr="0052654D" w:rsidRDefault="00391546" w:rsidP="00391546">
      <w:pPr>
        <w:rPr>
          <w:lang w:val="es-419"/>
        </w:rPr>
      </w:pPr>
      <w:r w:rsidRPr="0052654D">
        <w:rPr>
          <w:lang w:val="es-419"/>
        </w:rPr>
        <w:t>2</w:t>
      </w:r>
      <w:r w:rsidRPr="0052654D">
        <w:rPr>
          <w:i/>
          <w:lang w:val="es-419"/>
        </w:rPr>
        <w:t>bis</w:t>
      </w:r>
      <w:r w:rsidRPr="0052654D">
        <w:rPr>
          <w:lang w:val="es-419"/>
        </w:rPr>
        <w:t>.</w:t>
      </w:r>
      <w:r w:rsidRPr="0052654D">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391546" w:rsidRPr="0052654D" w:rsidRDefault="00391546" w:rsidP="00391546">
      <w:pPr>
        <w:rPr>
          <w:lang w:val="es-419"/>
        </w:rPr>
      </w:pPr>
    </w:p>
    <w:p w:rsidR="00391546" w:rsidRPr="0052654D" w:rsidRDefault="00391546" w:rsidP="00391546">
      <w:pPr>
        <w:rPr>
          <w:lang w:val="es-419"/>
        </w:rPr>
      </w:pPr>
      <w:r w:rsidRPr="0052654D">
        <w:rPr>
          <w:lang w:val="es-419"/>
        </w:rPr>
        <w:t>3.</w:t>
      </w:r>
      <w:r w:rsidRPr="0052654D">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Pr="0052654D">
        <w:rPr>
          <w:i/>
          <w:lang w:val="es-419"/>
        </w:rPr>
        <w:t>ad hoc</w:t>
      </w:r>
      <w:r w:rsidRPr="0052654D">
        <w:rPr>
          <w:lang w:val="es-419"/>
        </w:rPr>
        <w:t xml:space="preserve"> acreditados por el Comité mismo o como observadores acreditados ante la OMPI.</w:t>
      </w:r>
    </w:p>
    <w:p w:rsidR="00391546" w:rsidRPr="0052654D" w:rsidRDefault="00391546" w:rsidP="00391546">
      <w:pPr>
        <w:ind w:left="567" w:hanging="567"/>
        <w:rPr>
          <w:lang w:val="es-419"/>
        </w:rPr>
      </w:pPr>
    </w:p>
    <w:p w:rsidR="00391546" w:rsidRPr="0052654D" w:rsidRDefault="00391546" w:rsidP="00391546">
      <w:pPr>
        <w:spacing w:after="240"/>
        <w:rPr>
          <w:lang w:val="es-419"/>
        </w:rPr>
      </w:pPr>
      <w:r w:rsidRPr="0052654D">
        <w:rPr>
          <w:lang w:val="es-419"/>
        </w:rPr>
        <w:lastRenderedPageBreak/>
        <w:t>4.</w:t>
      </w:r>
      <w:r w:rsidRPr="0052654D">
        <w:rPr>
          <w:lang w:val="es-419"/>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391546" w:rsidRPr="0052654D" w:rsidRDefault="00391546" w:rsidP="00391546">
      <w:pPr>
        <w:rPr>
          <w:lang w:val="es-419"/>
        </w:rPr>
      </w:pPr>
      <w:r w:rsidRPr="0052654D">
        <w:rPr>
          <w:lang w:val="es-419"/>
        </w:rPr>
        <w:t>III.</w:t>
      </w:r>
      <w:r w:rsidRPr="0052654D">
        <w:rPr>
          <w:lang w:val="es-419"/>
        </w:rPr>
        <w:tab/>
        <w:t>CRITERIOS DE UTILIZACIÓN DEL FONDO</w:t>
      </w:r>
    </w:p>
    <w:p w:rsidR="00391546" w:rsidRPr="0052654D" w:rsidRDefault="00391546" w:rsidP="00391546">
      <w:pPr>
        <w:rPr>
          <w:lang w:val="es-419"/>
        </w:rPr>
      </w:pPr>
    </w:p>
    <w:p w:rsidR="00391546" w:rsidRPr="0052654D" w:rsidRDefault="00391546" w:rsidP="00391546">
      <w:pPr>
        <w:rPr>
          <w:lang w:val="es-419"/>
        </w:rPr>
      </w:pPr>
      <w:r w:rsidRPr="0052654D">
        <w:rPr>
          <w:lang w:val="es-419"/>
        </w:rPr>
        <w:t>5.</w:t>
      </w:r>
      <w:r w:rsidRPr="0052654D">
        <w:rPr>
          <w:lang w:val="es-419"/>
        </w:rPr>
        <w:tab/>
        <w:t>Todo aporte financiero que se efectúe con arreglo al Fondo se regirá por los objetivos enunciados en los artículos 2 y 2</w:t>
      </w:r>
      <w:r w:rsidRPr="0052654D">
        <w:rPr>
          <w:i/>
          <w:lang w:val="es-419"/>
        </w:rPr>
        <w:t>bis</w:t>
      </w:r>
      <w:r w:rsidRPr="0052654D">
        <w:rPr>
          <w:lang w:val="es-419"/>
        </w:rPr>
        <w:t xml:space="preserve"> y por las siguientes condiciones:</w:t>
      </w:r>
    </w:p>
    <w:p w:rsidR="00391546" w:rsidRPr="0052654D" w:rsidRDefault="00391546" w:rsidP="00391546">
      <w:pPr>
        <w:rPr>
          <w:lang w:val="es-419"/>
        </w:rPr>
      </w:pPr>
    </w:p>
    <w:p w:rsidR="00391546" w:rsidRPr="0052654D" w:rsidRDefault="00391546" w:rsidP="00391546">
      <w:pPr>
        <w:ind w:left="1134" w:hanging="568"/>
        <w:rPr>
          <w:lang w:val="es-419"/>
        </w:rPr>
      </w:pPr>
      <w:r w:rsidRPr="0052654D">
        <w:rPr>
          <w:lang w:val="es-419"/>
        </w:rPr>
        <w:t>a)</w:t>
      </w:r>
      <w:r w:rsidRPr="0052654D">
        <w:rPr>
          <w:lang w:val="es-419"/>
        </w:rPr>
        <w:tab/>
        <w:t>Todo aporte se realizará con arreglo exclusivo a los recursos disponibles en el Fondo;</w:t>
      </w:r>
    </w:p>
    <w:p w:rsidR="00391546" w:rsidRPr="0052654D" w:rsidRDefault="00391546" w:rsidP="00391546">
      <w:pPr>
        <w:ind w:left="849" w:hanging="283"/>
        <w:rPr>
          <w:lang w:val="es-419"/>
        </w:rPr>
      </w:pPr>
    </w:p>
    <w:p w:rsidR="00391546" w:rsidRPr="0052654D" w:rsidRDefault="00391546" w:rsidP="00391546">
      <w:pPr>
        <w:ind w:left="1134" w:hanging="584"/>
        <w:rPr>
          <w:lang w:val="es-419"/>
        </w:rPr>
      </w:pPr>
      <w:r w:rsidRPr="0052654D">
        <w:rPr>
          <w:lang w:val="es-419"/>
        </w:rPr>
        <w:t>b)</w:t>
      </w:r>
      <w:r w:rsidRPr="0052654D">
        <w:rPr>
          <w:lang w:val="es-419"/>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391546" w:rsidRPr="0052654D" w:rsidRDefault="00391546" w:rsidP="00391546">
      <w:pPr>
        <w:ind w:left="849" w:hanging="283"/>
        <w:rPr>
          <w:lang w:val="es-419"/>
        </w:rPr>
      </w:pPr>
    </w:p>
    <w:p w:rsidR="00391546" w:rsidRPr="0052654D" w:rsidRDefault="00391546" w:rsidP="00391546">
      <w:pPr>
        <w:ind w:left="1100" w:hanging="534"/>
        <w:rPr>
          <w:lang w:val="es-419"/>
        </w:rPr>
      </w:pPr>
      <w:r w:rsidRPr="0052654D">
        <w:rPr>
          <w:lang w:val="es-419"/>
        </w:rPr>
        <w:t>c)</w:t>
      </w:r>
      <w:r w:rsidRPr="0052654D">
        <w:rPr>
          <w:lang w:val="es-419"/>
        </w:rPr>
        <w:tab/>
        <w:t>Para beneficiarse de la ayuda financiera, los candidatos deberán satisfacer los siguientes criterios:</w:t>
      </w:r>
    </w:p>
    <w:p w:rsidR="00391546" w:rsidRPr="0052654D" w:rsidRDefault="00391546" w:rsidP="00391546">
      <w:pPr>
        <w:ind w:left="1701"/>
        <w:rPr>
          <w:lang w:val="es-419"/>
        </w:rPr>
      </w:pPr>
    </w:p>
    <w:p w:rsidR="00391546" w:rsidRPr="0052654D" w:rsidRDefault="00391546" w:rsidP="00391546">
      <w:pPr>
        <w:numPr>
          <w:ilvl w:val="0"/>
          <w:numId w:val="16"/>
        </w:numPr>
        <w:tabs>
          <w:tab w:val="num" w:pos="1004"/>
        </w:tabs>
        <w:ind w:left="1710" w:hanging="630"/>
        <w:rPr>
          <w:lang w:val="es-419"/>
        </w:rPr>
      </w:pPr>
      <w:r w:rsidRPr="0052654D">
        <w:rPr>
          <w:lang w:val="es-419"/>
        </w:rPr>
        <w:t>ser una persona física;</w:t>
      </w:r>
    </w:p>
    <w:p w:rsidR="00391546" w:rsidRPr="0052654D" w:rsidRDefault="00391546" w:rsidP="00391546">
      <w:pPr>
        <w:ind w:left="1100"/>
        <w:rPr>
          <w:lang w:val="es-419"/>
        </w:rPr>
      </w:pPr>
    </w:p>
    <w:p w:rsidR="00391546" w:rsidRPr="0052654D" w:rsidRDefault="00391546" w:rsidP="00391546">
      <w:pPr>
        <w:numPr>
          <w:ilvl w:val="0"/>
          <w:numId w:val="16"/>
        </w:numPr>
        <w:ind w:left="1701" w:hanging="601"/>
        <w:rPr>
          <w:lang w:val="es-419"/>
        </w:rPr>
      </w:pPr>
      <w:r w:rsidRPr="0052654D">
        <w:rPr>
          <w:lang w:val="es-419"/>
        </w:rPr>
        <w:t>ser miembro de un observador acreditado que represente a las comunidades indígenas o locales o, de otro modo, a los custodios o titulares consuetudinarios de los conocimientos tradicionales o las expresiones culturales tradicionales;</w:t>
      </w:r>
    </w:p>
    <w:p w:rsidR="00391546" w:rsidRPr="0052654D" w:rsidRDefault="00391546" w:rsidP="00391546">
      <w:pPr>
        <w:tabs>
          <w:tab w:val="left" w:pos="1701"/>
        </w:tabs>
        <w:ind w:left="1100"/>
        <w:rPr>
          <w:lang w:val="es-419"/>
        </w:rPr>
      </w:pPr>
    </w:p>
    <w:p w:rsidR="00391546" w:rsidRPr="0052654D" w:rsidRDefault="00391546" w:rsidP="00391546">
      <w:pPr>
        <w:numPr>
          <w:ilvl w:val="0"/>
          <w:numId w:val="16"/>
        </w:numPr>
        <w:ind w:left="1710" w:hanging="610"/>
        <w:rPr>
          <w:lang w:val="es-419"/>
        </w:rPr>
      </w:pPr>
      <w:r w:rsidRPr="0052654D">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391546" w:rsidRPr="0052654D" w:rsidRDefault="00391546" w:rsidP="00391546">
      <w:pPr>
        <w:tabs>
          <w:tab w:val="left" w:pos="1701"/>
        </w:tabs>
        <w:ind w:left="1100"/>
        <w:rPr>
          <w:lang w:val="es-419"/>
        </w:rPr>
      </w:pPr>
    </w:p>
    <w:p w:rsidR="00391546" w:rsidRPr="0052654D" w:rsidRDefault="00391546" w:rsidP="00391546">
      <w:pPr>
        <w:numPr>
          <w:ilvl w:val="0"/>
          <w:numId w:val="16"/>
        </w:numPr>
        <w:ind w:left="1710" w:hanging="610"/>
        <w:rPr>
          <w:lang w:val="es-419"/>
        </w:rPr>
      </w:pPr>
      <w:r w:rsidRPr="0052654D">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391546" w:rsidRPr="0052654D" w:rsidRDefault="00391546" w:rsidP="00391546">
      <w:pPr>
        <w:tabs>
          <w:tab w:val="left" w:pos="1701"/>
        </w:tabs>
        <w:ind w:left="1100"/>
        <w:rPr>
          <w:lang w:val="es-419"/>
        </w:rPr>
      </w:pPr>
    </w:p>
    <w:p w:rsidR="00391546" w:rsidRPr="0052654D" w:rsidRDefault="00391546" w:rsidP="00391546">
      <w:pPr>
        <w:numPr>
          <w:ilvl w:val="0"/>
          <w:numId w:val="16"/>
        </w:numPr>
        <w:ind w:left="1710" w:hanging="630"/>
        <w:rPr>
          <w:lang w:val="es-419"/>
        </w:rPr>
      </w:pPr>
      <w:r w:rsidRPr="0052654D">
        <w:rPr>
          <w:lang w:val="es-419"/>
        </w:rPr>
        <w:t>que la Junta Asesora estime que, debido a la falta de recursos financieros alternativos, el candidato no podría participar en la sesión del Comité o en la reunión del grupo de trabajo entre sesiones en cuestión sin la ayuda financiera del Fondo.</w:t>
      </w:r>
    </w:p>
    <w:p w:rsidR="00391546" w:rsidRPr="0052654D" w:rsidRDefault="00391546" w:rsidP="00391546">
      <w:pPr>
        <w:tabs>
          <w:tab w:val="left" w:pos="1701"/>
        </w:tabs>
        <w:ind w:left="1100"/>
        <w:rPr>
          <w:lang w:val="es-419"/>
        </w:rPr>
      </w:pPr>
    </w:p>
    <w:p w:rsidR="00391546" w:rsidRPr="0052654D" w:rsidRDefault="00391546" w:rsidP="00391546">
      <w:pPr>
        <w:ind w:left="1100" w:hanging="550"/>
        <w:rPr>
          <w:lang w:val="es-419"/>
        </w:rPr>
      </w:pPr>
      <w:r w:rsidRPr="0052654D">
        <w:rPr>
          <w:lang w:val="es-419"/>
        </w:rPr>
        <w:t>d)</w:t>
      </w:r>
      <w:r w:rsidRPr="0052654D">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391546" w:rsidRPr="0052654D" w:rsidRDefault="00391546" w:rsidP="00391546">
      <w:pPr>
        <w:ind w:left="550"/>
        <w:rPr>
          <w:lang w:val="es-419"/>
        </w:rPr>
      </w:pPr>
    </w:p>
    <w:p w:rsidR="00391546" w:rsidRPr="0052654D" w:rsidRDefault="00391546" w:rsidP="00391546">
      <w:pPr>
        <w:tabs>
          <w:tab w:val="left" w:pos="1080"/>
        </w:tabs>
        <w:ind w:left="567" w:hanging="17"/>
        <w:rPr>
          <w:lang w:val="es-419"/>
        </w:rPr>
      </w:pPr>
      <w:r w:rsidRPr="0052654D">
        <w:rPr>
          <w:lang w:val="es-419"/>
        </w:rPr>
        <w:t>e)</w:t>
      </w:r>
      <w:r w:rsidRPr="0052654D">
        <w:rPr>
          <w:lang w:val="es-419"/>
        </w:rPr>
        <w:tab/>
        <w:t>Con la financiación del Fondo se sufragará:</w:t>
      </w:r>
    </w:p>
    <w:p w:rsidR="00391546" w:rsidRPr="0052654D" w:rsidRDefault="00391546" w:rsidP="00391546">
      <w:pPr>
        <w:ind w:left="567" w:firstLine="567"/>
        <w:rPr>
          <w:lang w:val="es-419"/>
        </w:rPr>
      </w:pPr>
    </w:p>
    <w:p w:rsidR="00391546" w:rsidRPr="0052654D" w:rsidRDefault="00391546" w:rsidP="00391546">
      <w:pPr>
        <w:ind w:left="1650" w:hanging="550"/>
        <w:rPr>
          <w:lang w:val="es-419"/>
        </w:rPr>
      </w:pPr>
      <w:r w:rsidRPr="0052654D">
        <w:rPr>
          <w:lang w:val="es-419"/>
        </w:rPr>
        <w:t>i)</w:t>
      </w:r>
      <w:r w:rsidRPr="0052654D">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391546" w:rsidRPr="0052654D" w:rsidRDefault="00391546" w:rsidP="00391546">
      <w:pPr>
        <w:ind w:left="1100"/>
        <w:rPr>
          <w:lang w:val="es-419"/>
        </w:rPr>
      </w:pPr>
    </w:p>
    <w:p w:rsidR="00391546" w:rsidRPr="0052654D" w:rsidRDefault="00391546" w:rsidP="00391546">
      <w:pPr>
        <w:ind w:left="1650" w:hanging="550"/>
        <w:rPr>
          <w:lang w:val="es-419"/>
        </w:rPr>
      </w:pPr>
      <w:r w:rsidRPr="0052654D">
        <w:rPr>
          <w:lang w:val="es-419"/>
        </w:rPr>
        <w:t>ii)</w:t>
      </w:r>
      <w:r w:rsidRPr="0052654D">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391546" w:rsidRPr="0052654D" w:rsidRDefault="00391546" w:rsidP="00391546">
      <w:pPr>
        <w:ind w:left="1100"/>
        <w:rPr>
          <w:lang w:val="es-419"/>
        </w:rPr>
      </w:pPr>
    </w:p>
    <w:p w:rsidR="00391546" w:rsidRPr="0052654D" w:rsidRDefault="00391546" w:rsidP="00391546">
      <w:pPr>
        <w:ind w:left="1650" w:hanging="550"/>
        <w:rPr>
          <w:lang w:val="es-419"/>
        </w:rPr>
      </w:pPr>
      <w:r w:rsidRPr="0052654D">
        <w:rPr>
          <w:lang w:val="es-419"/>
        </w:rPr>
        <w:t>iii)</w:t>
      </w:r>
      <w:r w:rsidRPr="0052654D">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391546" w:rsidRPr="0052654D" w:rsidRDefault="00391546" w:rsidP="00391546">
      <w:pPr>
        <w:ind w:left="1100"/>
        <w:rPr>
          <w:lang w:val="es-419"/>
        </w:rPr>
      </w:pPr>
    </w:p>
    <w:p w:rsidR="00391546" w:rsidRPr="0052654D" w:rsidRDefault="00391546" w:rsidP="00391546">
      <w:pPr>
        <w:ind w:left="1650" w:hanging="550"/>
        <w:rPr>
          <w:lang w:val="es-419"/>
        </w:rPr>
      </w:pPr>
      <w:r w:rsidRPr="0052654D">
        <w:rPr>
          <w:lang w:val="es-419"/>
        </w:rPr>
        <w:t>iv)</w:t>
      </w:r>
      <w:r w:rsidRPr="0052654D">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rsidR="00391546" w:rsidRPr="0052654D" w:rsidRDefault="00391546" w:rsidP="00391546">
      <w:pPr>
        <w:ind w:left="1134"/>
        <w:rPr>
          <w:lang w:val="es-419"/>
        </w:rPr>
      </w:pPr>
    </w:p>
    <w:p w:rsidR="00391546" w:rsidRPr="0052654D" w:rsidRDefault="00391546" w:rsidP="00391546">
      <w:pPr>
        <w:spacing w:after="240"/>
        <w:ind w:left="1094" w:hanging="547"/>
        <w:rPr>
          <w:lang w:val="es-419"/>
        </w:rPr>
      </w:pPr>
      <w:r w:rsidRPr="0052654D">
        <w:rPr>
          <w:lang w:val="es-419"/>
        </w:rPr>
        <w:t>f)</w:t>
      </w:r>
      <w:r w:rsidRPr="0052654D">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391546" w:rsidRPr="0052654D" w:rsidRDefault="00391546" w:rsidP="00391546">
      <w:pPr>
        <w:keepNext/>
        <w:keepLines/>
        <w:spacing w:before="240"/>
        <w:outlineLvl w:val="1"/>
        <w:rPr>
          <w:bCs/>
          <w:iCs/>
          <w:caps/>
          <w:lang w:val="es-419"/>
        </w:rPr>
      </w:pPr>
      <w:r w:rsidRPr="0052654D">
        <w:rPr>
          <w:bCs/>
          <w:iCs/>
          <w:caps/>
          <w:lang w:val="es-419"/>
        </w:rPr>
        <w:t>IV.</w:t>
      </w:r>
      <w:r w:rsidRPr="0052654D">
        <w:rPr>
          <w:bCs/>
          <w:iCs/>
          <w:caps/>
          <w:lang w:val="es-419"/>
        </w:rPr>
        <w:tab/>
        <w:t>MECANISMO DE FUNCIONAMIENTO</w:t>
      </w:r>
    </w:p>
    <w:p w:rsidR="00391546" w:rsidRPr="0052654D" w:rsidRDefault="00391546" w:rsidP="00391546">
      <w:pPr>
        <w:keepNext/>
        <w:keepLines/>
        <w:rPr>
          <w:lang w:val="es-419"/>
        </w:rPr>
      </w:pPr>
    </w:p>
    <w:p w:rsidR="00391546" w:rsidRPr="0052654D" w:rsidRDefault="00391546" w:rsidP="00391546">
      <w:pPr>
        <w:keepNext/>
        <w:keepLines/>
        <w:rPr>
          <w:lang w:val="es-419"/>
        </w:rPr>
      </w:pPr>
      <w:r w:rsidRPr="0052654D">
        <w:rPr>
          <w:lang w:val="es-419"/>
        </w:rPr>
        <w:t>6.</w:t>
      </w:r>
      <w:r w:rsidRPr="0052654D">
        <w:rPr>
          <w:lang w:val="es-419"/>
        </w:rPr>
        <w:tab/>
        <w:t>El Fondo funcionará de la manera siguiente:</w:t>
      </w:r>
    </w:p>
    <w:p w:rsidR="00391546" w:rsidRPr="0052654D" w:rsidRDefault="00391546" w:rsidP="00391546">
      <w:pPr>
        <w:keepNext/>
        <w:keepLines/>
        <w:ind w:left="567"/>
        <w:rPr>
          <w:lang w:val="es-419"/>
        </w:rPr>
      </w:pPr>
    </w:p>
    <w:p w:rsidR="00391546" w:rsidRPr="0052654D" w:rsidRDefault="00391546" w:rsidP="00391546">
      <w:pPr>
        <w:ind w:left="1100" w:hanging="550"/>
        <w:rPr>
          <w:lang w:val="es-419"/>
        </w:rPr>
      </w:pPr>
      <w:r w:rsidRPr="0052654D">
        <w:rPr>
          <w:lang w:val="es-419"/>
        </w:rPr>
        <w:t>a)</w:t>
      </w:r>
      <w:r w:rsidRPr="0052654D">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rsidR="00391546" w:rsidRPr="0052654D" w:rsidRDefault="00391546" w:rsidP="00391546">
      <w:pPr>
        <w:ind w:left="550"/>
        <w:rPr>
          <w:lang w:val="es-419"/>
        </w:rPr>
      </w:pPr>
    </w:p>
    <w:p w:rsidR="00391546" w:rsidRPr="0052654D" w:rsidRDefault="00391546" w:rsidP="00391546">
      <w:pPr>
        <w:ind w:left="1100" w:hanging="550"/>
        <w:rPr>
          <w:lang w:val="es-419"/>
        </w:rPr>
      </w:pPr>
      <w:r w:rsidRPr="0052654D">
        <w:rPr>
          <w:lang w:val="es-419"/>
        </w:rPr>
        <w:t>b)</w:t>
      </w:r>
      <w:r w:rsidRPr="0052654D">
        <w:rPr>
          <w:lang w:val="es-419"/>
        </w:rPr>
        <w:tab/>
        <w:t>Se reducirán al mínimo los costos administrativos derivados del funcionamiento del Fondo y no se abrirá línea de crédito alguna en el presupuesto ordinario de la OMPI en relación con dichos costos.</w:t>
      </w:r>
    </w:p>
    <w:p w:rsidR="00391546" w:rsidRPr="0052654D" w:rsidRDefault="00391546" w:rsidP="00391546">
      <w:pPr>
        <w:ind w:left="550"/>
        <w:rPr>
          <w:lang w:val="es-419"/>
        </w:rPr>
      </w:pPr>
    </w:p>
    <w:p w:rsidR="00391546" w:rsidRPr="0052654D" w:rsidRDefault="00391546" w:rsidP="00391546">
      <w:pPr>
        <w:ind w:left="1100" w:hanging="550"/>
        <w:rPr>
          <w:lang w:val="es-419"/>
        </w:rPr>
      </w:pPr>
      <w:r w:rsidRPr="0052654D">
        <w:rPr>
          <w:lang w:val="es-419"/>
        </w:rPr>
        <w:t>c)</w:t>
      </w:r>
      <w:r w:rsidRPr="0052654D">
        <w:rPr>
          <w:lang w:val="es-419"/>
        </w:rPr>
        <w:tab/>
        <w:t xml:space="preserve">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w:t>
      </w:r>
      <w:r w:rsidRPr="0052654D">
        <w:rPr>
          <w:lang w:val="es-419"/>
        </w:rPr>
        <w:lastRenderedPageBreak/>
        <w:t>cabo con arreglo a los procedimientos contemplados en el Reglamento Financiero de la OMPI en relación con los fondos fiduciarios creados para financiar determinadas actividades de cooperación para el desarrollo realizadas por la OMPI.</w:t>
      </w:r>
    </w:p>
    <w:p w:rsidR="00391546" w:rsidRPr="0052654D" w:rsidRDefault="00391546" w:rsidP="00391546">
      <w:pPr>
        <w:ind w:left="1134"/>
        <w:rPr>
          <w:lang w:val="es-419"/>
        </w:rPr>
      </w:pPr>
    </w:p>
    <w:p w:rsidR="00391546" w:rsidRPr="0052654D" w:rsidRDefault="00391546" w:rsidP="00391546">
      <w:pPr>
        <w:ind w:left="1100" w:hanging="550"/>
        <w:rPr>
          <w:lang w:val="es-419"/>
        </w:rPr>
      </w:pPr>
      <w:r w:rsidRPr="0052654D">
        <w:rPr>
          <w:lang w:val="es-419"/>
        </w:rPr>
        <w:t>d)</w:t>
      </w:r>
      <w:r w:rsidRPr="0052654D">
        <w:rPr>
          <w:lang w:val="es-419"/>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391546" w:rsidRPr="0052654D" w:rsidRDefault="00391546" w:rsidP="00391546">
      <w:pPr>
        <w:ind w:left="550"/>
        <w:rPr>
          <w:lang w:val="es-419"/>
        </w:rPr>
      </w:pPr>
    </w:p>
    <w:p w:rsidR="00391546" w:rsidRPr="0052654D" w:rsidRDefault="00391546" w:rsidP="00391546">
      <w:pPr>
        <w:tabs>
          <w:tab w:val="left" w:pos="1080"/>
        </w:tabs>
        <w:ind w:left="550"/>
        <w:rPr>
          <w:lang w:val="es-419"/>
        </w:rPr>
      </w:pPr>
      <w:r w:rsidRPr="0052654D">
        <w:rPr>
          <w:lang w:val="es-419"/>
        </w:rPr>
        <w:t>e)</w:t>
      </w:r>
      <w:r w:rsidRPr="0052654D">
        <w:rPr>
          <w:lang w:val="es-419"/>
        </w:rPr>
        <w:tab/>
        <w:t>El plazo para la presentación de solicitudes se establecerá de la manera siguiente:</w:t>
      </w:r>
    </w:p>
    <w:p w:rsidR="00391546" w:rsidRPr="0052654D" w:rsidRDefault="00391546" w:rsidP="00391546">
      <w:pPr>
        <w:ind w:left="567" w:firstLine="567"/>
        <w:rPr>
          <w:lang w:val="es-419"/>
        </w:rPr>
      </w:pPr>
    </w:p>
    <w:p w:rsidR="00391546" w:rsidRPr="0052654D" w:rsidRDefault="00391546" w:rsidP="00391546">
      <w:pPr>
        <w:numPr>
          <w:ilvl w:val="0"/>
          <w:numId w:val="19"/>
        </w:numPr>
        <w:ind w:left="1650" w:hanging="550"/>
        <w:rPr>
          <w:lang w:val="es-419"/>
        </w:rPr>
      </w:pPr>
      <w:r w:rsidRPr="0052654D">
        <w:rPr>
          <w:lang w:val="es-419"/>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391546" w:rsidRPr="0052654D" w:rsidRDefault="00391546" w:rsidP="00391546">
      <w:pPr>
        <w:ind w:left="1100"/>
        <w:rPr>
          <w:lang w:val="es-419"/>
        </w:rPr>
      </w:pPr>
    </w:p>
    <w:p w:rsidR="00391546" w:rsidRPr="0052654D" w:rsidRDefault="00391546" w:rsidP="00391546">
      <w:pPr>
        <w:numPr>
          <w:ilvl w:val="0"/>
          <w:numId w:val="19"/>
        </w:numPr>
        <w:ind w:left="1650" w:hanging="550"/>
        <w:rPr>
          <w:lang w:val="es-419"/>
        </w:rPr>
      </w:pPr>
      <w:r w:rsidRPr="0052654D">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391546" w:rsidRPr="0052654D" w:rsidRDefault="00391546" w:rsidP="00391546">
      <w:pPr>
        <w:ind w:left="550"/>
        <w:rPr>
          <w:lang w:val="es-419"/>
        </w:rPr>
      </w:pPr>
    </w:p>
    <w:p w:rsidR="00391546" w:rsidRPr="0052654D" w:rsidRDefault="00391546" w:rsidP="00391546">
      <w:pPr>
        <w:ind w:left="1100" w:hanging="550"/>
        <w:rPr>
          <w:rFonts w:eastAsia="Times New Roman"/>
          <w:lang w:val="es-419"/>
        </w:rPr>
      </w:pPr>
      <w:r w:rsidRPr="0052654D">
        <w:rPr>
          <w:lang w:val="es-419"/>
        </w:rPr>
        <w:t>f)</w:t>
      </w:r>
      <w:r w:rsidRPr="0052654D">
        <w:rPr>
          <w:lang w:val="es-419"/>
        </w:rPr>
        <w:tab/>
      </w:r>
      <w:r w:rsidRPr="0052654D">
        <w:rPr>
          <w:rFonts w:eastAsia="Times New Roman"/>
          <w:lang w:val="es-419"/>
        </w:rPr>
        <w:t xml:space="preserve">Antes de </w:t>
      </w:r>
      <w:r w:rsidRPr="0052654D">
        <w:rPr>
          <w:lang w:val="es-419"/>
        </w:rPr>
        <w:t>cada</w:t>
      </w:r>
      <w:r w:rsidRPr="0052654D">
        <w:rPr>
          <w:rFonts w:eastAsia="Times New Roman"/>
          <w:lang w:val="es-419"/>
        </w:rPr>
        <w:t xml:space="preserve"> sesión del Comité, el director general de la OMPI entregará a los participantes en la misma un documento en el que se informe de:</w:t>
      </w:r>
    </w:p>
    <w:p w:rsidR="00391546" w:rsidRPr="0052654D" w:rsidRDefault="00391546" w:rsidP="00391546">
      <w:pPr>
        <w:ind w:left="1100"/>
        <w:rPr>
          <w:rFonts w:eastAsia="Times New Roman"/>
          <w:lang w:val="es-419"/>
        </w:rPr>
      </w:pPr>
    </w:p>
    <w:p w:rsidR="00391546" w:rsidRPr="0052654D" w:rsidRDefault="00391546" w:rsidP="00391546">
      <w:pPr>
        <w:numPr>
          <w:ilvl w:val="2"/>
          <w:numId w:val="17"/>
        </w:numPr>
        <w:ind w:left="1650" w:hanging="550"/>
        <w:rPr>
          <w:lang w:val="es-419"/>
        </w:rPr>
      </w:pPr>
      <w:r w:rsidRPr="0052654D">
        <w:rPr>
          <w:lang w:val="es-419"/>
        </w:rPr>
        <w:t>las contribuciones voluntarias que se hayan realizado en favor del Fondo hasta la fecha de elaboración del documento;</w:t>
      </w:r>
    </w:p>
    <w:p w:rsidR="00391546" w:rsidRPr="0052654D" w:rsidRDefault="00391546" w:rsidP="00391546">
      <w:pPr>
        <w:tabs>
          <w:tab w:val="left" w:pos="2410"/>
        </w:tabs>
        <w:ind w:left="1100"/>
        <w:rPr>
          <w:lang w:val="es-419"/>
        </w:rPr>
      </w:pPr>
    </w:p>
    <w:p w:rsidR="00391546" w:rsidRPr="0052654D" w:rsidRDefault="00391546" w:rsidP="00391546">
      <w:pPr>
        <w:numPr>
          <w:ilvl w:val="2"/>
          <w:numId w:val="17"/>
        </w:numPr>
        <w:ind w:left="1650" w:hanging="550"/>
        <w:rPr>
          <w:lang w:val="es-419"/>
        </w:rPr>
      </w:pPr>
      <w:r w:rsidRPr="0052654D">
        <w:rPr>
          <w:lang w:val="es-419"/>
        </w:rPr>
        <w:t>la identidad de los contribuyentes (salvo que estos últimos deseen preservar su anonimato);</w:t>
      </w:r>
    </w:p>
    <w:p w:rsidR="00391546" w:rsidRPr="0052654D" w:rsidRDefault="00391546" w:rsidP="00391546">
      <w:pPr>
        <w:tabs>
          <w:tab w:val="left" w:pos="2410"/>
        </w:tabs>
        <w:ind w:left="1100"/>
        <w:rPr>
          <w:lang w:val="es-419"/>
        </w:rPr>
      </w:pPr>
    </w:p>
    <w:p w:rsidR="00391546" w:rsidRPr="0052654D" w:rsidRDefault="00391546" w:rsidP="00391546">
      <w:pPr>
        <w:numPr>
          <w:ilvl w:val="2"/>
          <w:numId w:val="17"/>
        </w:numPr>
        <w:ind w:left="1100" w:hanging="20"/>
        <w:rPr>
          <w:lang w:val="es-419"/>
        </w:rPr>
      </w:pPr>
      <w:r w:rsidRPr="0052654D">
        <w:rPr>
          <w:lang w:val="es-419"/>
        </w:rPr>
        <w:t>la cuantía de los recursos disponibles habida cuenta de las sumas ya utilizadas;</w:t>
      </w:r>
    </w:p>
    <w:p w:rsidR="00391546" w:rsidRPr="0052654D" w:rsidRDefault="00391546" w:rsidP="00391546">
      <w:pPr>
        <w:tabs>
          <w:tab w:val="left" w:pos="2410"/>
        </w:tabs>
        <w:ind w:left="1100"/>
        <w:rPr>
          <w:lang w:val="es-419"/>
        </w:rPr>
      </w:pPr>
    </w:p>
    <w:p w:rsidR="00391546" w:rsidRPr="0052654D" w:rsidRDefault="00391546" w:rsidP="00391546">
      <w:pPr>
        <w:numPr>
          <w:ilvl w:val="2"/>
          <w:numId w:val="17"/>
        </w:numPr>
        <w:ind w:left="1650" w:hanging="550"/>
        <w:rPr>
          <w:lang w:val="es-419"/>
        </w:rPr>
      </w:pPr>
      <w:r w:rsidRPr="0052654D">
        <w:rPr>
          <w:lang w:val="es-419"/>
        </w:rPr>
        <w:t>la lista de personas que se hayan beneficiado del Fondo desde el anterior documento de información;</w:t>
      </w:r>
    </w:p>
    <w:p w:rsidR="00391546" w:rsidRPr="0052654D" w:rsidRDefault="00391546" w:rsidP="00391546">
      <w:pPr>
        <w:tabs>
          <w:tab w:val="left" w:pos="2410"/>
        </w:tabs>
        <w:ind w:left="1100"/>
        <w:rPr>
          <w:lang w:val="es-419"/>
        </w:rPr>
      </w:pPr>
    </w:p>
    <w:p w:rsidR="00391546" w:rsidRPr="0052654D" w:rsidRDefault="00391546" w:rsidP="00391546">
      <w:pPr>
        <w:numPr>
          <w:ilvl w:val="2"/>
          <w:numId w:val="17"/>
        </w:numPr>
        <w:ind w:left="1650" w:hanging="550"/>
        <w:rPr>
          <w:lang w:val="es-419"/>
        </w:rPr>
      </w:pPr>
      <w:r w:rsidRPr="0052654D">
        <w:rPr>
          <w:lang w:val="es-419"/>
        </w:rPr>
        <w:t>las personas seleccionadas para beneficiarse del Fondo y que hayan renunciado a la ayuda;</w:t>
      </w:r>
    </w:p>
    <w:p w:rsidR="00391546" w:rsidRPr="0052654D" w:rsidRDefault="00391546" w:rsidP="00391546">
      <w:pPr>
        <w:tabs>
          <w:tab w:val="left" w:pos="2410"/>
        </w:tabs>
        <w:ind w:left="1100"/>
        <w:rPr>
          <w:lang w:val="es-419"/>
        </w:rPr>
      </w:pPr>
    </w:p>
    <w:p w:rsidR="00391546" w:rsidRPr="0052654D" w:rsidRDefault="00391546" w:rsidP="00391546">
      <w:pPr>
        <w:numPr>
          <w:ilvl w:val="2"/>
          <w:numId w:val="17"/>
        </w:numPr>
        <w:ind w:left="1100" w:hanging="20"/>
        <w:rPr>
          <w:lang w:val="es-419"/>
        </w:rPr>
      </w:pPr>
      <w:r w:rsidRPr="0052654D">
        <w:rPr>
          <w:lang w:val="es-419"/>
        </w:rPr>
        <w:t>el importe de la financiación asignada a cada beneficiario; y</w:t>
      </w:r>
    </w:p>
    <w:p w:rsidR="00391546" w:rsidRPr="0052654D" w:rsidRDefault="00391546" w:rsidP="00391546">
      <w:pPr>
        <w:tabs>
          <w:tab w:val="left" w:pos="2410"/>
        </w:tabs>
        <w:ind w:left="1100"/>
        <w:rPr>
          <w:lang w:val="es-419"/>
        </w:rPr>
      </w:pPr>
    </w:p>
    <w:p w:rsidR="00391546" w:rsidRPr="0052654D" w:rsidRDefault="00391546" w:rsidP="00391546">
      <w:pPr>
        <w:numPr>
          <w:ilvl w:val="2"/>
          <w:numId w:val="17"/>
        </w:numPr>
        <w:tabs>
          <w:tab w:val="clear" w:pos="1701"/>
        </w:tabs>
        <w:ind w:left="1650" w:hanging="550"/>
        <w:rPr>
          <w:lang w:val="es-419"/>
        </w:rPr>
      </w:pPr>
      <w:r w:rsidRPr="0052654D">
        <w:rPr>
          <w:lang w:val="es-419"/>
        </w:rPr>
        <w:t>una reseña suficientemente completa de los candidatos que hayan presentado una solicitud de financiación para la siguiente sesión del Comité o reunión de grupo de trabajo entre sesiones.</w:t>
      </w:r>
    </w:p>
    <w:p w:rsidR="00391546" w:rsidRPr="0052654D" w:rsidRDefault="00391546" w:rsidP="00391546">
      <w:pPr>
        <w:ind w:left="1100"/>
        <w:rPr>
          <w:lang w:val="es-419"/>
        </w:rPr>
      </w:pPr>
    </w:p>
    <w:p w:rsidR="00391546" w:rsidRPr="0052654D" w:rsidRDefault="00391546" w:rsidP="00391546">
      <w:pPr>
        <w:rPr>
          <w:lang w:val="es-419"/>
        </w:rPr>
      </w:pPr>
      <w:r w:rsidRPr="0052654D">
        <w:rPr>
          <w:lang w:val="es-419"/>
        </w:rPr>
        <w:t>Dicho documento se someterá también a examen y deliberación de los miembros de la Junta Asesora.”</w:t>
      </w:r>
    </w:p>
    <w:p w:rsidR="00391546" w:rsidRPr="0052654D" w:rsidRDefault="00391546" w:rsidP="00391546">
      <w:pPr>
        <w:rPr>
          <w:lang w:val="es-419"/>
        </w:rPr>
      </w:pPr>
    </w:p>
    <w:p w:rsidR="00391546" w:rsidRPr="0052654D" w:rsidRDefault="00391546" w:rsidP="00391546">
      <w:pPr>
        <w:ind w:left="1100" w:hanging="550"/>
        <w:rPr>
          <w:lang w:val="es-419"/>
        </w:rPr>
      </w:pPr>
      <w:r w:rsidRPr="0052654D">
        <w:rPr>
          <w:lang w:val="es-419"/>
        </w:rPr>
        <w:t>g)</w:t>
      </w:r>
      <w:r w:rsidRPr="0052654D">
        <w:rPr>
          <w:lang w:val="es-419"/>
        </w:rPr>
        <w:tab/>
        <w:t xml:space="preserve">Tras la elección de sus miembros, la Junta Asesora será convocada por el director general de la OMPI para que se reúna paralelamente a la sesión del Comité anterior a </w:t>
      </w:r>
      <w:r w:rsidRPr="0052654D">
        <w:rPr>
          <w:lang w:val="es-419"/>
        </w:rPr>
        <w:lastRenderedPageBreak/>
        <w:t>la sesión del Comité o reunión de grupo de trabajo entre sesiones para la que se prevé otorgar la financiación, sin perjuicio de que los miembros se reúnan a título informal para abordar cuestiones relativas a su mandato entre las sesiones del Comité.</w:t>
      </w:r>
    </w:p>
    <w:p w:rsidR="00391546" w:rsidRPr="0052654D" w:rsidRDefault="00391546" w:rsidP="00391546">
      <w:pPr>
        <w:ind w:left="1100" w:hanging="550"/>
        <w:rPr>
          <w:lang w:val="es-419"/>
        </w:rPr>
      </w:pPr>
    </w:p>
    <w:p w:rsidR="00391546" w:rsidRPr="0052654D" w:rsidRDefault="00391546" w:rsidP="00391546">
      <w:pPr>
        <w:ind w:left="1100" w:hanging="550"/>
        <w:rPr>
          <w:lang w:val="es-419"/>
        </w:rPr>
      </w:pPr>
      <w:r w:rsidRPr="0052654D">
        <w:rPr>
          <w:lang w:val="es-419"/>
        </w:rPr>
        <w:t>h)</w:t>
      </w:r>
      <w:r w:rsidRPr="0052654D">
        <w:rPr>
          <w:lang w:val="es-419"/>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391546" w:rsidRPr="0052654D" w:rsidRDefault="00391546" w:rsidP="00391546">
      <w:pPr>
        <w:tabs>
          <w:tab w:val="left" w:pos="1560"/>
        </w:tabs>
        <w:ind w:left="550"/>
        <w:rPr>
          <w:lang w:val="es-419"/>
        </w:rPr>
      </w:pPr>
    </w:p>
    <w:p w:rsidR="00391546" w:rsidRPr="0052654D" w:rsidRDefault="00391546" w:rsidP="00391546">
      <w:pPr>
        <w:numPr>
          <w:ilvl w:val="0"/>
          <w:numId w:val="14"/>
        </w:numPr>
        <w:ind w:left="1650" w:hanging="550"/>
        <w:rPr>
          <w:lang w:val="es-419"/>
        </w:rPr>
      </w:pPr>
      <w:r w:rsidRPr="0052654D">
        <w:rPr>
          <w:lang w:val="es-419"/>
        </w:rPr>
        <w:t>mantener a lo largo de las sesiones del Comité y las reuniones de grupos de trabajo entre sesiones y, en la medida de lo posible, un equilibrio entre beneficiarios de uno y otro sexo y entre las regiones geoculturales de las que provienen; y</w:t>
      </w:r>
    </w:p>
    <w:p w:rsidR="00391546" w:rsidRPr="0052654D" w:rsidRDefault="00391546" w:rsidP="00391546">
      <w:pPr>
        <w:ind w:left="1100"/>
        <w:rPr>
          <w:lang w:val="es-419"/>
        </w:rPr>
      </w:pPr>
    </w:p>
    <w:p w:rsidR="00391546" w:rsidRPr="0052654D" w:rsidRDefault="00391546" w:rsidP="00391546">
      <w:pPr>
        <w:numPr>
          <w:ilvl w:val="0"/>
          <w:numId w:val="14"/>
        </w:numPr>
        <w:ind w:left="1650" w:hanging="550"/>
        <w:rPr>
          <w:lang w:val="es-419"/>
        </w:rPr>
      </w:pPr>
      <w:r w:rsidRPr="0052654D">
        <w:rPr>
          <w:lang w:val="es-419"/>
        </w:rPr>
        <w:t>si procede, tener en cuenta en qué medida puede salir beneficiada la labor del Comité por la participación de un mismo beneficiario en varias de las sesiones del Comité o en reuniones de grupos de trabajo entre sesiones.</w:t>
      </w:r>
    </w:p>
    <w:p w:rsidR="00391546" w:rsidRPr="0052654D" w:rsidRDefault="00391546" w:rsidP="00391546">
      <w:pPr>
        <w:ind w:left="567"/>
        <w:rPr>
          <w:lang w:val="es-419"/>
        </w:rPr>
      </w:pPr>
    </w:p>
    <w:p w:rsidR="00391546" w:rsidRPr="0052654D" w:rsidRDefault="00391546" w:rsidP="00391546">
      <w:pPr>
        <w:rPr>
          <w:lang w:val="es-419"/>
        </w:rPr>
      </w:pPr>
      <w:r w:rsidRPr="0052654D">
        <w:rPr>
          <w:lang w:val="es-419"/>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391546" w:rsidRPr="0052654D" w:rsidRDefault="00391546" w:rsidP="00391546">
      <w:pPr>
        <w:rPr>
          <w:lang w:val="es-419"/>
        </w:rPr>
      </w:pPr>
    </w:p>
    <w:p w:rsidR="00391546" w:rsidRPr="0052654D" w:rsidRDefault="00391546" w:rsidP="00391546">
      <w:pPr>
        <w:rPr>
          <w:lang w:val="es-419"/>
        </w:rPr>
      </w:pPr>
      <w:r w:rsidRPr="0052654D">
        <w:rPr>
          <w:lang w:val="es-419"/>
        </w:rPr>
        <w:t>Para sus deliberaciones, la Junta Asesora contará, conforme al artículo 6.b), con el apoyo administrativo de la Oficina Internacional de la OMPI.</w:t>
      </w:r>
    </w:p>
    <w:p w:rsidR="00391546" w:rsidRPr="0052654D" w:rsidRDefault="00391546" w:rsidP="00391546">
      <w:pPr>
        <w:ind w:left="567"/>
        <w:rPr>
          <w:lang w:val="es-419"/>
        </w:rPr>
      </w:pPr>
    </w:p>
    <w:p w:rsidR="00391546" w:rsidRPr="0052654D" w:rsidRDefault="00391546" w:rsidP="00391546">
      <w:pPr>
        <w:ind w:left="1100" w:hanging="533"/>
        <w:rPr>
          <w:lang w:val="es-419"/>
        </w:rPr>
      </w:pPr>
      <w:r w:rsidRPr="0052654D">
        <w:rPr>
          <w:lang w:val="es-419"/>
        </w:rPr>
        <w:t>i)</w:t>
      </w:r>
      <w:r w:rsidRPr="0052654D">
        <w:rPr>
          <w:lang w:val="es-419"/>
        </w:rPr>
        <w:tab/>
        <w:t>La Junta Asesora deberá formular las debidas recomendaciones antes de que finalice la sesión del Comité que se haya celebrado paralelamente a su reunión. En dichas recomendaciones deberá especificarse:</w:t>
      </w:r>
    </w:p>
    <w:p w:rsidR="00391546" w:rsidRPr="0052654D" w:rsidRDefault="00391546" w:rsidP="00391546">
      <w:pPr>
        <w:tabs>
          <w:tab w:val="left" w:pos="1100"/>
        </w:tabs>
        <w:ind w:left="1100"/>
        <w:rPr>
          <w:lang w:val="es-419"/>
        </w:rPr>
      </w:pPr>
    </w:p>
    <w:p w:rsidR="00391546" w:rsidRPr="0052654D" w:rsidRDefault="00391546" w:rsidP="00391546">
      <w:pPr>
        <w:numPr>
          <w:ilvl w:val="1"/>
          <w:numId w:val="18"/>
        </w:numPr>
        <w:ind w:left="1650" w:hanging="550"/>
        <w:rPr>
          <w:lang w:val="es-419"/>
        </w:rPr>
      </w:pPr>
      <w:r w:rsidRPr="0052654D">
        <w:rPr>
          <w:lang w:val="es-419"/>
        </w:rPr>
        <w:t>la futura sesión del Comité y, en su caso, la o las reuniones de los grupos de trabajo entre sesiones para las que está destinada la ayuda financiera (es decir, la siguiente sesión del Comité);</w:t>
      </w:r>
    </w:p>
    <w:p w:rsidR="00391546" w:rsidRPr="0052654D" w:rsidRDefault="00391546" w:rsidP="00391546">
      <w:pPr>
        <w:tabs>
          <w:tab w:val="left" w:pos="1100"/>
          <w:tab w:val="num" w:pos="3141"/>
        </w:tabs>
        <w:ind w:left="1100"/>
        <w:rPr>
          <w:lang w:val="es-419"/>
        </w:rPr>
      </w:pPr>
    </w:p>
    <w:p w:rsidR="00391546" w:rsidRPr="0052654D" w:rsidRDefault="00391546" w:rsidP="00391546">
      <w:pPr>
        <w:numPr>
          <w:ilvl w:val="1"/>
          <w:numId w:val="18"/>
        </w:numPr>
        <w:ind w:left="1650" w:hanging="550"/>
        <w:rPr>
          <w:lang w:val="es-419"/>
        </w:rPr>
      </w:pPr>
      <w:r w:rsidRPr="0052654D">
        <w:rPr>
          <w:lang w:val="es-419"/>
        </w:rPr>
        <w:t>los solicitantes a quienes la Junta Asesora acuerde financiar para esa sesión del Comité o reunión del grupo de trabajo entre sesiones y para quienes se disponga de fondos;</w:t>
      </w:r>
    </w:p>
    <w:p w:rsidR="00391546" w:rsidRPr="0052654D" w:rsidRDefault="00391546" w:rsidP="00391546">
      <w:pPr>
        <w:tabs>
          <w:tab w:val="left" w:pos="1100"/>
          <w:tab w:val="num" w:pos="3141"/>
        </w:tabs>
        <w:ind w:left="1100"/>
        <w:rPr>
          <w:lang w:val="es-419"/>
        </w:rPr>
      </w:pPr>
    </w:p>
    <w:p w:rsidR="00391546" w:rsidRPr="0052654D" w:rsidRDefault="00391546" w:rsidP="00391546">
      <w:pPr>
        <w:numPr>
          <w:ilvl w:val="1"/>
          <w:numId w:val="18"/>
        </w:numPr>
        <w:ind w:left="1650" w:hanging="550"/>
        <w:rPr>
          <w:lang w:val="es-419"/>
        </w:rPr>
      </w:pPr>
      <w:r w:rsidRPr="0052654D">
        <w:rPr>
          <w:lang w:val="es-419"/>
        </w:rPr>
        <w:t>el solicitante o solicitantes a quienes la Junta Asesora acuerde financiar en principio, pero para quienes no se disponga de fondos suficientes;</w:t>
      </w:r>
    </w:p>
    <w:p w:rsidR="00391546" w:rsidRPr="0052654D" w:rsidRDefault="00391546" w:rsidP="00391546">
      <w:pPr>
        <w:tabs>
          <w:tab w:val="num" w:pos="3141"/>
        </w:tabs>
        <w:ind w:left="1650" w:hanging="550"/>
        <w:rPr>
          <w:lang w:val="es-419"/>
        </w:rPr>
      </w:pPr>
    </w:p>
    <w:p w:rsidR="00391546" w:rsidRPr="0052654D" w:rsidRDefault="00391546" w:rsidP="00391546">
      <w:pPr>
        <w:numPr>
          <w:ilvl w:val="1"/>
          <w:numId w:val="18"/>
        </w:numPr>
        <w:ind w:left="1650" w:hanging="550"/>
        <w:rPr>
          <w:lang w:val="es-419"/>
        </w:rPr>
      </w:pPr>
      <w:r w:rsidRPr="0052654D">
        <w:rPr>
          <w:lang w:val="es-419"/>
        </w:rPr>
        <w:t>el solicitante o solicitantes cuya solicitud haya sido rechazada de conformidad con el procedimiento previsto en el artículo 10; y</w:t>
      </w:r>
    </w:p>
    <w:p w:rsidR="00391546" w:rsidRPr="0052654D" w:rsidRDefault="00391546" w:rsidP="00391546">
      <w:pPr>
        <w:tabs>
          <w:tab w:val="left" w:pos="1100"/>
          <w:tab w:val="num" w:pos="2727"/>
        </w:tabs>
        <w:ind w:left="1100"/>
        <w:rPr>
          <w:lang w:val="es-419"/>
        </w:rPr>
      </w:pPr>
    </w:p>
    <w:p w:rsidR="00391546" w:rsidRPr="0052654D" w:rsidRDefault="00391546" w:rsidP="00391546">
      <w:pPr>
        <w:numPr>
          <w:ilvl w:val="1"/>
          <w:numId w:val="18"/>
        </w:numPr>
        <w:ind w:left="1650" w:hanging="550"/>
        <w:rPr>
          <w:lang w:val="es-419"/>
        </w:rPr>
      </w:pPr>
      <w:r w:rsidRPr="0052654D">
        <w:rPr>
          <w:lang w:val="es-419"/>
        </w:rPr>
        <w:t>el solicitante o solicitantes cuya solicitud no se examinará hasta la siguiente sesión del Comité de conformidad con el procedimiento previsto en el artículo 10.</w:t>
      </w:r>
    </w:p>
    <w:p w:rsidR="00391546" w:rsidRPr="0052654D" w:rsidRDefault="00391546" w:rsidP="00391546">
      <w:pPr>
        <w:ind w:left="567"/>
        <w:rPr>
          <w:lang w:val="es-419"/>
        </w:rPr>
      </w:pPr>
    </w:p>
    <w:p w:rsidR="00391546" w:rsidRPr="0052654D" w:rsidRDefault="00391546" w:rsidP="00391546">
      <w:pPr>
        <w:rPr>
          <w:lang w:val="es-419"/>
        </w:rPr>
      </w:pPr>
      <w:r w:rsidRPr="0052654D">
        <w:rPr>
          <w:lang w:val="es-419"/>
        </w:rPr>
        <w:t xml:space="preserve">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w:t>
      </w:r>
      <w:r w:rsidRPr="0052654D">
        <w:rPr>
          <w:lang w:val="es-419"/>
        </w:rPr>
        <w:lastRenderedPageBreak/>
        <w:t>por medio de un documento en el que se especifique la decisión adoptada con respecto a cada solicitante.</w:t>
      </w:r>
    </w:p>
    <w:p w:rsidR="00391546" w:rsidRPr="0052654D" w:rsidRDefault="00391546" w:rsidP="00391546">
      <w:pPr>
        <w:rPr>
          <w:lang w:val="es-419"/>
        </w:rPr>
      </w:pPr>
    </w:p>
    <w:p w:rsidR="00391546" w:rsidRPr="0052654D" w:rsidRDefault="00391546" w:rsidP="00391546">
      <w:pPr>
        <w:spacing w:after="240"/>
        <w:ind w:left="1094" w:hanging="547"/>
        <w:rPr>
          <w:lang w:val="es-419"/>
        </w:rPr>
      </w:pPr>
      <w:r w:rsidRPr="0052654D">
        <w:rPr>
          <w:lang w:val="es-419"/>
        </w:rPr>
        <w:t>j)</w:t>
      </w:r>
      <w:r w:rsidRPr="0052654D">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391546" w:rsidRPr="0052654D" w:rsidRDefault="00391546" w:rsidP="00391546">
      <w:pPr>
        <w:outlineLvl w:val="1"/>
        <w:rPr>
          <w:bCs/>
          <w:iCs/>
          <w:caps/>
          <w:lang w:val="es-419"/>
        </w:rPr>
      </w:pPr>
      <w:r w:rsidRPr="0052654D">
        <w:rPr>
          <w:bCs/>
          <w:iCs/>
          <w:caps/>
          <w:lang w:val="es-419"/>
        </w:rPr>
        <w:t>V.</w:t>
      </w:r>
      <w:r w:rsidRPr="0052654D">
        <w:rPr>
          <w:bCs/>
          <w:iCs/>
          <w:caps/>
          <w:lang w:val="es-419"/>
        </w:rPr>
        <w:tab/>
        <w:t>OTRAS DISPOSICIONES RELATIVAS A LA JUNTA ASESORA</w:t>
      </w:r>
    </w:p>
    <w:p w:rsidR="00391546" w:rsidRPr="0052654D" w:rsidRDefault="00391546" w:rsidP="00391546">
      <w:pPr>
        <w:rPr>
          <w:lang w:val="es-419"/>
        </w:rPr>
      </w:pPr>
    </w:p>
    <w:p w:rsidR="00391546" w:rsidRPr="0052654D" w:rsidRDefault="00391546" w:rsidP="00391546">
      <w:pPr>
        <w:rPr>
          <w:lang w:val="es-419"/>
        </w:rPr>
      </w:pPr>
      <w:r w:rsidRPr="0052654D">
        <w:rPr>
          <w:lang w:val="es-419"/>
        </w:rPr>
        <w:t>7.</w:t>
      </w:r>
      <w:r w:rsidRPr="0052654D">
        <w:rPr>
          <w:lang w:val="es-419"/>
        </w:rPr>
        <w:tab/>
        <w:t>La Junta Asesora estará integrada por nueve miembros, a saber:</w:t>
      </w:r>
    </w:p>
    <w:p w:rsidR="00391546" w:rsidRPr="0052654D" w:rsidRDefault="00391546" w:rsidP="00391546">
      <w:pPr>
        <w:rPr>
          <w:lang w:val="es-419"/>
        </w:rPr>
      </w:pPr>
    </w:p>
    <w:p w:rsidR="00391546" w:rsidRPr="0052654D" w:rsidRDefault="00391546" w:rsidP="00391546">
      <w:pPr>
        <w:numPr>
          <w:ilvl w:val="2"/>
          <w:numId w:val="15"/>
        </w:numPr>
        <w:tabs>
          <w:tab w:val="num" w:pos="1100"/>
        </w:tabs>
        <w:ind w:left="1100" w:hanging="550"/>
        <w:rPr>
          <w:lang w:val="es-419"/>
        </w:rPr>
      </w:pPr>
      <w:r w:rsidRPr="0052654D">
        <w:rPr>
          <w:lang w:val="es-419"/>
        </w:rPr>
        <w:t xml:space="preserve">el presidente del Comité, designado </w:t>
      </w:r>
      <w:r w:rsidRPr="0052654D">
        <w:rPr>
          <w:i/>
          <w:lang w:val="es-419"/>
        </w:rPr>
        <w:t xml:space="preserve">ex officio </w:t>
      </w:r>
      <w:r w:rsidRPr="0052654D">
        <w:rPr>
          <w:lang w:val="es-419"/>
        </w:rPr>
        <w:t>o, en caso de impedimento de este último, uno de los vicepresidentes por él designados en calidad de presidente adjunto;</w:t>
      </w:r>
    </w:p>
    <w:p w:rsidR="00391546" w:rsidRPr="0052654D" w:rsidRDefault="00391546" w:rsidP="00391546">
      <w:pPr>
        <w:tabs>
          <w:tab w:val="num" w:pos="1100"/>
        </w:tabs>
        <w:ind w:left="550"/>
        <w:rPr>
          <w:lang w:val="es-419"/>
        </w:rPr>
      </w:pPr>
    </w:p>
    <w:p w:rsidR="00391546" w:rsidRPr="0052654D" w:rsidRDefault="00391546" w:rsidP="00391546">
      <w:pPr>
        <w:numPr>
          <w:ilvl w:val="1"/>
          <w:numId w:val="15"/>
        </w:numPr>
        <w:tabs>
          <w:tab w:val="num" w:pos="1100"/>
        </w:tabs>
        <w:ind w:left="1100" w:hanging="550"/>
        <w:rPr>
          <w:lang w:val="es-419"/>
        </w:rPr>
      </w:pPr>
      <w:r w:rsidRPr="0052654D">
        <w:rPr>
          <w:lang w:val="es-419"/>
        </w:rPr>
        <w:t>cinco miembros procedentes de las delegaciones de los Estados miembros de la OMPI, participantes en el Comité y que reflejen un equilibrio geográfico adecuado; y</w:t>
      </w:r>
    </w:p>
    <w:p w:rsidR="00391546" w:rsidRPr="0052654D" w:rsidRDefault="00391546" w:rsidP="00391546">
      <w:pPr>
        <w:tabs>
          <w:tab w:val="num" w:pos="1100"/>
        </w:tabs>
        <w:ind w:left="550"/>
        <w:rPr>
          <w:lang w:val="es-419"/>
        </w:rPr>
      </w:pPr>
    </w:p>
    <w:p w:rsidR="00391546" w:rsidRPr="0052654D" w:rsidRDefault="00391546" w:rsidP="00391546">
      <w:pPr>
        <w:numPr>
          <w:ilvl w:val="1"/>
          <w:numId w:val="15"/>
        </w:numPr>
        <w:tabs>
          <w:tab w:val="num" w:pos="1100"/>
        </w:tabs>
        <w:ind w:left="1100" w:hanging="550"/>
        <w:rPr>
          <w:lang w:val="es-419"/>
        </w:rPr>
      </w:pPr>
      <w:r w:rsidRPr="0052654D">
        <w:rPr>
          <w:lang w:val="es-419"/>
        </w:rPr>
        <w:t>tres miembros procedentes de observadores acreditados que representen a las comunidades indígenas y locales o a otros custodios o titulares consuetudinarios de los conocimientos tradicionales o las expresiones culturales tradicionales.</w:t>
      </w:r>
    </w:p>
    <w:p w:rsidR="00391546" w:rsidRPr="0052654D" w:rsidRDefault="00391546" w:rsidP="00391546">
      <w:pPr>
        <w:rPr>
          <w:lang w:val="es-419"/>
        </w:rPr>
      </w:pPr>
    </w:p>
    <w:p w:rsidR="00391546" w:rsidRPr="0052654D" w:rsidRDefault="00391546" w:rsidP="00391546">
      <w:pPr>
        <w:rPr>
          <w:lang w:val="es-419"/>
        </w:rPr>
      </w:pPr>
      <w:r w:rsidRPr="0052654D">
        <w:rPr>
          <w:lang w:val="es-419"/>
        </w:rPr>
        <w:t>Los miembros del Comité se reunirán a título individual y deliberarán con total independencia, sin perjuicio de las consultas que consideren adecuado mantener.</w:t>
      </w:r>
    </w:p>
    <w:p w:rsidR="00391546" w:rsidRPr="0052654D" w:rsidRDefault="00391546" w:rsidP="00391546">
      <w:pPr>
        <w:rPr>
          <w:lang w:val="es-419"/>
        </w:rPr>
      </w:pPr>
    </w:p>
    <w:p w:rsidR="00391546" w:rsidRPr="0052654D" w:rsidRDefault="00391546" w:rsidP="00391546">
      <w:pPr>
        <w:rPr>
          <w:lang w:val="es-419"/>
        </w:rPr>
      </w:pPr>
      <w:r w:rsidRPr="0052654D">
        <w:rPr>
          <w:lang w:val="es-419"/>
        </w:rPr>
        <w:t>8.</w:t>
      </w:r>
      <w:r w:rsidRPr="0052654D">
        <w:rPr>
          <w:lang w:val="es-419"/>
        </w:rPr>
        <w:tab/>
        <w:t xml:space="preserve">Al margen del miembro designado </w:t>
      </w:r>
      <w:r w:rsidRPr="0052654D">
        <w:rPr>
          <w:i/>
          <w:lang w:val="es-419"/>
        </w:rPr>
        <w:t>ex officio</w:t>
      </w:r>
      <w:r w:rsidRPr="0052654D">
        <w:rPr>
          <w:lang w:val="es-419"/>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52654D">
        <w:rPr>
          <w:i/>
          <w:lang w:val="es-419"/>
        </w:rPr>
        <w:t>ex officio</w:t>
      </w:r>
      <w:r w:rsidRPr="0052654D">
        <w:rPr>
          <w:lang w:val="es-419"/>
        </w:rPr>
        <w:t>, finalizará al comienzo de la siguiente sesión del Comité.</w:t>
      </w:r>
    </w:p>
    <w:p w:rsidR="00391546" w:rsidRPr="0052654D" w:rsidRDefault="00391546" w:rsidP="00391546">
      <w:pPr>
        <w:rPr>
          <w:lang w:val="es-419"/>
        </w:rPr>
      </w:pPr>
    </w:p>
    <w:p w:rsidR="00391546" w:rsidRPr="0052654D" w:rsidRDefault="00391546" w:rsidP="00391546">
      <w:pPr>
        <w:rPr>
          <w:lang w:val="es-419"/>
        </w:rPr>
      </w:pPr>
      <w:r w:rsidRPr="0052654D">
        <w:rPr>
          <w:lang w:val="es-419"/>
        </w:rPr>
        <w:t>9.</w:t>
      </w:r>
      <w:r w:rsidRPr="0052654D">
        <w:rPr>
          <w:lang w:val="es-419"/>
        </w:rPr>
        <w:tab/>
        <w:t>La Junta Asesora podrá reunirse de pleno derecho al margen de las sesiones del Comité, a condición de que se obtenga un quórum de siete miembros presentes, incluido el presidente o uno de los vicepresidentes.</w:t>
      </w:r>
    </w:p>
    <w:p w:rsidR="00391546" w:rsidRPr="0052654D" w:rsidRDefault="00391546" w:rsidP="00391546">
      <w:pPr>
        <w:rPr>
          <w:lang w:val="es-419"/>
        </w:rPr>
      </w:pPr>
    </w:p>
    <w:p w:rsidR="00391546" w:rsidRPr="0052654D" w:rsidRDefault="00391546" w:rsidP="00391546">
      <w:pPr>
        <w:rPr>
          <w:lang w:val="es-419"/>
        </w:rPr>
      </w:pPr>
      <w:r w:rsidRPr="0052654D">
        <w:rPr>
          <w:lang w:val="es-419"/>
        </w:rPr>
        <w:t>10.</w:t>
      </w:r>
      <w:r w:rsidRPr="0052654D">
        <w:rPr>
          <w:lang w:val="es-419"/>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391546" w:rsidRPr="0052654D" w:rsidRDefault="00391546" w:rsidP="00391546">
      <w:pPr>
        <w:rPr>
          <w:lang w:val="es-419"/>
        </w:rPr>
      </w:pPr>
    </w:p>
    <w:p w:rsidR="00391546" w:rsidRPr="0052654D" w:rsidRDefault="00391546" w:rsidP="00391546">
      <w:pPr>
        <w:rPr>
          <w:lang w:val="es-419"/>
        </w:rPr>
      </w:pPr>
      <w:r w:rsidRPr="0052654D">
        <w:rPr>
          <w:lang w:val="es-419"/>
        </w:rPr>
        <w:t>11.</w:t>
      </w:r>
      <w:r w:rsidRPr="0052654D">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391546" w:rsidRPr="0052654D" w:rsidRDefault="00391546" w:rsidP="00391546">
      <w:pPr>
        <w:rPr>
          <w:lang w:val="es-419"/>
        </w:rPr>
      </w:pPr>
    </w:p>
    <w:p w:rsidR="00391546" w:rsidRPr="0052654D" w:rsidRDefault="00391546" w:rsidP="00391546">
      <w:pPr>
        <w:pStyle w:val="Endofdocument-Annex"/>
        <w:rPr>
          <w:lang w:val="es-419"/>
        </w:rPr>
      </w:pPr>
      <w:r w:rsidRPr="0052654D">
        <w:rPr>
          <w:lang w:val="es-419"/>
        </w:rPr>
        <w:t>[Sigue el Anexo II]</w:t>
      </w:r>
    </w:p>
    <w:p w:rsidR="00391546" w:rsidRPr="0052654D" w:rsidRDefault="00391546" w:rsidP="00391546">
      <w:pPr>
        <w:ind w:left="5534"/>
        <w:contextualSpacing/>
        <w:rPr>
          <w:rFonts w:eastAsia="Times New Roman"/>
          <w:szCs w:val="22"/>
          <w:lang w:val="es-419" w:eastAsia="en-US"/>
        </w:rPr>
      </w:pPr>
    </w:p>
    <w:p w:rsidR="00391546" w:rsidRPr="0052654D" w:rsidRDefault="00391546" w:rsidP="00391546">
      <w:pPr>
        <w:ind w:left="567"/>
        <w:jc w:val="center"/>
        <w:rPr>
          <w:szCs w:val="22"/>
          <w:lang w:val="es-419"/>
        </w:rPr>
        <w:sectPr w:rsidR="00391546" w:rsidRPr="0052654D" w:rsidSect="00DB388C">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391546" w:rsidRPr="0052654D" w:rsidRDefault="00391546" w:rsidP="00391546">
      <w:pPr>
        <w:ind w:left="1440" w:right="1435"/>
        <w:jc w:val="center"/>
        <w:rPr>
          <w:u w:val="single"/>
          <w:lang w:val="es-419"/>
        </w:rPr>
      </w:pPr>
      <w:r w:rsidRPr="0052654D">
        <w:rPr>
          <w:u w:val="single"/>
          <w:lang w:val="es-419"/>
        </w:rPr>
        <w:lastRenderedPageBreak/>
        <w:t>Fondo de la OMPI de Contribuciones Voluntarias para las Comunidades Indígenas y Locales Acreditadas</w:t>
      </w:r>
    </w:p>
    <w:p w:rsidR="00391546" w:rsidRPr="0052654D" w:rsidRDefault="00391546" w:rsidP="00391546">
      <w:pPr>
        <w:jc w:val="center"/>
        <w:rPr>
          <w:u w:val="single"/>
          <w:lang w:val="es-419"/>
        </w:rPr>
      </w:pPr>
    </w:p>
    <w:p w:rsidR="00391546" w:rsidRPr="0052654D" w:rsidRDefault="00391546" w:rsidP="00391546">
      <w:pPr>
        <w:jc w:val="center"/>
        <w:rPr>
          <w:u w:val="single"/>
          <w:lang w:val="es-419"/>
        </w:rPr>
      </w:pPr>
      <w:r w:rsidRPr="0052654D">
        <w:rPr>
          <w:u w:val="single"/>
          <w:lang w:val="es-419"/>
        </w:rPr>
        <w:t>RAZONES PARA LA INICIATIVA DE CAPTACIÓN DE FONDOS</w:t>
      </w:r>
    </w:p>
    <w:p w:rsidR="00391546" w:rsidRPr="0052654D" w:rsidRDefault="00391546" w:rsidP="00391546">
      <w:pPr>
        <w:jc w:val="center"/>
        <w:rPr>
          <w:u w:val="single"/>
          <w:lang w:val="es-419"/>
        </w:rPr>
      </w:pPr>
    </w:p>
    <w:p w:rsidR="00391546" w:rsidRPr="0052654D" w:rsidRDefault="00391546" w:rsidP="00391546">
      <w:pPr>
        <w:jc w:val="center"/>
        <w:rPr>
          <w:lang w:val="es-419"/>
        </w:rPr>
      </w:pPr>
    </w:p>
    <w:p w:rsidR="00391546" w:rsidRPr="0052654D" w:rsidRDefault="00391546" w:rsidP="00391546">
      <w:pPr>
        <w:jc w:val="center"/>
        <w:rPr>
          <w:lang w:val="es-419"/>
        </w:rPr>
      </w:pPr>
    </w:p>
    <w:p w:rsidR="00391546" w:rsidRPr="0052654D" w:rsidRDefault="00391546" w:rsidP="00391546">
      <w:pPr>
        <w:rPr>
          <w:u w:val="single"/>
          <w:lang w:val="es-419"/>
        </w:rPr>
      </w:pPr>
      <w:r w:rsidRPr="0052654D">
        <w:rPr>
          <w:lang w:val="es-419"/>
        </w:rPr>
        <w:t>I.</w:t>
      </w:r>
      <w:r w:rsidRPr="0052654D">
        <w:rPr>
          <w:lang w:val="es-419"/>
        </w:rPr>
        <w:tab/>
      </w:r>
      <w:r w:rsidRPr="0052654D">
        <w:rPr>
          <w:b/>
          <w:lang w:val="es-419"/>
        </w:rPr>
        <w:t>CONTEXTO</w:t>
      </w:r>
    </w:p>
    <w:p w:rsidR="00391546" w:rsidRPr="0052654D" w:rsidRDefault="00391546" w:rsidP="00391546">
      <w:pPr>
        <w:rPr>
          <w:lang w:val="es-419"/>
        </w:rPr>
      </w:pPr>
    </w:p>
    <w:p w:rsidR="00391546" w:rsidRPr="0052654D" w:rsidRDefault="00391546" w:rsidP="00391546">
      <w:pPr>
        <w:rPr>
          <w:lang w:val="es-419"/>
        </w:rPr>
      </w:pPr>
      <w:r w:rsidRPr="0052654D">
        <w:rPr>
          <w:lang w:val="es-419"/>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391546" w:rsidRPr="0052654D" w:rsidRDefault="00391546" w:rsidP="00391546">
      <w:pPr>
        <w:rPr>
          <w:lang w:val="es-419"/>
        </w:rPr>
      </w:pPr>
    </w:p>
    <w:p w:rsidR="00391546" w:rsidRPr="0052654D" w:rsidRDefault="00391546" w:rsidP="00391546">
      <w:pPr>
        <w:rPr>
          <w:b/>
          <w:lang w:val="es-419"/>
        </w:rPr>
      </w:pPr>
      <w:r w:rsidRPr="0052654D">
        <w:rPr>
          <w:b/>
          <w:i/>
          <w:lang w:val="es-419"/>
        </w:rPr>
        <w:t>La necesidad de facilitar la participación activa de los pueblos indígenas y las comunidades locales en el CIG de la OMPI</w:t>
      </w:r>
    </w:p>
    <w:p w:rsidR="00391546" w:rsidRPr="0052654D" w:rsidRDefault="00391546" w:rsidP="00391546">
      <w:pPr>
        <w:rPr>
          <w:lang w:val="es-419"/>
        </w:rPr>
      </w:pPr>
    </w:p>
    <w:p w:rsidR="00391546" w:rsidRPr="0052654D" w:rsidRDefault="00391546" w:rsidP="00391546">
      <w:pPr>
        <w:rPr>
          <w:lang w:val="es-419"/>
        </w:rPr>
      </w:pPr>
      <w:r w:rsidRPr="0052654D">
        <w:rPr>
          <w:lang w:val="es-419"/>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391546" w:rsidRPr="0052654D" w:rsidRDefault="00391546" w:rsidP="00391546">
      <w:pPr>
        <w:rPr>
          <w:lang w:val="es-419"/>
        </w:rPr>
      </w:pPr>
    </w:p>
    <w:p w:rsidR="00391546" w:rsidRPr="0052654D" w:rsidRDefault="00391546" w:rsidP="00391546">
      <w:pPr>
        <w:rPr>
          <w:lang w:val="es-419"/>
        </w:rPr>
      </w:pPr>
      <w:r w:rsidRPr="0052654D">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rsidR="00391546" w:rsidRPr="0052654D" w:rsidRDefault="00391546" w:rsidP="00391546">
      <w:pPr>
        <w:rPr>
          <w:lang w:val="es-419"/>
        </w:rPr>
      </w:pPr>
    </w:p>
    <w:p w:rsidR="00391546" w:rsidRPr="0052654D" w:rsidRDefault="00391546" w:rsidP="00391546">
      <w:pPr>
        <w:rPr>
          <w:lang w:val="es-419"/>
        </w:rPr>
      </w:pPr>
      <w:r w:rsidRPr="0052654D">
        <w:rPr>
          <w:lang w:val="es-419"/>
        </w:rPr>
        <w:t>Las delegaciones gubernamentales que participan en el CIG han reconocido por ello unánimemente que “la participación de las comunidades indígenas y locales es de gran importancia en la labor del Comité”.</w:t>
      </w:r>
    </w:p>
    <w:p w:rsidR="00391546" w:rsidRPr="0052654D" w:rsidRDefault="00391546" w:rsidP="00391546">
      <w:pPr>
        <w:rPr>
          <w:lang w:val="es-419"/>
        </w:rPr>
      </w:pPr>
    </w:p>
    <w:p w:rsidR="00391546" w:rsidRPr="0052654D" w:rsidRDefault="00391546" w:rsidP="00391546">
      <w:pPr>
        <w:rPr>
          <w:lang w:val="es-419"/>
        </w:rPr>
      </w:pPr>
      <w:r w:rsidRPr="0052654D">
        <w:rPr>
          <w:lang w:val="es-419"/>
        </w:rPr>
        <w:t xml:space="preserve">La necesidad de facilitar la participación ha sido, si cabe, más apremiante desde diciembre de 2009, cuando el CIG se embarcó en </w:t>
      </w:r>
      <w:r w:rsidRPr="0052654D">
        <w:rPr>
          <w:b/>
          <w:lang w:val="es-419"/>
        </w:rPr>
        <w:t>intensas negociaciones</w:t>
      </w:r>
      <w:r w:rsidRPr="0052654D">
        <w:rPr>
          <w:lang w:val="es-419"/>
        </w:rPr>
        <w:t xml:space="preserve"> para elaborar uno o más instrumentos jurídicos internacionales a fin de conferir protección efectiva.</w:t>
      </w:r>
    </w:p>
    <w:p w:rsidR="00391546" w:rsidRPr="0052654D" w:rsidRDefault="00391546" w:rsidP="00391546">
      <w:pPr>
        <w:rPr>
          <w:lang w:val="es-419"/>
        </w:rPr>
      </w:pPr>
      <w:r w:rsidRPr="0052654D">
        <w:rPr>
          <w:lang w:val="es-419"/>
        </w:rPr>
        <w:br w:type="page"/>
      </w:r>
    </w:p>
    <w:p w:rsidR="00391546" w:rsidRPr="0052654D" w:rsidRDefault="00391546" w:rsidP="00391546">
      <w:pPr>
        <w:rPr>
          <w:u w:val="single"/>
          <w:lang w:val="es-419"/>
        </w:rPr>
      </w:pPr>
      <w:r w:rsidRPr="0052654D">
        <w:rPr>
          <w:b/>
          <w:lang w:val="es-419"/>
        </w:rPr>
        <w:lastRenderedPageBreak/>
        <w:t>II.</w:t>
      </w:r>
      <w:r w:rsidRPr="0052654D">
        <w:rPr>
          <w:b/>
          <w:lang w:val="es-419"/>
        </w:rPr>
        <w:tab/>
        <w:t>EL FONDO DE CONTRIBUCIONES VOLUNTARIAS: OBJETIVOS, FUNCIONAMIENTO Y RESULTADOS</w:t>
      </w:r>
    </w:p>
    <w:p w:rsidR="00391546" w:rsidRPr="0052654D" w:rsidRDefault="00391546" w:rsidP="00391546">
      <w:pPr>
        <w:rPr>
          <w:i/>
          <w:lang w:val="es-419"/>
        </w:rPr>
      </w:pPr>
    </w:p>
    <w:p w:rsidR="00391546" w:rsidRPr="0052654D" w:rsidRDefault="00391546" w:rsidP="00391546">
      <w:pPr>
        <w:rPr>
          <w:lang w:val="es-419"/>
        </w:rPr>
      </w:pPr>
      <w:r w:rsidRPr="0052654D">
        <w:rPr>
          <w:lang w:val="es-419"/>
        </w:rPr>
        <w:t>Los Estados miembros de la OMPI han adoptado medidas concretas para asegurar que los pueblos indígenas y las comunidades locales participen efectivamente en el CIG de modo activo como observadores.</w:t>
      </w:r>
    </w:p>
    <w:p w:rsidR="00391546" w:rsidRPr="0052654D" w:rsidRDefault="00391546" w:rsidP="00391546">
      <w:pPr>
        <w:rPr>
          <w:lang w:val="es-419"/>
        </w:rPr>
      </w:pPr>
    </w:p>
    <w:p w:rsidR="00391546" w:rsidRPr="0052654D" w:rsidRDefault="00391546" w:rsidP="00391546">
      <w:pPr>
        <w:rPr>
          <w:lang w:val="es-419"/>
        </w:rPr>
      </w:pPr>
      <w:r w:rsidRPr="0052654D">
        <w:rPr>
          <w:lang w:val="es-419"/>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varios 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391546" w:rsidRPr="0052654D" w:rsidRDefault="00391546" w:rsidP="00391546">
      <w:pPr>
        <w:rPr>
          <w:lang w:val="es-419"/>
        </w:rPr>
      </w:pPr>
    </w:p>
    <w:p w:rsidR="00391546" w:rsidRPr="0052654D" w:rsidRDefault="00391546" w:rsidP="00391546">
      <w:pPr>
        <w:rPr>
          <w:lang w:val="es-419"/>
        </w:rPr>
      </w:pPr>
      <w:r w:rsidRPr="0052654D">
        <w:rPr>
          <w:lang w:val="es-419"/>
        </w:rPr>
        <w:t xml:space="preserve">Paralelamente, muchos pueblos indígenas y comunidades locales han subrayado y siguen destacando que se encuentran con </w:t>
      </w:r>
      <w:r w:rsidRPr="0052654D">
        <w:rPr>
          <w:b/>
          <w:lang w:val="es-419"/>
        </w:rPr>
        <w:t>dificultades insuperables para asumir los costos de viaje y alojamiento</w:t>
      </w:r>
      <w:r w:rsidRPr="0052654D">
        <w:rPr>
          <w:lang w:val="es-419"/>
        </w:rPr>
        <w:t xml:space="preserve"> de sus representantes con ocasión de las reuniones del CIG, y que esos costos impiden en la práctica su participación.</w:t>
      </w:r>
    </w:p>
    <w:p w:rsidR="00391546" w:rsidRPr="0052654D" w:rsidRDefault="00391546" w:rsidP="00391546">
      <w:pPr>
        <w:rPr>
          <w:lang w:val="es-419"/>
        </w:rPr>
      </w:pPr>
    </w:p>
    <w:p w:rsidR="00391546" w:rsidRPr="0052654D" w:rsidRDefault="00391546" w:rsidP="00391546">
      <w:pPr>
        <w:rPr>
          <w:lang w:val="es-419"/>
        </w:rPr>
      </w:pPr>
      <w:r w:rsidRPr="0052654D">
        <w:rPr>
          <w:lang w:val="es-419"/>
        </w:rPr>
        <w:t xml:space="preserve">Para hacer frente a esta legítima preocupación, y tras amplias consultas y el examen de las prácticas más extendidas en el sistema de las Naciones Unidas, la </w:t>
      </w:r>
      <w:r w:rsidRPr="0052654D">
        <w:rPr>
          <w:b/>
          <w:lang w:val="es-419"/>
        </w:rPr>
        <w:t>Asamblea General de la OMPI decidió en 2005 crear un Fondo de Contribuciones Voluntarias de la Organización</w:t>
      </w:r>
      <w:r w:rsidRPr="0052654D">
        <w:rPr>
          <w:lang w:val="es-419"/>
        </w:rPr>
        <w:t xml:space="preserve"> para las comunidades indígenas y locales acreditadas a fin de financiar la participación en el CIG de los observadores acreditados que las representen.</w:t>
      </w:r>
    </w:p>
    <w:p w:rsidR="00391546" w:rsidRPr="0052654D" w:rsidRDefault="00391546" w:rsidP="00391546">
      <w:pPr>
        <w:rPr>
          <w:lang w:val="es-419"/>
        </w:rPr>
      </w:pPr>
    </w:p>
    <w:p w:rsidR="00391546" w:rsidRPr="0052654D" w:rsidRDefault="00391546" w:rsidP="00391546">
      <w:pPr>
        <w:rPr>
          <w:lang w:val="es-419"/>
        </w:rPr>
      </w:pPr>
      <w:r w:rsidRPr="0052654D">
        <w:rPr>
          <w:lang w:val="es-419"/>
        </w:rPr>
        <w:t>La Asamblea General estableció claramente el objetivo de este instrumento de financiación indispensable y su reglamento de funcionamiento a través de decisiones oficiales que constituyen el fundamento jurídico del Fondo.</w:t>
      </w:r>
      <w:r w:rsidRPr="0052654D">
        <w:rPr>
          <w:rStyle w:val="FootnoteReference"/>
          <w:lang w:val="es-419"/>
        </w:rPr>
        <w:footnoteReference w:id="5"/>
      </w:r>
    </w:p>
    <w:p w:rsidR="00391546" w:rsidRPr="0052654D" w:rsidRDefault="00391546" w:rsidP="00391546">
      <w:pPr>
        <w:rPr>
          <w:lang w:val="es-419"/>
        </w:rPr>
      </w:pPr>
    </w:p>
    <w:p w:rsidR="00391546" w:rsidRPr="0052654D" w:rsidRDefault="00391546" w:rsidP="00391546">
      <w:pPr>
        <w:rPr>
          <w:lang w:val="es-419"/>
        </w:rPr>
      </w:pPr>
      <w:r w:rsidRPr="0052654D">
        <w:rPr>
          <w:i/>
          <w:lang w:val="es-419"/>
        </w:rPr>
        <w:t>Objetivo del Fondo</w:t>
      </w:r>
    </w:p>
    <w:p w:rsidR="00391546" w:rsidRPr="0052654D" w:rsidRDefault="00391546" w:rsidP="00391546">
      <w:pPr>
        <w:rPr>
          <w:lang w:val="es-419"/>
        </w:rPr>
      </w:pPr>
    </w:p>
    <w:p w:rsidR="00391546" w:rsidRPr="0052654D" w:rsidRDefault="00391546" w:rsidP="00391546">
      <w:pPr>
        <w:rPr>
          <w:lang w:val="es-419"/>
        </w:rPr>
      </w:pPr>
      <w:r w:rsidRPr="0052654D">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391546" w:rsidRPr="0052654D" w:rsidRDefault="00391546" w:rsidP="00391546">
      <w:pPr>
        <w:rPr>
          <w:lang w:val="es-419"/>
        </w:rPr>
      </w:pPr>
    </w:p>
    <w:p w:rsidR="00391546" w:rsidRPr="0052654D" w:rsidRDefault="00391546" w:rsidP="00391546">
      <w:pPr>
        <w:rPr>
          <w:i/>
          <w:lang w:val="es-419"/>
        </w:rPr>
      </w:pPr>
      <w:r w:rsidRPr="0052654D">
        <w:rPr>
          <w:i/>
          <w:lang w:val="es-419"/>
        </w:rPr>
        <w:t>Fuentes de financiación</w:t>
      </w:r>
    </w:p>
    <w:p w:rsidR="00391546" w:rsidRPr="0052654D" w:rsidRDefault="00391546" w:rsidP="00391546">
      <w:pPr>
        <w:rPr>
          <w:i/>
          <w:lang w:val="es-419"/>
        </w:rPr>
      </w:pPr>
    </w:p>
    <w:p w:rsidR="00391546" w:rsidRPr="0052654D" w:rsidRDefault="00391546" w:rsidP="00391546">
      <w:pPr>
        <w:rPr>
          <w:lang w:val="es-419"/>
        </w:rPr>
      </w:pPr>
      <w:r w:rsidRPr="0052654D">
        <w:rPr>
          <w:lang w:val="es-419"/>
        </w:rPr>
        <w:t xml:space="preserve">La Secretaría de la OMPI no está autorizada a utilizar el presupuesto de la Organización para mantener el Fondo. </w:t>
      </w:r>
      <w:r w:rsidRPr="0052654D">
        <w:rPr>
          <w:b/>
          <w:lang w:val="es-419"/>
        </w:rPr>
        <w:t>El Fondo se financia exclusivamente con las contribuciones voluntarias de los donantes</w:t>
      </w:r>
      <w:r w:rsidRPr="0052654D">
        <w:rPr>
          <w:lang w:val="es-419"/>
        </w:rPr>
        <w:t>. Eso significa que el Fondo no puede funcionar a no ser que reciba esas contribuciones.</w:t>
      </w:r>
    </w:p>
    <w:p w:rsidR="00391546" w:rsidRPr="0052654D" w:rsidRDefault="00391546" w:rsidP="00391546">
      <w:pPr>
        <w:rPr>
          <w:lang w:val="es-419"/>
        </w:rPr>
      </w:pPr>
    </w:p>
    <w:p w:rsidR="00391546" w:rsidRPr="0052654D" w:rsidRDefault="00391546" w:rsidP="00391546">
      <w:pPr>
        <w:keepNext/>
        <w:keepLines/>
        <w:spacing w:before="240"/>
        <w:rPr>
          <w:lang w:val="es-419"/>
        </w:rPr>
      </w:pPr>
      <w:r w:rsidRPr="0052654D">
        <w:rPr>
          <w:i/>
          <w:lang w:val="es-419"/>
        </w:rPr>
        <w:lastRenderedPageBreak/>
        <w:t>Funcionamiento del Fondo</w:t>
      </w:r>
    </w:p>
    <w:p w:rsidR="00391546" w:rsidRPr="0052654D" w:rsidRDefault="00391546" w:rsidP="00391546">
      <w:pPr>
        <w:keepNext/>
        <w:keepLines/>
        <w:rPr>
          <w:lang w:val="es-419"/>
        </w:rPr>
      </w:pPr>
    </w:p>
    <w:p w:rsidR="00391546" w:rsidRPr="0052654D" w:rsidRDefault="00391546" w:rsidP="00391546">
      <w:pPr>
        <w:keepNext/>
        <w:keepLines/>
        <w:numPr>
          <w:ilvl w:val="0"/>
          <w:numId w:val="7"/>
        </w:numPr>
        <w:tabs>
          <w:tab w:val="clear" w:pos="3305"/>
        </w:tabs>
        <w:ind w:left="540" w:hanging="540"/>
        <w:rPr>
          <w:lang w:val="es-419"/>
        </w:rPr>
      </w:pPr>
      <w:r w:rsidRPr="0052654D">
        <w:rPr>
          <w:b/>
          <w:lang w:val="es-419"/>
        </w:rPr>
        <w:t>Transparencia</w:t>
      </w:r>
    </w:p>
    <w:p w:rsidR="00391546" w:rsidRPr="0052654D" w:rsidRDefault="00391546" w:rsidP="00391546">
      <w:pPr>
        <w:keepNext/>
        <w:keepLines/>
        <w:rPr>
          <w:lang w:val="es-419"/>
        </w:rPr>
      </w:pPr>
    </w:p>
    <w:p w:rsidR="00391546" w:rsidRPr="0052654D" w:rsidRDefault="00391546" w:rsidP="00391546">
      <w:pPr>
        <w:numPr>
          <w:ilvl w:val="1"/>
          <w:numId w:val="21"/>
        </w:numPr>
        <w:tabs>
          <w:tab w:val="num" w:pos="567"/>
        </w:tabs>
        <w:rPr>
          <w:lang w:val="es-419"/>
        </w:rPr>
      </w:pPr>
      <w:r w:rsidRPr="0052654D">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52654D">
        <w:rPr>
          <w:rStyle w:val="FootnoteReference"/>
          <w:lang w:val="es-419"/>
        </w:rPr>
        <w:footnoteReference w:id="6"/>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Los criterios de financiación, incluido el del equilibrio geográfico, así como las condiciones que rigen la asistencia financiera del Fondo, están claramente establecidos en su Reglamento.</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La Junta Asesora aprueba un informe oficial al final de cada una de sus reuniones; el contenido de este informe se remite al director general de la OMPI, quien lo comunica de inmediato al CIG mediante una nota informativa oficial.</w:t>
      </w:r>
      <w:r w:rsidRPr="0052654D">
        <w:rPr>
          <w:rStyle w:val="FootnoteReference"/>
          <w:lang w:val="es-419"/>
        </w:rPr>
        <w:footnoteReference w:id="7"/>
      </w:r>
    </w:p>
    <w:p w:rsidR="00391546" w:rsidRPr="0052654D" w:rsidRDefault="00391546" w:rsidP="00391546">
      <w:pPr>
        <w:rPr>
          <w:lang w:val="es-419"/>
        </w:rPr>
      </w:pPr>
    </w:p>
    <w:p w:rsidR="00391546" w:rsidRPr="0052654D" w:rsidRDefault="00391546" w:rsidP="00391546">
      <w:pPr>
        <w:numPr>
          <w:ilvl w:val="0"/>
          <w:numId w:val="8"/>
        </w:numPr>
        <w:tabs>
          <w:tab w:val="clear" w:pos="3195"/>
        </w:tabs>
        <w:ind w:left="540" w:hanging="540"/>
        <w:rPr>
          <w:lang w:val="es-419"/>
        </w:rPr>
      </w:pPr>
      <w:r w:rsidRPr="0052654D">
        <w:rPr>
          <w:b/>
          <w:lang w:val="es-419"/>
        </w:rPr>
        <w:t>Independencia e integración</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Los nueve miembros de la Junta Asesora del Fondo ejercen sus funciones de manera independiente y toman sus decisiones a título personal.</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 xml:space="preserve">Los candidatos que desean recibir financiación están obligados a proporcionar la documentación justificativa de su solicitud, que en la práctica se traduce en un formulario y su </w:t>
      </w:r>
      <w:r w:rsidRPr="0052654D">
        <w:rPr>
          <w:i/>
          <w:lang w:val="es-419"/>
        </w:rPr>
        <w:t>curriculum vitae</w:t>
      </w:r>
      <w:r w:rsidRPr="0052654D">
        <w:rPr>
          <w:lang w:val="es-419"/>
        </w:rPr>
        <w:t>, con lo que se simplifica la aplicación de los criterios de financiación en el examen de las solicitudes.</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Las recomendaciones de la Junta Asesora son de carácter vinculante para la Secretaría de la OMPI, que simplemente proporciona el apoyo administrativo necesario y las aplica siguiendo estrictamente el Reglamento del Fondo.</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Tres miembros de la Junta Asesora proceden de observadores acreditados que representan a una o más comunidades indígenas o locales.</w:t>
      </w:r>
    </w:p>
    <w:p w:rsidR="00391546" w:rsidRPr="0052654D" w:rsidRDefault="00391546" w:rsidP="00391546">
      <w:pPr>
        <w:rPr>
          <w:lang w:val="es-419"/>
        </w:rPr>
      </w:pPr>
    </w:p>
    <w:p w:rsidR="00391546" w:rsidRPr="0052654D" w:rsidRDefault="00391546" w:rsidP="00391546">
      <w:pPr>
        <w:numPr>
          <w:ilvl w:val="0"/>
          <w:numId w:val="9"/>
        </w:numPr>
        <w:tabs>
          <w:tab w:val="clear" w:pos="3195"/>
        </w:tabs>
        <w:ind w:left="540" w:hanging="540"/>
        <w:rPr>
          <w:lang w:val="es-419"/>
        </w:rPr>
      </w:pPr>
      <w:r w:rsidRPr="0052654D">
        <w:rPr>
          <w:b/>
          <w:lang w:val="es-419"/>
        </w:rPr>
        <w:t>Eficacia: no se deducen del Fondo cantidades en concepto de costos administrativos</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Los miembros de la Junta Asesora se reúnen antes o después de las sesiones del CIG en que participan. No se les remunera ni compensa por esas tareas.</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La Junta Asesora está obligada a concluir sus deliberaciones antes del final de la sesión en la que se reúne.</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La Secretaría de la OMPI no está autorizada a utilizar el Fondo para gastos administrativos.</w:t>
      </w:r>
    </w:p>
    <w:p w:rsidR="00391546" w:rsidRPr="0052654D" w:rsidRDefault="00391546" w:rsidP="00391546">
      <w:pPr>
        <w:rPr>
          <w:lang w:val="es-419"/>
        </w:rPr>
      </w:pPr>
    </w:p>
    <w:p w:rsidR="00391546" w:rsidRPr="0052654D" w:rsidRDefault="00391546" w:rsidP="00391546">
      <w:pPr>
        <w:numPr>
          <w:ilvl w:val="1"/>
          <w:numId w:val="21"/>
        </w:numPr>
        <w:tabs>
          <w:tab w:val="num" w:pos="567"/>
        </w:tabs>
        <w:rPr>
          <w:lang w:val="es-419"/>
        </w:rPr>
      </w:pPr>
      <w:r w:rsidRPr="0052654D">
        <w:rPr>
          <w:lang w:val="es-419"/>
        </w:rPr>
        <w:t>En el Reglamento se incluyó una cláusula específica para reducir los costos administrativos al mínimo estrictamente necesario.</w:t>
      </w:r>
    </w:p>
    <w:p w:rsidR="00391546" w:rsidRPr="0052654D" w:rsidRDefault="00391546" w:rsidP="00391546">
      <w:pPr>
        <w:rPr>
          <w:lang w:val="es-419"/>
        </w:rPr>
      </w:pPr>
    </w:p>
    <w:p w:rsidR="00391546" w:rsidRPr="0052654D" w:rsidRDefault="00391546" w:rsidP="00391546">
      <w:pPr>
        <w:rPr>
          <w:i/>
          <w:lang w:val="es-419"/>
        </w:rPr>
      </w:pPr>
      <w:r w:rsidRPr="0052654D">
        <w:rPr>
          <w:b/>
          <w:i/>
          <w:lang w:val="es-419"/>
        </w:rPr>
        <w:t>Resultados</w:t>
      </w:r>
      <w:r w:rsidRPr="0052654D">
        <w:rPr>
          <w:i/>
          <w:lang w:val="es-419"/>
        </w:rPr>
        <w:t xml:space="preserve"> (abril de 2006 – 21 de noviembre de 2022)</w:t>
      </w:r>
    </w:p>
    <w:p w:rsidR="00391546" w:rsidRPr="0052654D" w:rsidRDefault="00391546" w:rsidP="00391546">
      <w:pPr>
        <w:rPr>
          <w:i/>
          <w:lang w:val="es-419"/>
        </w:rPr>
      </w:pPr>
    </w:p>
    <w:p w:rsidR="00391546" w:rsidRPr="0052654D" w:rsidRDefault="00391546" w:rsidP="00391546">
      <w:pPr>
        <w:ind w:left="720"/>
        <w:rPr>
          <w:lang w:val="es-419"/>
        </w:rPr>
      </w:pPr>
      <w:r w:rsidRPr="0052654D">
        <w:rPr>
          <w:lang w:val="es-419"/>
        </w:rPr>
        <w:t>Durante las 34 reuniones de la Junta Asesora del Fondo se tramitó un total de 659 solicitudes</w:t>
      </w:r>
      <w:r w:rsidRPr="0052654D">
        <w:rPr>
          <w:rStyle w:val="FootnoteReference"/>
          <w:lang w:val="es-419"/>
        </w:rPr>
        <w:footnoteReference w:id="8"/>
      </w:r>
      <w:r w:rsidRPr="0052654D">
        <w:rPr>
          <w:lang w:val="es-419"/>
        </w:rPr>
        <w:t xml:space="preserve"> de financiación en relación con 34 sesiones del CIG (incluida la cuadragésima cuarta sesión del CIG) y dos reuniones de grupos de trabajo entre sesiones.</w:t>
      </w:r>
    </w:p>
    <w:p w:rsidR="00391546" w:rsidRPr="0052654D" w:rsidRDefault="00391546" w:rsidP="00391546">
      <w:pPr>
        <w:ind w:left="720"/>
        <w:rPr>
          <w:lang w:val="es-419"/>
        </w:rPr>
      </w:pPr>
    </w:p>
    <w:p w:rsidR="00391546" w:rsidRPr="0052654D" w:rsidRDefault="00391546" w:rsidP="00391546">
      <w:pPr>
        <w:ind w:left="720"/>
        <w:rPr>
          <w:lang w:val="es-419"/>
        </w:rPr>
      </w:pPr>
      <w:r w:rsidRPr="0052654D">
        <w:rPr>
          <w:lang w:val="es-419"/>
        </w:rPr>
        <w:t>Desde la décima sesión hasta la cuadragésima cuarta sesión (inclusive) del CIG y dos reuniones de grupos de trabajo entre sesiones, de 222 solicitudes que habían sido objeto de recomendación por la Junta Asesora para ser financiadas, 156 solicitudes recibieron financiación del Fondo de Contribuciones Voluntarias para apoyar la participación de 77 representantes de varias comunidades indígenas y locales</w:t>
      </w:r>
      <w:r w:rsidRPr="0052654D">
        <w:rPr>
          <w:rStyle w:val="FootnoteReference"/>
          <w:lang w:val="es-419"/>
        </w:rPr>
        <w:footnoteReference w:id="9"/>
      </w:r>
      <w:r w:rsidRPr="0052654D">
        <w:rPr>
          <w:lang w:val="es-419"/>
        </w:rPr>
        <w:t>.</w:t>
      </w:r>
    </w:p>
    <w:p w:rsidR="00391546" w:rsidRPr="0052654D" w:rsidRDefault="00391546" w:rsidP="00391546">
      <w:pPr>
        <w:ind w:left="720"/>
        <w:rPr>
          <w:lang w:val="es-419"/>
        </w:rPr>
      </w:pPr>
    </w:p>
    <w:p w:rsidR="00391546" w:rsidRPr="0052654D" w:rsidRDefault="00391546" w:rsidP="00391546">
      <w:pPr>
        <w:rPr>
          <w:i/>
          <w:lang w:val="es-419"/>
        </w:rPr>
      </w:pPr>
    </w:p>
    <w:p w:rsidR="00391546" w:rsidRPr="0052654D" w:rsidRDefault="00391546" w:rsidP="00391546">
      <w:pPr>
        <w:rPr>
          <w:u w:val="single"/>
          <w:lang w:val="es-419"/>
        </w:rPr>
      </w:pPr>
      <w:r w:rsidRPr="0052654D">
        <w:rPr>
          <w:lang w:val="es-419"/>
        </w:rPr>
        <w:t>III.</w:t>
      </w:r>
      <w:r w:rsidRPr="0052654D">
        <w:rPr>
          <w:lang w:val="es-419"/>
        </w:rPr>
        <w:tab/>
      </w:r>
      <w:r w:rsidRPr="0052654D">
        <w:rPr>
          <w:b/>
          <w:lang w:val="es-419"/>
        </w:rPr>
        <w:t>CONTRIBUCIONES AL FONDO</w:t>
      </w:r>
    </w:p>
    <w:p w:rsidR="00391546" w:rsidRPr="0052654D" w:rsidRDefault="00391546" w:rsidP="00391546">
      <w:pPr>
        <w:rPr>
          <w:lang w:val="es-419"/>
        </w:rPr>
      </w:pPr>
    </w:p>
    <w:p w:rsidR="00391546" w:rsidRPr="0052654D" w:rsidRDefault="00391546" w:rsidP="00391546">
      <w:pPr>
        <w:rPr>
          <w:i/>
          <w:lang w:val="es-419"/>
        </w:rPr>
      </w:pPr>
      <w:r w:rsidRPr="0052654D">
        <w:rPr>
          <w:i/>
          <w:lang w:val="es-419"/>
        </w:rPr>
        <w:t>Disposiciones relativas a las contribuciones</w:t>
      </w:r>
    </w:p>
    <w:p w:rsidR="00391546" w:rsidRPr="0052654D" w:rsidRDefault="00391546" w:rsidP="00391546">
      <w:pPr>
        <w:rPr>
          <w:i/>
          <w:lang w:val="es-419"/>
        </w:rPr>
      </w:pPr>
    </w:p>
    <w:p w:rsidR="00391546" w:rsidRPr="0052654D" w:rsidRDefault="00391546" w:rsidP="00391546">
      <w:pPr>
        <w:numPr>
          <w:ilvl w:val="0"/>
          <w:numId w:val="11"/>
        </w:numPr>
        <w:tabs>
          <w:tab w:val="clear" w:pos="3195"/>
          <w:tab w:val="left" w:pos="567"/>
          <w:tab w:val="num" w:pos="1350"/>
        </w:tabs>
        <w:ind w:left="1350" w:hanging="630"/>
        <w:rPr>
          <w:lang w:val="es-419"/>
        </w:rPr>
      </w:pPr>
      <w:r w:rsidRPr="0052654D">
        <w:rPr>
          <w:lang w:val="es-419"/>
        </w:rPr>
        <w:t>No existen restricciones relativas a las cuantías mínimas o máximas de las donaciones.</w:t>
      </w:r>
    </w:p>
    <w:p w:rsidR="00391546" w:rsidRPr="0052654D" w:rsidRDefault="00391546" w:rsidP="00391546">
      <w:pPr>
        <w:tabs>
          <w:tab w:val="num" w:pos="1350"/>
        </w:tabs>
        <w:ind w:left="1350" w:hanging="630"/>
        <w:rPr>
          <w:lang w:val="es-419"/>
        </w:rPr>
      </w:pPr>
    </w:p>
    <w:p w:rsidR="00391546" w:rsidRPr="0052654D" w:rsidRDefault="00391546" w:rsidP="00391546">
      <w:pPr>
        <w:numPr>
          <w:ilvl w:val="0"/>
          <w:numId w:val="11"/>
        </w:numPr>
        <w:tabs>
          <w:tab w:val="clear" w:pos="3195"/>
          <w:tab w:val="num" w:pos="1350"/>
        </w:tabs>
        <w:ind w:left="1350" w:hanging="630"/>
        <w:rPr>
          <w:lang w:val="es-419"/>
        </w:rPr>
      </w:pPr>
      <w:r w:rsidRPr="0052654D">
        <w:rPr>
          <w:lang w:val="es-419"/>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391546" w:rsidRPr="0052654D" w:rsidRDefault="00391546" w:rsidP="00391546">
      <w:pPr>
        <w:tabs>
          <w:tab w:val="num" w:pos="1350"/>
        </w:tabs>
        <w:ind w:left="1350" w:hanging="630"/>
        <w:rPr>
          <w:lang w:val="es-419"/>
        </w:rPr>
      </w:pPr>
    </w:p>
    <w:p w:rsidR="00391546" w:rsidRPr="0052654D" w:rsidRDefault="00391546" w:rsidP="00391546">
      <w:pPr>
        <w:numPr>
          <w:ilvl w:val="0"/>
          <w:numId w:val="12"/>
        </w:numPr>
        <w:tabs>
          <w:tab w:val="clear" w:pos="3195"/>
          <w:tab w:val="num" w:pos="1350"/>
        </w:tabs>
        <w:ind w:left="1350" w:hanging="630"/>
        <w:rPr>
          <w:lang w:val="es-419"/>
        </w:rPr>
      </w:pPr>
      <w:r w:rsidRPr="0052654D">
        <w:rPr>
          <w:lang w:val="es-419"/>
        </w:rPr>
        <w:t>Todas las contribuciones se asignan directa y exclusivamente a financiar la participación de las comunidades indígenas y locales acreditadas en las sesiones del CIG; no se realizan gastos administrativos a cargo del Fondo.</w:t>
      </w:r>
    </w:p>
    <w:p w:rsidR="00391546" w:rsidRPr="0052654D" w:rsidRDefault="00391546" w:rsidP="00391546">
      <w:pPr>
        <w:tabs>
          <w:tab w:val="num" w:pos="1350"/>
        </w:tabs>
        <w:ind w:left="1350" w:hanging="630"/>
        <w:rPr>
          <w:lang w:val="es-419"/>
        </w:rPr>
      </w:pPr>
    </w:p>
    <w:p w:rsidR="00391546" w:rsidRPr="0052654D" w:rsidRDefault="00391546" w:rsidP="00391546">
      <w:pPr>
        <w:numPr>
          <w:ilvl w:val="0"/>
          <w:numId w:val="12"/>
        </w:numPr>
        <w:tabs>
          <w:tab w:val="clear" w:pos="3195"/>
          <w:tab w:val="num" w:pos="1350"/>
        </w:tabs>
        <w:ind w:left="1350" w:hanging="630"/>
        <w:rPr>
          <w:lang w:val="es-419"/>
        </w:rPr>
      </w:pPr>
      <w:r w:rsidRPr="0052654D">
        <w:rPr>
          <w:lang w:val="es-419"/>
        </w:rPr>
        <w:t>Teniendo en cuenta que se trata de un fondo colectivo, no es posible hacer excepciones a su Reglamento para contribuciones específicas; la contribución de un donante determinado no puede asignarse a una clase particular de beneficiario o de gasto.</w:t>
      </w:r>
    </w:p>
    <w:p w:rsidR="00391546" w:rsidRPr="0052654D" w:rsidRDefault="00391546" w:rsidP="00391546">
      <w:pPr>
        <w:tabs>
          <w:tab w:val="num" w:pos="1350"/>
        </w:tabs>
        <w:ind w:left="1350" w:hanging="630"/>
        <w:rPr>
          <w:lang w:val="es-419"/>
        </w:rPr>
      </w:pPr>
    </w:p>
    <w:p w:rsidR="00391546" w:rsidRPr="0052654D" w:rsidRDefault="00391546" w:rsidP="00391546">
      <w:pPr>
        <w:numPr>
          <w:ilvl w:val="0"/>
          <w:numId w:val="13"/>
        </w:numPr>
        <w:tabs>
          <w:tab w:val="clear" w:pos="3195"/>
          <w:tab w:val="num" w:pos="1350"/>
        </w:tabs>
        <w:ind w:left="1350" w:hanging="630"/>
        <w:rPr>
          <w:lang w:val="es-419"/>
        </w:rPr>
      </w:pPr>
      <w:r w:rsidRPr="0052654D">
        <w:rPr>
          <w:lang w:val="es-419"/>
        </w:rPr>
        <w:lastRenderedPageBreak/>
        <w:t>La Junta Asesora del Fondo selecciona de forma independiente a los candidatos que podrán recibir financiación; si un contribuyente está representado en el CIG como Estado miembro, puede postularse como miembro de la Junta Asesora.</w:t>
      </w:r>
    </w:p>
    <w:p w:rsidR="00391546" w:rsidRPr="0052654D" w:rsidRDefault="00391546" w:rsidP="00391546">
      <w:pPr>
        <w:tabs>
          <w:tab w:val="num" w:pos="1350"/>
        </w:tabs>
        <w:ind w:left="1350" w:hanging="630"/>
        <w:rPr>
          <w:lang w:val="es-419"/>
        </w:rPr>
      </w:pPr>
    </w:p>
    <w:p w:rsidR="00391546" w:rsidRPr="0052654D" w:rsidRDefault="00391546" w:rsidP="00391546">
      <w:pPr>
        <w:numPr>
          <w:ilvl w:val="0"/>
          <w:numId w:val="13"/>
        </w:numPr>
        <w:tabs>
          <w:tab w:val="clear" w:pos="3195"/>
          <w:tab w:val="num" w:pos="1350"/>
        </w:tabs>
        <w:ind w:left="1350" w:hanging="630"/>
        <w:rPr>
          <w:lang w:val="es-419"/>
        </w:rPr>
      </w:pPr>
      <w:r w:rsidRPr="0052654D">
        <w:rPr>
          <w:lang w:val="es-419"/>
        </w:rPr>
        <w:t>Las contribuciones se utilizan en el orden en que son recibidas en la cuenta bancaria del Fondo.</w:t>
      </w:r>
    </w:p>
    <w:p w:rsidR="00391546" w:rsidRPr="0052654D" w:rsidRDefault="00391546" w:rsidP="00391546">
      <w:pPr>
        <w:rPr>
          <w:lang w:val="es-419"/>
        </w:rPr>
      </w:pPr>
    </w:p>
    <w:p w:rsidR="00391546" w:rsidRPr="0052654D" w:rsidRDefault="00391546" w:rsidP="00391546">
      <w:pPr>
        <w:keepNext/>
        <w:keepLines/>
        <w:rPr>
          <w:b/>
          <w:i/>
          <w:lang w:val="es-419"/>
        </w:rPr>
      </w:pPr>
      <w:r w:rsidRPr="0052654D">
        <w:rPr>
          <w:b/>
          <w:i/>
          <w:lang w:val="es-419"/>
        </w:rPr>
        <w:t>Presentación de informes a los donantes</w:t>
      </w:r>
    </w:p>
    <w:p w:rsidR="00391546" w:rsidRPr="0052654D" w:rsidRDefault="00391546" w:rsidP="00391546">
      <w:pPr>
        <w:keepNext/>
        <w:keepLines/>
        <w:rPr>
          <w:lang w:val="es-419"/>
        </w:rPr>
      </w:pPr>
    </w:p>
    <w:p w:rsidR="00391546" w:rsidRPr="0052654D" w:rsidRDefault="00391546" w:rsidP="00391546">
      <w:pPr>
        <w:keepNext/>
        <w:keepLines/>
        <w:rPr>
          <w:lang w:val="es-419"/>
        </w:rPr>
      </w:pPr>
      <w:r w:rsidRPr="0052654D">
        <w:rPr>
          <w:lang w:val="es-419"/>
        </w:rPr>
        <w:t>Se presentan informes públicos sobre el uso del Fondo en la forma habitual mediante notas informativas.</w:t>
      </w:r>
    </w:p>
    <w:p w:rsidR="00391546" w:rsidRPr="0052654D" w:rsidRDefault="00391546" w:rsidP="00391546">
      <w:pPr>
        <w:rPr>
          <w:lang w:val="es-419"/>
        </w:rPr>
      </w:pPr>
    </w:p>
    <w:p w:rsidR="00391546" w:rsidRPr="0052654D" w:rsidRDefault="00391546" w:rsidP="00391546">
      <w:pPr>
        <w:rPr>
          <w:lang w:val="es-419"/>
        </w:rPr>
      </w:pPr>
      <w:r w:rsidRPr="0052654D">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rsidR="00391546" w:rsidRPr="0052654D" w:rsidRDefault="00391546" w:rsidP="00391546">
      <w:pPr>
        <w:rPr>
          <w:lang w:val="es-419"/>
        </w:rPr>
      </w:pPr>
    </w:p>
    <w:p w:rsidR="00391546" w:rsidRPr="0052654D" w:rsidRDefault="00391546" w:rsidP="00391546">
      <w:pPr>
        <w:spacing w:after="240"/>
        <w:rPr>
          <w:lang w:val="es-419"/>
        </w:rPr>
      </w:pPr>
      <w:r w:rsidRPr="0052654D">
        <w:rPr>
          <w:lang w:val="es-419"/>
        </w:rPr>
        <w:t>El funcionamiento del Fondo también es objeto de auditoría interna.</w:t>
      </w:r>
    </w:p>
    <w:p w:rsidR="00391546" w:rsidRPr="0052654D" w:rsidRDefault="00391546" w:rsidP="00391546">
      <w:pPr>
        <w:rPr>
          <w:lang w:val="es-419"/>
        </w:rPr>
      </w:pPr>
      <w:r w:rsidRPr="0052654D">
        <w:rPr>
          <w:lang w:val="es-419"/>
        </w:rPr>
        <w:t>IV.</w:t>
      </w:r>
      <w:r w:rsidRPr="0052654D">
        <w:rPr>
          <w:b/>
          <w:lang w:val="es-419"/>
        </w:rPr>
        <w:tab/>
        <w:t>NECESIDAD DE REPONER LAS RESERVAS</w:t>
      </w:r>
    </w:p>
    <w:p w:rsidR="00391546" w:rsidRPr="0052654D" w:rsidRDefault="00391546" w:rsidP="00391546">
      <w:pPr>
        <w:rPr>
          <w:lang w:val="es-419"/>
        </w:rPr>
      </w:pPr>
    </w:p>
    <w:p w:rsidR="00391546" w:rsidRPr="0052654D" w:rsidRDefault="00391546" w:rsidP="00391546">
      <w:pPr>
        <w:rPr>
          <w:lang w:val="es-419"/>
        </w:rPr>
      </w:pPr>
      <w:r w:rsidRPr="0052654D">
        <w:rPr>
          <w:lang w:val="es-419"/>
        </w:rPr>
        <w:t xml:space="preserve">Desde su creación en 2005, el Fondo de Contribuciones Voluntarias </w:t>
      </w:r>
      <w:r w:rsidRPr="0052654D">
        <w:rPr>
          <w:b/>
          <w:lang w:val="es-419"/>
        </w:rPr>
        <w:t>ha recibido distintas contribuciones</w:t>
      </w:r>
      <w:r w:rsidRPr="0052654D">
        <w:rPr>
          <w:lang w:val="es-419"/>
        </w:rPr>
        <w:t>:</w:t>
      </w:r>
    </w:p>
    <w:p w:rsidR="00391546" w:rsidRPr="0052654D" w:rsidRDefault="00391546" w:rsidP="00391546">
      <w:pPr>
        <w:rPr>
          <w:lang w:val="es-419"/>
        </w:rPr>
      </w:pPr>
    </w:p>
    <w:p w:rsidR="00391546" w:rsidRPr="0052654D" w:rsidRDefault="00391546" w:rsidP="00391546">
      <w:pPr>
        <w:rPr>
          <w:lang w:val="es-419"/>
        </w:rPr>
      </w:pPr>
      <w:r w:rsidRPr="0052654D">
        <w:rPr>
          <w:lang w:val="es-419"/>
        </w:rPr>
        <w:t>Por orden cronológico:</w:t>
      </w:r>
    </w:p>
    <w:p w:rsidR="00391546" w:rsidRPr="0052654D" w:rsidRDefault="00391546" w:rsidP="00391546">
      <w:pPr>
        <w:rPr>
          <w:lang w:val="es-419"/>
        </w:rPr>
      </w:pPr>
    </w:p>
    <w:p w:rsidR="00391546" w:rsidRPr="0052654D" w:rsidRDefault="00391546" w:rsidP="00391546">
      <w:pPr>
        <w:numPr>
          <w:ilvl w:val="2"/>
          <w:numId w:val="10"/>
        </w:numPr>
        <w:tabs>
          <w:tab w:val="clear" w:pos="2250"/>
          <w:tab w:val="num" w:pos="1260"/>
        </w:tabs>
        <w:ind w:left="1170" w:hanging="450"/>
        <w:rPr>
          <w:lang w:val="es-419"/>
        </w:rPr>
      </w:pPr>
      <w:r w:rsidRPr="0052654D">
        <w:rPr>
          <w:lang w:val="es-419"/>
        </w:rPr>
        <w:t>el Programa Internacional Sueco para la Biodiversidad (SwedBio/CBM) (un monto equiva</w:t>
      </w:r>
      <w:bookmarkStart w:id="5" w:name="_GoBack"/>
      <w:bookmarkEnd w:id="5"/>
      <w:r w:rsidRPr="0052654D">
        <w:rPr>
          <w:lang w:val="es-419"/>
        </w:rPr>
        <w:t>lente a 86.092,60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Francia (un monto equivalente a 31.684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la fundación Christensen Fund (un monto equivalente a 29.992,50 francos suizos);</w:t>
      </w:r>
    </w:p>
    <w:p w:rsidR="00391546" w:rsidRPr="0052654D" w:rsidRDefault="00391546" w:rsidP="00391546">
      <w:pPr>
        <w:numPr>
          <w:ilvl w:val="2"/>
          <w:numId w:val="10"/>
        </w:numPr>
        <w:tabs>
          <w:tab w:val="clear" w:pos="2250"/>
          <w:tab w:val="num" w:pos="1260"/>
        </w:tabs>
        <w:ind w:left="1170" w:hanging="450"/>
        <w:rPr>
          <w:lang w:val="es-419"/>
        </w:rPr>
      </w:pPr>
      <w:r w:rsidRPr="0052654D">
        <w:rPr>
          <w:lang w:val="es-419"/>
        </w:rPr>
        <w:t>Suiza (el Instituto Federal Suizo de Propiedad Intelectual) (250.000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Sudáfrica (un monto equivalente a 18.465,27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Noruega (un monto equivalente a 98.255,16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Donante anónimo (500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Australia (un monto equivalente a 89.500 francos suizos);</w:t>
      </w:r>
    </w:p>
    <w:p w:rsidR="00391546" w:rsidRPr="0052654D" w:rsidRDefault="00391546" w:rsidP="00391546">
      <w:pPr>
        <w:numPr>
          <w:ilvl w:val="2"/>
          <w:numId w:val="10"/>
        </w:numPr>
        <w:tabs>
          <w:tab w:val="num" w:pos="440"/>
          <w:tab w:val="num" w:pos="1260"/>
        </w:tabs>
        <w:ind w:left="1170" w:hanging="450"/>
        <w:rPr>
          <w:szCs w:val="22"/>
          <w:lang w:val="es-419"/>
        </w:rPr>
      </w:pPr>
      <w:r w:rsidRPr="0052654D">
        <w:rPr>
          <w:szCs w:val="22"/>
          <w:lang w:val="es-419"/>
        </w:rPr>
        <w:t>Australia (un monto equivalente a 14.217,78 francos suizos);</w:t>
      </w:r>
      <w:r w:rsidRPr="0052654D">
        <w:rPr>
          <w:rStyle w:val="FootnoteReference"/>
          <w:szCs w:val="22"/>
          <w:lang w:val="es-419"/>
        </w:rPr>
        <w:footnoteReference w:id="10"/>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Nueva Zelandia (un monto equivalente a 4.694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Australia (un monto equivalente a 37.835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Canadá (un monto equivalente a 18.268,75 francos suizos)</w:t>
      </w:r>
    </w:p>
    <w:p w:rsidR="00391546" w:rsidRPr="0052654D" w:rsidRDefault="00391546" w:rsidP="00391546">
      <w:pPr>
        <w:numPr>
          <w:ilvl w:val="2"/>
          <w:numId w:val="10"/>
        </w:numPr>
        <w:tabs>
          <w:tab w:val="clear" w:pos="2250"/>
          <w:tab w:val="num" w:pos="440"/>
          <w:tab w:val="num" w:pos="1260"/>
        </w:tabs>
        <w:ind w:left="1170" w:hanging="450"/>
        <w:rPr>
          <w:lang w:val="es-419"/>
        </w:rPr>
      </w:pPr>
      <w:r w:rsidRPr="0052654D">
        <w:rPr>
          <w:lang w:val="es-419"/>
        </w:rPr>
        <w:t>Finlandia (un monto equivalente a 16.227,93 francos suizos)</w:t>
      </w:r>
    </w:p>
    <w:p w:rsidR="00391546" w:rsidRPr="0052654D" w:rsidRDefault="00391546" w:rsidP="00391546">
      <w:pPr>
        <w:numPr>
          <w:ilvl w:val="2"/>
          <w:numId w:val="10"/>
        </w:numPr>
        <w:tabs>
          <w:tab w:val="num" w:pos="440"/>
          <w:tab w:val="num" w:pos="1260"/>
        </w:tabs>
        <w:ind w:left="1170" w:hanging="450"/>
        <w:rPr>
          <w:szCs w:val="22"/>
          <w:lang w:val="es-419"/>
        </w:rPr>
      </w:pPr>
      <w:r w:rsidRPr="0052654D">
        <w:rPr>
          <w:lang w:val="es-419"/>
        </w:rPr>
        <w:t>Alemania (un monto equivalente a 16.158,98 francos suizos);</w:t>
      </w:r>
      <w:r w:rsidRPr="0052654D">
        <w:rPr>
          <w:rStyle w:val="FootnoteReference"/>
          <w:lang w:val="es-419"/>
        </w:rPr>
        <w:footnoteReference w:id="11"/>
      </w:r>
      <w:r w:rsidRPr="0052654D">
        <w:rPr>
          <w:lang w:val="es-419"/>
        </w:rPr>
        <w:t xml:space="preserve"> y</w:t>
      </w:r>
    </w:p>
    <w:p w:rsidR="00391546" w:rsidRPr="0052654D" w:rsidRDefault="00391546" w:rsidP="00391546">
      <w:pPr>
        <w:numPr>
          <w:ilvl w:val="2"/>
          <w:numId w:val="10"/>
        </w:numPr>
        <w:tabs>
          <w:tab w:val="num" w:pos="440"/>
          <w:tab w:val="num" w:pos="1260"/>
        </w:tabs>
        <w:ind w:left="1170" w:hanging="450"/>
        <w:rPr>
          <w:szCs w:val="22"/>
          <w:lang w:val="es-419"/>
        </w:rPr>
      </w:pPr>
      <w:r w:rsidRPr="0052654D">
        <w:rPr>
          <w:lang w:val="es-419"/>
        </w:rPr>
        <w:t>Alemania (un monto equivalente a 14.233,70 francos suizos).</w:t>
      </w:r>
    </w:p>
    <w:p w:rsidR="00391546" w:rsidRPr="0052654D" w:rsidRDefault="00391546" w:rsidP="00391546">
      <w:pPr>
        <w:rPr>
          <w:lang w:val="es-419"/>
        </w:rPr>
      </w:pPr>
    </w:p>
    <w:p w:rsidR="00391546" w:rsidRPr="0052654D" w:rsidRDefault="00391546" w:rsidP="00391546">
      <w:pPr>
        <w:rPr>
          <w:lang w:val="es-419"/>
        </w:rPr>
      </w:pPr>
    </w:p>
    <w:p w:rsidR="00391546" w:rsidRPr="0052654D" w:rsidRDefault="00391546" w:rsidP="00391546">
      <w:pPr>
        <w:rPr>
          <w:lang w:val="es-419"/>
        </w:rPr>
      </w:pPr>
      <w:r w:rsidRPr="0052654D">
        <w:rPr>
          <w:lang w:val="es-419"/>
        </w:rPr>
        <w:t>Todo ello representa un total de 726.126,07 francos suizos.</w:t>
      </w:r>
    </w:p>
    <w:p w:rsidR="00391546" w:rsidRPr="0052654D" w:rsidRDefault="00391546" w:rsidP="00391546">
      <w:pPr>
        <w:rPr>
          <w:lang w:val="es-419"/>
        </w:rPr>
      </w:pPr>
    </w:p>
    <w:p w:rsidR="00391546" w:rsidRPr="0052654D" w:rsidRDefault="00391546" w:rsidP="00391546">
      <w:pPr>
        <w:keepNext/>
        <w:pBdr>
          <w:top w:val="single" w:sz="8" w:space="1" w:color="auto"/>
          <w:left w:val="single" w:sz="8" w:space="4" w:color="auto"/>
          <w:bottom w:val="single" w:sz="8" w:space="1" w:color="auto"/>
          <w:right w:val="single" w:sz="8" w:space="4" w:color="auto"/>
        </w:pBdr>
        <w:rPr>
          <w:b/>
          <w:lang w:val="es-419"/>
        </w:rPr>
      </w:pPr>
      <w:r w:rsidRPr="0052654D">
        <w:rPr>
          <w:b/>
          <w:lang w:val="es-419"/>
        </w:rPr>
        <w:t>El saldo del Fondo al 7 de noviembre de 2022 era de 14.989,98 francos suizos.</w:t>
      </w:r>
    </w:p>
    <w:p w:rsidR="00391546" w:rsidRPr="0052654D" w:rsidRDefault="00391546" w:rsidP="00391546">
      <w:pPr>
        <w:keepNext/>
        <w:pBdr>
          <w:top w:val="single" w:sz="8" w:space="1" w:color="auto"/>
          <w:left w:val="single" w:sz="8" w:space="4" w:color="auto"/>
          <w:bottom w:val="single" w:sz="8" w:space="1" w:color="auto"/>
          <w:right w:val="single" w:sz="8" w:space="4" w:color="auto"/>
        </w:pBdr>
        <w:rPr>
          <w:lang w:val="es-419"/>
        </w:rPr>
      </w:pPr>
    </w:p>
    <w:p w:rsidR="00391546" w:rsidRPr="0052654D" w:rsidRDefault="00391546" w:rsidP="00391546">
      <w:pPr>
        <w:pBdr>
          <w:top w:val="single" w:sz="8" w:space="1" w:color="auto"/>
          <w:left w:val="single" w:sz="8" w:space="4" w:color="auto"/>
          <w:bottom w:val="single" w:sz="8" w:space="1" w:color="auto"/>
          <w:right w:val="single" w:sz="8" w:space="4" w:color="auto"/>
        </w:pBdr>
        <w:rPr>
          <w:b/>
          <w:lang w:val="es-419"/>
        </w:rPr>
      </w:pPr>
      <w:r w:rsidRPr="0052654D">
        <w:rPr>
          <w:lang w:val="es-419"/>
        </w:rPr>
        <w:t>La capacidad del Fondo depende de su reposición mediante contribuciones voluntarias. Se invita encarecidamente a los Estados miembros y a los posibles donantes a contribuir.</w:t>
      </w:r>
    </w:p>
    <w:p w:rsidR="00391546" w:rsidRPr="0052654D" w:rsidRDefault="00391546" w:rsidP="00391546">
      <w:pPr>
        <w:rPr>
          <w:rFonts w:eastAsia="Times New Roman" w:cs="Times New Roman"/>
          <w:i/>
          <w:iCs/>
          <w:lang w:val="es-419"/>
        </w:rPr>
      </w:pPr>
      <w:r w:rsidRPr="0052654D">
        <w:rPr>
          <w:rFonts w:eastAsia="Times New Roman" w:cs="Times New Roman"/>
          <w:i/>
          <w:iCs/>
          <w:lang w:val="es-419"/>
        </w:rPr>
        <w:lastRenderedPageBreak/>
        <w:t>Para más información:</w:t>
      </w:r>
    </w:p>
    <w:p w:rsidR="00391546" w:rsidRPr="0052654D" w:rsidRDefault="00391546" w:rsidP="00391546">
      <w:pPr>
        <w:contextualSpacing/>
        <w:rPr>
          <w:rFonts w:eastAsia="Times New Roman" w:cs="Times New Roman"/>
          <w:i/>
          <w:iCs/>
          <w:lang w:val="es-419"/>
        </w:rPr>
      </w:pPr>
    </w:p>
    <w:p w:rsidR="00391546" w:rsidRPr="0052654D" w:rsidRDefault="00391546" w:rsidP="00391546">
      <w:pPr>
        <w:contextualSpacing/>
        <w:rPr>
          <w:rFonts w:eastAsia="Times New Roman" w:cs="Times New Roman"/>
          <w:i/>
          <w:iCs/>
          <w:lang w:val="es-419"/>
        </w:rPr>
      </w:pPr>
      <w:r w:rsidRPr="0052654D">
        <w:rPr>
          <w:rFonts w:eastAsia="Times New Roman" w:cs="Times New Roman"/>
          <w:iCs/>
          <w:u w:val="single"/>
          <w:lang w:val="es-419"/>
        </w:rPr>
        <w:t>Normas relativas al objetivo y al funcionamiento del Fondo de Contribuciones Voluntarias</w:t>
      </w:r>
    </w:p>
    <w:p w:rsidR="00391546" w:rsidRPr="0052654D" w:rsidRDefault="00391546" w:rsidP="00391546">
      <w:pPr>
        <w:contextualSpacing/>
        <w:rPr>
          <w:rFonts w:eastAsia="Times New Roman" w:cs="Times New Roman"/>
          <w:iCs/>
          <w:lang w:val="es-419"/>
        </w:rPr>
      </w:pPr>
    </w:p>
    <w:p w:rsidR="00391546" w:rsidRPr="0052654D" w:rsidRDefault="00391546" w:rsidP="00391546">
      <w:pPr>
        <w:contextualSpacing/>
        <w:rPr>
          <w:rFonts w:eastAsia="Times New Roman" w:cs="Times New Roman"/>
          <w:iCs/>
          <w:lang w:val="es-419"/>
        </w:rPr>
      </w:pPr>
      <w:hyperlink r:id="rId13" w:history="1">
        <w:r w:rsidRPr="0052654D">
          <w:rPr>
            <w:rStyle w:val="Hyperlink"/>
            <w:rFonts w:cs="Arial"/>
            <w:color w:val="auto"/>
            <w:lang w:val="es-419"/>
          </w:rPr>
          <w:t>https://www.wipo.int/export/sites/www/tk/es/igc/pdf/vf_rules.pdf</w:t>
        </w:r>
      </w:hyperlink>
    </w:p>
    <w:p w:rsidR="00391546" w:rsidRPr="0052654D" w:rsidRDefault="00391546" w:rsidP="00391546">
      <w:pPr>
        <w:contextualSpacing/>
        <w:rPr>
          <w:rFonts w:eastAsia="Times New Roman" w:cs="Times New Roman"/>
          <w:i/>
          <w:iCs/>
          <w:lang w:val="es-419"/>
        </w:rPr>
      </w:pPr>
    </w:p>
    <w:p w:rsidR="00391546" w:rsidRPr="0052654D" w:rsidRDefault="00391546" w:rsidP="00391546">
      <w:pPr>
        <w:contextualSpacing/>
        <w:rPr>
          <w:rFonts w:eastAsia="Times New Roman" w:cs="Times New Roman"/>
          <w:u w:val="single"/>
          <w:lang w:val="es-419"/>
        </w:rPr>
      </w:pPr>
      <w:r w:rsidRPr="0052654D">
        <w:rPr>
          <w:rFonts w:eastAsia="Times New Roman" w:cs="Times New Roman"/>
          <w:u w:val="single"/>
          <w:lang w:val="es-419"/>
        </w:rPr>
        <w:t>Información disponible en Internet sobre el Fondo de Contribuciones Voluntarias</w:t>
      </w:r>
    </w:p>
    <w:p w:rsidR="00391546" w:rsidRPr="0052654D" w:rsidRDefault="00391546" w:rsidP="00391546">
      <w:pPr>
        <w:contextualSpacing/>
        <w:rPr>
          <w:rFonts w:eastAsia="Times New Roman" w:cs="Times New Roman"/>
          <w:u w:val="single"/>
          <w:lang w:val="es-419"/>
        </w:rPr>
      </w:pPr>
    </w:p>
    <w:p w:rsidR="00391546" w:rsidRPr="0052654D" w:rsidRDefault="00391546" w:rsidP="00391546">
      <w:pPr>
        <w:contextualSpacing/>
        <w:rPr>
          <w:rFonts w:eastAsia="Times New Roman" w:cs="Times New Roman"/>
          <w:u w:val="single"/>
          <w:lang w:val="es-419"/>
        </w:rPr>
      </w:pPr>
      <w:hyperlink r:id="rId14" w:history="1">
        <w:r w:rsidRPr="0052654D">
          <w:rPr>
            <w:rStyle w:val="Hyperlink"/>
            <w:rFonts w:eastAsia="Times New Roman"/>
            <w:color w:val="auto"/>
            <w:lang w:val="es-419"/>
          </w:rPr>
          <w:t>https://www.wipo.int/tk/es/igc/participation.html</w:t>
        </w:r>
      </w:hyperlink>
    </w:p>
    <w:p w:rsidR="00391546" w:rsidRPr="0052654D" w:rsidRDefault="00391546" w:rsidP="00391546">
      <w:pPr>
        <w:rPr>
          <w:lang w:val="es-419"/>
        </w:rPr>
      </w:pPr>
    </w:p>
    <w:p w:rsidR="00391546" w:rsidRPr="0052654D" w:rsidRDefault="00391546" w:rsidP="00391546">
      <w:pPr>
        <w:rPr>
          <w:lang w:val="es-419"/>
        </w:rPr>
      </w:pPr>
    </w:p>
    <w:p w:rsidR="00391546" w:rsidRPr="0052654D" w:rsidRDefault="00391546" w:rsidP="00391546">
      <w:pPr>
        <w:rPr>
          <w:lang w:val="es-419"/>
        </w:rPr>
      </w:pPr>
    </w:p>
    <w:p w:rsidR="00152CEA" w:rsidRPr="0052654D" w:rsidRDefault="00391546" w:rsidP="00391546">
      <w:pPr>
        <w:pStyle w:val="Endofdocument-Annex"/>
        <w:rPr>
          <w:lang w:val="es-419"/>
        </w:rPr>
      </w:pPr>
      <w:r w:rsidRPr="0052654D">
        <w:rPr>
          <w:lang w:val="es-419"/>
        </w:rPr>
        <w:t>[Fin de los Anexos y del documento]</w:t>
      </w:r>
    </w:p>
    <w:sectPr w:rsidR="00152CEA" w:rsidRPr="0052654D" w:rsidSect="00391546">
      <w:headerReference w:type="default" r:id="rId15"/>
      <w:headerReference w:type="first" r:id="rId16"/>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546" w:rsidRDefault="00391546">
      <w:r>
        <w:separator/>
      </w:r>
    </w:p>
  </w:endnote>
  <w:endnote w:type="continuationSeparator" w:id="0">
    <w:p w:rsidR="00391546" w:rsidRPr="009D30E6" w:rsidRDefault="00391546" w:rsidP="007E663E">
      <w:pPr>
        <w:rPr>
          <w:sz w:val="17"/>
          <w:szCs w:val="17"/>
        </w:rPr>
      </w:pPr>
      <w:r w:rsidRPr="009D30E6">
        <w:rPr>
          <w:sz w:val="17"/>
          <w:szCs w:val="17"/>
        </w:rPr>
        <w:separator/>
      </w:r>
    </w:p>
    <w:p w:rsidR="00391546" w:rsidRPr="007E663E" w:rsidRDefault="00391546" w:rsidP="007E663E">
      <w:pPr>
        <w:spacing w:after="60"/>
        <w:rPr>
          <w:sz w:val="17"/>
          <w:szCs w:val="17"/>
        </w:rPr>
      </w:pPr>
      <w:r>
        <w:rPr>
          <w:sz w:val="17"/>
        </w:rPr>
        <w:t>[Continuación de la nota de la página anterior]</w:t>
      </w:r>
    </w:p>
  </w:endnote>
  <w:endnote w:type="continuationNotice" w:id="1">
    <w:p w:rsidR="00391546" w:rsidRPr="007E663E" w:rsidRDefault="003915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546" w:rsidRDefault="00391546">
      <w:r>
        <w:separator/>
      </w:r>
    </w:p>
  </w:footnote>
  <w:footnote w:type="continuationSeparator" w:id="0">
    <w:p w:rsidR="00391546" w:rsidRPr="009D30E6" w:rsidRDefault="00391546" w:rsidP="007E663E">
      <w:pPr>
        <w:rPr>
          <w:sz w:val="17"/>
          <w:szCs w:val="17"/>
        </w:rPr>
      </w:pPr>
      <w:r w:rsidRPr="009D30E6">
        <w:rPr>
          <w:sz w:val="17"/>
          <w:szCs w:val="17"/>
        </w:rPr>
        <w:separator/>
      </w:r>
    </w:p>
    <w:p w:rsidR="00391546" w:rsidRPr="007E663E" w:rsidRDefault="00391546" w:rsidP="007E663E">
      <w:pPr>
        <w:spacing w:after="60"/>
        <w:rPr>
          <w:sz w:val="17"/>
          <w:szCs w:val="17"/>
        </w:rPr>
      </w:pPr>
      <w:r>
        <w:rPr>
          <w:sz w:val="17"/>
        </w:rPr>
        <w:t>[Continuación de la nota de la página anterior]</w:t>
      </w:r>
    </w:p>
  </w:footnote>
  <w:footnote w:type="continuationNotice" w:id="1">
    <w:p w:rsidR="00391546" w:rsidRPr="007E663E" w:rsidRDefault="00391546" w:rsidP="007E663E">
      <w:pPr>
        <w:spacing w:before="60"/>
        <w:jc w:val="right"/>
        <w:rPr>
          <w:sz w:val="17"/>
          <w:szCs w:val="17"/>
        </w:rPr>
      </w:pPr>
      <w:r w:rsidRPr="007E663E">
        <w:rPr>
          <w:sz w:val="17"/>
          <w:szCs w:val="17"/>
        </w:rPr>
        <w:t>[Sigue la nota en la página siguiente]</w:t>
      </w:r>
    </w:p>
  </w:footnote>
  <w:footnote w:id="2">
    <w:p w:rsidR="00391546" w:rsidRPr="00E70183" w:rsidRDefault="00391546" w:rsidP="00391546">
      <w:pPr>
        <w:pStyle w:val="FootnoteText"/>
      </w:pPr>
      <w:r w:rsidRPr="00E70183">
        <w:rPr>
          <w:rStyle w:val="FootnoteReference"/>
        </w:rPr>
        <w:footnoteRef/>
      </w:r>
      <w:r w:rsidRPr="00E70183">
        <w:t xml:space="preserve"> En la página </w:t>
      </w:r>
      <w:hyperlink r:id="rId1" w:history="1">
        <w:r w:rsidRPr="00E70183">
          <w:rPr>
            <w:rStyle w:val="Hyperlink"/>
            <w:rFonts w:cs="Arial"/>
            <w:color w:val="auto"/>
          </w:rPr>
          <w:t>https://www.wipo.int/tk/es/igc/participation.html</w:t>
        </w:r>
      </w:hyperlink>
      <w:r w:rsidRPr="00E70183">
        <w:t xml:space="preserve"> se ofrece información detallada de tipo práctico sobre el Fondo, su funcionamiento y el procedimiento de solicitud, así como sus normas.</w:t>
      </w:r>
    </w:p>
  </w:footnote>
  <w:footnote w:id="3">
    <w:p w:rsidR="00391546" w:rsidRPr="00E70183" w:rsidRDefault="00391546" w:rsidP="00391546">
      <w:pPr>
        <w:pStyle w:val="FootnoteText"/>
        <w:rPr>
          <w:lang w:val="es-ES_tradnl"/>
        </w:rPr>
      </w:pPr>
      <w:r w:rsidRPr="00E70183">
        <w:rPr>
          <w:rStyle w:val="FootnoteReference"/>
        </w:rPr>
        <w:footnoteRef/>
      </w:r>
      <w:r w:rsidRPr="00E70183">
        <w:t xml:space="preserve"> </w:t>
      </w:r>
      <w:r w:rsidRPr="00E70183">
        <w:rPr>
          <w:lang w:val="es-ES_tradnl"/>
        </w:rPr>
        <w:t>Nota de la Secretaría: la Asamblea General ha tomado esa decisión. Véase el párrafo 202 del informe de su trigésimo segundo período de sesiones (documento WO/GA/32/13).</w:t>
      </w:r>
    </w:p>
  </w:footnote>
  <w:footnote w:id="4">
    <w:p w:rsidR="00391546" w:rsidRPr="00E70183" w:rsidRDefault="00391546" w:rsidP="00391546">
      <w:pPr>
        <w:pStyle w:val="FootnoteText"/>
        <w:rPr>
          <w:lang w:val="es-ES_tradnl"/>
        </w:rPr>
      </w:pPr>
      <w:r w:rsidRPr="00E70183">
        <w:rPr>
          <w:rStyle w:val="FootnoteReference"/>
        </w:rPr>
        <w:footnoteRef/>
      </w:r>
      <w:r w:rsidRPr="00E70183">
        <w:t xml:space="preserve"> </w:t>
      </w:r>
      <w:r w:rsidRPr="00E70183">
        <w:rPr>
          <w:lang w:val="es-ES_tradnl"/>
        </w:rPr>
        <w:t>Nota de la Secretaría: la Asamblea General ha tomado esa decisión. Véase el párrafo 168 del informe de su trigésimo segundo período de sesiones (documento WO/GA/32/13).</w:t>
      </w:r>
    </w:p>
  </w:footnote>
  <w:footnote w:id="5">
    <w:p w:rsidR="00391546" w:rsidRPr="00E70183" w:rsidRDefault="00391546" w:rsidP="00391546">
      <w:pPr>
        <w:pStyle w:val="FootnoteText"/>
      </w:pPr>
      <w:r w:rsidRPr="00E70183">
        <w:rPr>
          <w:rStyle w:val="FootnoteReference"/>
        </w:rPr>
        <w:footnoteRef/>
      </w:r>
      <w:r w:rsidRPr="00E70183">
        <w:t xml:space="preserve"> </w:t>
      </w:r>
      <w:r w:rsidRPr="00E70183">
        <w:rPr>
          <w:lang w:val="es-ES_tradnl"/>
        </w:rPr>
        <w:t xml:space="preserve">Véase el anexo del documento WO/GA/32/6 que la Asamblea General de la OMPI aprobó (en su 32.º período de sesiones) y posteriormente modificó (39.º período de sesiones). El reglamento del Fondo puede consultarse en: </w:t>
      </w:r>
      <w:hyperlink r:id="rId2" w:history="1">
        <w:r w:rsidRPr="00E70183">
          <w:rPr>
            <w:rStyle w:val="Hyperlink"/>
            <w:color w:val="auto"/>
            <w:szCs w:val="18"/>
          </w:rPr>
          <w:t>https://www.wipo.int/export/sites/www/tk/es/igc/pdf/vf_rules.pdf</w:t>
        </w:r>
      </w:hyperlink>
      <w:r w:rsidRPr="00E70183">
        <w:rPr>
          <w:lang w:val="es-ES_tradnl"/>
        </w:rPr>
        <w:t>.</w:t>
      </w:r>
    </w:p>
  </w:footnote>
  <w:footnote w:id="6">
    <w:p w:rsidR="00391546" w:rsidRPr="00E70183" w:rsidRDefault="00391546" w:rsidP="00391546">
      <w:pPr>
        <w:pStyle w:val="FootnoteText"/>
        <w:rPr>
          <w:lang w:val="es-ES_tradnl"/>
        </w:rPr>
      </w:pPr>
      <w:r w:rsidRPr="00E70183">
        <w:rPr>
          <w:rStyle w:val="FootnoteReference"/>
        </w:rPr>
        <w:footnoteRef/>
      </w:r>
      <w:r w:rsidRPr="00E70183">
        <w:t xml:space="preserve"> </w:t>
      </w:r>
      <w:r w:rsidRPr="00E70183">
        <w:rPr>
          <w:lang w:val="es-ES_tradnl"/>
        </w:rPr>
        <w:t>Véase, por ejemplo, la nota informativa de la OMPI WIPO/GRTKF/IC/4</w:t>
      </w:r>
      <w:r>
        <w:rPr>
          <w:lang w:val="es-ES_tradnl"/>
        </w:rPr>
        <w:t>4</w:t>
      </w:r>
      <w:r w:rsidRPr="00E70183">
        <w:rPr>
          <w:lang w:val="es-ES_tradnl"/>
        </w:rPr>
        <w:t xml:space="preserve">/INF/4, de fecha </w:t>
      </w:r>
      <w:r>
        <w:rPr>
          <w:lang w:val="es-ES_tradnl"/>
        </w:rPr>
        <w:t>25 de agosto</w:t>
      </w:r>
      <w:r w:rsidRPr="00E70183">
        <w:rPr>
          <w:lang w:val="es-ES_tradnl"/>
        </w:rPr>
        <w:t xml:space="preserve"> de 2022, que puede consultarse en </w:t>
      </w:r>
      <w:hyperlink r:id="rId3" w:history="1">
        <w:r>
          <w:rPr>
            <w:rStyle w:val="Hyperlink"/>
            <w:color w:val="auto"/>
            <w:szCs w:val="18"/>
          </w:rPr>
          <w:t>https://www.wipo.int/edocs/mdocs/tk/es/wipo_grtkf_ic_44/wipo_grtkf_ic_44_inf_4.pdf</w:t>
        </w:r>
      </w:hyperlink>
      <w:r w:rsidRPr="00E70183">
        <w:rPr>
          <w:szCs w:val="18"/>
        </w:rPr>
        <w:t>.</w:t>
      </w:r>
    </w:p>
  </w:footnote>
  <w:footnote w:id="7">
    <w:p w:rsidR="00391546" w:rsidRPr="00E70183" w:rsidRDefault="00391546" w:rsidP="00391546">
      <w:pPr>
        <w:pStyle w:val="FootnoteText"/>
      </w:pPr>
      <w:r w:rsidRPr="00E70183">
        <w:rPr>
          <w:rStyle w:val="FootnoteReference"/>
        </w:rPr>
        <w:footnoteRef/>
      </w:r>
      <w:r w:rsidRPr="00E70183">
        <w:t xml:space="preserve"> </w:t>
      </w:r>
      <w:r w:rsidRPr="00E70183">
        <w:rPr>
          <w:lang w:val="es-ES_tradnl"/>
        </w:rPr>
        <w:t>Véase, por ejemplo, la nota informativa de la OMPI WIPO/GRTKF/IC/4</w:t>
      </w:r>
      <w:r>
        <w:rPr>
          <w:lang w:val="es-ES_tradnl"/>
        </w:rPr>
        <w:t>4</w:t>
      </w:r>
      <w:r w:rsidRPr="00E70183">
        <w:rPr>
          <w:lang w:val="es-ES_tradnl"/>
        </w:rPr>
        <w:t xml:space="preserve">/INF/6, de fecha </w:t>
      </w:r>
      <w:r>
        <w:rPr>
          <w:lang w:val="es-ES_tradnl"/>
        </w:rPr>
        <w:t>15 de septiembre</w:t>
      </w:r>
      <w:r w:rsidRPr="00E70183">
        <w:rPr>
          <w:lang w:val="es-ES_tradnl"/>
        </w:rPr>
        <w:t xml:space="preserve"> de 2022, que puede consultarse en </w:t>
      </w:r>
      <w:hyperlink r:id="rId4" w:history="1">
        <w:r>
          <w:rPr>
            <w:rStyle w:val="Hyperlink"/>
            <w:rFonts w:cs="Arial"/>
            <w:color w:val="auto"/>
          </w:rPr>
          <w:t>https://www.wipo.int/edocs/mdocs/tk/es/wipo_grtkf_ic_44/wipo_grtkf_ic_44_inf_6.pdf</w:t>
        </w:r>
      </w:hyperlink>
      <w:r w:rsidRPr="00E70183">
        <w:rPr>
          <w:rStyle w:val="Hyperlink"/>
          <w:rFonts w:cs="Arial"/>
          <w:color w:val="auto"/>
        </w:rPr>
        <w:t>.</w:t>
      </w:r>
    </w:p>
  </w:footnote>
  <w:footnote w:id="8">
    <w:p w:rsidR="00391546" w:rsidRPr="00E70183" w:rsidRDefault="00391546" w:rsidP="00391546">
      <w:pPr>
        <w:pStyle w:val="FootnoteText"/>
        <w:rPr>
          <w:lang w:val="es-ES_tradnl"/>
        </w:rPr>
      </w:pPr>
      <w:r w:rsidRPr="00E70183">
        <w:rPr>
          <w:rStyle w:val="FootnoteReference"/>
        </w:rPr>
        <w:footnoteRef/>
      </w:r>
      <w:r w:rsidRPr="00E70183">
        <w:t xml:space="preserve"> </w:t>
      </w:r>
      <w:r w:rsidRPr="00E70183">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9">
    <w:p w:rsidR="00391546" w:rsidRPr="00E70183" w:rsidRDefault="00391546" w:rsidP="00391546">
      <w:pPr>
        <w:pStyle w:val="FootnoteText"/>
        <w:rPr>
          <w:lang w:val="es-ES_tradnl"/>
        </w:rPr>
      </w:pPr>
      <w:r w:rsidRPr="00E70183">
        <w:rPr>
          <w:rStyle w:val="FootnoteReference"/>
        </w:rPr>
        <w:footnoteRef/>
      </w:r>
      <w:r w:rsidRPr="00E70183">
        <w:t xml:space="preserve"> </w:t>
      </w:r>
      <w:r w:rsidRPr="00E70183">
        <w:rPr>
          <w:lang w:val="es-ES_tradnl"/>
        </w:rPr>
        <w:t>Durante ese período fueron retiradas 25 solicitudes por los correspondientes solicitantes. 39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la trigésima séptima sesión (tres solicitantes), la trigésima octava sesión (dos solicitantes), la trigésima novena sesión (dos solicitantes) y la cuadragésima sesión (dos solicitantes). Una solicitante recomendada para recibir financiación de cara a la trigésima octava sesión del Comité, a quien se ofreció, por ser la primera en el orden de prioridad, la posibilidad de recibir una ayuda parcial del Fondo, no aceptó la oferta. Un solicitante recomendado falleció antes de beneficiarse del apoyo del Fondo. No se pudo financiar a ninguno de los dos solicitantes recomendados de cara a la cuadragésima primera sesión y a la cuadragésima segunda sesión, debido a las restricciones y las políticas establecidas en ese momento en relación con la situación de la pandemia de COVID-19. Se financió a dos solicitantes recomendados de cara a la cuadragésima tercera sesión.</w:t>
      </w:r>
    </w:p>
  </w:footnote>
  <w:footnote w:id="10">
    <w:p w:rsidR="00391546" w:rsidRPr="00E70183" w:rsidRDefault="00391546" w:rsidP="00391546">
      <w:pPr>
        <w:pStyle w:val="FootnoteText"/>
        <w:rPr>
          <w:lang w:val="es-ES_tradnl"/>
        </w:rPr>
      </w:pPr>
      <w:r w:rsidRPr="00E70183">
        <w:rPr>
          <w:rStyle w:val="FootnoteReference"/>
        </w:rPr>
        <w:footnoteRef/>
      </w:r>
      <w:r w:rsidRPr="00E70183">
        <w:rPr>
          <w:lang w:val="es-ES_tradnl"/>
        </w:rPr>
        <w:t xml:space="preserve"> Se reembolsaron 782,22 francos suizos el 2 de septiembre de 2013 </w:t>
      </w:r>
      <w:r w:rsidRPr="00E70183">
        <w:t>al Gobierno de Australia, de conformidad con las condiciones convenidas para el uso de la contribución efectuada por dicho Gobierno</w:t>
      </w:r>
      <w:r w:rsidRPr="00E70183">
        <w:rPr>
          <w:lang w:val="es-ES_tradnl"/>
        </w:rPr>
        <w:t>.</w:t>
      </w:r>
    </w:p>
  </w:footnote>
  <w:footnote w:id="11">
    <w:p w:rsidR="00391546" w:rsidRPr="00E70183" w:rsidRDefault="00391546" w:rsidP="00391546">
      <w:pPr>
        <w:pStyle w:val="FootnoteText"/>
        <w:rPr>
          <w:lang w:val="es-ES_tradnl"/>
        </w:rPr>
      </w:pPr>
      <w:r w:rsidRPr="00E70183">
        <w:rPr>
          <w:rStyle w:val="FootnoteReference"/>
        </w:rPr>
        <w:footnoteRef/>
      </w:r>
      <w:r w:rsidRPr="00E70183">
        <w:rPr>
          <w:lang w:val="es-ES_tradnl"/>
        </w:rPr>
        <w:t xml:space="preserve"> Se reembolsaron 16.158,98 francos suizos el 8 de enero de 2021 al Gobierno de Alemania, de conformidad con las condiciones convenidas para el uso de la contribución efectuada por dicho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46" w:rsidRPr="00932034" w:rsidRDefault="00391546" w:rsidP="00FA3285">
    <w:pPr>
      <w:jc w:val="right"/>
      <w:rPr>
        <w:lang w:val="en-US"/>
      </w:rPr>
    </w:pPr>
    <w:r w:rsidRPr="00932034">
      <w:rPr>
        <w:lang w:val="en-US"/>
      </w:rPr>
      <w:t>WIPO/GRTKF/IC/37/3</w:t>
    </w:r>
  </w:p>
  <w:p w:rsidR="00391546" w:rsidRPr="00932034" w:rsidRDefault="00391546" w:rsidP="00FA3285">
    <w:pPr>
      <w:jc w:val="right"/>
      <w:rPr>
        <w:lang w:val="en-US"/>
      </w:rPr>
    </w:pPr>
    <w:r w:rsidRPr="00932034">
      <w:rPr>
        <w:lang w:val="en-US"/>
      </w:rPr>
      <w:t xml:space="preserve">Annex II, page </w:t>
    </w:r>
    <w:r w:rsidRPr="002526D0">
      <w:rPr>
        <w:rStyle w:val="PageNumber"/>
      </w:rPr>
      <w:fldChar w:fldCharType="begin"/>
    </w:r>
    <w:r w:rsidRPr="00932034">
      <w:rPr>
        <w:rStyle w:val="PageNumber"/>
        <w:lang w:val="en-US"/>
      </w:rPr>
      <w:instrText xml:space="preserve"> PAGE </w:instrText>
    </w:r>
    <w:r w:rsidRPr="002526D0">
      <w:rPr>
        <w:rStyle w:val="PageNumber"/>
      </w:rPr>
      <w:fldChar w:fldCharType="separate"/>
    </w:r>
    <w:r w:rsidRPr="00932034">
      <w:rPr>
        <w:rStyle w:val="PageNumber"/>
        <w:noProof/>
        <w:lang w:val="en-US"/>
      </w:rPr>
      <w:t>6</w:t>
    </w:r>
    <w:r w:rsidRPr="002526D0">
      <w:rPr>
        <w:rStyle w:val="PageNumber"/>
      </w:rPr>
      <w:fldChar w:fldCharType="end"/>
    </w:r>
  </w:p>
  <w:p w:rsidR="00391546" w:rsidRPr="00932034" w:rsidRDefault="00391546" w:rsidP="00FA3285">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46" w:rsidRPr="002526D0" w:rsidRDefault="00391546" w:rsidP="00586337">
    <w:pPr>
      <w:jc w:val="right"/>
    </w:pPr>
    <w:r w:rsidRPr="002526D0">
      <w:t>WIPO/GRTKF/IC/</w:t>
    </w:r>
    <w:r>
      <w:t>45</w:t>
    </w:r>
    <w:r w:rsidRPr="002526D0">
      <w:t>/3</w:t>
    </w:r>
  </w:p>
  <w:p w:rsidR="00391546" w:rsidRPr="002526D0" w:rsidRDefault="00391546" w:rsidP="00586337">
    <w:pPr>
      <w:jc w:val="right"/>
    </w:pPr>
    <w:r>
      <w:t>página</w:t>
    </w:r>
    <w:r w:rsidRPr="002526D0">
      <w:t xml:space="preserv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52654D">
      <w:rPr>
        <w:rStyle w:val="PageNumber"/>
        <w:noProof/>
      </w:rPr>
      <w:t>3</w:t>
    </w:r>
    <w:r w:rsidRPr="002526D0">
      <w:rPr>
        <w:rStyle w:val="PageNumber"/>
      </w:rPr>
      <w:fldChar w:fldCharType="end"/>
    </w:r>
  </w:p>
  <w:p w:rsidR="00391546" w:rsidRDefault="00391546" w:rsidP="0058633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46" w:rsidRPr="00AC7D8E" w:rsidRDefault="00391546" w:rsidP="00586337">
    <w:pPr>
      <w:jc w:val="right"/>
      <w:rPr>
        <w:lang w:val="pt-BR"/>
      </w:rPr>
    </w:pPr>
    <w:r w:rsidRPr="00AC7D8E">
      <w:rPr>
        <w:lang w:val="pt-BR"/>
      </w:rPr>
      <w:t>WIPO/GRTKF/IC/4</w:t>
    </w:r>
    <w:r>
      <w:rPr>
        <w:lang w:val="pt-BR"/>
      </w:rPr>
      <w:t>5</w:t>
    </w:r>
    <w:r w:rsidRPr="00AC7D8E">
      <w:rPr>
        <w:lang w:val="pt-BR"/>
      </w:rPr>
      <w:t>/3</w:t>
    </w:r>
  </w:p>
  <w:p w:rsidR="00391546" w:rsidRPr="00AC7D8E" w:rsidRDefault="00391546" w:rsidP="00586337">
    <w:pPr>
      <w:jc w:val="right"/>
      <w:rPr>
        <w:rStyle w:val="PageNumber"/>
        <w:lang w:val="pt-BR"/>
      </w:rPr>
    </w:pPr>
    <w:r w:rsidRPr="00AC7D8E">
      <w:rPr>
        <w:lang w:val="pt-BR"/>
      </w:rPr>
      <w:t xml:space="preserve">Anexo I, página </w:t>
    </w:r>
    <w:r w:rsidRPr="002526D0">
      <w:rPr>
        <w:rStyle w:val="PageNumber"/>
      </w:rPr>
      <w:fldChar w:fldCharType="begin"/>
    </w:r>
    <w:r w:rsidRPr="00AC7D8E">
      <w:rPr>
        <w:rStyle w:val="PageNumber"/>
        <w:lang w:val="pt-BR"/>
      </w:rPr>
      <w:instrText xml:space="preserve"> PAGE </w:instrText>
    </w:r>
    <w:r w:rsidRPr="002526D0">
      <w:rPr>
        <w:rStyle w:val="PageNumber"/>
      </w:rPr>
      <w:fldChar w:fldCharType="separate"/>
    </w:r>
    <w:r w:rsidR="0052654D">
      <w:rPr>
        <w:rStyle w:val="PageNumber"/>
        <w:noProof/>
        <w:lang w:val="pt-BR"/>
      </w:rPr>
      <w:t>6</w:t>
    </w:r>
    <w:r w:rsidRPr="002526D0">
      <w:rPr>
        <w:rStyle w:val="PageNumber"/>
      </w:rPr>
      <w:fldChar w:fldCharType="end"/>
    </w:r>
  </w:p>
  <w:p w:rsidR="00391546" w:rsidRPr="00AC7D8E" w:rsidRDefault="00391546" w:rsidP="00586337">
    <w:pPr>
      <w:jc w:val="right"/>
      <w:rPr>
        <w:lang w:val="pt-BR"/>
      </w:rPr>
    </w:pPr>
  </w:p>
  <w:p w:rsidR="00391546" w:rsidRPr="00AC7D8E" w:rsidRDefault="00391546" w:rsidP="00586337">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46" w:rsidRDefault="00391546" w:rsidP="00DB388C">
    <w:pPr>
      <w:pStyle w:val="Header"/>
      <w:jc w:val="right"/>
    </w:pPr>
    <w:r>
      <w:t>WIPO/GRTKF/IC/45/3</w:t>
    </w:r>
  </w:p>
  <w:p w:rsidR="00391546" w:rsidRDefault="00391546" w:rsidP="00DB388C">
    <w:pPr>
      <w:pStyle w:val="Header"/>
      <w:jc w:val="right"/>
    </w:pPr>
    <w:r>
      <w:t>ANEXO I</w:t>
    </w:r>
  </w:p>
  <w:p w:rsidR="00391546" w:rsidRDefault="00391546" w:rsidP="00DB388C">
    <w:pPr>
      <w:pStyle w:val="Header"/>
      <w:jc w:val="right"/>
    </w:pPr>
  </w:p>
  <w:p w:rsidR="00391546" w:rsidRDefault="00391546" w:rsidP="00DB388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391546" w:rsidP="00477D6B">
    <w:pPr>
      <w:jc w:val="right"/>
      <w:rPr>
        <w:caps/>
      </w:rPr>
    </w:pPr>
    <w:bookmarkStart w:id="6" w:name="Code2"/>
    <w:bookmarkEnd w:id="6"/>
    <w:r>
      <w:rPr>
        <w:caps/>
      </w:rPr>
      <w:t>W</w:t>
    </w:r>
    <w:r>
      <w:rPr>
        <w:caps/>
      </w:rPr>
      <w:t>IPO/GRTKF/</w:t>
    </w:r>
    <w:r>
      <w:rPr>
        <w:caps/>
      </w:rPr>
      <w:t>IC</w:t>
    </w:r>
    <w:r>
      <w:rPr>
        <w:caps/>
      </w:rPr>
      <w:t>/</w:t>
    </w:r>
    <w:r>
      <w:rPr>
        <w:caps/>
      </w:rPr>
      <w:t>45</w:t>
    </w:r>
    <w:r>
      <w:rPr>
        <w:caps/>
      </w:rPr>
      <w:t>/</w:t>
    </w:r>
    <w:r>
      <w:rPr>
        <w:caps/>
      </w:rPr>
      <w:t>3</w:t>
    </w:r>
  </w:p>
  <w:p w:rsidR="00AE7F20" w:rsidRDefault="00391546" w:rsidP="00477D6B">
    <w:pPr>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52654D">
      <w:rPr>
        <w:noProof/>
      </w:rPr>
      <w:t>5</w:t>
    </w:r>
    <w:r w:rsidR="00AE7F20">
      <w:fldChar w:fldCharType="end"/>
    </w:r>
  </w:p>
  <w:p w:rsidR="00AE7F20" w:rsidRDefault="00AE7F20" w:rsidP="00477D6B">
    <w:pPr>
      <w:jc w:val="right"/>
    </w:pPr>
  </w:p>
  <w:p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46" w:rsidRDefault="00391546" w:rsidP="00DB388C">
    <w:pPr>
      <w:pStyle w:val="Header"/>
      <w:jc w:val="right"/>
    </w:pPr>
    <w:r>
      <w:t>WIPO/GRTKF/IC/45/3</w:t>
    </w:r>
  </w:p>
  <w:p w:rsidR="00391546" w:rsidRDefault="00391546" w:rsidP="00DB388C">
    <w:pPr>
      <w:pStyle w:val="Header"/>
      <w:jc w:val="right"/>
    </w:pPr>
    <w:r>
      <w:t>ANEXO I</w:t>
    </w:r>
    <w:r>
      <w:t>I</w:t>
    </w:r>
  </w:p>
  <w:p w:rsidR="00391546" w:rsidRDefault="00391546" w:rsidP="00DB388C">
    <w:pPr>
      <w:pStyle w:val="Header"/>
      <w:jc w:val="right"/>
    </w:pPr>
  </w:p>
  <w:p w:rsidR="00391546" w:rsidRDefault="00391546" w:rsidP="00DB38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FB605830"/>
    <w:lvl w:ilvl="0" w:tplc="520C109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21B0D706"/>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DCE4BF7C"/>
    <w:lvl w:ilvl="0" w:tplc="DFE02E54">
      <w:start w:val="6"/>
      <w:numFmt w:val="lowerLetter"/>
      <w:lvlText w:val="(%1)"/>
      <w:lvlJc w:val="left"/>
      <w:pPr>
        <w:tabs>
          <w:tab w:val="num" w:pos="1494"/>
        </w:tabs>
        <w:ind w:left="1494" w:hanging="360"/>
      </w:pPr>
      <w:rPr>
        <w:rFonts w:cs="Times New Roman" w:hint="default"/>
      </w:rPr>
    </w:lvl>
    <w:lvl w:ilvl="1" w:tplc="7BDE9AAE">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520C109C"/>
    <w:lvl w:ilvl="0">
      <w:start w:val="1"/>
      <w:numFmt w:val="lowerRoman"/>
      <w:lvlText w:val="%1)"/>
      <w:lvlJc w:val="left"/>
      <w:pPr>
        <w:ind w:left="644" w:hanging="360"/>
      </w:pPr>
      <w:rPr>
        <w:rFonts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46"/>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91546"/>
    <w:rsid w:val="003A225C"/>
    <w:rsid w:val="003E48F1"/>
    <w:rsid w:val="003F347A"/>
    <w:rsid w:val="00423E3E"/>
    <w:rsid w:val="00427AF4"/>
    <w:rsid w:val="0045231F"/>
    <w:rsid w:val="004647DA"/>
    <w:rsid w:val="0046793F"/>
    <w:rsid w:val="00472A6E"/>
    <w:rsid w:val="00477808"/>
    <w:rsid w:val="00477D6B"/>
    <w:rsid w:val="004A6C37"/>
    <w:rsid w:val="004E297D"/>
    <w:rsid w:val="0052654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8C1F9"/>
  <w15:docId w15:val="{ED80FF81-A387-4F3B-92C0-112FFED4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391546"/>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391546"/>
    <w:rPr>
      <w:rFonts w:ascii="Arial" w:eastAsia="SimSun" w:hAnsi="Arial" w:cs="Arial"/>
      <w:sz w:val="18"/>
      <w:lang w:val="es-ES" w:eastAsia="zh-CN"/>
    </w:rPr>
  </w:style>
  <w:style w:type="character" w:customStyle="1" w:styleId="HeaderChar">
    <w:name w:val="Header Char"/>
    <w:basedOn w:val="DefaultParagraphFont"/>
    <w:link w:val="Header"/>
    <w:semiHidden/>
    <w:rsid w:val="00391546"/>
    <w:rPr>
      <w:rFonts w:ascii="Arial" w:eastAsia="SimSun" w:hAnsi="Arial" w:cs="Arial"/>
      <w:sz w:val="22"/>
      <w:lang w:val="es-ES" w:eastAsia="zh-CN"/>
    </w:rPr>
  </w:style>
  <w:style w:type="character" w:styleId="FootnoteReference">
    <w:name w:val="footnote reference"/>
    <w:basedOn w:val="DefaultParagraphFont"/>
    <w:rsid w:val="00391546"/>
    <w:rPr>
      <w:rFonts w:cs="Times New Roman"/>
      <w:vertAlign w:val="superscript"/>
    </w:rPr>
  </w:style>
  <w:style w:type="character" w:styleId="PageNumber">
    <w:name w:val="page number"/>
    <w:basedOn w:val="DefaultParagraphFont"/>
    <w:rsid w:val="00391546"/>
    <w:rPr>
      <w:rFonts w:cs="Times New Roman"/>
    </w:rPr>
  </w:style>
  <w:style w:type="character" w:styleId="Hyperlink">
    <w:name w:val="Hyperlink"/>
    <w:basedOn w:val="DefaultParagraphFont"/>
    <w:rsid w:val="00391546"/>
    <w:rPr>
      <w:rFonts w:cs="Times New Roman"/>
      <w:color w:val="0000FF"/>
      <w:u w:val="single"/>
    </w:rPr>
  </w:style>
  <w:style w:type="paragraph" w:styleId="ListParagraph">
    <w:name w:val="List Paragraph"/>
    <w:basedOn w:val="Normal"/>
    <w:uiPriority w:val="34"/>
    <w:qFormat/>
    <w:rsid w:val="0039154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s/igc/pdf/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s/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s/wipo_grtkf_ic_44/wipo_grtkf_ic_44_inf_4.pdf" TargetMode="External"/><Relationship Id="rId2" Type="http://schemas.openxmlformats.org/officeDocument/2006/relationships/hyperlink" Target="https://www.wipo.int/export/sites/www/tk/es/igc/pdf/vf_rules.pdf" TargetMode="External"/><Relationship Id="rId1" Type="http://schemas.openxmlformats.org/officeDocument/2006/relationships/hyperlink" Target="https://www.wipo.int/tk/es/igc/participation.html" TargetMode="External"/><Relationship Id="rId4" Type="http://schemas.openxmlformats.org/officeDocument/2006/relationships/hyperlink" Target="https://www.wipo.int/edocs/mdocs/tk/es/wipo_grtkf_ic_44/wipo_grtkf_ic_44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29FE-B2E5-4382-8C44-B21FD206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4</TotalTime>
  <Pages>15</Pages>
  <Words>6002</Words>
  <Characters>32618</Characters>
  <Application>Microsoft Office Word</Application>
  <DocSecurity>0</DocSecurity>
  <Lines>1812</Lines>
  <Paragraphs>1206</Paragraphs>
  <ScaleCrop>false</ScaleCrop>
  <HeadingPairs>
    <vt:vector size="2" baseType="variant">
      <vt:variant>
        <vt:lpstr>Title</vt:lpstr>
      </vt:variant>
      <vt:variant>
        <vt:i4>1</vt:i4>
      </vt:variant>
    </vt:vector>
  </HeadingPairs>
  <TitlesOfParts>
    <vt:vector size="1" baseType="lpstr">
      <vt:lpstr>WIPO_GRTKF_IC_45</vt:lpstr>
    </vt:vector>
  </TitlesOfParts>
  <Company>WIPO</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WIPO/GRTKF/IC/45/3</dc:title>
  <dc:creator>CEVALLOS DUQUE Nilo</dc:creator>
  <cp:keywords>FOR OFFICIAL USE ONLY</cp:keywords>
  <cp:lastModifiedBy>CEVALLOS DUQUE Nilo</cp:lastModifiedBy>
  <cp:revision>2</cp:revision>
  <dcterms:created xsi:type="dcterms:W3CDTF">2022-11-30T07:36:00Z</dcterms:created>
  <dcterms:modified xsi:type="dcterms:W3CDTF">2022-11-30T07:46:00Z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