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F0C88" w:rsidRDefault="008B14EA" w:rsidP="008B14EA">
      <w:pPr>
        <w:spacing w:after="120"/>
        <w:jc w:val="right"/>
        <w:rPr>
          <w:lang w:val="es-419"/>
        </w:rPr>
      </w:pPr>
      <w:bookmarkStart w:id="0" w:name="_GoBack"/>
      <w:bookmarkEnd w:id="0"/>
      <w:r w:rsidRPr="003F0C88">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F0C88">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5BB9A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F0C88" w:rsidRDefault="006012CE" w:rsidP="008B14EA">
      <w:pPr>
        <w:jc w:val="right"/>
        <w:rPr>
          <w:rFonts w:ascii="Arial Black" w:hAnsi="Arial Black"/>
          <w:caps/>
          <w:sz w:val="15"/>
          <w:lang w:val="es-419"/>
        </w:rPr>
      </w:pPr>
      <w:r w:rsidRPr="003F0C88">
        <w:rPr>
          <w:rFonts w:ascii="Arial Black" w:hAnsi="Arial Black"/>
          <w:caps/>
          <w:sz w:val="15"/>
          <w:szCs w:val="15"/>
          <w:lang w:val="es-419"/>
        </w:rPr>
        <w:t>WIPO/GRTKF/IC/43/</w:t>
      </w:r>
      <w:bookmarkStart w:id="1" w:name="Code"/>
      <w:r w:rsidR="00AF5B6A" w:rsidRPr="003F0C88">
        <w:rPr>
          <w:rFonts w:ascii="Arial Black" w:hAnsi="Arial Black"/>
          <w:caps/>
          <w:sz w:val="15"/>
          <w:lang w:val="es-419"/>
        </w:rPr>
        <w:t>INF/8</w:t>
      </w:r>
    </w:p>
    <w:bookmarkEnd w:id="1"/>
    <w:p w:rsidR="008B2CC1" w:rsidRPr="003F0C88" w:rsidRDefault="008B14EA" w:rsidP="008B14EA">
      <w:pPr>
        <w:jc w:val="right"/>
        <w:rPr>
          <w:rFonts w:ascii="Arial Black" w:hAnsi="Arial Black"/>
          <w:caps/>
          <w:sz w:val="15"/>
          <w:lang w:val="es-419"/>
        </w:rPr>
      </w:pPr>
      <w:r w:rsidRPr="003F0C88">
        <w:rPr>
          <w:rFonts w:ascii="Arial Black" w:hAnsi="Arial Black"/>
          <w:caps/>
          <w:sz w:val="15"/>
          <w:lang w:val="es-419"/>
        </w:rPr>
        <w:t xml:space="preserve">ORIGINAL: </w:t>
      </w:r>
      <w:bookmarkStart w:id="2" w:name="Original"/>
      <w:r w:rsidR="00AF5B6A" w:rsidRPr="003F0C88">
        <w:rPr>
          <w:rFonts w:ascii="Arial Black" w:hAnsi="Arial Black"/>
          <w:caps/>
          <w:sz w:val="15"/>
          <w:lang w:val="es-419"/>
        </w:rPr>
        <w:t>INGLÉS</w:t>
      </w:r>
    </w:p>
    <w:bookmarkEnd w:id="2"/>
    <w:p w:rsidR="008B2CC1" w:rsidRPr="003F0C88" w:rsidRDefault="008B14EA" w:rsidP="008B14EA">
      <w:pPr>
        <w:spacing w:after="1200"/>
        <w:jc w:val="right"/>
        <w:rPr>
          <w:rFonts w:ascii="Arial Black" w:hAnsi="Arial Black"/>
          <w:caps/>
          <w:sz w:val="15"/>
          <w:lang w:val="es-419"/>
        </w:rPr>
      </w:pPr>
      <w:r w:rsidRPr="003F0C88">
        <w:rPr>
          <w:rFonts w:ascii="Arial Black" w:hAnsi="Arial Black"/>
          <w:caps/>
          <w:sz w:val="15"/>
          <w:lang w:val="es-419"/>
        </w:rPr>
        <w:t xml:space="preserve">FECHA: </w:t>
      </w:r>
      <w:bookmarkStart w:id="3" w:name="Date"/>
      <w:r w:rsidR="00AF5B6A" w:rsidRPr="003F0C88">
        <w:rPr>
          <w:rFonts w:ascii="Arial Black" w:hAnsi="Arial Black"/>
          <w:caps/>
          <w:sz w:val="15"/>
          <w:lang w:val="es-419"/>
        </w:rPr>
        <w:t>4 DE ABRIL DE 2022</w:t>
      </w:r>
    </w:p>
    <w:bookmarkEnd w:id="3"/>
    <w:p w:rsidR="008B2CC1" w:rsidRPr="003F0C88" w:rsidRDefault="006012CE" w:rsidP="006012CE">
      <w:pPr>
        <w:spacing w:after="720"/>
        <w:rPr>
          <w:b/>
          <w:sz w:val="28"/>
          <w:szCs w:val="28"/>
          <w:lang w:val="es-419"/>
        </w:rPr>
      </w:pPr>
      <w:r w:rsidRPr="003F0C88">
        <w:rPr>
          <w:b/>
          <w:sz w:val="28"/>
          <w:szCs w:val="28"/>
          <w:lang w:val="es-419"/>
        </w:rPr>
        <w:t>Comité Intergubernamental sobre Propiedad Intelectual y Recursos Genéticos, Conocimientos Tradicionales y Folclore</w:t>
      </w:r>
    </w:p>
    <w:p w:rsidR="00511D0C" w:rsidRPr="003F0C88" w:rsidRDefault="006012CE" w:rsidP="00511D0C">
      <w:pPr>
        <w:rPr>
          <w:b/>
          <w:sz w:val="24"/>
          <w:szCs w:val="24"/>
          <w:lang w:val="es-419"/>
        </w:rPr>
      </w:pPr>
      <w:r w:rsidRPr="003F0C88">
        <w:rPr>
          <w:b/>
          <w:sz w:val="24"/>
          <w:szCs w:val="24"/>
          <w:lang w:val="es-419"/>
        </w:rPr>
        <w:t>Cuadragésima tercera sesión</w:t>
      </w:r>
    </w:p>
    <w:p w:rsidR="008B2CC1" w:rsidRPr="003F0C88" w:rsidRDefault="006012CE" w:rsidP="008B14EA">
      <w:pPr>
        <w:spacing w:after="720"/>
        <w:rPr>
          <w:b/>
          <w:sz w:val="24"/>
          <w:szCs w:val="24"/>
          <w:lang w:val="es-419"/>
        </w:rPr>
      </w:pPr>
      <w:r w:rsidRPr="003F0C88">
        <w:rPr>
          <w:b/>
          <w:sz w:val="24"/>
          <w:szCs w:val="24"/>
          <w:lang w:val="es-419"/>
        </w:rPr>
        <w:t>Ginebra, 30 de mayo a 3 de junio de 2022</w:t>
      </w:r>
    </w:p>
    <w:p w:rsidR="008B2CC1" w:rsidRPr="003F0C88" w:rsidRDefault="00AF5B6A" w:rsidP="008B14EA">
      <w:pPr>
        <w:spacing w:after="360"/>
        <w:rPr>
          <w:caps/>
          <w:sz w:val="24"/>
          <w:lang w:val="es-419"/>
        </w:rPr>
      </w:pPr>
      <w:bookmarkStart w:id="4" w:name="TitleOfDoc"/>
      <w:r w:rsidRPr="003F0C88">
        <w:rPr>
          <w:caps/>
          <w:sz w:val="24"/>
          <w:lang w:val="es-419"/>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8B2CC1" w:rsidRPr="003F0C88" w:rsidRDefault="00AF5B6A" w:rsidP="008B14EA">
      <w:pPr>
        <w:spacing w:after="960"/>
        <w:rPr>
          <w:i/>
          <w:lang w:val="es-419"/>
        </w:rPr>
      </w:pPr>
      <w:bookmarkStart w:id="5" w:name="Prepared"/>
      <w:bookmarkEnd w:id="4"/>
      <w:r w:rsidRPr="003F0C88">
        <w:rPr>
          <w:i/>
          <w:lang w:val="es-419"/>
        </w:rPr>
        <w:t>Documento preparado por la Secretaría</w:t>
      </w:r>
    </w:p>
    <w:bookmarkEnd w:id="5"/>
    <w:p w:rsidR="00AF5B6A" w:rsidRPr="003F0C88" w:rsidRDefault="00AF5B6A" w:rsidP="00AF5B6A">
      <w:pPr>
        <w:rPr>
          <w:lang w:val="es-419"/>
        </w:rPr>
      </w:pPr>
      <w:r w:rsidRPr="003F0C88">
        <w:rPr>
          <w:lang w:val="es-419"/>
        </w:rPr>
        <w:fldChar w:fldCharType="begin"/>
      </w:r>
      <w:r w:rsidRPr="003F0C88">
        <w:rPr>
          <w:lang w:val="es-419"/>
        </w:rPr>
        <w:instrText xml:space="preserve"> AUTONUM  </w:instrText>
      </w:r>
      <w:r w:rsidRPr="003F0C88">
        <w:rPr>
          <w:lang w:val="es-419"/>
        </w:rPr>
        <w:fldChar w:fldCharType="end"/>
      </w:r>
      <w:r w:rsidRPr="003F0C88">
        <w:rPr>
          <w:lang w:val="es-419"/>
        </w:rPr>
        <w:tab/>
        <w:t xml:space="preserve">Reconociendo la contribución a la labor del Comité Intergubernamental sobre Propiedad Intelectual y Recursos Genéticos, Conocimientos Tradicionales y Folclore (Comité) realizada por el </w:t>
      </w:r>
      <w:r w:rsidRPr="003F0C88">
        <w:rPr>
          <w:i/>
          <w:iCs/>
          <w:lang w:val="es-419"/>
        </w:rPr>
        <w:t>examen técnico de las cuestiones esenciales en materia de propiedad intelectual de los proyectos de instrumentos de la OMPI relativos a los recursos genéticos, los conocimientos tradicionales y las expresiones culturales tradicionales</w:t>
      </w:r>
      <w:r w:rsidRPr="003F0C88">
        <w:rPr>
          <w:lang w:val="es-419"/>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3F0C88">
        <w:rPr>
          <w:rStyle w:val="FootnoteReference"/>
          <w:lang w:val="es-419"/>
        </w:rPr>
        <w:footnoteReference w:id="2"/>
      </w:r>
    </w:p>
    <w:p w:rsidR="00AF5B6A" w:rsidRPr="003F0C88" w:rsidRDefault="00AF5B6A" w:rsidP="00AF5B6A">
      <w:pPr>
        <w:rPr>
          <w:lang w:val="es-419"/>
        </w:rPr>
      </w:pPr>
    </w:p>
    <w:p w:rsidR="00AF5B6A" w:rsidRPr="003F0C88" w:rsidRDefault="00AF5B6A" w:rsidP="00AF5B6A">
      <w:pPr>
        <w:rPr>
          <w:lang w:val="es-419"/>
        </w:rPr>
      </w:pPr>
      <w:r w:rsidRPr="003F0C88">
        <w:rPr>
          <w:lang w:val="es-419"/>
        </w:rPr>
        <w:fldChar w:fldCharType="begin"/>
      </w:r>
      <w:r w:rsidRPr="003F0C88">
        <w:rPr>
          <w:lang w:val="es-419"/>
        </w:rPr>
        <w:instrText xml:space="preserve"> AUTONUM  </w:instrText>
      </w:r>
      <w:r w:rsidRPr="003F0C88">
        <w:rPr>
          <w:lang w:val="es-419"/>
        </w:rPr>
        <w:fldChar w:fldCharType="end"/>
      </w:r>
      <w:r w:rsidRPr="003F0C88">
        <w:rPr>
          <w:lang w:val="es-419"/>
        </w:rPr>
        <w:tab/>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w:t>
      </w:r>
      <w:r w:rsidRPr="003F0C88">
        <w:rPr>
          <w:lang w:val="es-419"/>
        </w:rPr>
        <w:lastRenderedPageBreak/>
        <w:t>actualizaran el examen técnico, el cual fue revisado a ciegas por dos especialistas indígenas. El anexo de este documento contiene el examen técnico actualizado proporcionado por dichos especialistas.</w:t>
      </w:r>
    </w:p>
    <w:p w:rsidR="00AF5B6A" w:rsidRPr="003F0C88" w:rsidRDefault="00AF5B6A" w:rsidP="00AF5B6A">
      <w:pPr>
        <w:rPr>
          <w:lang w:val="es-419"/>
        </w:rPr>
      </w:pPr>
    </w:p>
    <w:p w:rsidR="00AF5B6A" w:rsidRPr="003F0C88" w:rsidRDefault="00AF5B6A" w:rsidP="00AF5B6A">
      <w:pPr>
        <w:ind w:left="5533"/>
        <w:rPr>
          <w:i/>
          <w:lang w:val="es-419"/>
        </w:rPr>
      </w:pPr>
      <w:r w:rsidRPr="003F0C88">
        <w:rPr>
          <w:i/>
          <w:lang w:val="es-419"/>
        </w:rPr>
        <w:t>3.</w:t>
      </w:r>
      <w:r w:rsidRPr="003F0C88">
        <w:rPr>
          <w:i/>
          <w:lang w:val="es-419"/>
        </w:rPr>
        <w:tab/>
        <w:t>Se invita al Comité a tomar nota del anexo del presente documento.</w:t>
      </w:r>
    </w:p>
    <w:p w:rsidR="00AF5B6A" w:rsidRPr="003F0C88" w:rsidRDefault="00AF5B6A" w:rsidP="00AF5B6A">
      <w:pPr>
        <w:ind w:left="5533"/>
        <w:rPr>
          <w:lang w:val="es-419"/>
        </w:rPr>
      </w:pPr>
    </w:p>
    <w:p w:rsidR="00AF5B6A" w:rsidRPr="003F0C88" w:rsidRDefault="00AF5B6A" w:rsidP="00AF5B6A">
      <w:pPr>
        <w:ind w:left="5533"/>
        <w:rPr>
          <w:lang w:val="es-419"/>
        </w:rPr>
      </w:pPr>
    </w:p>
    <w:p w:rsidR="00AF5B6A" w:rsidRPr="003F0C88" w:rsidRDefault="00AF5B6A" w:rsidP="00AF5B6A">
      <w:pPr>
        <w:pStyle w:val="Endofdocument-Annex"/>
        <w:rPr>
          <w:lang w:val="es-419"/>
        </w:rPr>
      </w:pPr>
      <w:r w:rsidRPr="003F0C88">
        <w:rPr>
          <w:lang w:val="es-419"/>
        </w:rPr>
        <w:t xml:space="preserve">[Sigue el </w:t>
      </w:r>
      <w:r w:rsidR="003F0C88" w:rsidRPr="003F0C88">
        <w:rPr>
          <w:lang w:val="es-419"/>
        </w:rPr>
        <w:t>anexo</w:t>
      </w:r>
      <w:r w:rsidRPr="003F0C88">
        <w:rPr>
          <w:lang w:val="es-419"/>
        </w:rPr>
        <w:t>]</w:t>
      </w:r>
    </w:p>
    <w:p w:rsidR="003F0C88" w:rsidRPr="003F0C88" w:rsidRDefault="003F0C88" w:rsidP="00AF5B6A">
      <w:pPr>
        <w:pStyle w:val="Endofdocument-Annex"/>
        <w:rPr>
          <w:lang w:val="es-419"/>
        </w:rPr>
      </w:pPr>
    </w:p>
    <w:p w:rsidR="003F0C88" w:rsidRPr="003F0C88" w:rsidRDefault="003F0C88" w:rsidP="00AF5B6A">
      <w:pPr>
        <w:pStyle w:val="Endofdocument-Annex"/>
        <w:rPr>
          <w:lang w:val="es-419"/>
        </w:rPr>
      </w:pPr>
    </w:p>
    <w:p w:rsidR="00AF5B6A" w:rsidRPr="003F0C88" w:rsidRDefault="00AF5B6A" w:rsidP="00AF5B6A">
      <w:pPr>
        <w:rPr>
          <w:lang w:val="es-419"/>
        </w:rPr>
        <w:sectPr w:rsidR="00AF5B6A" w:rsidRPr="003F0C88"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AF5B6A" w:rsidRPr="003F0C88" w:rsidRDefault="00AF5B6A" w:rsidP="00AF5B6A">
      <w:pPr>
        <w:jc w:val="center"/>
        <w:rPr>
          <w:b/>
          <w:lang w:val="es-419"/>
        </w:rPr>
      </w:pPr>
      <w:r w:rsidRPr="003F0C88">
        <w:rPr>
          <w:b/>
          <w:lang w:val="es-419"/>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AF5B6A" w:rsidRPr="003F0C88" w:rsidRDefault="00AF5B6A" w:rsidP="00AF5B6A">
      <w:pPr>
        <w:jc w:val="center"/>
        <w:rPr>
          <w:lang w:val="es-419"/>
        </w:rPr>
      </w:pPr>
    </w:p>
    <w:p w:rsidR="00AF5B6A" w:rsidRPr="003F0C88" w:rsidRDefault="00AF5B6A" w:rsidP="00AF5B6A">
      <w:pPr>
        <w:jc w:val="center"/>
        <w:rPr>
          <w:lang w:val="es-419"/>
        </w:rPr>
      </w:pPr>
      <w:r w:rsidRPr="003F0C88">
        <w:rPr>
          <w:lang w:val="es-419"/>
        </w:rPr>
        <w:t>Elifuraha Laltaika y Neva Collings</w:t>
      </w:r>
    </w:p>
    <w:p w:rsidR="00AF5B6A" w:rsidRPr="003F0C88" w:rsidRDefault="00AF5B6A" w:rsidP="00AF5B6A">
      <w:pPr>
        <w:rPr>
          <w:lang w:val="es-419"/>
        </w:rPr>
      </w:pPr>
    </w:p>
    <w:p w:rsidR="00AF5B6A" w:rsidRPr="003F0C88" w:rsidRDefault="00AF5B6A" w:rsidP="00AF5B6A">
      <w:pPr>
        <w:rPr>
          <w:lang w:val="es-419"/>
        </w:rPr>
      </w:pPr>
    </w:p>
    <w:p w:rsidR="00AF5B6A" w:rsidRPr="003F0C88" w:rsidRDefault="00AF5B6A" w:rsidP="00AF5B6A">
      <w:pPr>
        <w:rPr>
          <w:b/>
          <w:lang w:val="es-419"/>
        </w:rPr>
      </w:pPr>
      <w:r w:rsidRPr="003F0C88">
        <w:rPr>
          <w:b/>
          <w:lang w:val="es-419"/>
        </w:rPr>
        <w:t>ANTECEDENTES E INTRODUCCIÓN</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3F0C88">
        <w:rPr>
          <w:vertAlign w:val="superscript"/>
          <w:lang w:val="es-419"/>
        </w:rPr>
        <w:footnoteReference w:id="3"/>
      </w:r>
      <w:r w:rsidRPr="003F0C88">
        <w:rPr>
          <w:lang w:val="es-419"/>
        </w:rPr>
        <w:t xml:space="preserve"> para que asignara y financiara a un especialista indígena</w:t>
      </w:r>
      <w:r w:rsidR="003F0C88" w:rsidRPr="003F0C88">
        <w:rPr>
          <w:lang w:val="es-419"/>
        </w:rPr>
        <w:t xml:space="preserve"> </w:t>
      </w:r>
      <w:r w:rsidRPr="003F0C88">
        <w:rPr>
          <w:lang w:val="es-419"/>
        </w:rPr>
        <w:t>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3F0C88">
        <w:rPr>
          <w:vertAlign w:val="superscript"/>
          <w:lang w:val="es-419"/>
        </w:rPr>
        <w:footnoteReference w:id="4"/>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3F0C88">
        <w:rPr>
          <w:vertAlign w:val="superscript"/>
          <w:lang w:val="es-419"/>
        </w:rPr>
        <w:footnoteReference w:id="5"/>
      </w:r>
      <w:r w:rsidRPr="003F0C88">
        <w:rPr>
          <w:lang w:val="es-419"/>
        </w:rPr>
        <w:t xml:space="preserve"> El presente informe constituye la actualización solicitada del examen técnico.</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3F0C88">
        <w:rPr>
          <w:vertAlign w:val="superscript"/>
          <w:lang w:val="es-419"/>
        </w:rPr>
        <w:footnoteReference w:id="6"/>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Desde el punto de vista organizativo, esta actualización se divide en tres partes. La primera parte comprende un examen actualizado de los proyectos de artículos del CIG sobre </w:t>
      </w:r>
      <w:r w:rsidRPr="003F0C88">
        <w:rPr>
          <w:lang w:val="es-419"/>
        </w:rPr>
        <w:lastRenderedPageBreak/>
        <w:t>los CC.TT.</w:t>
      </w:r>
      <w:r w:rsidRPr="003F0C88">
        <w:rPr>
          <w:vertAlign w:val="superscript"/>
          <w:lang w:val="es-419"/>
        </w:rPr>
        <w:footnoteReference w:id="7"/>
      </w:r>
      <w:r w:rsidRPr="003F0C88">
        <w:rPr>
          <w:lang w:val="es-419"/>
        </w:rPr>
        <w:t xml:space="preserve"> y las ECT</w:t>
      </w:r>
      <w:r w:rsidRPr="003F0C88">
        <w:rPr>
          <w:vertAlign w:val="superscript"/>
          <w:lang w:val="es-419"/>
        </w:rPr>
        <w:footnoteReference w:id="8"/>
      </w:r>
      <w:r w:rsidRPr="003F0C88">
        <w:rPr>
          <w:lang w:val="es-419"/>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3F0C88">
        <w:rPr>
          <w:vertAlign w:val="superscript"/>
          <w:lang w:val="es-419"/>
        </w:rPr>
        <w:footnoteReference w:id="9"/>
      </w:r>
      <w:r w:rsidRPr="003F0C88">
        <w:rPr>
          <w:lang w:val="es-419"/>
        </w:rPr>
        <w:t xml:space="preserve"> La tercera parte trata de las consideraciones finales.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Los autores son los únicos responsables de la preparación de esta actualización, que en modo alguno refleja la opinión de la Secretaría de la OMPI, los Estados miembros de la OMPI o los observadores.</w:t>
      </w:r>
    </w:p>
    <w:p w:rsidR="00AF5B6A" w:rsidRPr="003F0C88" w:rsidRDefault="00AF5B6A" w:rsidP="00AF5B6A">
      <w:pPr>
        <w:rPr>
          <w:lang w:val="es-419"/>
        </w:rPr>
      </w:pPr>
    </w:p>
    <w:p w:rsidR="00AF5B6A" w:rsidRPr="003F0C88" w:rsidRDefault="00AF5B6A" w:rsidP="00AF5B6A">
      <w:pPr>
        <w:keepNext/>
        <w:rPr>
          <w:b/>
          <w:lang w:val="es-419"/>
        </w:rPr>
      </w:pPr>
      <w:r w:rsidRPr="003F0C88">
        <w:rPr>
          <w:b/>
          <w:lang w:val="es-419"/>
        </w:rPr>
        <w:t>PRIMERA PARTE: PROYECTOS DE TEXTOS DEL CIG SOBRE CC.TT. Y ECT.</w:t>
      </w:r>
    </w:p>
    <w:p w:rsidR="00AF5B6A" w:rsidRPr="003F0C88" w:rsidRDefault="00AF5B6A" w:rsidP="00AF5B6A">
      <w:pPr>
        <w:keepNext/>
        <w:rPr>
          <w:b/>
          <w:lang w:val="es-419"/>
        </w:rPr>
      </w:pPr>
    </w:p>
    <w:p w:rsidR="00AF5B6A" w:rsidRPr="003F0C88" w:rsidRDefault="00AF5B6A" w:rsidP="00AF5B6A">
      <w:pPr>
        <w:keepNext/>
        <w:rPr>
          <w:b/>
          <w:lang w:val="es-419"/>
        </w:rPr>
      </w:pPr>
      <w:r w:rsidRPr="003F0C88">
        <w:rPr>
          <w:b/>
          <w:lang w:val="es-419"/>
        </w:rPr>
        <w:t>Equilibrio</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3F0C88">
        <w:rPr>
          <w:vertAlign w:val="superscript"/>
          <w:lang w:val="es-419"/>
        </w:rPr>
        <w:footnoteReference w:id="10"/>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lastRenderedPageBreak/>
        <w:t>Si bien el “equilibrio” es justificable en un contexto en el que intervienen individuos y entidades corporativas, el concepto puede socavar a los pueblos indígenas que poseen sus CC.TT. y ECT de forma colectiva y que tienen derecho a la autodeterminación según el derecho internacional.</w:t>
      </w:r>
      <w:r w:rsidRPr="003F0C88">
        <w:rPr>
          <w:vertAlign w:val="superscript"/>
          <w:lang w:val="es-419"/>
        </w:rPr>
        <w:footnoteReference w:id="11"/>
      </w:r>
      <w:r w:rsidRPr="003F0C88">
        <w:rPr>
          <w:lang w:val="es-419"/>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3F0C88">
        <w:rPr>
          <w:vertAlign w:val="superscript"/>
          <w:lang w:val="es-419"/>
        </w:rPr>
        <w:footnoteReference w:id="12"/>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Una posible solución a este dilema radica, en parte, en la elaboración de un sistema </w:t>
      </w:r>
      <w:r w:rsidRPr="003F0C88">
        <w:rPr>
          <w:i/>
          <w:iCs/>
          <w:lang w:val="es-419"/>
        </w:rPr>
        <w:t>sui generis</w:t>
      </w:r>
      <w:r w:rsidRPr="003F0C88">
        <w:rPr>
          <w:vertAlign w:val="superscript"/>
          <w:lang w:val="es-419"/>
        </w:rPr>
        <w:footnoteReference w:id="13"/>
      </w:r>
      <w:r w:rsidRPr="003F0C88">
        <w:rPr>
          <w:lang w:val="es-419"/>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w:t>
      </w:r>
      <w:r w:rsidRPr="003F0C88">
        <w:rPr>
          <w:i/>
          <w:iCs/>
          <w:lang w:val="es-419"/>
        </w:rPr>
        <w:t>sui generis</w:t>
      </w:r>
      <w:r w:rsidRPr="003F0C88">
        <w:rPr>
          <w:lang w:val="es-419"/>
        </w:rPr>
        <w:t xml:space="preserve"> previsto debería respetar los derechos de los pueblos indígenas a controlar y proteger sus CC.TT. y ECT.</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De hecho, la prevención de la apropiación indebida de los CC.TT. puede requerir medidas positivas que incluyan la creación de regímenes </w:t>
      </w:r>
      <w:r w:rsidRPr="003F0C88">
        <w:rPr>
          <w:i/>
          <w:iCs/>
          <w:lang w:val="es-419"/>
        </w:rPr>
        <w:t>sui generis</w:t>
      </w:r>
      <w:r w:rsidRPr="003F0C88">
        <w:rPr>
          <w:lang w:val="es-419"/>
        </w:rPr>
        <w:t xml:space="preserve"> de propiedad intelectual como legislación independiente para la protección de los CC.TT. contra el acceso y la utilización no autorizados, los derechos relacionados con las bases de datos y la compensación o restitución.</w:t>
      </w:r>
      <w:r w:rsidRPr="003F0C88">
        <w:rPr>
          <w:vertAlign w:val="superscript"/>
          <w:lang w:val="es-419"/>
        </w:rPr>
        <w:footnoteReference w:id="14"/>
      </w:r>
      <w:r w:rsidRPr="003F0C88">
        <w:rPr>
          <w:lang w:val="es-419"/>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3F0C88">
        <w:rPr>
          <w:vertAlign w:val="superscript"/>
          <w:lang w:val="es-419"/>
        </w:rPr>
        <w:footnoteReference w:id="15"/>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Los elementos clave de los regímenes </w:t>
      </w:r>
      <w:r w:rsidRPr="003F0C88">
        <w:rPr>
          <w:i/>
          <w:iCs/>
          <w:lang w:val="es-419"/>
        </w:rPr>
        <w:t>sui generis</w:t>
      </w:r>
      <w:r w:rsidRPr="003F0C88">
        <w:rPr>
          <w:lang w:val="es-419"/>
        </w:rPr>
        <w:t xml:space="preserve">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3F0C88">
        <w:rPr>
          <w:vertAlign w:val="superscript"/>
          <w:lang w:val="es-419"/>
        </w:rPr>
        <w:footnoteReference w:id="16"/>
      </w:r>
      <w:r w:rsidRPr="003F0C88">
        <w:rPr>
          <w:lang w:val="es-419"/>
        </w:rPr>
        <w:t xml:space="preserve"> Es posible que la elaboración de bases de datos y registros de CC.TT. por parte de los pueblos indígenas que cuenten con el </w:t>
      </w:r>
      <w:r w:rsidRPr="003F0C88">
        <w:rPr>
          <w:lang w:val="es-419"/>
        </w:rPr>
        <w:lastRenderedPageBreak/>
        <w:t>consentimiento libre, previo y fundamentado requiera la asistencia económica y técnica de los Estados miembros, así como el respeto fundamental a las normas consuetudinarias y a la integridad cultural de los pueblos indígenas y de las comunidades locales.</w:t>
      </w:r>
      <w:r w:rsidRPr="003F0C88">
        <w:rPr>
          <w:vertAlign w:val="superscript"/>
          <w:lang w:val="es-419"/>
        </w:rPr>
        <w:footnoteReference w:id="17"/>
      </w:r>
    </w:p>
    <w:p w:rsidR="00AF5B6A" w:rsidRPr="003F0C88" w:rsidRDefault="00AF5B6A" w:rsidP="00AF5B6A">
      <w:pPr>
        <w:rPr>
          <w:lang w:val="es-419"/>
        </w:rPr>
      </w:pPr>
    </w:p>
    <w:p w:rsidR="00AF5B6A" w:rsidRPr="003F0C88" w:rsidRDefault="00AF5B6A" w:rsidP="00AF5B6A">
      <w:pPr>
        <w:keepNext/>
        <w:rPr>
          <w:b/>
          <w:lang w:val="es-419"/>
        </w:rPr>
      </w:pPr>
      <w:r w:rsidRPr="003F0C88">
        <w:rPr>
          <w:b/>
          <w:lang w:val="es-419"/>
        </w:rPr>
        <w:t>Reparación</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3F0C88">
        <w:rPr>
          <w:vertAlign w:val="superscript"/>
          <w:lang w:val="es-419"/>
        </w:rPr>
        <w:footnoteReference w:id="18"/>
      </w:r>
      <w:r w:rsidRPr="003F0C88">
        <w:rPr>
          <w:lang w:val="es-419"/>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3F0C88">
        <w:rPr>
          <w:vertAlign w:val="superscript"/>
          <w:lang w:val="es-419"/>
        </w:rPr>
        <w:footnoteReference w:id="19"/>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3F0C88">
        <w:rPr>
          <w:vertAlign w:val="superscript"/>
          <w:lang w:val="es-419"/>
        </w:rPr>
        <w:footnoteReference w:id="20"/>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Las </w:t>
      </w:r>
      <w:r w:rsidRPr="003F0C88">
        <w:rPr>
          <w:i/>
          <w:iCs/>
          <w:lang w:val="es-419"/>
        </w:rPr>
        <w:t>directrices voluntarias rutzolijirisaxik sobre repatriación de los conocimientos tradicionales pertinentes para la conservación y la utilización sostenible de la diversidad biológica</w:t>
      </w:r>
      <w:r w:rsidRPr="003F0C88">
        <w:rPr>
          <w:lang w:val="es-419"/>
        </w:rPr>
        <w:t xml:space="preserve"> del Convenio sobre la Diversidad Biológica (CDB) son de cierta importancia para la restitución, ya que orientan sobre la labor de repatriación, incluida la participación en los beneficios.</w:t>
      </w:r>
      <w:r w:rsidRPr="003F0C88">
        <w:rPr>
          <w:vertAlign w:val="superscript"/>
          <w:lang w:val="es-419"/>
        </w:rPr>
        <w:footnoteReference w:id="21"/>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Las directrices </w:t>
      </w:r>
      <w:r w:rsidRPr="003F0C88">
        <w:rPr>
          <w:i/>
          <w:iCs/>
          <w:lang w:val="es-419"/>
        </w:rPr>
        <w:t>rutzolijirisaxik</w:t>
      </w:r>
      <w:r w:rsidRPr="003F0C88">
        <w:rPr>
          <w:lang w:val="es-419"/>
        </w:rPr>
        <w:t xml:space="preserve">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3F0C88">
        <w:rPr>
          <w:vertAlign w:val="superscript"/>
          <w:lang w:val="es-419"/>
        </w:rPr>
        <w:footnoteReference w:id="22"/>
      </w:r>
    </w:p>
    <w:p w:rsidR="00AF5B6A" w:rsidRPr="003F0C88" w:rsidRDefault="00AF5B6A" w:rsidP="00AF5B6A">
      <w:pPr>
        <w:rPr>
          <w:b/>
          <w:lang w:val="es-419"/>
        </w:rPr>
      </w:pPr>
    </w:p>
    <w:p w:rsidR="00AF5B6A" w:rsidRPr="003F0C88" w:rsidRDefault="00AF5B6A" w:rsidP="00AF5B6A">
      <w:pPr>
        <w:keepNext/>
        <w:rPr>
          <w:b/>
          <w:lang w:val="es-419"/>
        </w:rPr>
      </w:pPr>
      <w:r w:rsidRPr="003F0C88">
        <w:rPr>
          <w:b/>
          <w:lang w:val="es-419"/>
        </w:rPr>
        <w:lastRenderedPageBreak/>
        <w:t>Dominio público</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Utilizado habitualmente como concepto de derecho de autor, el “dominio público” se refiere, por ejemplo, al “vencimiento de los derechos exclusivos”, lo que incluye el cese de la obligación por parte de los usuarios de una obra literaria de proporcionar beneficios a los titulares de los derechos o de obtener su consentimiento antes de utilizar la materia protegida.</w:t>
      </w:r>
      <w:r w:rsidRPr="003F0C88">
        <w:rPr>
          <w:vertAlign w:val="superscript"/>
          <w:lang w:val="es-419"/>
        </w:rPr>
        <w:footnoteReference w:id="23"/>
      </w:r>
      <w:r w:rsidRPr="003F0C88">
        <w:rPr>
          <w:lang w:val="es-419"/>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3F0C88">
        <w:rPr>
          <w:vertAlign w:val="superscript"/>
          <w:lang w:val="es-419"/>
        </w:rPr>
        <w:footnoteReference w:id="24"/>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3F0C88">
        <w:rPr>
          <w:vertAlign w:val="superscript"/>
          <w:lang w:val="es-419"/>
        </w:rPr>
        <w:footnoteReference w:id="25"/>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3F0C88">
        <w:rPr>
          <w:vertAlign w:val="superscript"/>
          <w:lang w:val="es-419"/>
        </w:rPr>
        <w:footnoteReference w:id="26"/>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3F0C88">
        <w:rPr>
          <w:vertAlign w:val="superscript"/>
          <w:lang w:val="es-419"/>
        </w:rPr>
        <w:footnoteReference w:id="27"/>
      </w:r>
      <w:r w:rsidRPr="003F0C88">
        <w:rPr>
          <w:lang w:val="es-419"/>
        </w:rPr>
        <w:t xml:space="preserve"> 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w:t>
      </w:r>
      <w:r w:rsidRPr="003F0C88">
        <w:rPr>
          <w:lang w:val="es-419"/>
        </w:rPr>
        <w:lastRenderedPageBreak/>
        <w:t>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rsidR="00AF5B6A" w:rsidRPr="003F0C88" w:rsidRDefault="00AF5B6A" w:rsidP="00AF5B6A">
      <w:pPr>
        <w:rPr>
          <w:lang w:val="es-419"/>
        </w:rPr>
      </w:pPr>
    </w:p>
    <w:p w:rsidR="00AF5B6A" w:rsidRPr="003F0C88" w:rsidRDefault="00AF5B6A" w:rsidP="00AF5B6A">
      <w:pPr>
        <w:keepNext/>
        <w:rPr>
          <w:b/>
          <w:lang w:val="es-419"/>
        </w:rPr>
      </w:pPr>
      <w:r w:rsidRPr="003F0C88">
        <w:rPr>
          <w:b/>
          <w:lang w:val="es-419"/>
        </w:rPr>
        <w:t>Excepciones y limitaciones</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3F0C88">
        <w:rPr>
          <w:vertAlign w:val="superscript"/>
          <w:lang w:val="es-419"/>
        </w:rPr>
        <w:footnoteReference w:id="28"/>
      </w:r>
      <w:r w:rsidRPr="003F0C88">
        <w:rPr>
          <w:lang w:val="es-419"/>
        </w:rPr>
        <w:t xml:space="preserve"> Los motivos de las excepciones y limitaciones incluyen el aprovechamiento de los conocimientos para el estudio y la educación, los usos no comerciales, los museos y las bibliotecas.</w:t>
      </w:r>
      <w:r w:rsidRPr="003F0C88">
        <w:rPr>
          <w:vertAlign w:val="superscript"/>
          <w:lang w:val="es-419"/>
        </w:rPr>
        <w:footnoteReference w:id="29"/>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3F0C88">
        <w:rPr>
          <w:vertAlign w:val="superscript"/>
          <w:lang w:val="es-419"/>
        </w:rPr>
        <w:footnoteReference w:id="30"/>
      </w:r>
      <w:r w:rsidRPr="003F0C88">
        <w:rPr>
          <w:lang w:val="es-419"/>
        </w:rPr>
        <w:t xml:space="preserve"> En consecuencia, debe obtenerse ese consentimiento antes de redactar las excepciones y limitaciones que afecten a los CC.TT. y las ECT de los pueblos indígenas.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3F0C88">
        <w:rPr>
          <w:i/>
          <w:lang w:val="es-419"/>
        </w:rPr>
        <w:t>Tratado de Libre Comercio entre los Estados Unidos, el Canadá y México</w:t>
      </w:r>
      <w:r w:rsidRPr="003F0C88">
        <w:rPr>
          <w:lang w:val="es-419"/>
        </w:rPr>
        <w:t>.</w:t>
      </w:r>
      <w:r w:rsidRPr="003F0C88">
        <w:rPr>
          <w:vertAlign w:val="superscript"/>
          <w:lang w:val="es-419"/>
        </w:rPr>
        <w:footnoteReference w:id="31"/>
      </w:r>
    </w:p>
    <w:p w:rsidR="00AF5B6A" w:rsidRPr="003F0C88" w:rsidRDefault="00AF5B6A" w:rsidP="00AF5B6A">
      <w:pPr>
        <w:rPr>
          <w:lang w:val="es-419"/>
        </w:rPr>
      </w:pPr>
    </w:p>
    <w:p w:rsidR="00AF5B6A" w:rsidRPr="003F0C88" w:rsidRDefault="00AF5B6A" w:rsidP="00AF5B6A">
      <w:pPr>
        <w:keepNext/>
        <w:rPr>
          <w:b/>
          <w:lang w:val="es-419"/>
        </w:rPr>
      </w:pPr>
      <w:r w:rsidRPr="003F0C88">
        <w:rPr>
          <w:b/>
          <w:lang w:val="es-419"/>
        </w:rPr>
        <w:t>Alcance de la protección: el enfoque estratificado</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El enfoque estratificado es una idea innovadora que divide los CC.TT. y las ECT en categorías y propone que el alcance de la protección sea proporcional al nivel de sensibilidad que los pueblos indígenas otorgan a la categoría de CC.TT. o ECT en cuestión.</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3F0C88">
        <w:rPr>
          <w:vertAlign w:val="superscript"/>
          <w:lang w:val="es-419"/>
        </w:rPr>
        <w:footnoteReference w:id="32"/>
      </w:r>
    </w:p>
    <w:p w:rsidR="00AF5B6A" w:rsidRPr="003F0C88" w:rsidRDefault="00AF5B6A" w:rsidP="00AF5B6A">
      <w:pPr>
        <w:rPr>
          <w:lang w:val="es-419"/>
        </w:rPr>
      </w:pPr>
    </w:p>
    <w:p w:rsidR="00AF5B6A" w:rsidRPr="003F0C88" w:rsidRDefault="00AF5B6A" w:rsidP="00AF5B6A">
      <w:pPr>
        <w:keepNext/>
        <w:rPr>
          <w:b/>
          <w:lang w:val="es-419"/>
        </w:rPr>
      </w:pPr>
      <w:r w:rsidRPr="003F0C88">
        <w:rPr>
          <w:b/>
          <w:lang w:val="es-419"/>
        </w:rPr>
        <w:t>Bases de datos y registros de conocimientos</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3F0C88">
        <w:rPr>
          <w:vertAlign w:val="superscript"/>
          <w:lang w:val="es-419"/>
        </w:rPr>
        <w:footnoteReference w:id="33"/>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lastRenderedPageBreak/>
        <w:t>Aunque los registros y las bases de datos desempeñan este papel crucial, no pueden ser controlados únicamente por los gobiernos nacionales. Por ello, los pueblos indígenas han expresado sus reservas sobre el uso de las bases de datos, alegando la probabilidad de que la 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3F0C88">
        <w:rPr>
          <w:vertAlign w:val="superscript"/>
          <w:lang w:val="es-419"/>
        </w:rPr>
        <w:footnoteReference w:id="34"/>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3F0C88">
        <w:rPr>
          <w:vertAlign w:val="superscript"/>
          <w:lang w:val="es-419"/>
        </w:rPr>
        <w:footnoteReference w:id="35"/>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AF5B6A" w:rsidRPr="003F0C88" w:rsidRDefault="00AF5B6A" w:rsidP="00AF5B6A">
      <w:pPr>
        <w:rPr>
          <w:lang w:val="es-419"/>
        </w:rPr>
      </w:pPr>
    </w:p>
    <w:p w:rsidR="00AF5B6A" w:rsidRPr="003F0C88" w:rsidRDefault="00AF5B6A" w:rsidP="00AF5B6A">
      <w:pPr>
        <w:keepLines/>
        <w:rPr>
          <w:b/>
          <w:lang w:val="es-419"/>
        </w:rPr>
      </w:pPr>
      <w:r w:rsidRPr="003F0C88">
        <w:rPr>
          <w:b/>
          <w:lang w:val="es-419"/>
        </w:rPr>
        <w:t>SEGUNDA PARTE: PROYECTOS DE TEXTOS SOBRE RECURSOS GENÉTICOS</w:t>
      </w:r>
    </w:p>
    <w:p w:rsidR="00AF5B6A" w:rsidRPr="003F0C88" w:rsidRDefault="00AF5B6A" w:rsidP="00AF5B6A">
      <w:pPr>
        <w:keepLines/>
        <w:rPr>
          <w:b/>
          <w:lang w:val="es-419"/>
        </w:rPr>
      </w:pPr>
    </w:p>
    <w:p w:rsidR="00AF5B6A" w:rsidRPr="003F0C88" w:rsidRDefault="00AF5B6A" w:rsidP="00AF5B6A">
      <w:pPr>
        <w:keepLines/>
        <w:rPr>
          <w:b/>
          <w:lang w:val="es-419"/>
        </w:rPr>
      </w:pPr>
      <w:r w:rsidRPr="003F0C88">
        <w:rPr>
          <w:b/>
          <w:lang w:val="es-419"/>
        </w:rPr>
        <w:t>Derechos de los pueblos indígenas sobre los recursos genéticos</w:t>
      </w:r>
    </w:p>
    <w:p w:rsidR="00AF5B6A" w:rsidRPr="003F0C88" w:rsidRDefault="00AF5B6A" w:rsidP="00AF5B6A">
      <w:pPr>
        <w:keepLines/>
        <w:rPr>
          <w:lang w:val="es-419"/>
        </w:rPr>
      </w:pPr>
    </w:p>
    <w:p w:rsidR="00AF5B6A" w:rsidRPr="003F0C88" w:rsidRDefault="00AF5B6A" w:rsidP="00AF5B6A">
      <w:pPr>
        <w:numPr>
          <w:ilvl w:val="0"/>
          <w:numId w:val="7"/>
        </w:numPr>
        <w:ind w:left="0" w:firstLine="0"/>
        <w:rPr>
          <w:lang w:val="es-419"/>
        </w:rPr>
      </w:pPr>
      <w:r w:rsidRPr="003F0C88">
        <w:rPr>
          <w:lang w:val="es-419"/>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3F0C88">
        <w:rPr>
          <w:vertAlign w:val="superscript"/>
          <w:lang w:val="es-419"/>
        </w:rPr>
        <w:footnoteReference w:id="36"/>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3F0C88">
        <w:rPr>
          <w:vertAlign w:val="superscript"/>
          <w:lang w:val="es-419"/>
        </w:rPr>
        <w:footnoteReference w:id="37"/>
      </w:r>
      <w:r w:rsidRPr="003F0C88">
        <w:rPr>
          <w:lang w:val="es-419"/>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3F0C88">
        <w:rPr>
          <w:vertAlign w:val="superscript"/>
          <w:lang w:val="es-419"/>
        </w:rPr>
        <w:footnoteReference w:id="38"/>
      </w:r>
      <w:r w:rsidRPr="003F0C88">
        <w:rPr>
          <w:lang w:val="es-419"/>
        </w:rPr>
        <w:t xml:space="preserve"> Los derechos de los pueblos indígenas sobre los RR.GG. también se recogen en el Protocolo de Nagoya sobre Acceso a los Recursos Genéticos y Participación Justa y Equitativa </w:t>
      </w:r>
      <w:r w:rsidRPr="003F0C88">
        <w:rPr>
          <w:lang w:val="es-419"/>
        </w:rPr>
        <w:lastRenderedPageBreak/>
        <w:t>en los Beneficios que se Deriven de su Utilización al CDB (Protocolo de Nagoya).</w:t>
      </w:r>
      <w:r w:rsidRPr="003F0C88">
        <w:rPr>
          <w:vertAlign w:val="superscript"/>
          <w:lang w:val="es-419"/>
        </w:rPr>
        <w:footnoteReference w:id="39"/>
      </w:r>
      <w:r w:rsidRPr="003F0C88">
        <w:rPr>
          <w:i/>
          <w:lang w:val="es-419"/>
        </w:rPr>
        <w:t xml:space="preserve"> </w:t>
      </w:r>
      <w:r w:rsidRPr="003F0C88">
        <w:rPr>
          <w:lang w:val="es-419"/>
        </w:rPr>
        <w:t>Del mismo modo, los informes nacionales provisionales sobre el acceso y la participación en los beneficios relativos a la aplicación del Protocolo de Nagoya confirman los derechos de los pueblos indígenas a conceder acceso a los RR.GG.</w:t>
      </w:r>
      <w:r w:rsidRPr="003F0C88">
        <w:rPr>
          <w:vertAlign w:val="superscript"/>
          <w:lang w:val="es-419"/>
        </w:rPr>
        <w:footnoteReference w:id="40"/>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En el periodo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3F0C88">
        <w:rPr>
          <w:vertAlign w:val="superscript"/>
          <w:lang w:val="es-419"/>
        </w:rPr>
        <w:footnoteReference w:id="41"/>
      </w:r>
      <w:r w:rsidRPr="003F0C88">
        <w:rPr>
          <w:lang w:val="es-419"/>
        </w:rPr>
        <w:t xml:space="preserve"> Ello puede tener implicaciones para los derechos de los pueblos indígenas a poseer y controlar los recursos y a proteger, mantener y controlar los conocimientos tradicionales asociados.</w:t>
      </w:r>
      <w:r w:rsidRPr="003F0C88">
        <w:rPr>
          <w:vertAlign w:val="superscript"/>
          <w:lang w:val="es-419"/>
        </w:rPr>
        <w:footnoteReference w:id="42"/>
      </w:r>
      <w:r w:rsidRPr="003F0C88">
        <w:rPr>
          <w:lang w:val="es-419"/>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3F0C88">
        <w:rPr>
          <w:vertAlign w:val="superscript"/>
          <w:lang w:val="es-419"/>
        </w:rPr>
        <w:footnoteReference w:id="43"/>
      </w:r>
      <w:r w:rsidRPr="003F0C88">
        <w:rPr>
          <w:lang w:val="es-419"/>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3F0C88">
        <w:rPr>
          <w:vertAlign w:val="superscript"/>
          <w:lang w:val="es-419"/>
        </w:rPr>
        <w:footnoteReference w:id="44"/>
      </w:r>
    </w:p>
    <w:p w:rsidR="00AF5B6A" w:rsidRPr="003F0C88" w:rsidRDefault="00AF5B6A" w:rsidP="00AF5B6A">
      <w:pPr>
        <w:rPr>
          <w:lang w:val="es-419"/>
        </w:rPr>
      </w:pPr>
    </w:p>
    <w:p w:rsidR="00AF5B6A" w:rsidRPr="003F0C88" w:rsidRDefault="00AF5B6A" w:rsidP="00AF5B6A">
      <w:pPr>
        <w:keepNext/>
        <w:rPr>
          <w:b/>
          <w:bCs/>
          <w:iCs/>
          <w:lang w:val="es-419"/>
        </w:rPr>
      </w:pPr>
      <w:r w:rsidRPr="003F0C88">
        <w:rPr>
          <w:b/>
          <w:lang w:val="es-419"/>
        </w:rPr>
        <w:lastRenderedPageBreak/>
        <w:t>Divulgación obligatoria</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Los proyectos de textos sobre RR.GG. y CC.TT. asociados, tanto el documento consolidado como el texto de la Presidencia, proponen un requisito de divulgación obligatoria para que los solicitantes de patentes revelen la fuente de los RR.GG. que se utilizan en sus solicitudes. La cuestión principal relacionada con los RR.GG. es si la legislación sobre patentes debe incluir un nuevo requisito de divulgación obligatoria del origen.</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La divulgación obligatoria es una medida defensiva destinada a evitar la apropiación indebida de RR.GG. y los CC.TT. asociados.</w:t>
      </w:r>
      <w:r w:rsidRPr="003F0C88">
        <w:rPr>
          <w:vertAlign w:val="superscript"/>
          <w:lang w:val="es-419"/>
        </w:rPr>
        <w:footnoteReference w:id="45"/>
      </w:r>
      <w:r w:rsidRPr="003F0C88">
        <w:rPr>
          <w:lang w:val="es-419"/>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3F0C88">
        <w:rPr>
          <w:vertAlign w:val="superscript"/>
          <w:lang w:val="es-419"/>
        </w:rPr>
        <w:footnoteReference w:id="46"/>
      </w:r>
      <w:r w:rsidRPr="003F0C88">
        <w:rPr>
          <w:lang w:val="es-419"/>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3F0C88">
        <w:rPr>
          <w:vertAlign w:val="superscript"/>
          <w:lang w:val="es-419"/>
        </w:rPr>
        <w:footnoteReference w:id="47"/>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3F0C88">
        <w:rPr>
          <w:vertAlign w:val="superscript"/>
          <w:lang w:val="es-419"/>
        </w:rPr>
        <w:footnoteReference w:id="48"/>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3F0C88">
        <w:rPr>
          <w:vertAlign w:val="superscript"/>
          <w:lang w:val="es-419"/>
        </w:rPr>
        <w:footnoteReference w:id="49"/>
      </w:r>
    </w:p>
    <w:p w:rsidR="00AF5B6A" w:rsidRPr="003F0C88" w:rsidRDefault="00AF5B6A" w:rsidP="00AF5B6A">
      <w:pPr>
        <w:rPr>
          <w:lang w:val="es-419"/>
        </w:rPr>
      </w:pPr>
    </w:p>
    <w:p w:rsidR="00AF5B6A" w:rsidRPr="003F0C88" w:rsidRDefault="00AF5B6A" w:rsidP="00AF5B6A">
      <w:pPr>
        <w:keepNext/>
        <w:rPr>
          <w:b/>
          <w:bCs/>
          <w:iCs/>
          <w:lang w:val="es-419"/>
        </w:rPr>
      </w:pPr>
      <w:r w:rsidRPr="003F0C88">
        <w:rPr>
          <w:b/>
          <w:lang w:val="es-419"/>
        </w:rPr>
        <w:t>Solución de controversias</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3F0C88">
        <w:rPr>
          <w:vertAlign w:val="superscript"/>
          <w:lang w:val="es-419"/>
        </w:rPr>
        <w:footnoteReference w:id="50"/>
      </w:r>
      <w:r w:rsidRPr="003F0C88">
        <w:rPr>
          <w:lang w:val="es-419"/>
        </w:rPr>
        <w:t xml:space="preserve"> mientras que en el documento consolidado se proponen mecanismos adecuados de solución de controversias.</w:t>
      </w:r>
      <w:r w:rsidRPr="003F0C88">
        <w:rPr>
          <w:vertAlign w:val="superscript"/>
          <w:lang w:val="es-419"/>
        </w:rPr>
        <w:footnoteReference w:id="51"/>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lastRenderedPageBreak/>
        <w:t>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derechos y de instaurar procedimientos equitativos, independientes, imparciales, abiertos y transparentes para reconocer y dirimir los derechos de los pueblos indígenas.</w:t>
      </w:r>
      <w:r w:rsidRPr="003F0C88">
        <w:rPr>
          <w:vertAlign w:val="superscript"/>
          <w:lang w:val="es-419"/>
        </w:rPr>
        <w:footnoteReference w:id="52"/>
      </w:r>
    </w:p>
    <w:p w:rsidR="00AF5B6A" w:rsidRPr="003F0C88" w:rsidRDefault="00AF5B6A" w:rsidP="00AF5B6A">
      <w:pPr>
        <w:rPr>
          <w:lang w:val="es-419"/>
        </w:rPr>
      </w:pPr>
    </w:p>
    <w:p w:rsidR="00AF5B6A" w:rsidRPr="003F0C88" w:rsidRDefault="00AF5B6A" w:rsidP="00AF5B6A">
      <w:pPr>
        <w:keepNext/>
        <w:rPr>
          <w:b/>
          <w:bCs/>
          <w:lang w:val="es-419"/>
        </w:rPr>
      </w:pPr>
      <w:r w:rsidRPr="003F0C88">
        <w:rPr>
          <w:b/>
          <w:lang w:val="es-419"/>
        </w:rPr>
        <w:t>Trazabilidad</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3F0C88">
        <w:rPr>
          <w:vertAlign w:val="superscript"/>
          <w:lang w:val="es-419"/>
        </w:rPr>
        <w:footnoteReference w:id="53"/>
      </w:r>
      <w:r w:rsidRPr="003F0C88">
        <w:rPr>
          <w:lang w:val="es-419"/>
        </w:rPr>
        <w:t xml:space="preserve"> Estas medidas innovadoras requieren la participación fundamentada de los pueblos indígenas para determinar los riesgos y beneficios.</w:t>
      </w:r>
    </w:p>
    <w:p w:rsidR="00AF5B6A" w:rsidRPr="003F0C88" w:rsidRDefault="00AF5B6A" w:rsidP="00AF5B6A">
      <w:pPr>
        <w:rPr>
          <w:b/>
          <w:bCs/>
          <w:lang w:val="es-419"/>
        </w:rPr>
      </w:pPr>
    </w:p>
    <w:p w:rsidR="00AF5B6A" w:rsidRPr="003F0C88" w:rsidRDefault="00AF5B6A" w:rsidP="00AF5B6A">
      <w:pPr>
        <w:keepNext/>
        <w:rPr>
          <w:b/>
          <w:lang w:val="es-419"/>
        </w:rPr>
      </w:pPr>
      <w:r w:rsidRPr="003F0C88">
        <w:rPr>
          <w:b/>
          <w:lang w:val="es-419"/>
        </w:rPr>
        <w:t>TERCERA PARTE: CONSIDERACIONES FINALES</w:t>
      </w:r>
    </w:p>
    <w:p w:rsidR="00AF5B6A" w:rsidRPr="003F0C88" w:rsidRDefault="00AF5B6A" w:rsidP="00AF5B6A">
      <w:pPr>
        <w:keepNext/>
        <w:rPr>
          <w:lang w:val="es-419"/>
        </w:rPr>
      </w:pPr>
    </w:p>
    <w:p w:rsidR="00AF5B6A" w:rsidRPr="003F0C88" w:rsidRDefault="00AF5B6A" w:rsidP="00AF5B6A">
      <w:pPr>
        <w:numPr>
          <w:ilvl w:val="0"/>
          <w:numId w:val="7"/>
        </w:numPr>
        <w:ind w:left="0" w:firstLine="0"/>
        <w:rPr>
          <w:lang w:val="es-419"/>
        </w:rPr>
      </w:pPr>
      <w:r w:rsidRPr="003F0C88">
        <w:rPr>
          <w:lang w:val="es-419"/>
        </w:rPr>
        <w:t>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w:t>
      </w:r>
    </w:p>
    <w:p w:rsidR="00AF5B6A" w:rsidRPr="003F0C88" w:rsidRDefault="00AF5B6A" w:rsidP="00AF5B6A">
      <w:pPr>
        <w:rPr>
          <w:lang w:val="es-419"/>
        </w:rPr>
      </w:pPr>
    </w:p>
    <w:p w:rsidR="00AF5B6A" w:rsidRPr="003F0C88" w:rsidRDefault="00AF5B6A" w:rsidP="00AF5B6A">
      <w:pPr>
        <w:numPr>
          <w:ilvl w:val="0"/>
          <w:numId w:val="7"/>
        </w:numPr>
        <w:ind w:left="0" w:firstLine="0"/>
        <w:rPr>
          <w:lang w:val="es-419"/>
        </w:rPr>
      </w:pPr>
      <w:r w:rsidRPr="003F0C88">
        <w:rPr>
          <w:lang w:val="es-419"/>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3F0C88">
        <w:rPr>
          <w:vertAlign w:val="superscript"/>
          <w:lang w:val="es-419"/>
        </w:rPr>
        <w:footnoteReference w:id="54"/>
      </w:r>
    </w:p>
    <w:p w:rsidR="00AF5B6A" w:rsidRPr="003F0C88" w:rsidRDefault="00AF5B6A" w:rsidP="00AF5B6A">
      <w:pPr>
        <w:rPr>
          <w:lang w:val="es-419"/>
        </w:rPr>
      </w:pPr>
    </w:p>
    <w:p w:rsidR="00AF5B6A" w:rsidRPr="003F0C88" w:rsidRDefault="00AF5B6A" w:rsidP="00AF5B6A">
      <w:pPr>
        <w:rPr>
          <w:lang w:val="es-419"/>
        </w:rPr>
      </w:pPr>
    </w:p>
    <w:p w:rsidR="00AF5B6A" w:rsidRPr="003F0C88" w:rsidRDefault="00AF5B6A" w:rsidP="00AF5B6A">
      <w:pPr>
        <w:ind w:left="5533"/>
        <w:rPr>
          <w:lang w:val="es-419"/>
        </w:rPr>
      </w:pPr>
      <w:r w:rsidRPr="003F0C88">
        <w:rPr>
          <w:lang w:val="es-419"/>
        </w:rPr>
        <w:t>[Fin del anexo y del documento]</w:t>
      </w:r>
    </w:p>
    <w:p w:rsidR="00152CEA" w:rsidRPr="003F0C88" w:rsidRDefault="00152CEA" w:rsidP="00BA063E">
      <w:pPr>
        <w:spacing w:after="220"/>
        <w:rPr>
          <w:lang w:val="es-419"/>
        </w:rPr>
      </w:pPr>
    </w:p>
    <w:sectPr w:rsidR="00152CEA" w:rsidRPr="003F0C88" w:rsidSect="003F0C88">
      <w:headerReference w:type="default" r:id="rId11"/>
      <w:headerReference w:type="first" r:id="rId12"/>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B6A" w:rsidRDefault="00AF5B6A">
      <w:r>
        <w:separator/>
      </w:r>
    </w:p>
  </w:endnote>
  <w:endnote w:type="continuationSeparator" w:id="0">
    <w:p w:rsidR="00AF5B6A" w:rsidRPr="009D30E6" w:rsidRDefault="00AF5B6A" w:rsidP="007E663E">
      <w:pPr>
        <w:rPr>
          <w:sz w:val="17"/>
          <w:szCs w:val="17"/>
        </w:rPr>
      </w:pPr>
      <w:r w:rsidRPr="009D30E6">
        <w:rPr>
          <w:sz w:val="17"/>
          <w:szCs w:val="17"/>
        </w:rPr>
        <w:separator/>
      </w:r>
    </w:p>
    <w:p w:rsidR="00AF5B6A" w:rsidRPr="007E663E" w:rsidRDefault="00AF5B6A" w:rsidP="007E663E">
      <w:pPr>
        <w:spacing w:after="60"/>
        <w:rPr>
          <w:sz w:val="17"/>
          <w:szCs w:val="17"/>
        </w:rPr>
      </w:pPr>
      <w:r>
        <w:rPr>
          <w:sz w:val="17"/>
        </w:rPr>
        <w:t>[Continuación de la nota de la página anterior]</w:t>
      </w:r>
    </w:p>
  </w:endnote>
  <w:endnote w:type="continuationNotice" w:id="1">
    <w:p w:rsidR="00AF5B6A" w:rsidRPr="007E663E" w:rsidRDefault="00AF5B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B6A" w:rsidRDefault="00AF5B6A">
      <w:r>
        <w:separator/>
      </w:r>
    </w:p>
  </w:footnote>
  <w:footnote w:type="continuationSeparator" w:id="0">
    <w:p w:rsidR="00AF5B6A" w:rsidRPr="009D30E6" w:rsidRDefault="00AF5B6A" w:rsidP="007E663E">
      <w:pPr>
        <w:rPr>
          <w:sz w:val="17"/>
          <w:szCs w:val="17"/>
        </w:rPr>
      </w:pPr>
      <w:r w:rsidRPr="009D30E6">
        <w:rPr>
          <w:sz w:val="17"/>
          <w:szCs w:val="17"/>
        </w:rPr>
        <w:separator/>
      </w:r>
    </w:p>
    <w:p w:rsidR="00AF5B6A" w:rsidRPr="007E663E" w:rsidRDefault="00AF5B6A" w:rsidP="007E663E">
      <w:pPr>
        <w:spacing w:after="60"/>
        <w:rPr>
          <w:sz w:val="17"/>
          <w:szCs w:val="17"/>
        </w:rPr>
      </w:pPr>
      <w:r>
        <w:rPr>
          <w:sz w:val="17"/>
        </w:rPr>
        <w:t>[Continuación de la nota de la página anterior]</w:t>
      </w:r>
    </w:p>
  </w:footnote>
  <w:footnote w:type="continuationNotice" w:id="1">
    <w:p w:rsidR="00AF5B6A" w:rsidRPr="007E663E" w:rsidRDefault="00AF5B6A" w:rsidP="007E663E">
      <w:pPr>
        <w:spacing w:before="60"/>
        <w:jc w:val="right"/>
        <w:rPr>
          <w:sz w:val="17"/>
          <w:szCs w:val="17"/>
        </w:rPr>
      </w:pPr>
      <w:r w:rsidRPr="007E663E">
        <w:rPr>
          <w:sz w:val="17"/>
          <w:szCs w:val="17"/>
        </w:rPr>
        <w:t>[Sigue la nota en la página siguiente]</w:t>
      </w:r>
    </w:p>
  </w:footnote>
  <w:footnote w:id="2">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Véanse las decisiones de la cuadragésima sesión del Comité, página 3.</w:t>
      </w:r>
    </w:p>
  </w:footnote>
  <w:footnote w:id="3">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Foro Permanente de las Naciones Unidas para las Cuestiones Indígenas, informe del decimoctavo periodo de sesiones, E/2019/43-E/C. 19/2019/10. Véase el párrafo 10 del documento, disponible en </w:t>
      </w:r>
      <w:hyperlink r:id="rId1" w:history="1">
        <w:r w:rsidRPr="003F0C88">
          <w:rPr>
            <w:rStyle w:val="Hyperlink"/>
            <w:szCs w:val="18"/>
            <w:lang w:val="es-419"/>
          </w:rPr>
          <w:t>https://www.un.org/development/desa/indigenouspeoples/news/2019/06/18-session-report/</w:t>
        </w:r>
      </w:hyperlink>
      <w:r w:rsidRPr="003F0C88">
        <w:rPr>
          <w:rStyle w:val="Hyperlink"/>
          <w:szCs w:val="18"/>
          <w:lang w:val="es-419"/>
        </w:rPr>
        <w:t>.</w:t>
      </w:r>
    </w:p>
  </w:footnote>
  <w:footnote w:id="4">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Documento WIPO/GRTKF/IC/29/INF/10, disponible en </w:t>
      </w:r>
      <w:hyperlink r:id="rId2" w:history="1">
        <w:r w:rsidRPr="003F0C88">
          <w:rPr>
            <w:rStyle w:val="Hyperlink"/>
            <w:szCs w:val="18"/>
            <w:lang w:val="es-419"/>
          </w:rPr>
          <w:t>https://www.wipo.int/edocs/mdocs/tk/es/wipo_grtkf_ic_29/wipo_grtkf_ic_29_inf_10.pdf</w:t>
        </w:r>
      </w:hyperlink>
      <w:r w:rsidRPr="003F0C88">
        <w:rPr>
          <w:rStyle w:val="Hyperlink"/>
          <w:szCs w:val="18"/>
          <w:lang w:val="es-419"/>
        </w:rPr>
        <w:t xml:space="preserve">. </w:t>
      </w:r>
    </w:p>
  </w:footnote>
  <w:footnote w:id="5">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E/2019/43-E/C.19/10, párrafo 10.</w:t>
      </w:r>
    </w:p>
  </w:footnote>
  <w:footnote w:id="6">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6" w:name="_Hlk49439221"/>
      <w:r w:rsidRPr="003F0C88">
        <w:rPr>
          <w:szCs w:val="18"/>
          <w:lang w:val="es-419"/>
        </w:rPr>
        <w:t>WIPO/GRTKF/IC/29/INF/10, párrafo 11</w:t>
      </w:r>
      <w:bookmarkEnd w:id="6"/>
      <w:r w:rsidRPr="003F0C88">
        <w:rPr>
          <w:szCs w:val="18"/>
          <w:lang w:val="es-419"/>
        </w:rPr>
        <w:t>.</w:t>
      </w:r>
    </w:p>
  </w:footnote>
  <w:footnote w:id="7">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w:t>
      </w:r>
      <w:r w:rsidRPr="003F0C88">
        <w:rPr>
          <w:szCs w:val="18"/>
          <w:u w:val="single"/>
          <w:lang w:val="es-419"/>
        </w:rPr>
        <w:t xml:space="preserve"> </w:t>
      </w:r>
      <w:hyperlink r:id="rId3" w:history="1">
        <w:r w:rsidRPr="003F0C88">
          <w:rPr>
            <w:rStyle w:val="Hyperlink"/>
            <w:szCs w:val="18"/>
            <w:lang w:val="es-419"/>
          </w:rPr>
          <w:t>https://www.wipo.int/meetings/es/doc_details.jsp?doc_id=443934</w:t>
        </w:r>
      </w:hyperlink>
      <w:r w:rsidRPr="003F0C88">
        <w:rPr>
          <w:szCs w:val="18"/>
          <w:lang w:val="es-419"/>
        </w:rPr>
        <w:t>.</w:t>
      </w:r>
    </w:p>
  </w:footnote>
  <w:footnote w:id="8">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3F0C88">
          <w:rPr>
            <w:rStyle w:val="Hyperlink"/>
            <w:szCs w:val="18"/>
            <w:lang w:val="es-419"/>
          </w:rPr>
          <w:t>https://www.wipo.int/meetings/es/doc_details.jsp?doc_id=443934</w:t>
        </w:r>
      </w:hyperlink>
      <w:r w:rsidRPr="003F0C88">
        <w:rPr>
          <w:szCs w:val="18"/>
          <w:lang w:val="es-419"/>
        </w:rPr>
        <w:t>.</w:t>
      </w:r>
    </w:p>
  </w:footnote>
  <w:footnote w:id="9">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3F0C88">
          <w:rPr>
            <w:rStyle w:val="Hyperlink"/>
            <w:szCs w:val="18"/>
            <w:lang w:val="es-419"/>
          </w:rPr>
          <w:t>https://www.wipo.int/meetings/es/doc_details.jsp?doc_id=443934</w:t>
        </w:r>
      </w:hyperlink>
      <w:r w:rsidRPr="003F0C88">
        <w:rPr>
          <w:rStyle w:val="Hyperlink"/>
          <w:szCs w:val="18"/>
          <w:lang w:val="es-419"/>
        </w:rPr>
        <w:t xml:space="preserve">, </w:t>
      </w:r>
      <w:r w:rsidRPr="003F0C88">
        <w:rPr>
          <w:szCs w:val="18"/>
          <w:lang w:val="es-419"/>
        </w:rPr>
        <w:t>y anexo IV: Proyecto de instrumento jurídico internacional relativo a la propiedad intelectual, los recursos genéticos y los conocimientos tradicionales asociados a los recursos genéticos, preparado por el Sr. Ian Goss, disponible en</w:t>
      </w:r>
      <w:r w:rsidRPr="003F0C88">
        <w:rPr>
          <w:rStyle w:val="Hyperlink"/>
          <w:szCs w:val="18"/>
          <w:lang w:val="es-419"/>
        </w:rPr>
        <w:t xml:space="preserve"> </w:t>
      </w:r>
      <w:hyperlink r:id="rId6" w:history="1">
        <w:r w:rsidRPr="003F0C88">
          <w:rPr>
            <w:rStyle w:val="Hyperlink"/>
            <w:szCs w:val="18"/>
            <w:lang w:val="es-419"/>
          </w:rPr>
          <w:t>https://www.wipo.int/meetings/es/doc_details.jsp?doc_id=443934</w:t>
        </w:r>
      </w:hyperlink>
      <w:r w:rsidRPr="003F0C88">
        <w:rPr>
          <w:szCs w:val="18"/>
          <w:lang w:val="es-419"/>
        </w:rPr>
        <w:t>.</w:t>
      </w:r>
    </w:p>
  </w:footnote>
  <w:footnote w:id="10">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Véase el anexo C1, disponible en</w:t>
      </w:r>
      <w:r w:rsidRPr="003F0C88">
        <w:rPr>
          <w:rStyle w:val="Hyperlink"/>
          <w:sz w:val="18"/>
          <w:szCs w:val="18"/>
          <w:lang w:val="es-419"/>
        </w:rPr>
        <w:t xml:space="preserve"> </w:t>
      </w:r>
      <w:hyperlink r:id="rId7" w:history="1">
        <w:r w:rsidRPr="003F0C88">
          <w:rPr>
            <w:rStyle w:val="Hyperlink"/>
            <w:sz w:val="18"/>
            <w:szCs w:val="18"/>
            <w:lang w:val="es-419"/>
          </w:rPr>
          <w:t>https://www.wto.org/spanish/docs_s/legal_s/27-trips.pdf</w:t>
        </w:r>
      </w:hyperlink>
      <w:r w:rsidRPr="003F0C88">
        <w:rPr>
          <w:sz w:val="18"/>
          <w:szCs w:val="18"/>
          <w:lang w:val="es-419"/>
        </w:rPr>
        <w:t>.</w:t>
      </w:r>
    </w:p>
  </w:footnote>
  <w:footnote w:id="11">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4, disponible en </w:t>
      </w:r>
      <w:hyperlink r:id="rId8" w:history="1">
        <w:r w:rsidRPr="003F0C88">
          <w:rPr>
            <w:rStyle w:val="Hyperlink"/>
            <w:szCs w:val="18"/>
            <w:lang w:val="es-419"/>
          </w:rPr>
          <w:t>https://undocs.org/A/RES/61/295</w:t>
        </w:r>
      </w:hyperlink>
      <w:r w:rsidRPr="003F0C88">
        <w:rPr>
          <w:szCs w:val="18"/>
          <w:lang w:val="es-419"/>
        </w:rPr>
        <w:t>.</w:t>
      </w:r>
    </w:p>
  </w:footnote>
  <w:footnote w:id="12">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19.</w:t>
      </w:r>
    </w:p>
  </w:footnote>
  <w:footnote w:id="13">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r w:rsidRPr="003F0C88">
        <w:rPr>
          <w:i/>
          <w:szCs w:val="18"/>
          <w:lang w:val="es-419"/>
        </w:rPr>
        <w:t>Sui generis</w:t>
      </w:r>
      <w:r w:rsidRPr="003F0C88">
        <w:rPr>
          <w:szCs w:val="18"/>
          <w:lang w:val="es-419"/>
        </w:rPr>
        <w:t xml:space="preserve">, según el </w:t>
      </w:r>
      <w:r w:rsidRPr="003F0C88">
        <w:rPr>
          <w:i/>
          <w:iCs/>
          <w:szCs w:val="18"/>
          <w:lang w:val="es-419"/>
        </w:rPr>
        <w:t>Black's Law Dictionary</w:t>
      </w:r>
      <w:r w:rsidRPr="003F0C88">
        <w:rPr>
          <w:szCs w:val="18"/>
          <w:lang w:val="es-419"/>
        </w:rPr>
        <w:t>, significa de su propio tipo o clase, único o peculiar.</w:t>
      </w:r>
    </w:p>
  </w:footnote>
  <w:footnote w:id="14">
    <w:p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3F0C88">
        <w:rPr>
          <w:i/>
          <w:sz w:val="18"/>
          <w:szCs w:val="18"/>
          <w:lang w:val="es-419"/>
        </w:rPr>
        <w:t xml:space="preserve"> </w:t>
      </w:r>
      <w:r w:rsidRPr="003F0C88">
        <w:rPr>
          <w:sz w:val="18"/>
          <w:szCs w:val="18"/>
          <w:lang w:val="es-419"/>
        </w:rPr>
        <w:t xml:space="preserve">Declaración de las Naciones Unidas sobre los Derechos de los Pueblos Indígenas, art. 28.1); Natalie P Stoianoff y Alpana Roy, </w:t>
      </w:r>
      <w:r w:rsidRPr="003F0C88">
        <w:rPr>
          <w:i/>
          <w:sz w:val="18"/>
          <w:szCs w:val="18"/>
          <w:lang w:val="es-419"/>
        </w:rPr>
        <w:t>Indigenous Knowledge and Culture in Australia – The Case for Sui Generis Legislation</w:t>
      </w:r>
      <w:r w:rsidRPr="003F0C88">
        <w:rPr>
          <w:sz w:val="18"/>
          <w:szCs w:val="18"/>
          <w:lang w:val="es-419"/>
        </w:rPr>
        <w:t xml:space="preserve"> (SSRN Scholarly Paper No ID 2765827, Social Science Research Network, 31 de diciembre de 2015), 748. </w:t>
      </w:r>
      <w:hyperlink r:id="rId9" w:history="1">
        <w:r w:rsidRPr="003F0C88">
          <w:rPr>
            <w:rStyle w:val="Hyperlink"/>
            <w:sz w:val="18"/>
            <w:szCs w:val="18"/>
            <w:lang w:val="es-419"/>
          </w:rPr>
          <w:t>https://papers.ssrn.com/abstract=2765827</w:t>
        </w:r>
      </w:hyperlink>
      <w:r w:rsidRPr="003F0C88">
        <w:rPr>
          <w:sz w:val="18"/>
          <w:szCs w:val="18"/>
          <w:lang w:val="es-419"/>
        </w:rPr>
        <w:t xml:space="preserve">; Graham Dutfield, “Legal and Economic Aspects of Traditional Knowledge” en Keith E Maskus y Jerome H Reichman (eds.), </w:t>
      </w:r>
      <w:r w:rsidRPr="003F0C88">
        <w:rPr>
          <w:i/>
          <w:sz w:val="18"/>
          <w:szCs w:val="18"/>
          <w:lang w:val="es-419"/>
        </w:rPr>
        <w:t>International Public Goods and Transfer of Technology Under a Globalized Intellectual Property Regime</w:t>
      </w:r>
      <w:r w:rsidRPr="003F0C88">
        <w:rPr>
          <w:sz w:val="18"/>
          <w:szCs w:val="18"/>
          <w:lang w:val="es-419"/>
        </w:rPr>
        <w:t xml:space="preserve"> (Cambridge University Press, 1.ª ed., 2005), 506.</w:t>
      </w:r>
    </w:p>
  </w:footnote>
  <w:footnote w:id="15">
    <w:p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3F0C88">
        <w:rPr>
          <w:sz w:val="18"/>
          <w:szCs w:val="18"/>
          <w:lang w:val="es-419"/>
        </w:rPr>
        <w:t xml:space="preserve"> Declaración de las Naciones Unidas sobre los Derechos de los Pueblos Indígenas, art. 28.1).</w:t>
      </w:r>
    </w:p>
  </w:footnote>
  <w:footnote w:id="16">
    <w:p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3F0C88">
        <w:rPr>
          <w:sz w:val="18"/>
          <w:szCs w:val="18"/>
          <w:lang w:val="es-419"/>
        </w:rPr>
        <w:t xml:space="preserve"> Natalie P Stoianoff y Alpana Roy, </w:t>
      </w:r>
      <w:r w:rsidRPr="003F0C88">
        <w:rPr>
          <w:i/>
          <w:sz w:val="18"/>
          <w:szCs w:val="18"/>
          <w:lang w:val="es-419"/>
        </w:rPr>
        <w:t>Indigenous Knowledge and Culture in Australia – The Case for Sui Generis Legislation</w:t>
      </w:r>
      <w:r w:rsidRPr="003F0C88">
        <w:rPr>
          <w:sz w:val="18"/>
          <w:szCs w:val="18"/>
          <w:lang w:val="es-419"/>
        </w:rPr>
        <w:t xml:space="preserve"> (SSRN Scholarly Paper No ID 2765827, Social Science Research Network, 31 de diciembre de 2015), 748. </w:t>
      </w:r>
      <w:hyperlink r:id="rId10" w:history="1">
        <w:r w:rsidRPr="003F0C88">
          <w:rPr>
            <w:rStyle w:val="Hyperlink"/>
            <w:sz w:val="18"/>
            <w:szCs w:val="18"/>
            <w:lang w:val="es-419"/>
          </w:rPr>
          <w:t>https://papers.ssrn.com/abstract=2765827</w:t>
        </w:r>
      </w:hyperlink>
      <w:r w:rsidRPr="003F0C88">
        <w:rPr>
          <w:sz w:val="18"/>
          <w:szCs w:val="18"/>
          <w:lang w:val="es-419"/>
        </w:rPr>
        <w:t>.</w:t>
      </w:r>
    </w:p>
  </w:footnote>
  <w:footnote w:id="17">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Declaración de las Naciones Unidas sobre los Derechos de los Pueblos Indígenas, art. 32.2), art. 18, art. 34; Informe sobre los registros de conocimientos tradicionales y bases de datos de conocimientos tradicionales conexos - UNEP/CBD/WG8J/4/INF/9.</w:t>
      </w:r>
    </w:p>
  </w:footnote>
  <w:footnote w:id="18">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11.2), art. 28; Convención Internacional sobre la Eliminación de todas las Formas de Discriminación Racial </w:t>
      </w:r>
      <w:r w:rsidRPr="003F0C88">
        <w:rPr>
          <w:i/>
          <w:szCs w:val="18"/>
          <w:lang w:val="es-419"/>
        </w:rPr>
        <w:t>(ICERD)</w:t>
      </w:r>
      <w:r w:rsidRPr="003F0C88">
        <w:rPr>
          <w:szCs w:val="18"/>
          <w:lang w:val="es-419"/>
        </w:rPr>
        <w:t>, art. 2.2).</w:t>
      </w:r>
    </w:p>
  </w:footnote>
  <w:footnote w:id="19">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11.2).</w:t>
      </w:r>
    </w:p>
  </w:footnote>
  <w:footnote w:id="20">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7" w:name="_Hlk49439119"/>
      <w:r w:rsidRPr="003F0C88">
        <w:rPr>
          <w:szCs w:val="18"/>
          <w:lang w:val="es-419"/>
        </w:rPr>
        <w:t>Informe de la 35.ª sesión del CIG, celebrada del 12 al 23 de marzo de 2018, declaración de la Fundación Tebtebba en nombre del Grupo Oficioso de Representantes Indígenas, párrafo 23, documento OMPI/GRTKF/IC/35/10.</w:t>
      </w:r>
      <w:bookmarkEnd w:id="7"/>
    </w:p>
  </w:footnote>
  <w:footnote w:id="21">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Véase: </w:t>
      </w:r>
      <w:hyperlink r:id="rId11" w:history="1">
        <w:r w:rsidRPr="003F0C88">
          <w:rPr>
            <w:rStyle w:val="Hyperlink"/>
            <w:szCs w:val="18"/>
            <w:lang w:val="es-419"/>
          </w:rPr>
          <w:t>https://www.cbd.int/doc/guidelines/cbd-RutzolijirisaxikGuidelines-en.pdf</w:t>
        </w:r>
      </w:hyperlink>
      <w:r w:rsidRPr="003F0C88">
        <w:rPr>
          <w:szCs w:val="18"/>
          <w:lang w:val="es-419"/>
        </w:rPr>
        <w:t xml:space="preserve">. </w:t>
      </w:r>
    </w:p>
  </w:footnote>
  <w:footnote w:id="22">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Directrices </w:t>
      </w:r>
      <w:r w:rsidRPr="003F0C88">
        <w:rPr>
          <w:i/>
          <w:iCs/>
          <w:szCs w:val="18"/>
          <w:lang w:val="es-419"/>
        </w:rPr>
        <w:t>rutzolijirisaxik</w:t>
      </w:r>
      <w:r w:rsidRPr="003F0C88">
        <w:rPr>
          <w:szCs w:val="18"/>
          <w:lang w:val="es-419"/>
        </w:rPr>
        <w:t>, párrafo 11.k).</w:t>
      </w:r>
    </w:p>
  </w:footnote>
  <w:footnote w:id="23">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Véase el análisis de Patricia L. Judd, “The Difficulties in Harmonizing Legal Protections for Traditional Knowledge and Intellectual Property”. </w:t>
      </w:r>
      <w:r w:rsidRPr="003F0C88">
        <w:rPr>
          <w:i/>
          <w:szCs w:val="18"/>
          <w:lang w:val="es-419"/>
        </w:rPr>
        <w:t xml:space="preserve">The Washburn Law Journal. </w:t>
      </w:r>
      <w:r w:rsidRPr="003F0C88">
        <w:rPr>
          <w:szCs w:val="18"/>
          <w:lang w:val="es-419"/>
        </w:rPr>
        <w:t>Vol. 58, 2019, pág. 249-270.</w:t>
      </w:r>
    </w:p>
  </w:footnote>
  <w:footnote w:id="24">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Ruth L. Okediji, “Traditional Knowledge and the Public Domain”. </w:t>
      </w:r>
      <w:r w:rsidRPr="003F0C88">
        <w:rPr>
          <w:i/>
          <w:sz w:val="18"/>
          <w:szCs w:val="18"/>
          <w:lang w:val="es-419"/>
        </w:rPr>
        <w:t>Documento del CIGI n.º 176 de junio de 2018</w:t>
      </w:r>
      <w:r w:rsidRPr="003F0C88">
        <w:rPr>
          <w:sz w:val="18"/>
          <w:szCs w:val="18"/>
          <w:lang w:val="es-419"/>
        </w:rPr>
        <w:t xml:space="preserve">, pág. 8, disponible en </w:t>
      </w:r>
      <w:hyperlink r:id="rId12" w:history="1">
        <w:r w:rsidRPr="003F0C88">
          <w:rPr>
            <w:rStyle w:val="Hyperlink"/>
            <w:sz w:val="18"/>
            <w:szCs w:val="18"/>
            <w:lang w:val="es-419"/>
          </w:rPr>
          <w:t>https://www.cigionline.org/sites/default/files/documents/Paper no.176web.pdf</w:t>
        </w:r>
      </w:hyperlink>
      <w:r w:rsidRPr="003F0C88">
        <w:rPr>
          <w:rStyle w:val="Hyperlink"/>
          <w:sz w:val="18"/>
          <w:szCs w:val="18"/>
          <w:lang w:val="es-419"/>
        </w:rPr>
        <w:t>.</w:t>
      </w:r>
    </w:p>
  </w:footnote>
  <w:footnote w:id="25">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8" w:name="_Hlk49439153"/>
      <w:r w:rsidRPr="003F0C88">
        <w:rPr>
          <w:szCs w:val="18"/>
          <w:lang w:val="es-419"/>
        </w:rPr>
        <w:t xml:space="preserve">Véanse los párrafos 4 a 6 del “examen técnico” disponible en </w:t>
      </w:r>
      <w:hyperlink r:id="rId13" w:history="1">
        <w:r w:rsidRPr="003F0C88">
          <w:rPr>
            <w:rStyle w:val="Hyperlink"/>
            <w:szCs w:val="18"/>
            <w:lang w:val="es-419"/>
          </w:rPr>
          <w:t>https://www.wipo.int/edocs/mdocs/tk/es/wipo_grtkf_ic_29/wipo_grtkf_ic_29_inf_10.pdf</w:t>
        </w:r>
      </w:hyperlink>
      <w:r w:rsidRPr="003F0C88">
        <w:rPr>
          <w:szCs w:val="18"/>
          <w:lang w:val="es-419"/>
        </w:rPr>
        <w:t>.</w:t>
      </w:r>
    </w:p>
    <w:bookmarkEnd w:id="8"/>
  </w:footnote>
  <w:footnote w:id="26">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Bagley, </w:t>
      </w:r>
      <w:r w:rsidRPr="003F0C88">
        <w:rPr>
          <w:i/>
          <w:iCs/>
          <w:szCs w:val="18"/>
          <w:lang w:val="es-419"/>
        </w:rPr>
        <w:t>ibid</w:t>
      </w:r>
      <w:r w:rsidRPr="003F0C88">
        <w:rPr>
          <w:szCs w:val="18"/>
          <w:lang w:val="es-419"/>
        </w:rPr>
        <w:t>.</w:t>
      </w:r>
    </w:p>
  </w:footnote>
  <w:footnote w:id="27">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19.</w:t>
      </w:r>
    </w:p>
  </w:footnote>
  <w:footnote w:id="28">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Véase el “Estudio sobre las limitaciones y excepciones relativas al derecho de autor y a los derechos conexos en el entorno digital”. Comité Permanente de Derecho de Autor y Derechos Conexos de la OMPI. Ginebra, 23 a 27 de junio de 2003, disponible en </w:t>
      </w:r>
      <w:hyperlink r:id="rId14" w:history="1">
        <w:r w:rsidRPr="003F0C88">
          <w:rPr>
            <w:rStyle w:val="Hyperlink"/>
            <w:szCs w:val="18"/>
            <w:lang w:val="es-419"/>
          </w:rPr>
          <w:t>https://www.wipo.int/edocs/mdocs/copyright/es/sccr_9/sccr_9_7.pdf</w:t>
        </w:r>
      </w:hyperlink>
      <w:r w:rsidRPr="003F0C88">
        <w:rPr>
          <w:rStyle w:val="Hyperlink"/>
          <w:szCs w:val="18"/>
          <w:lang w:val="es-419"/>
        </w:rPr>
        <w:t>.</w:t>
      </w:r>
    </w:p>
  </w:footnote>
  <w:footnote w:id="29">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9" w:name="_Hlk49439170"/>
      <w:r w:rsidRPr="003F0C88">
        <w:rPr>
          <w:szCs w:val="18"/>
          <w:lang w:val="es-419"/>
        </w:rPr>
        <w:t>Véase WO/GA/51/12, anexo I, página 18, “Excepciones y limitaciones”.</w:t>
      </w:r>
      <w:bookmarkEnd w:id="9"/>
    </w:p>
  </w:footnote>
  <w:footnote w:id="30">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artículos 11.2) y 19.</w:t>
      </w:r>
    </w:p>
  </w:footnote>
  <w:footnote w:id="31">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Véase el artículo 32.5, disponible en </w:t>
      </w:r>
      <w:hyperlink r:id="rId15" w:history="1">
        <w:r w:rsidRPr="003F0C88">
          <w:rPr>
            <w:rStyle w:val="Hyperlink"/>
            <w:sz w:val="18"/>
            <w:szCs w:val="18"/>
            <w:lang w:val="es-419"/>
          </w:rPr>
          <w:t>https://ustr.gov/sites/default/files/files/agreements/FTA/USMCA/Text/32_Exceptions_and_General_Provisions.pdf</w:t>
        </w:r>
      </w:hyperlink>
      <w:r w:rsidRPr="003F0C88">
        <w:rPr>
          <w:rStyle w:val="Hyperlink"/>
          <w:sz w:val="18"/>
          <w:szCs w:val="18"/>
          <w:lang w:val="es-419"/>
        </w:rPr>
        <w:t>.</w:t>
      </w:r>
    </w:p>
  </w:footnote>
  <w:footnote w:id="32">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Informe de la 38.ª sesión del CIG, 10 a 14 de diciembre de 2018, declaración de CEM-Aymara en nombre del Grupo Oficioso de Representantes Indígenas, párrafos 197 y 215, documento WIPO/GRTKF/IC/38/16.</w:t>
      </w:r>
    </w:p>
  </w:footnote>
  <w:footnote w:id="33">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Véase Anupam Chander y Madhavi Sunder, “The Romance of Public Domain”, </w:t>
      </w:r>
      <w:r w:rsidRPr="003F0C88">
        <w:rPr>
          <w:i/>
          <w:iCs/>
          <w:szCs w:val="18"/>
          <w:lang w:val="es-419"/>
        </w:rPr>
        <w:t>California Law Review</w:t>
      </w:r>
      <w:r w:rsidRPr="003F0C88">
        <w:rPr>
          <w:szCs w:val="18"/>
          <w:lang w:val="es-419"/>
        </w:rPr>
        <w:t xml:space="preserve"> [Vol. 92:2004].</w:t>
      </w:r>
    </w:p>
  </w:footnote>
  <w:footnote w:id="34">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Decisión VIII/5 B de la Conferencia de las Partes en el CDB, párrafo 5; decisión IX/13 de la Conferencia de las Partes en el CDB. UNEP/CBD/COP/DEC/IX/13.</w:t>
      </w:r>
    </w:p>
  </w:footnote>
  <w:footnote w:id="35">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Informe de la 37.ª sesión del CIG, 27 a 31 de agosto de 2018, declaración del Arts Law Center en nombre del Grupo Oficioso de Representantes Indígenas, documento WIPO/GRTKF/IC/37/17, párrafo 253.</w:t>
      </w:r>
    </w:p>
  </w:footnote>
  <w:footnote w:id="36">
    <w:p w:rsidR="00AF5B6A" w:rsidRPr="003F0C88" w:rsidRDefault="00AF5B6A" w:rsidP="00AF5B6A">
      <w:pPr>
        <w:pStyle w:val="FootnoteText"/>
        <w:rPr>
          <w:szCs w:val="18"/>
          <w:lang w:val="es-419"/>
        </w:rPr>
      </w:pPr>
      <w:r w:rsidRPr="003F0C88">
        <w:rPr>
          <w:rStyle w:val="FootnoteReference"/>
          <w:szCs w:val="18"/>
          <w:lang w:val="es-419"/>
        </w:rPr>
        <w:footnoteRef/>
      </w:r>
      <w:r w:rsidRPr="003F0C88">
        <w:rPr>
          <w:i/>
          <w:szCs w:val="18"/>
          <w:lang w:val="es-419"/>
        </w:rPr>
        <w:t xml:space="preserve"> </w:t>
      </w:r>
      <w:r w:rsidRPr="003F0C88">
        <w:rPr>
          <w:szCs w:val="18"/>
          <w:lang w:val="es-419"/>
        </w:rPr>
        <w:t>Declaración de las Naciones Unidas sobre los Derechos de los Pueblos Indígenas, art. 31.</w:t>
      </w:r>
    </w:p>
  </w:footnote>
  <w:footnote w:id="37">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4, art. 32; documento WIPO/GRTKF/IC/29/INF/10, disponible en</w:t>
      </w:r>
      <w:r w:rsidR="003F0C88" w:rsidRPr="003F0C88">
        <w:rPr>
          <w:szCs w:val="18"/>
          <w:lang w:val="es-419"/>
        </w:rPr>
        <w:t xml:space="preserve"> </w:t>
      </w:r>
      <w:r w:rsidRPr="003F0C88">
        <w:rPr>
          <w:rStyle w:val="Hyperlink"/>
          <w:szCs w:val="18"/>
          <w:lang w:val="es-419"/>
        </w:rPr>
        <w:t>https://www.wipo.int/edocs/mdocs/tk/es/wipo_grtkf_ic_29/wipo_grtkf_ic_29_inf_10.pdf.</w:t>
      </w:r>
    </w:p>
  </w:footnote>
  <w:footnote w:id="38">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Documento WIPO/GRTKF/IC/29/INF/10, disponible en </w:t>
      </w:r>
      <w:hyperlink r:id="rId16" w:history="1">
        <w:r w:rsidRPr="003F0C88">
          <w:rPr>
            <w:rStyle w:val="Hyperlink"/>
            <w:szCs w:val="18"/>
            <w:lang w:val="es-419"/>
          </w:rPr>
          <w:t>https://www.wipo.int/edocs/mdocs/tk/es/wipo_grtkf_ic_29/wipo_grtkf_ic_29_inf_10.pdf</w:t>
        </w:r>
      </w:hyperlink>
      <w:r w:rsidRPr="003F0C88">
        <w:rPr>
          <w:szCs w:val="18"/>
          <w:lang w:val="es-419"/>
        </w:rPr>
        <w:t>.</w:t>
      </w:r>
    </w:p>
  </w:footnote>
  <w:footnote w:id="39">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7" w:history="1">
        <w:r w:rsidRPr="003F0C88">
          <w:rPr>
            <w:rStyle w:val="Hyperlink"/>
            <w:szCs w:val="18"/>
            <w:lang w:val="es-419"/>
          </w:rPr>
          <w:t>https://absch.cbd.int/reports/analyzer</w:t>
        </w:r>
      </w:hyperlink>
      <w:r w:rsidRPr="003F0C88">
        <w:rPr>
          <w:szCs w:val="18"/>
          <w:lang w:val="es-419"/>
        </w:rPr>
        <w:t>, 11 de mayo de 2020.</w:t>
      </w:r>
    </w:p>
  </w:footnote>
  <w:footnote w:id="40">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8" w:history="1">
        <w:r w:rsidRPr="003F0C88">
          <w:rPr>
            <w:rStyle w:val="Hyperlink"/>
            <w:szCs w:val="18"/>
            <w:lang w:val="es-419"/>
          </w:rPr>
          <w:t>https://absch.cbd.int/reports/analyzer</w:t>
        </w:r>
      </w:hyperlink>
      <w:r w:rsidRPr="003F0C88">
        <w:rPr>
          <w:szCs w:val="18"/>
          <w:lang w:val="es-419"/>
        </w:rPr>
        <w:t>, 11 de mayo de 2020.</w:t>
      </w:r>
    </w:p>
    <w:p w:rsidR="00AF5B6A" w:rsidRPr="003F0C88" w:rsidRDefault="00AF5B6A" w:rsidP="00AF5B6A">
      <w:pPr>
        <w:pStyle w:val="FootnoteText"/>
        <w:rPr>
          <w:szCs w:val="18"/>
          <w:lang w:val="es-419"/>
        </w:rPr>
      </w:pPr>
      <w:r w:rsidRPr="003F0C88">
        <w:rPr>
          <w:szCs w:val="18"/>
          <w:lang w:val="es-419"/>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Grupo Especial de Expertos Técnicos en Información de Secuencias Digitales sobre Recursos Genéticos (AHTEG DSI); Manuel Ruiz Muller, </w:t>
      </w:r>
      <w:r w:rsidRPr="003F0C88">
        <w:rPr>
          <w:i/>
          <w:szCs w:val="18"/>
          <w:lang w:val="es-419"/>
        </w:rPr>
        <w:t>Access to Genetic Resources and Benefit Sharing 25 Years on: Progress and Challenges</w:t>
      </w:r>
      <w:r w:rsidRPr="003F0C88">
        <w:rPr>
          <w:szCs w:val="18"/>
          <w:lang w:val="es-419"/>
        </w:rPr>
        <w:t xml:space="preserve"> (Centro Internacional de Comercio y Desarrollo Sostenible, documento n.º 44, 2018), vii. &lt;</w:t>
      </w:r>
      <w:hyperlink r:id="rId19" w:history="1">
        <w:r w:rsidRPr="003F0C88">
          <w:rPr>
            <w:rStyle w:val="Hyperlink"/>
            <w:szCs w:val="18"/>
            <w:lang w:val="es-419"/>
          </w:rPr>
          <w:t>https://www.voices4biojustice.org/wp-content/uploads/2018/12/Access-to-Genetic-Resources-and-Benefit-Sharing-25-Years-On-Progress-and-Challenges.pdf</w:t>
        </w:r>
      </w:hyperlink>
      <w:r w:rsidRPr="003F0C88">
        <w:rPr>
          <w:szCs w:val="18"/>
          <w:lang w:val="es-419"/>
        </w:rPr>
        <w:t>&gt;,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31, art. 23.</w:t>
      </w:r>
    </w:p>
  </w:footnote>
  <w:footnote w:id="43">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CBD/COP/DEC/XIII/16, decisión adoptada por la Conferencia de las Partes en el CDB, 16 de diciembre de 2016; CBD/NP/MOP/DEC/2/14, decisión adoptada por las partes en el Protocolo de Nagoya, 16 de diciembre de 2016; texto de la Presidencia, artículo 9.</w:t>
      </w:r>
    </w:p>
  </w:footnote>
  <w:footnote w:id="44">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Texto de la Presidencia, notas sobre el artículo 9; Grupo Especial de Expertos Técnicos en Información de Secuencias Digitales sobre Recursos Genéticos del CDB (AHTEG DSI),</w:t>
      </w:r>
      <w:r w:rsidRPr="003F0C88">
        <w:rPr>
          <w:b/>
          <w:sz w:val="18"/>
          <w:szCs w:val="18"/>
          <w:lang w:val="es-419"/>
        </w:rPr>
        <w:t xml:space="preserve"> </w:t>
      </w:r>
      <w:r w:rsidRPr="003F0C88">
        <w:rPr>
          <w:sz w:val="18"/>
          <w:szCs w:val="18"/>
          <w:lang w:val="es-419"/>
        </w:rPr>
        <w:t>Montreal, Canadá, 13 a 16 de febrero de 2018, CBD/DSI/AHTEG/2018/1/4.</w:t>
      </w:r>
    </w:p>
  </w:footnote>
  <w:footnote w:id="45">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observaciones introductorias; texto consolidado, art.10.4.</w:t>
      </w:r>
    </w:p>
  </w:footnote>
  <w:footnote w:id="46">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art. 3.1, art. 3.2; texto consolidado, art.10.4.</w:t>
      </w:r>
    </w:p>
  </w:footnote>
  <w:footnote w:id="47">
    <w:p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3F0C88">
        <w:rPr>
          <w:sz w:val="18"/>
          <w:szCs w:val="18"/>
          <w:lang w:val="es-419"/>
        </w:rPr>
        <w:t xml:space="preserve"> Texto de la Presidencia, art. 3, notas sobre el art. 3; Graham Dutfield, “Legal and Economic Aspects of Traditional Knowledge” en Keith E Maskus y Jerome H Reichman (eds.), </w:t>
      </w:r>
      <w:r w:rsidRPr="003F0C88">
        <w:rPr>
          <w:i/>
          <w:sz w:val="18"/>
          <w:szCs w:val="18"/>
          <w:lang w:val="es-419"/>
        </w:rPr>
        <w:t>International Public Goods and Transfer of Technology Under a Globalized Intellectual Property Regime</w:t>
      </w:r>
      <w:r w:rsidRPr="003F0C88">
        <w:rPr>
          <w:sz w:val="18"/>
          <w:szCs w:val="18"/>
          <w:lang w:val="es-419"/>
        </w:rPr>
        <w:t xml:space="preserve"> (Cambridge University Press, 1.ª ed., 2005), 506.</w:t>
      </w:r>
    </w:p>
  </w:footnote>
  <w:footnote w:id="48">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AHTEG DSI del CDB, 13 a 16 de febrero de 2018, CBD/DSI/AHTEG/2018/1/4, párrafo 29.</w:t>
      </w:r>
    </w:p>
  </w:footnote>
  <w:footnote w:id="50">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art. 6.5.</w:t>
      </w:r>
    </w:p>
  </w:footnote>
  <w:footnote w:id="51">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consolidado, art. 6.4.</w:t>
      </w:r>
    </w:p>
  </w:footnote>
  <w:footnote w:id="52">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27, art. 39, art. 40; Pacto Internacional de Derechos Civiles y Políticos, observación general 23.</w:t>
      </w:r>
    </w:p>
  </w:footnote>
  <w:footnote w:id="53">
    <w:p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AHTEG DSI del CDB, 13 a 16 de febrero de 2018, CBD/DSI/AHTEG/2018/1/4, párrafo 29. Frederic Perron-Welch, “Blockchain Technology and Access and Benefit Sharing”, 7 de agosto de 2018.</w:t>
      </w:r>
    </w:p>
  </w:footnote>
  <w:footnote w:id="54">
    <w:p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B6A" w:rsidRDefault="00AF5B6A" w:rsidP="000F2AD2">
    <w:pPr>
      <w:jc w:val="right"/>
    </w:pPr>
    <w:r>
      <w:t>WIPO/GRTKF/IC/42/INF/8</w:t>
    </w:r>
  </w:p>
  <w:p w:rsidR="00AF5B6A" w:rsidRDefault="00AF5B6A" w:rsidP="000F2AD2">
    <w:pPr>
      <w:jc w:val="right"/>
    </w:pPr>
    <w:r>
      <w:t xml:space="preserve">página </w:t>
    </w:r>
    <w:r>
      <w:fldChar w:fldCharType="begin"/>
    </w:r>
    <w:r>
      <w:instrText xml:space="preserve"> PAGE  \* MERGEFORMAT </w:instrText>
    </w:r>
    <w:r>
      <w:fldChar w:fldCharType="separate"/>
    </w:r>
    <w:r>
      <w:t>2</w:t>
    </w:r>
    <w:r>
      <w:fldChar w:fldCharType="end"/>
    </w:r>
  </w:p>
  <w:p w:rsidR="00AF5B6A" w:rsidRDefault="00AF5B6A" w:rsidP="000F2AD2">
    <w:pPr>
      <w:jc w:val="right"/>
    </w:pPr>
  </w:p>
  <w:p w:rsidR="00AF5B6A" w:rsidRDefault="00AF5B6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B6A" w:rsidRDefault="00AF5B6A" w:rsidP="00477D6B">
    <w:pPr>
      <w:jc w:val="right"/>
    </w:pPr>
    <w:r>
      <w:t>WIPO/GRTKF/</w:t>
    </w:r>
    <w:r w:rsidRPr="00201D9C">
      <w:t>IC/43/INF/8</w:t>
    </w:r>
  </w:p>
  <w:p w:rsidR="00AF5B6A" w:rsidRDefault="00AF5B6A" w:rsidP="00477D6B">
    <w:pPr>
      <w:jc w:val="right"/>
    </w:pPr>
    <w:r>
      <w:t xml:space="preserve">página </w:t>
    </w:r>
    <w:r>
      <w:fldChar w:fldCharType="begin"/>
    </w:r>
    <w:r>
      <w:instrText xml:space="preserve"> PAGE  \* MERGEFORMAT </w:instrText>
    </w:r>
    <w:r>
      <w:fldChar w:fldCharType="separate"/>
    </w:r>
    <w:r w:rsidR="00BC0E08">
      <w:rPr>
        <w:noProof/>
      </w:rPr>
      <w:t>2</w:t>
    </w:r>
    <w:r>
      <w:fldChar w:fldCharType="end"/>
    </w:r>
  </w:p>
  <w:p w:rsidR="00AF5B6A" w:rsidRDefault="00AF5B6A" w:rsidP="00477D6B">
    <w:pPr>
      <w:jc w:val="right"/>
    </w:pPr>
  </w:p>
  <w:p w:rsidR="00AF5B6A" w:rsidRDefault="00AF5B6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AF5B6A" w:rsidP="00477D6B">
    <w:pPr>
      <w:jc w:val="right"/>
    </w:pPr>
    <w:bookmarkStart w:id="10" w:name="Code2"/>
    <w:bookmarkEnd w:id="10"/>
    <w:r>
      <w:t>WIPO/GRTKF/IC/43/INF/8</w:t>
    </w:r>
  </w:p>
  <w:p w:rsidR="00F84474" w:rsidRDefault="003F0C88"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BC0E08">
      <w:rPr>
        <w:noProof/>
      </w:rPr>
      <w:t>5</w:t>
    </w:r>
    <w:r w:rsidR="00F84474">
      <w:fldChar w:fldCharType="end"/>
    </w:r>
  </w:p>
  <w:p w:rsidR="00F84474" w:rsidRDefault="00F84474" w:rsidP="00477D6B">
    <w:pPr>
      <w:jc w:val="right"/>
    </w:pPr>
  </w:p>
  <w:p w:rsidR="004F7418" w:rsidRDefault="004F741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C88" w:rsidRDefault="003F0C88" w:rsidP="003F0C88">
    <w:pPr>
      <w:pStyle w:val="Header"/>
      <w:jc w:val="right"/>
    </w:pPr>
    <w:r>
      <w:t>WIPO/GRTKF/IC/43/INF/8</w:t>
    </w:r>
  </w:p>
  <w:p w:rsidR="003F0C88" w:rsidRDefault="003F0C88" w:rsidP="003F0C88">
    <w:pPr>
      <w:pStyle w:val="Header"/>
      <w:jc w:val="right"/>
    </w:pPr>
    <w:r>
      <w:t>ANEXO</w:t>
    </w:r>
  </w:p>
  <w:p w:rsidR="003F0C88" w:rsidRDefault="003F0C88" w:rsidP="003F0C88">
    <w:pPr>
      <w:pStyle w:val="Header"/>
      <w:jc w:val="right"/>
    </w:pPr>
  </w:p>
  <w:p w:rsidR="003F0C88" w:rsidRDefault="003F0C88" w:rsidP="003F0C8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B6A"/>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3F0C88"/>
    <w:rsid w:val="00423E3E"/>
    <w:rsid w:val="00427AF4"/>
    <w:rsid w:val="0044529E"/>
    <w:rsid w:val="0045231F"/>
    <w:rsid w:val="004647DA"/>
    <w:rsid w:val="00477D6B"/>
    <w:rsid w:val="004A6C37"/>
    <w:rsid w:val="004F7418"/>
    <w:rsid w:val="00511D0C"/>
    <w:rsid w:val="0055013B"/>
    <w:rsid w:val="0056224D"/>
    <w:rsid w:val="00571B99"/>
    <w:rsid w:val="005D64EC"/>
    <w:rsid w:val="006012CE"/>
    <w:rsid w:val="00605827"/>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AF5B6A"/>
    <w:rsid w:val="00B65A0A"/>
    <w:rsid w:val="00B72D36"/>
    <w:rsid w:val="00BA063E"/>
    <w:rsid w:val="00BC0E08"/>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7546652-FD4D-4A8D-960E-B449FE8A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AF5B6A"/>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AF5B6A"/>
    <w:rPr>
      <w:vertAlign w:val="superscript"/>
    </w:rPr>
  </w:style>
  <w:style w:type="character" w:styleId="Hyperlink">
    <w:name w:val="Hyperlink"/>
    <w:basedOn w:val="DefaultParagraphFont"/>
    <w:uiPriority w:val="99"/>
    <w:unhideWhenUsed/>
    <w:rsid w:val="00AF5B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s/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www.wto.org/spanish/docs_s/legal_s/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www.wipo.int/edocs/mdocs/tk/es/wipo_grtkf_ic_29/wipo_grtkf_ic_29_inf_10.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s/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www.voices4biojustice.org/wp-content/uploads/2018/12/Access-to-Genetic-Resources-and-Benefit-Sharing-25-Years-On-Progress-and-Challenges.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s/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F3224-03A2-431D-A3C6-FE076EB71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(S).dotm</Template>
  <TotalTime>0</TotalTime>
  <Pages>13</Pages>
  <Words>5326</Words>
  <Characters>29314</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WIPO/GRTKF/IC/43/INF/8</vt:lpstr>
    </vt:vector>
  </TitlesOfParts>
  <Company>WIPO</Company>
  <LinksUpToDate>false</LinksUpToDate>
  <CharactersWithSpaces>34571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WIPO/GRTKF/IC/43/INF/8</dc:title>
  <dc:creator>CEVALLOS DUQUE Nilo</dc:creator>
  <cp:keywords>FOR OFFICIAL USE ONLY</cp:keywords>
  <cp:lastModifiedBy>BOU LLORET Amparo</cp:lastModifiedBy>
  <cp:revision>2</cp:revision>
  <dcterms:created xsi:type="dcterms:W3CDTF">2022-04-28T09:57:00Z</dcterms:created>
  <dcterms:modified xsi:type="dcterms:W3CDTF">2022-04-28T09:57:00Z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