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B4AD3" w:rsidRDefault="00472A6E" w:rsidP="004F0049">
      <w:pPr>
        <w:pBdr>
          <w:bottom w:val="single" w:sz="4" w:space="9" w:color="auto"/>
        </w:pBdr>
        <w:spacing w:after="120"/>
        <w:ind w:right="-57"/>
        <w:jc w:val="right"/>
        <w:rPr>
          <w:lang w:val="es-419"/>
        </w:rPr>
      </w:pPr>
      <w:r w:rsidRPr="001B4AD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B2CC1" w:rsidRPr="001B4AD3" w:rsidRDefault="00472A6E" w:rsidP="00472A6E">
      <w:pPr>
        <w:jc w:val="right"/>
        <w:rPr>
          <w:lang w:val="es-419"/>
        </w:rPr>
      </w:pPr>
      <w:r w:rsidRPr="001B4AD3">
        <w:rPr>
          <w:rFonts w:ascii="Arial Black" w:hAnsi="Arial Black"/>
          <w:caps/>
          <w:sz w:val="15"/>
          <w:lang w:val="es-419"/>
        </w:rPr>
        <w:t xml:space="preserve">ORIGINAL: </w:t>
      </w:r>
      <w:bookmarkStart w:id="0" w:name="Original"/>
      <w:r w:rsidR="00A5142B" w:rsidRPr="001B4AD3">
        <w:rPr>
          <w:rFonts w:ascii="Arial Black" w:hAnsi="Arial Black"/>
          <w:caps/>
          <w:sz w:val="15"/>
          <w:lang w:val="es-419"/>
        </w:rPr>
        <w:t>INGLÉS</w:t>
      </w:r>
    </w:p>
    <w:bookmarkEnd w:id="0"/>
    <w:p w:rsidR="008B2CC1" w:rsidRPr="001B4AD3" w:rsidRDefault="00472A6E" w:rsidP="00472A6E">
      <w:pPr>
        <w:spacing w:after="1200"/>
        <w:jc w:val="right"/>
        <w:rPr>
          <w:lang w:val="es-419"/>
        </w:rPr>
      </w:pPr>
      <w:r w:rsidRPr="001B4AD3">
        <w:rPr>
          <w:rFonts w:ascii="Arial Black" w:hAnsi="Arial Black"/>
          <w:caps/>
          <w:sz w:val="15"/>
          <w:lang w:val="es-419"/>
        </w:rPr>
        <w:t xml:space="preserve">fecha: </w:t>
      </w:r>
      <w:bookmarkStart w:id="1" w:name="Date"/>
      <w:r w:rsidR="00F600B1" w:rsidRPr="001B4AD3">
        <w:rPr>
          <w:rFonts w:ascii="Arial Black" w:hAnsi="Arial Black"/>
          <w:caps/>
          <w:sz w:val="15"/>
          <w:lang w:val="es-419"/>
        </w:rPr>
        <w:t xml:space="preserve">31 </w:t>
      </w:r>
      <w:r w:rsidR="00A5142B" w:rsidRPr="001B4AD3">
        <w:rPr>
          <w:rFonts w:ascii="Arial Black" w:hAnsi="Arial Black"/>
          <w:caps/>
          <w:sz w:val="15"/>
          <w:lang w:val="es-419"/>
        </w:rPr>
        <w:t>DE AGOSTO DE 2021</w:t>
      </w:r>
    </w:p>
    <w:bookmarkEnd w:id="1"/>
    <w:p w:rsidR="00B67CDC" w:rsidRPr="001B4AD3" w:rsidRDefault="004F0049" w:rsidP="00472A6E">
      <w:pPr>
        <w:pStyle w:val="Heading1"/>
        <w:spacing w:before="0" w:after="480"/>
        <w:rPr>
          <w:sz w:val="28"/>
          <w:lang w:val="es-419"/>
        </w:rPr>
      </w:pPr>
      <w:r w:rsidRPr="001B4AD3">
        <w:rPr>
          <w:caps w:val="0"/>
          <w:sz w:val="28"/>
          <w:lang w:val="es-419"/>
        </w:rPr>
        <w:t>Comité Intergubernamental sobre Propiedad Intelectual y Recursos Genéticos, Conocimientos Tradicionales y Folclore</w:t>
      </w:r>
    </w:p>
    <w:p w:rsidR="005B2EAE" w:rsidRPr="001B4AD3" w:rsidRDefault="004F0049" w:rsidP="005B2EAE">
      <w:pPr>
        <w:outlineLvl w:val="1"/>
        <w:rPr>
          <w:b/>
          <w:sz w:val="24"/>
          <w:szCs w:val="24"/>
          <w:lang w:val="es-419"/>
        </w:rPr>
      </w:pPr>
      <w:r w:rsidRPr="001B4AD3">
        <w:rPr>
          <w:b/>
          <w:sz w:val="24"/>
          <w:szCs w:val="24"/>
          <w:lang w:val="es-419"/>
        </w:rPr>
        <w:t>Cuadragésima primera sesión</w:t>
      </w:r>
    </w:p>
    <w:p w:rsidR="00B67CDC" w:rsidRPr="001B4AD3" w:rsidRDefault="004F0049" w:rsidP="00472A6E">
      <w:pPr>
        <w:spacing w:after="720"/>
        <w:outlineLvl w:val="1"/>
        <w:rPr>
          <w:b/>
          <w:sz w:val="24"/>
          <w:szCs w:val="24"/>
          <w:lang w:val="es-419"/>
        </w:rPr>
      </w:pPr>
      <w:r w:rsidRPr="001B4AD3">
        <w:rPr>
          <w:b/>
          <w:sz w:val="24"/>
          <w:szCs w:val="24"/>
          <w:lang w:val="es-419"/>
        </w:rPr>
        <w:t xml:space="preserve">Ginebra, </w:t>
      </w:r>
      <w:r w:rsidR="00C93A3B" w:rsidRPr="001B4AD3">
        <w:rPr>
          <w:b/>
          <w:sz w:val="24"/>
          <w:szCs w:val="24"/>
          <w:lang w:val="es-419"/>
        </w:rPr>
        <w:t>30 de agosto</w:t>
      </w:r>
      <w:r w:rsidRPr="001B4AD3">
        <w:rPr>
          <w:b/>
          <w:sz w:val="24"/>
          <w:szCs w:val="24"/>
          <w:lang w:val="es-419"/>
        </w:rPr>
        <w:t xml:space="preserve"> a </w:t>
      </w:r>
      <w:r w:rsidR="00C93A3B" w:rsidRPr="001B4AD3">
        <w:rPr>
          <w:b/>
          <w:sz w:val="24"/>
          <w:szCs w:val="24"/>
          <w:lang w:val="es-419"/>
        </w:rPr>
        <w:t>3</w:t>
      </w:r>
      <w:r w:rsidRPr="001B4AD3">
        <w:rPr>
          <w:b/>
          <w:sz w:val="24"/>
          <w:szCs w:val="24"/>
          <w:lang w:val="es-419"/>
        </w:rPr>
        <w:t xml:space="preserve"> de </w:t>
      </w:r>
      <w:r w:rsidR="00C93A3B" w:rsidRPr="001B4AD3">
        <w:rPr>
          <w:b/>
          <w:sz w:val="24"/>
          <w:szCs w:val="24"/>
          <w:lang w:val="es-419"/>
        </w:rPr>
        <w:t>septiembre</w:t>
      </w:r>
      <w:r w:rsidRPr="001B4AD3">
        <w:rPr>
          <w:b/>
          <w:sz w:val="24"/>
          <w:szCs w:val="24"/>
          <w:lang w:val="es-419"/>
        </w:rPr>
        <w:t xml:space="preserve"> de 2021</w:t>
      </w:r>
    </w:p>
    <w:p w:rsidR="008B2CC1" w:rsidRPr="001B4AD3" w:rsidRDefault="00F600B1" w:rsidP="00472A6E">
      <w:pPr>
        <w:spacing w:after="360"/>
        <w:rPr>
          <w:caps/>
          <w:sz w:val="24"/>
          <w:lang w:val="es-419"/>
        </w:rPr>
      </w:pPr>
      <w:bookmarkStart w:id="2" w:name="TitleOfDoc"/>
      <w:r w:rsidRPr="001B4AD3">
        <w:rPr>
          <w:caps/>
          <w:sz w:val="24"/>
          <w:lang w:val="es-419"/>
        </w:rPr>
        <w:t>decisiones de la cuadragésima primera sesión del comité</w:t>
      </w:r>
    </w:p>
    <w:p w:rsidR="008B2CC1" w:rsidRPr="001B4AD3" w:rsidRDefault="00CF75A5" w:rsidP="00472A6E">
      <w:pPr>
        <w:spacing w:after="1040"/>
        <w:rPr>
          <w:i/>
          <w:lang w:val="es-419"/>
        </w:rPr>
      </w:pPr>
      <w:bookmarkStart w:id="3" w:name="Prepared"/>
      <w:bookmarkEnd w:id="2"/>
      <w:bookmarkEnd w:id="3"/>
      <w:r>
        <w:rPr>
          <w:i/>
          <w:lang w:val="es-419"/>
        </w:rPr>
        <w:t xml:space="preserve">Documento aprobado por el Comité </w:t>
      </w:r>
      <w:bookmarkStart w:id="4" w:name="_GoBack"/>
      <w:bookmarkEnd w:id="4"/>
    </w:p>
    <w:p w:rsidR="00CB78B3" w:rsidRPr="001B4AD3" w:rsidRDefault="00CB78B3" w:rsidP="00CB78B3">
      <w:pPr>
        <w:spacing w:after="1040"/>
        <w:rPr>
          <w:i/>
          <w:lang w:val="es-419"/>
        </w:rPr>
      </w:pPr>
      <w:r w:rsidRPr="001B4AD3">
        <w:rPr>
          <w:lang w:val="es-419"/>
        </w:rPr>
        <w:br w:type="page"/>
      </w:r>
    </w:p>
    <w:p w:rsidR="00F600B1" w:rsidRPr="001B4AD3" w:rsidRDefault="00F600B1" w:rsidP="00E45D7F">
      <w:pPr>
        <w:spacing w:after="240"/>
        <w:rPr>
          <w:lang w:val="es-419"/>
        </w:rPr>
      </w:pPr>
      <w:r w:rsidRPr="001B4AD3">
        <w:rPr>
          <w:lang w:val="es-419"/>
        </w:rPr>
        <w:lastRenderedPageBreak/>
        <w:t>DECISIÓN SOBRE EL PUNTO 2 DEL ORDEN DEL DÍA:</w:t>
      </w:r>
    </w:p>
    <w:p w:rsidR="00A5142B" w:rsidRPr="001B4AD3" w:rsidRDefault="00A5142B" w:rsidP="00E45D7F">
      <w:pPr>
        <w:spacing w:after="240"/>
        <w:rPr>
          <w:lang w:val="es-419"/>
        </w:rPr>
      </w:pPr>
      <w:r w:rsidRPr="001B4AD3">
        <w:rPr>
          <w:lang w:val="es-419"/>
        </w:rPr>
        <w:t>ELEC</w:t>
      </w:r>
      <w:r w:rsidR="00B41B9D" w:rsidRPr="001B4AD3">
        <w:rPr>
          <w:lang w:val="es-419"/>
        </w:rPr>
        <w:t>CIÓ</w:t>
      </w:r>
      <w:r w:rsidRPr="001B4AD3">
        <w:rPr>
          <w:lang w:val="es-419"/>
        </w:rPr>
        <w:t xml:space="preserve">N </w:t>
      </w:r>
      <w:r w:rsidR="00B41B9D" w:rsidRPr="001B4AD3">
        <w:rPr>
          <w:lang w:val="es-419"/>
        </w:rPr>
        <w:t>DE LA MESA</w:t>
      </w:r>
    </w:p>
    <w:p w:rsidR="00A5142B" w:rsidRPr="001B4AD3" w:rsidRDefault="00B41B9D" w:rsidP="00E45D7F">
      <w:pPr>
        <w:spacing w:after="480"/>
        <w:rPr>
          <w:lang w:val="es-419"/>
        </w:rPr>
      </w:pPr>
      <w:r w:rsidRPr="001B4AD3">
        <w:rPr>
          <w:lang w:val="es-419"/>
        </w:rPr>
        <w:t>A propuesta de la delegación de</w:t>
      </w:r>
      <w:r w:rsidR="00BA390E" w:rsidRPr="001B4AD3">
        <w:rPr>
          <w:lang w:val="es-419"/>
        </w:rPr>
        <w:t xml:space="preserve">l Reino Unido, en nombre del Grupo B, </w:t>
      </w:r>
      <w:r w:rsidR="00286543" w:rsidRPr="001B4AD3">
        <w:rPr>
          <w:lang w:val="es-419"/>
        </w:rPr>
        <w:t>secundada por</w:t>
      </w:r>
      <w:r w:rsidR="00BA390E" w:rsidRPr="001B4AD3">
        <w:rPr>
          <w:lang w:val="es-419"/>
        </w:rPr>
        <w:t xml:space="preserve"> la</w:t>
      </w:r>
      <w:r w:rsidR="00A5142B" w:rsidRPr="001B4AD3">
        <w:rPr>
          <w:lang w:val="es-419"/>
        </w:rPr>
        <w:t xml:space="preserve"> </w:t>
      </w:r>
      <w:r w:rsidR="00BA390E" w:rsidRPr="001B4AD3">
        <w:rPr>
          <w:lang w:val="es-419"/>
        </w:rPr>
        <w:t>delegación</w:t>
      </w:r>
      <w:r w:rsidRPr="001B4AD3">
        <w:rPr>
          <w:lang w:val="es-419"/>
        </w:rPr>
        <w:t xml:space="preserve"> de </w:t>
      </w:r>
      <w:r w:rsidR="00BA390E" w:rsidRPr="001B4AD3">
        <w:rPr>
          <w:lang w:val="es-419"/>
        </w:rPr>
        <w:t xml:space="preserve">Sudáfrica, en nombre del Grupo Africano, y la delegación del Paraguay, en nombre del </w:t>
      </w:r>
      <w:r w:rsidR="00B9106F" w:rsidRPr="001B4AD3">
        <w:rPr>
          <w:lang w:val="es-419"/>
        </w:rPr>
        <w:t>Grupo de Países de América Latina y el Caribe (</w:t>
      </w:r>
      <w:r w:rsidR="00BA390E" w:rsidRPr="001B4AD3">
        <w:rPr>
          <w:lang w:val="es-419"/>
        </w:rPr>
        <w:t>GRULAC</w:t>
      </w:r>
      <w:r w:rsidR="00B9106F" w:rsidRPr="001B4AD3">
        <w:rPr>
          <w:lang w:val="es-419"/>
        </w:rPr>
        <w:t>)</w:t>
      </w:r>
      <w:r w:rsidR="00A5142B" w:rsidRPr="001B4AD3">
        <w:rPr>
          <w:lang w:val="es-419"/>
        </w:rPr>
        <w:t xml:space="preserve">, </w:t>
      </w:r>
      <w:r w:rsidRPr="001B4AD3">
        <w:rPr>
          <w:lang w:val="es-419"/>
        </w:rPr>
        <w:t xml:space="preserve">el Comité eligió presidente </w:t>
      </w:r>
      <w:r w:rsidR="00BA390E" w:rsidRPr="001B4AD3">
        <w:rPr>
          <w:lang w:val="es-419"/>
        </w:rPr>
        <w:t xml:space="preserve">al Sr. Ian Goss, de Australia, y vicepresidentes a la Sra. Lilyclaire Bellamy, de Jamaica, al Sr. Jukka Liedes, de Finlandia, y al Sr. Yonah Seleti, de Sudáfrica, </w:t>
      </w:r>
      <w:r w:rsidRPr="001B4AD3">
        <w:rPr>
          <w:lang w:val="es-419"/>
        </w:rPr>
        <w:t>por unanimidad y aclamación</w:t>
      </w:r>
      <w:r w:rsidR="00A5142B" w:rsidRPr="001B4AD3">
        <w:rPr>
          <w:lang w:val="es-419"/>
        </w:rPr>
        <w:t xml:space="preserve">, </w:t>
      </w:r>
      <w:r w:rsidRPr="001B4AD3">
        <w:rPr>
          <w:lang w:val="es-419"/>
        </w:rPr>
        <w:t>para que desempeñe</w:t>
      </w:r>
      <w:r w:rsidR="00BA390E" w:rsidRPr="001B4AD3">
        <w:rPr>
          <w:lang w:val="es-419"/>
        </w:rPr>
        <w:t>n</w:t>
      </w:r>
      <w:r w:rsidRPr="001B4AD3">
        <w:rPr>
          <w:lang w:val="es-419"/>
        </w:rPr>
        <w:t xml:space="preserve"> esa función durante el bienio </w:t>
      </w:r>
      <w:r w:rsidR="00DD4B28" w:rsidRPr="001B4AD3">
        <w:rPr>
          <w:lang w:val="es-419"/>
        </w:rPr>
        <w:t>2020/</w:t>
      </w:r>
      <w:r w:rsidR="00BA390E" w:rsidRPr="001B4AD3">
        <w:rPr>
          <w:lang w:val="es-419"/>
        </w:rPr>
        <w:t>2021</w:t>
      </w:r>
      <w:r w:rsidR="00A5142B" w:rsidRPr="001B4AD3">
        <w:rPr>
          <w:lang w:val="es-419"/>
        </w:rPr>
        <w:t>.</w:t>
      </w:r>
    </w:p>
    <w:p w:rsidR="00A12CD1" w:rsidRPr="001B4AD3" w:rsidRDefault="00A12CD1" w:rsidP="00E45D7F">
      <w:pPr>
        <w:spacing w:after="240"/>
        <w:rPr>
          <w:lang w:val="es-419"/>
        </w:rPr>
      </w:pPr>
      <w:r w:rsidRPr="001B4AD3">
        <w:rPr>
          <w:lang w:val="es-419"/>
        </w:rPr>
        <w:t>DECISIÓN SOBRE EL PUNTO 3 DEL ORDEN DEL DÍA:</w:t>
      </w:r>
    </w:p>
    <w:p w:rsidR="00A5142B" w:rsidRPr="001B4AD3" w:rsidRDefault="00A5142B" w:rsidP="00E45D7F">
      <w:pPr>
        <w:spacing w:after="240"/>
        <w:rPr>
          <w:lang w:val="es-419"/>
        </w:rPr>
      </w:pPr>
      <w:r w:rsidRPr="001B4AD3">
        <w:rPr>
          <w:lang w:val="es-419"/>
        </w:rPr>
        <w:t>A</w:t>
      </w:r>
      <w:r w:rsidR="00D4047D" w:rsidRPr="001B4AD3">
        <w:rPr>
          <w:lang w:val="es-419"/>
        </w:rPr>
        <w:t>PROBACIÓN DEL ORDEN DEL DÍ</w:t>
      </w:r>
      <w:r w:rsidRPr="001B4AD3">
        <w:rPr>
          <w:lang w:val="es-419"/>
        </w:rPr>
        <w:t>A</w:t>
      </w:r>
    </w:p>
    <w:p w:rsidR="00A5142B" w:rsidRPr="001B4AD3" w:rsidRDefault="00B62C1F" w:rsidP="00E45D7F">
      <w:pPr>
        <w:spacing w:after="480"/>
        <w:rPr>
          <w:lang w:val="es-419"/>
        </w:rPr>
      </w:pPr>
      <w:r w:rsidRPr="001B4AD3">
        <w:rPr>
          <w:lang w:val="es-419"/>
        </w:rPr>
        <w:t>El presidente sometió a aprobación el proyecto de orden del día, distribuido con la signatura</w:t>
      </w:r>
      <w:r w:rsidR="00A5142B" w:rsidRPr="001B4AD3">
        <w:rPr>
          <w:lang w:val="es-419"/>
        </w:rPr>
        <w:t xml:space="preserve"> WIPO/GRTKF/IC/41/1 Prov.</w:t>
      </w:r>
      <w:r w:rsidR="00A12CD1" w:rsidRPr="001B4AD3">
        <w:rPr>
          <w:lang w:val="es-419"/>
        </w:rPr>
        <w:t>2</w:t>
      </w:r>
      <w:r w:rsidRPr="001B4AD3">
        <w:rPr>
          <w:lang w:val="es-419"/>
        </w:rPr>
        <w:t>, que fue aprobado.</w:t>
      </w:r>
    </w:p>
    <w:p w:rsidR="00A12CD1" w:rsidRPr="001B4AD3" w:rsidRDefault="00A12CD1" w:rsidP="00E45D7F">
      <w:pPr>
        <w:spacing w:after="240"/>
        <w:rPr>
          <w:lang w:val="es-419"/>
        </w:rPr>
      </w:pPr>
      <w:r w:rsidRPr="001B4AD3">
        <w:rPr>
          <w:lang w:val="es-419"/>
        </w:rPr>
        <w:t>DECISIÓN SOBRE EL PUNTO 4 DEL ORDEN DEL DÍA:</w:t>
      </w:r>
    </w:p>
    <w:p w:rsidR="00A5142B" w:rsidRPr="001B4AD3" w:rsidRDefault="00A5142B" w:rsidP="00E45D7F">
      <w:pPr>
        <w:spacing w:after="240"/>
        <w:rPr>
          <w:lang w:val="es-419"/>
        </w:rPr>
      </w:pPr>
      <w:r w:rsidRPr="001B4AD3">
        <w:rPr>
          <w:lang w:val="es-419"/>
        </w:rPr>
        <w:t>A</w:t>
      </w:r>
      <w:r w:rsidR="00DB3185" w:rsidRPr="001B4AD3">
        <w:rPr>
          <w:lang w:val="es-419"/>
        </w:rPr>
        <w:t xml:space="preserve">PROBACIÓN DEL </w:t>
      </w:r>
      <w:r w:rsidR="005F10D5" w:rsidRPr="001B4AD3">
        <w:rPr>
          <w:lang w:val="es-419"/>
        </w:rPr>
        <w:t>INFORME</w:t>
      </w:r>
      <w:r w:rsidR="00DB3185" w:rsidRPr="001B4AD3">
        <w:rPr>
          <w:lang w:val="es-419"/>
        </w:rPr>
        <w:t xml:space="preserve"> DE LA 40.ª SESIÓ</w:t>
      </w:r>
      <w:r w:rsidRPr="001B4AD3">
        <w:rPr>
          <w:lang w:val="es-419"/>
        </w:rPr>
        <w:t>N</w:t>
      </w:r>
    </w:p>
    <w:p w:rsidR="00A5142B" w:rsidRPr="001B4AD3" w:rsidRDefault="005F10D5" w:rsidP="00E45D7F">
      <w:pPr>
        <w:spacing w:after="480"/>
        <w:rPr>
          <w:lang w:val="es-419"/>
        </w:rPr>
      </w:pPr>
      <w:r w:rsidRPr="001B4AD3">
        <w:rPr>
          <w:lang w:val="es-419"/>
        </w:rPr>
        <w:t xml:space="preserve">El presidente sometió a aprobación el proyecto de informe de la </w:t>
      </w:r>
      <w:r w:rsidR="006F2924" w:rsidRPr="001B4AD3">
        <w:rPr>
          <w:lang w:val="es-419"/>
        </w:rPr>
        <w:t>40.ª</w:t>
      </w:r>
      <w:r w:rsidRPr="001B4AD3">
        <w:rPr>
          <w:lang w:val="es-419"/>
        </w:rPr>
        <w:t xml:space="preserve"> sesión del Comité </w:t>
      </w:r>
      <w:r w:rsidR="00A5142B" w:rsidRPr="001B4AD3">
        <w:rPr>
          <w:lang w:val="es-419"/>
        </w:rPr>
        <w:t>(WIPO/GRTKF/IC/40/20 Prov. 2</w:t>
      </w:r>
      <w:r w:rsidR="00BC3C79" w:rsidRPr="001B4AD3">
        <w:rPr>
          <w:lang w:val="es-419"/>
        </w:rPr>
        <w:t>),</w:t>
      </w:r>
      <w:r w:rsidRPr="001B4AD3">
        <w:rPr>
          <w:lang w:val="es-419"/>
        </w:rPr>
        <w:t xml:space="preserve"> que fue aprobado</w:t>
      </w:r>
      <w:r w:rsidR="00A5142B" w:rsidRPr="001B4AD3">
        <w:rPr>
          <w:lang w:val="es-419"/>
        </w:rPr>
        <w:t>.</w:t>
      </w:r>
    </w:p>
    <w:p w:rsidR="00A12CD1" w:rsidRPr="001B4AD3" w:rsidRDefault="00A12CD1" w:rsidP="00E45D7F">
      <w:pPr>
        <w:spacing w:after="240"/>
        <w:rPr>
          <w:lang w:val="es-419"/>
        </w:rPr>
      </w:pPr>
      <w:r w:rsidRPr="001B4AD3">
        <w:rPr>
          <w:lang w:val="es-419"/>
        </w:rPr>
        <w:t>DECISIÓN SOBRE EL PUNTO 5 DEL ORDEN DEL DÍA:</w:t>
      </w:r>
    </w:p>
    <w:p w:rsidR="00A5142B" w:rsidRPr="001B4AD3" w:rsidRDefault="00A5142B" w:rsidP="00E45D7F">
      <w:pPr>
        <w:spacing w:after="240"/>
        <w:rPr>
          <w:lang w:val="es-419"/>
        </w:rPr>
      </w:pPr>
      <w:r w:rsidRPr="001B4AD3">
        <w:rPr>
          <w:lang w:val="es-419"/>
        </w:rPr>
        <w:t>AC</w:t>
      </w:r>
      <w:r w:rsidR="004771F9" w:rsidRPr="001B4AD3">
        <w:rPr>
          <w:lang w:val="es-419"/>
        </w:rPr>
        <w:t>REDITACIÓN DE DETERMINADAS ORGANIZACIONES</w:t>
      </w:r>
    </w:p>
    <w:p w:rsidR="00B9106F" w:rsidRPr="001B4AD3" w:rsidRDefault="00233135" w:rsidP="00B9106F">
      <w:pPr>
        <w:rPr>
          <w:lang w:val="es-419"/>
        </w:rPr>
      </w:pPr>
      <w:r w:rsidRPr="001B4AD3">
        <w:rPr>
          <w:lang w:val="es-419"/>
        </w:rPr>
        <w:t xml:space="preserve">El Comité aprobó por unanimidad la acreditación, en calidad de observadores </w:t>
      </w:r>
      <w:r w:rsidRPr="001B4AD3">
        <w:rPr>
          <w:i/>
          <w:lang w:val="es-419"/>
        </w:rPr>
        <w:t>ad hoc</w:t>
      </w:r>
      <w:r w:rsidRPr="001B4AD3">
        <w:rPr>
          <w:lang w:val="es-419"/>
        </w:rPr>
        <w:t>, de</w:t>
      </w:r>
      <w:r w:rsidR="004807E2" w:rsidRPr="001B4AD3">
        <w:rPr>
          <w:lang w:val="es-419"/>
        </w:rPr>
        <w:t xml:space="preserve"> las siguientes organizaciones</w:t>
      </w:r>
      <w:r w:rsidR="00A12CD1" w:rsidRPr="001B4AD3">
        <w:rPr>
          <w:lang w:val="es-419"/>
        </w:rPr>
        <w:t xml:space="preserve">: </w:t>
      </w:r>
      <w:r w:rsidR="00A12CD1" w:rsidRPr="001B4AD3">
        <w:rPr>
          <w:i/>
          <w:lang w:val="es-419"/>
        </w:rPr>
        <w:t>Association pour le Devenir des Autochtones et de leur Connaissance Originelle</w:t>
      </w:r>
      <w:r w:rsidR="00A12CD1" w:rsidRPr="001B4AD3">
        <w:rPr>
          <w:lang w:val="es-419"/>
        </w:rPr>
        <w:t xml:space="preserve"> (ADACO), </w:t>
      </w:r>
      <w:r w:rsidR="00A12CD1" w:rsidRPr="001B4AD3">
        <w:rPr>
          <w:i/>
          <w:lang w:val="es-419"/>
        </w:rPr>
        <w:t>Association pour la Valorisation du Patrimoine Culturel des Communes du Cameroun</w:t>
      </w:r>
      <w:r w:rsidR="00A12CD1" w:rsidRPr="001B4AD3">
        <w:rPr>
          <w:lang w:val="es-419"/>
        </w:rPr>
        <w:t xml:space="preserve"> (AVP3C), </w:t>
      </w:r>
      <w:r w:rsidR="00A12CD1" w:rsidRPr="001B4AD3">
        <w:rPr>
          <w:i/>
          <w:lang w:val="es-419"/>
        </w:rPr>
        <w:t>Conseil pour la Terre des Ancêtres</w:t>
      </w:r>
      <w:r w:rsidR="00A12CD1" w:rsidRPr="001B4AD3">
        <w:rPr>
          <w:lang w:val="es-419"/>
        </w:rPr>
        <w:t xml:space="preserve"> (CTA), </w:t>
      </w:r>
      <w:r w:rsidR="00A12CD1" w:rsidRPr="001B4AD3">
        <w:rPr>
          <w:i/>
          <w:lang w:val="es-419"/>
        </w:rPr>
        <w:t>Fundación Shiwiar Sin Fronteras</w:t>
      </w:r>
      <w:r w:rsidR="00A12CD1" w:rsidRPr="001B4AD3">
        <w:rPr>
          <w:lang w:val="es-419"/>
        </w:rPr>
        <w:t xml:space="preserve"> (FUNSSIF), Kosodum Welfare Private Limited, y </w:t>
      </w:r>
      <w:r w:rsidR="00A12CD1" w:rsidRPr="001B4AD3">
        <w:rPr>
          <w:i/>
          <w:lang w:val="es-419"/>
        </w:rPr>
        <w:t>Voie éclairée des Enfants Démunis</w:t>
      </w:r>
      <w:r w:rsidR="00A12CD1" w:rsidRPr="001B4AD3">
        <w:rPr>
          <w:lang w:val="es-419"/>
        </w:rPr>
        <w:t xml:space="preserve"> (VED).</w:t>
      </w:r>
    </w:p>
    <w:p w:rsidR="00B9106F" w:rsidRPr="001B4AD3" w:rsidRDefault="00B9106F" w:rsidP="00B9106F">
      <w:pPr>
        <w:rPr>
          <w:lang w:val="es-419"/>
        </w:rPr>
      </w:pPr>
    </w:p>
    <w:p w:rsidR="00B9106F" w:rsidRPr="00CF75A5" w:rsidRDefault="00B9106F" w:rsidP="00E45D7F">
      <w:pPr>
        <w:spacing w:after="480"/>
        <w:rPr>
          <w:lang w:val="fr-CH"/>
        </w:rPr>
      </w:pPr>
      <w:r w:rsidRPr="00CF75A5">
        <w:rPr>
          <w:lang w:val="fr-CH"/>
        </w:rPr>
        <w:t xml:space="preserve">El examen de la acreditación de la </w:t>
      </w:r>
      <w:r w:rsidRPr="00CF75A5">
        <w:rPr>
          <w:i/>
          <w:lang w:val="fr-CH"/>
        </w:rPr>
        <w:t>Association pour les peuples autochtones et les minorités pour les peuples du monde</w:t>
      </w:r>
      <w:r w:rsidRPr="00CF75A5">
        <w:rPr>
          <w:lang w:val="fr-CH"/>
        </w:rPr>
        <w:t xml:space="preserve"> (APPAM) se aplazó hasta la siguiente sesión del Comité.</w:t>
      </w:r>
    </w:p>
    <w:p w:rsidR="00A12CD1" w:rsidRPr="001B4AD3" w:rsidRDefault="00A12CD1" w:rsidP="00E45D7F">
      <w:pPr>
        <w:spacing w:after="240"/>
        <w:rPr>
          <w:lang w:val="es-419"/>
        </w:rPr>
      </w:pPr>
      <w:r w:rsidRPr="001B4AD3">
        <w:rPr>
          <w:lang w:val="es-419"/>
        </w:rPr>
        <w:t>DECISIÓN SOBRE EL PUNTO 6 DEL ORDEN DEL DÍA:</w:t>
      </w:r>
    </w:p>
    <w:p w:rsidR="00A5142B" w:rsidRPr="001B4AD3" w:rsidRDefault="00C47DD7" w:rsidP="00E45D7F">
      <w:pPr>
        <w:spacing w:after="240"/>
        <w:rPr>
          <w:lang w:val="es-419"/>
        </w:rPr>
      </w:pPr>
      <w:r w:rsidRPr="001B4AD3">
        <w:rPr>
          <w:lang w:val="es-419"/>
        </w:rPr>
        <w:t>PARTICIPACIÓN DE LOS PUEBLOS INDÍGENAS Y LAS COMUNIDADES LOCALES</w:t>
      </w:r>
    </w:p>
    <w:p w:rsidR="00A5142B" w:rsidRPr="001B4AD3" w:rsidRDefault="007839BD" w:rsidP="00E45D7F">
      <w:pPr>
        <w:spacing w:after="240"/>
        <w:rPr>
          <w:lang w:val="es-419"/>
        </w:rPr>
      </w:pPr>
      <w:r w:rsidRPr="001B4AD3">
        <w:rPr>
          <w:lang w:val="es-419"/>
        </w:rPr>
        <w:t>El Comité tomó nota de los documentos</w:t>
      </w:r>
      <w:r w:rsidR="00A5142B" w:rsidRPr="001B4AD3">
        <w:rPr>
          <w:lang w:val="es-419"/>
        </w:rPr>
        <w:t xml:space="preserve"> WIPO/GRTKF/IC/41/3 </w:t>
      </w:r>
      <w:r w:rsidRPr="001B4AD3">
        <w:rPr>
          <w:lang w:val="es-419"/>
        </w:rPr>
        <w:t>y WIPO/GRTKF/IC/41/INF/4.</w:t>
      </w:r>
    </w:p>
    <w:p w:rsidR="00A5142B" w:rsidRPr="001B4AD3" w:rsidRDefault="006E69FD" w:rsidP="00E45D7F">
      <w:pPr>
        <w:spacing w:after="240"/>
        <w:rPr>
          <w:lang w:val="es-419"/>
        </w:rPr>
      </w:pPr>
      <w:r w:rsidRPr="001B4AD3">
        <w:rPr>
          <w:lang w:val="es-419"/>
        </w:rPr>
        <w:t>El Comité instó encarecidamente a los miembros del Comité y a todas las entidades públicas y privadas interesadas a que contribuyan al Fondo de la OMPI de Contribuciones Voluntarias para las Comunidades Indígenas y Locales Acreditadas.</w:t>
      </w:r>
    </w:p>
    <w:p w:rsidR="00A5142B" w:rsidRPr="001B4AD3" w:rsidRDefault="00DC517B" w:rsidP="00E45D7F">
      <w:pPr>
        <w:spacing w:after="480"/>
        <w:rPr>
          <w:lang w:val="es-419"/>
        </w:rPr>
      </w:pPr>
      <w:r w:rsidRPr="001B4AD3">
        <w:rPr>
          <w:lang w:val="es-419"/>
        </w:rPr>
        <w:t xml:space="preserve">Tras recordar las decisiones adoptadas en </w:t>
      </w:r>
      <w:r w:rsidR="0084105C" w:rsidRPr="001B4AD3">
        <w:rPr>
          <w:lang w:val="es-419"/>
        </w:rPr>
        <w:t>la Asamblea General de la OMPI de 2019</w:t>
      </w:r>
      <w:r w:rsidRPr="001B4AD3">
        <w:rPr>
          <w:lang w:val="es-419"/>
        </w:rPr>
        <w:t>, el Comité instó asimismo a sus miembros a que consideren otras modalidades de financiación.</w:t>
      </w:r>
    </w:p>
    <w:p w:rsidR="00A12CD1" w:rsidRPr="001B4AD3" w:rsidRDefault="00A12CD1" w:rsidP="00E45D7F">
      <w:pPr>
        <w:keepNext/>
        <w:keepLines/>
        <w:spacing w:after="240"/>
        <w:rPr>
          <w:lang w:val="es-419"/>
        </w:rPr>
      </w:pPr>
      <w:r w:rsidRPr="001B4AD3">
        <w:rPr>
          <w:lang w:val="es-419"/>
        </w:rPr>
        <w:lastRenderedPageBreak/>
        <w:t>DECISIÓN SOBRE EL PUNTO 7 DEL ORDEN DEL DÍA:</w:t>
      </w:r>
    </w:p>
    <w:p w:rsidR="00A5142B" w:rsidRPr="001B4AD3" w:rsidRDefault="00C341F3" w:rsidP="00E45D7F">
      <w:pPr>
        <w:spacing w:after="240"/>
        <w:rPr>
          <w:lang w:val="es-419"/>
        </w:rPr>
      </w:pPr>
      <w:r w:rsidRPr="001B4AD3">
        <w:rPr>
          <w:lang w:val="es-419"/>
        </w:rPr>
        <w:t>FORMULACIÓN DE UNA RECOMENDACIÓN A LA ASAMBLEA GENERAL</w:t>
      </w:r>
    </w:p>
    <w:p w:rsidR="00A5142B" w:rsidRPr="001B4AD3" w:rsidRDefault="00C4287D" w:rsidP="00E45D7F">
      <w:pPr>
        <w:spacing w:after="240"/>
        <w:rPr>
          <w:lang w:val="es-419"/>
        </w:rPr>
      </w:pPr>
      <w:r w:rsidRPr="001B4AD3">
        <w:rPr>
          <w:lang w:val="es-419"/>
        </w:rPr>
        <w:t>El Comité convino en recomendar a la</w:t>
      </w:r>
      <w:r w:rsidR="004F5588" w:rsidRPr="001B4AD3">
        <w:rPr>
          <w:lang w:val="es-419"/>
        </w:rPr>
        <w:t xml:space="preserve"> Asamblea General de la OMPI de </w:t>
      </w:r>
      <w:r w:rsidRPr="001B4AD3">
        <w:rPr>
          <w:lang w:val="es-419"/>
        </w:rPr>
        <w:t>2021 que se renueve para el bienio 2022/2023 el mandato del Comité. Convino asimismo en recomendar a la Asamblea General de 2021 que los términos del mandat</w:t>
      </w:r>
      <w:r w:rsidR="00E45D7F" w:rsidRPr="001B4AD3">
        <w:rPr>
          <w:lang w:val="es-419"/>
        </w:rPr>
        <w:t>o y el programa de trabajo para </w:t>
      </w:r>
      <w:r w:rsidRPr="001B4AD3">
        <w:rPr>
          <w:lang w:val="es-419"/>
        </w:rPr>
        <w:t>2022/2023 sean los siguientes:</w:t>
      </w:r>
    </w:p>
    <w:p w:rsidR="00A5142B" w:rsidRPr="001B4AD3" w:rsidRDefault="00942673" w:rsidP="00CB78B3">
      <w:pPr>
        <w:spacing w:after="161"/>
        <w:rPr>
          <w:lang w:val="es-419"/>
        </w:rPr>
      </w:pPr>
      <w:r w:rsidRPr="001B4AD3">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A5142B" w:rsidRPr="001B4AD3" w:rsidRDefault="00F15FA2" w:rsidP="00E45D7F">
      <w:pPr>
        <w:numPr>
          <w:ilvl w:val="0"/>
          <w:numId w:val="7"/>
        </w:numPr>
        <w:spacing w:after="240" w:line="261" w:lineRule="auto"/>
        <w:ind w:left="1134" w:hanging="567"/>
        <w:rPr>
          <w:lang w:val="es-419"/>
        </w:rPr>
      </w:pPr>
      <w:r w:rsidRPr="001B4AD3">
        <w:rPr>
          <w:lang w:val="es-419"/>
        </w:rPr>
        <w:t>En el próximo ejercicio presupuestario de 2022/</w:t>
      </w:r>
      <w:r w:rsidR="00E12621" w:rsidRPr="001B4AD3">
        <w:rPr>
          <w:lang w:val="es-419"/>
        </w:rPr>
        <w:t>20</w:t>
      </w:r>
      <w:r w:rsidRPr="001B4AD3">
        <w:rPr>
          <w:lang w:val="es-419"/>
        </w:rPr>
        <w:t>23, el Comité seguirá agilizando su labor con objeto de concluir un acuerdo sobre uno o varios instrumentos jurídicos internacionales, sin prejuzgar la naturaleza del resultado o resultados, en relación con la propiedad intelectual</w:t>
      </w:r>
      <w:r w:rsidR="00BE7A02" w:rsidRPr="001B4AD3">
        <w:rPr>
          <w:lang w:val="es-419"/>
        </w:rPr>
        <w:t>,</w:t>
      </w:r>
      <w:r w:rsidRPr="001B4AD3">
        <w:rPr>
          <w:lang w:val="es-419"/>
        </w:rPr>
        <w:t xml:space="preserve"> que aseguren la protección eficaz y equilibrada de los recursos genéticos (RR.GG.), los conocimientos tradicionales (CC.TT.) y las expresiones culturales tradicionales (ECT).</w:t>
      </w:r>
    </w:p>
    <w:p w:rsidR="00A5142B" w:rsidRPr="001B4AD3" w:rsidRDefault="00E12621" w:rsidP="00E45D7F">
      <w:pPr>
        <w:numPr>
          <w:ilvl w:val="0"/>
          <w:numId w:val="7"/>
        </w:numPr>
        <w:spacing w:after="240" w:line="262" w:lineRule="auto"/>
        <w:ind w:left="1134" w:hanging="567"/>
        <w:rPr>
          <w:lang w:val="es-419"/>
        </w:rPr>
      </w:pPr>
      <w:r w:rsidRPr="001B4AD3">
        <w:rPr>
          <w:lang w:val="es-419"/>
        </w:rPr>
        <w:t>En el bienio 2022/2023,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1B4AD3">
        <w:rPr>
          <w:rStyle w:val="FootnoteReference"/>
          <w:lang w:val="es-419"/>
        </w:rPr>
        <w:footnoteReference w:id="2"/>
      </w:r>
    </w:p>
    <w:p w:rsidR="00A5142B" w:rsidRPr="001B4AD3" w:rsidRDefault="00E12621" w:rsidP="00E45D7F">
      <w:pPr>
        <w:numPr>
          <w:ilvl w:val="0"/>
          <w:numId w:val="7"/>
        </w:numPr>
        <w:spacing w:after="240" w:line="261" w:lineRule="auto"/>
        <w:ind w:left="1134" w:hanging="567"/>
        <w:rPr>
          <w:lang w:val="es-419"/>
        </w:rPr>
      </w:pPr>
      <w:r w:rsidRPr="001B4AD3">
        <w:rPr>
          <w:lang w:val="es-419"/>
        </w:rPr>
        <w:t>Como consta en el cuadro que figura más adelante, en el bienio 2022/2023, el Comité se atendrá a un programa de trabajo basado en métodos de trabajo abiertos e incluyentes, con inclusión del enfoque empírico que se establece en el apartado d). En dicho programa de trabajo se pr</w:t>
      </w:r>
      <w:r w:rsidR="00E45D7F" w:rsidRPr="001B4AD3">
        <w:rPr>
          <w:lang w:val="es-419"/>
        </w:rPr>
        <w:t>everán 6 sesiones del Comité en </w:t>
      </w:r>
      <w:r w:rsidRPr="001B4AD3">
        <w:rPr>
          <w:lang w:val="es-419"/>
        </w:rPr>
        <w:t xml:space="preserve">2022/2023, incluidas sesiones temáticas, generales y de evaluación. El Comité podrá establecer uno o varios grupos </w:t>
      </w:r>
      <w:r w:rsidRPr="001B4AD3">
        <w:rPr>
          <w:i/>
          <w:lang w:val="es-419"/>
        </w:rPr>
        <w:t xml:space="preserve">ad hoc </w:t>
      </w:r>
      <w:r w:rsidRPr="001B4AD3">
        <w:rPr>
          <w:lang w:val="es-419"/>
        </w:rPr>
        <w:t>de especialistas a fin de abordar una cuestión jurídica, normativa o técnica específica.</w:t>
      </w:r>
      <w:r w:rsidRPr="001B4AD3">
        <w:rPr>
          <w:rStyle w:val="FootnoteReference"/>
          <w:lang w:val="es-419"/>
        </w:rPr>
        <w:footnoteReference w:id="3"/>
      </w:r>
      <w:r w:rsidRPr="001B4AD3">
        <w:rPr>
          <w:lang w:val="es-419"/>
        </w:rPr>
        <w:t xml:space="preserve"> Los resultados de la labor de esos grupos serán sometidos a examen del Comité.</w:t>
      </w:r>
    </w:p>
    <w:p w:rsidR="00A5142B" w:rsidRPr="001B4AD3" w:rsidRDefault="00B43126" w:rsidP="00E45D7F">
      <w:pPr>
        <w:numPr>
          <w:ilvl w:val="0"/>
          <w:numId w:val="7"/>
        </w:numPr>
        <w:spacing w:after="240" w:line="261" w:lineRule="auto"/>
        <w:ind w:left="1134" w:hanging="567"/>
        <w:rPr>
          <w:lang w:val="es-419"/>
        </w:rPr>
      </w:pPr>
      <w:r w:rsidRPr="001B4AD3">
        <w:rPr>
          <w:lang w:val="es-419"/>
        </w:rPr>
        <w:t>El Comité hará uso de todos los documentos de trabajo de la OMPI, incluidos los documentos WIPO/GRTK</w:t>
      </w:r>
      <w:r w:rsidR="00084EB3" w:rsidRPr="001B4AD3">
        <w:rPr>
          <w:lang w:val="es-419"/>
        </w:rPr>
        <w:t>F/IC/40/6, WIPO/GRTKF/IC/40/18, WIPO/GRTKF/IC/40/19</w:t>
      </w:r>
      <w:r w:rsidRPr="001B4AD3">
        <w:rPr>
          <w:lang w:val="es-419"/>
        </w:rPr>
        <w:t xml:space="preserve"> y el texto del presidente sobre </w:t>
      </w:r>
      <w:r w:rsidR="00D87F2B" w:rsidRPr="001B4AD3">
        <w:rPr>
          <w:lang w:val="es-419"/>
        </w:rPr>
        <w:t>un</w:t>
      </w:r>
      <w:r w:rsidRPr="001B4AD3">
        <w:rPr>
          <w:lang w:val="es-419"/>
        </w:rPr>
        <w:t xml:space="preserve"> </w:t>
      </w:r>
      <w:r w:rsidRPr="001B4AD3">
        <w:rPr>
          <w:i/>
          <w:lang w:val="es-419"/>
        </w:rPr>
        <w:t>Proyecto de Instrumento jurídico internacional relativo a la propiedad intelectual, los recursos genéticos y los conocimientos tradicionales asociados a los recursos genéticos</w:t>
      </w:r>
      <w:r w:rsidRPr="001B4AD3">
        <w:rPr>
          <w:lang w:val="es-419"/>
        </w:rPr>
        <w:t xml:space="preserve">,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w:t>
      </w:r>
      <w:r w:rsidRPr="001B4AD3">
        <w:rPr>
          <w:lang w:val="es-419"/>
        </w:rPr>
        <w:lastRenderedPageBreak/>
        <w:t>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w:t>
      </w:r>
      <w:r w:rsidR="00276B14" w:rsidRPr="001B4AD3">
        <w:rPr>
          <w:lang w:val="es-419"/>
        </w:rPr>
        <w:t>iras a determinar las carencias</w:t>
      </w:r>
      <w:r w:rsidR="009F7FE0" w:rsidRPr="001B4AD3">
        <w:rPr>
          <w:lang w:val="es-419"/>
        </w:rPr>
        <w:t xml:space="preserve"> y</w:t>
      </w:r>
      <w:r w:rsidRPr="001B4AD3">
        <w:rPr>
          <w:lang w:val="es-419"/>
        </w:rPr>
        <w:t xml:space="preserve"> </w:t>
      </w:r>
      <w:r w:rsidR="00276B14" w:rsidRPr="001B4AD3">
        <w:rPr>
          <w:lang w:val="es-419"/>
        </w:rPr>
        <w:t>seguir</w:t>
      </w:r>
      <w:r w:rsidRPr="001B4AD3">
        <w:rPr>
          <w:lang w:val="es-419"/>
        </w:rPr>
        <w:t xml:space="preserve">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rsidR="00A5142B" w:rsidRPr="001B4AD3" w:rsidRDefault="00326B1E" w:rsidP="00E45D7F">
      <w:pPr>
        <w:numPr>
          <w:ilvl w:val="0"/>
          <w:numId w:val="7"/>
        </w:numPr>
        <w:spacing w:after="240" w:line="261" w:lineRule="auto"/>
        <w:ind w:left="1134" w:hanging="567"/>
        <w:rPr>
          <w:lang w:val="es-419"/>
        </w:rPr>
      </w:pPr>
      <w:r w:rsidRPr="001B4AD3">
        <w:rPr>
          <w:lang w:val="es-419"/>
        </w:rPr>
        <w:t>En 2022, el Comité deberá presentar a la Asamblea General de la OMPI un informe fáctico junto con los textos más recientes que haya sobre la labor emprendida hasta esa f</w:t>
      </w:r>
      <w:r w:rsidR="0009159A" w:rsidRPr="001B4AD3">
        <w:rPr>
          <w:lang w:val="es-419"/>
        </w:rPr>
        <w:t>echa, con recomendaciones, y en </w:t>
      </w:r>
      <w:r w:rsidRPr="001B4AD3">
        <w:rPr>
          <w:lang w:val="es-419"/>
        </w:rPr>
        <w:t>2023, se le pide que presente a la Asamblea General de la OMPI los resultados de su labor conforme al objetivo reflejado en el apartado a). En 202</w:t>
      </w:r>
      <w:r w:rsidR="00057F8D" w:rsidRPr="001B4AD3">
        <w:rPr>
          <w:lang w:val="es-419"/>
        </w:rPr>
        <w:t>3</w:t>
      </w:r>
      <w:r w:rsidRPr="001B4AD3">
        <w:rPr>
          <w:lang w:val="es-419"/>
        </w:rPr>
        <w:t xml:space="preserve">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A5142B" w:rsidRPr="001B4AD3" w:rsidRDefault="00057F8D" w:rsidP="00E45D7F">
      <w:pPr>
        <w:numPr>
          <w:ilvl w:val="0"/>
          <w:numId w:val="7"/>
        </w:numPr>
        <w:spacing w:after="480"/>
        <w:ind w:left="1134" w:hanging="567"/>
        <w:rPr>
          <w:lang w:val="es-419"/>
        </w:rPr>
      </w:pPr>
      <w:r w:rsidRPr="001B4AD3">
        <w:rPr>
          <w:lang w:val="es-419"/>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rsidR="00A5142B" w:rsidRPr="001B4AD3" w:rsidRDefault="00617C9A" w:rsidP="00E45D7F">
      <w:pPr>
        <w:pStyle w:val="Heading1"/>
        <w:tabs>
          <w:tab w:val="right" w:pos="9355"/>
        </w:tabs>
        <w:spacing w:after="120"/>
        <w:rPr>
          <w:lang w:val="es-419"/>
        </w:rPr>
      </w:pPr>
      <w:r w:rsidRPr="001B4AD3">
        <w:rPr>
          <w:lang w:val="es-419"/>
        </w:rPr>
        <w:t>programa de trabajo</w:t>
      </w:r>
      <w:r w:rsidR="00A5142B" w:rsidRPr="001B4AD3">
        <w:rPr>
          <w:lang w:val="es-419"/>
        </w:rPr>
        <w:t xml:space="preserve"> – 6 Sesion</w:t>
      </w:r>
      <w:r w:rsidRPr="001B4AD3">
        <w:rPr>
          <w:lang w:val="es-419"/>
        </w:rPr>
        <w:t>e</w:t>
      </w:r>
      <w:r w:rsidR="00A5142B" w:rsidRPr="001B4AD3">
        <w:rPr>
          <w:lang w:val="es-419"/>
        </w:rPr>
        <w:t>s</w:t>
      </w:r>
    </w:p>
    <w:tbl>
      <w:tblPr>
        <w:tblStyle w:val="TableGrid"/>
        <w:tblW w:w="9387" w:type="dxa"/>
        <w:tblInd w:w="-32" w:type="dxa"/>
        <w:tblCellMar>
          <w:top w:w="8" w:type="dxa"/>
          <w:left w:w="108" w:type="dxa"/>
          <w:right w:w="82" w:type="dxa"/>
        </w:tblCellMar>
        <w:tblLook w:val="04A0" w:firstRow="1" w:lastRow="0" w:firstColumn="1" w:lastColumn="0" w:noHBand="0" w:noVBand="1"/>
      </w:tblPr>
      <w:tblGrid>
        <w:gridCol w:w="2281"/>
        <w:gridCol w:w="7106"/>
      </w:tblGrid>
      <w:tr w:rsidR="00E40C05" w:rsidRPr="001B4AD3" w:rsidTr="0042090A">
        <w:trPr>
          <w:trHeight w:val="391"/>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keepNext/>
              <w:rPr>
                <w:b/>
                <w:lang w:val="es-419"/>
              </w:rPr>
            </w:pPr>
            <w:r w:rsidRPr="001B4AD3">
              <w:rPr>
                <w:b/>
                <w:lang w:val="es-419"/>
              </w:rPr>
              <w:t>Fechas indicativas</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keepNext/>
              <w:rPr>
                <w:b/>
                <w:lang w:val="es-419"/>
              </w:rPr>
            </w:pPr>
            <w:r w:rsidRPr="001B4AD3">
              <w:rPr>
                <w:b/>
                <w:lang w:val="es-419"/>
              </w:rPr>
              <w:t>Actividades</w:t>
            </w:r>
          </w:p>
        </w:tc>
      </w:tr>
      <w:tr w:rsidR="00E40C05" w:rsidRPr="001B4AD3" w:rsidTr="0042090A">
        <w:trPr>
          <w:trHeight w:val="1350"/>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keepNext/>
              <w:rPr>
                <w:lang w:val="es-419"/>
              </w:rPr>
            </w:pPr>
            <w:r w:rsidRPr="001B4AD3">
              <w:rPr>
                <w:lang w:val="es-419"/>
              </w:rPr>
              <w:t>Febrero/marzo de 2022</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keepNext/>
              <w:rPr>
                <w:lang w:val="es-419"/>
              </w:rPr>
            </w:pPr>
            <w:r w:rsidRPr="001B4AD3">
              <w:rPr>
                <w:lang w:val="es-419"/>
              </w:rPr>
              <w:t>(42.ª sesión del CIG)</w:t>
            </w:r>
          </w:p>
          <w:p w:rsidR="00E40C05" w:rsidRPr="001B4AD3" w:rsidRDefault="00E40C05" w:rsidP="00E40C05">
            <w:pPr>
              <w:keepNext/>
              <w:rPr>
                <w:lang w:val="es-419"/>
              </w:rPr>
            </w:pPr>
            <w:r w:rsidRPr="001B4AD3">
              <w:rPr>
                <w:lang w:val="es-419"/>
              </w:rPr>
              <w:t>Emprender negociaciones sobre los RR.GG. centrándose en el examen de las cuestiones no resueltas y la consideración de distintas opciones relativas a un proyecto de instrumento jurídico.</w:t>
            </w:r>
          </w:p>
          <w:p w:rsidR="00E40C05" w:rsidRPr="001B4AD3" w:rsidRDefault="00E40C05" w:rsidP="00E40C05">
            <w:pPr>
              <w:keepNext/>
              <w:rPr>
                <w:lang w:val="es-419"/>
              </w:rPr>
            </w:pPr>
          </w:p>
          <w:p w:rsidR="00E40C05" w:rsidRPr="001B4AD3" w:rsidRDefault="00E40C05" w:rsidP="00E40C05">
            <w:pPr>
              <w:keepNext/>
              <w:rPr>
                <w:lang w:val="es-419"/>
              </w:rPr>
            </w:pPr>
            <w:r w:rsidRPr="001B4AD3">
              <w:rPr>
                <w:lang w:val="es-419"/>
              </w:rPr>
              <w:t>Duración: 5 días.</w:t>
            </w:r>
          </w:p>
        </w:tc>
      </w:tr>
      <w:tr w:rsidR="00E40C05" w:rsidRPr="001B4AD3" w:rsidTr="0042090A">
        <w:trPr>
          <w:trHeight w:val="1796"/>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Mayo/junio de 2022</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(43.ª sesión del CIG)</w:t>
            </w:r>
          </w:p>
          <w:p w:rsidR="00E40C05" w:rsidRPr="001B4AD3" w:rsidRDefault="00E40C05" w:rsidP="00E40C05">
            <w:pPr>
              <w:ind w:right="926"/>
              <w:rPr>
                <w:lang w:val="es-419"/>
              </w:rPr>
            </w:pPr>
            <w:r w:rsidRPr="001B4AD3">
              <w:rPr>
                <w:lang w:val="es-419"/>
              </w:rPr>
              <w:t>Emprender negociaciones sobre los RR.GG. centrándose en el examen de las cuestiones no resueltas y la consideración de distintas opciones relativas a un proyecto de instrumento jurídico.</w:t>
            </w:r>
          </w:p>
          <w:p w:rsidR="00E40C05" w:rsidRPr="001B4AD3" w:rsidRDefault="00E40C05" w:rsidP="00E40C05">
            <w:pPr>
              <w:ind w:right="926"/>
              <w:rPr>
                <w:lang w:val="es-419"/>
              </w:rPr>
            </w:pPr>
          </w:p>
          <w:p w:rsidR="00E40C05" w:rsidRPr="001B4AD3" w:rsidRDefault="00E40C05" w:rsidP="00E40C05">
            <w:pPr>
              <w:rPr>
                <w:lang w:val="es-419"/>
              </w:rPr>
            </w:pPr>
            <w:r w:rsidRPr="001B4AD3">
              <w:rPr>
                <w:lang w:val="es-419"/>
              </w:rPr>
              <w:t xml:space="preserve">Duración: 5 días, más, si así se decide, una reunión de un día de duración de un grupo de especialistas </w:t>
            </w:r>
            <w:r w:rsidRPr="001B4AD3">
              <w:rPr>
                <w:i/>
                <w:lang w:val="es-419"/>
              </w:rPr>
              <w:t>ad hoc</w:t>
            </w:r>
            <w:r w:rsidRPr="001B4AD3">
              <w:rPr>
                <w:lang w:val="es-419"/>
              </w:rPr>
              <w:t>.</w:t>
            </w:r>
          </w:p>
        </w:tc>
      </w:tr>
      <w:tr w:rsidR="00E40C05" w:rsidRPr="001B4AD3" w:rsidTr="00A761EC">
        <w:trPr>
          <w:trHeight w:val="299"/>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Septiembre de 2022</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spacing w:after="2"/>
              <w:rPr>
                <w:lang w:val="es-419"/>
              </w:rPr>
            </w:pPr>
            <w:r w:rsidRPr="001B4AD3">
              <w:rPr>
                <w:lang w:val="es-419"/>
              </w:rPr>
              <w:t>(44.ª sesión del CIG)</w:t>
            </w:r>
          </w:p>
          <w:p w:rsidR="00E40C05" w:rsidRPr="001B4AD3" w:rsidRDefault="00E40C05" w:rsidP="00E40C05">
            <w:pPr>
              <w:rPr>
                <w:lang w:val="es-419"/>
              </w:rPr>
            </w:pPr>
            <w:r w:rsidRPr="001B4AD3">
              <w:rPr>
                <w:lang w:val="es-419"/>
              </w:rPr>
              <w:t>Emprender negociaciones sobre los CC.TT. y/o las ECT centrándose en el examen de las cuestiones no resueltas y transversales, y la consideración de distintas opciones relativas a proyecto(s) de instrumento(s) jurídico(s).</w:t>
            </w:r>
          </w:p>
          <w:p w:rsidR="00E40C05" w:rsidRPr="001B4AD3" w:rsidRDefault="00E40C05" w:rsidP="00E40C05">
            <w:pPr>
              <w:ind w:right="42"/>
              <w:rPr>
                <w:lang w:val="es-419"/>
              </w:rPr>
            </w:pPr>
            <w:r w:rsidRPr="001B4AD3">
              <w:rPr>
                <w:lang w:val="es-419"/>
              </w:rPr>
              <w:t>Recomendaciones posibles conforme al apartado e).</w:t>
            </w:r>
          </w:p>
          <w:p w:rsidR="00E40C05" w:rsidRPr="001B4AD3" w:rsidRDefault="00E40C05" w:rsidP="00E40C05">
            <w:pPr>
              <w:ind w:right="42"/>
              <w:rPr>
                <w:lang w:val="es-419"/>
              </w:rPr>
            </w:pPr>
          </w:p>
          <w:p w:rsidR="00E40C05" w:rsidRPr="001B4AD3" w:rsidRDefault="00E40C05" w:rsidP="00E40C05">
            <w:pPr>
              <w:ind w:right="42"/>
              <w:rPr>
                <w:lang w:val="es-419"/>
              </w:rPr>
            </w:pPr>
            <w:r w:rsidRPr="001B4AD3">
              <w:rPr>
                <w:lang w:val="es-419"/>
              </w:rPr>
              <w:t>Duración: 5 días.</w:t>
            </w:r>
          </w:p>
        </w:tc>
      </w:tr>
      <w:tr w:rsidR="00E40C05" w:rsidRPr="001B4AD3" w:rsidTr="0042090A">
        <w:trPr>
          <w:trHeight w:val="562"/>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BC404F">
            <w:pPr>
              <w:rPr>
                <w:lang w:val="es-419"/>
              </w:rPr>
            </w:pPr>
            <w:r w:rsidRPr="001B4AD3">
              <w:rPr>
                <w:lang w:val="es-419"/>
              </w:rPr>
              <w:lastRenderedPageBreak/>
              <w:t>Octubre de 202</w:t>
            </w:r>
            <w:r w:rsidR="00BC404F" w:rsidRPr="001B4AD3">
              <w:rPr>
                <w:lang w:val="es-419"/>
              </w:rPr>
              <w:t>2</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Asamblea General de la OMPI</w:t>
            </w:r>
          </w:p>
          <w:p w:rsidR="00E40C05" w:rsidRPr="001B4AD3" w:rsidRDefault="00E40C05" w:rsidP="00E40C05">
            <w:pPr>
              <w:rPr>
                <w:lang w:val="es-419"/>
              </w:rPr>
            </w:pPr>
            <w:r w:rsidRPr="001B4AD3">
              <w:rPr>
                <w:lang w:val="es-419"/>
              </w:rPr>
              <w:t>Informe fáctico y examen de las recomendaciones.</w:t>
            </w:r>
          </w:p>
        </w:tc>
      </w:tr>
      <w:tr w:rsidR="00E40C05" w:rsidRPr="001B4AD3" w:rsidTr="0042090A">
        <w:trPr>
          <w:trHeight w:val="1798"/>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BD6F25">
            <w:pPr>
              <w:rPr>
                <w:lang w:val="es-419"/>
              </w:rPr>
            </w:pPr>
            <w:r w:rsidRPr="001B4AD3">
              <w:rPr>
                <w:lang w:val="es-419"/>
              </w:rPr>
              <w:t>Noviembre/diciembre de 202</w:t>
            </w:r>
            <w:r w:rsidR="00BD6F25" w:rsidRPr="001B4AD3">
              <w:rPr>
                <w:lang w:val="es-419"/>
              </w:rPr>
              <w:t>2</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(4</w:t>
            </w:r>
            <w:r w:rsidR="00BD6F25" w:rsidRPr="001B4AD3">
              <w:rPr>
                <w:lang w:val="es-419"/>
              </w:rPr>
              <w:t>5</w:t>
            </w:r>
            <w:r w:rsidRPr="001B4AD3">
              <w:rPr>
                <w:lang w:val="es-419"/>
              </w:rPr>
              <w:t>.ª sesión del CIG)</w:t>
            </w:r>
          </w:p>
          <w:p w:rsidR="00E40C05" w:rsidRPr="001B4AD3" w:rsidRDefault="00E40C05" w:rsidP="00E40C05">
            <w:pPr>
              <w:rPr>
                <w:lang w:val="es-419"/>
              </w:rPr>
            </w:pPr>
            <w:r w:rsidRPr="001B4AD3">
              <w:rPr>
                <w:lang w:val="es-419"/>
              </w:rPr>
              <w:t>Emprender negociaciones sobre los CC.TT. y/o las ECT centrándose en el examen de las cuestiones no resueltas y transversales, y la consideración de distintas opciones relativas a proyecto(s) de instrumento(s) jurídico(s).</w:t>
            </w:r>
          </w:p>
          <w:p w:rsidR="00E40C05" w:rsidRPr="001B4AD3" w:rsidRDefault="00E40C05" w:rsidP="00E40C05">
            <w:pPr>
              <w:rPr>
                <w:lang w:val="es-419"/>
              </w:rPr>
            </w:pPr>
          </w:p>
          <w:p w:rsidR="00E40C05" w:rsidRPr="001B4AD3" w:rsidRDefault="00E40C05" w:rsidP="00E40C05">
            <w:pPr>
              <w:rPr>
                <w:lang w:val="es-419"/>
              </w:rPr>
            </w:pPr>
            <w:r w:rsidRPr="001B4AD3">
              <w:rPr>
                <w:lang w:val="es-419"/>
              </w:rPr>
              <w:t xml:space="preserve">Duración: 5 días, más, si así se decide, una reunión de un día de duración de un grupo de especialistas </w:t>
            </w:r>
            <w:r w:rsidRPr="001B4AD3">
              <w:rPr>
                <w:i/>
                <w:lang w:val="es-419"/>
              </w:rPr>
              <w:t>ad hoc</w:t>
            </w:r>
            <w:r w:rsidRPr="001B4AD3">
              <w:rPr>
                <w:lang w:val="es-419"/>
              </w:rPr>
              <w:t>.</w:t>
            </w:r>
          </w:p>
        </w:tc>
      </w:tr>
      <w:tr w:rsidR="00E40C05" w:rsidRPr="001B4AD3" w:rsidTr="0042090A">
        <w:trPr>
          <w:trHeight w:val="1498"/>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0D3355">
            <w:pPr>
              <w:rPr>
                <w:lang w:val="es-419"/>
              </w:rPr>
            </w:pPr>
            <w:r w:rsidRPr="001B4AD3">
              <w:rPr>
                <w:lang w:val="es-419"/>
              </w:rPr>
              <w:t>Marzo/abril de 202</w:t>
            </w:r>
            <w:r w:rsidR="000D3355" w:rsidRPr="001B4AD3">
              <w:rPr>
                <w:lang w:val="es-419"/>
              </w:rPr>
              <w:t>3</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(4</w:t>
            </w:r>
            <w:r w:rsidR="000D3355" w:rsidRPr="001B4AD3">
              <w:rPr>
                <w:lang w:val="es-419"/>
              </w:rPr>
              <w:t>6</w:t>
            </w:r>
            <w:r w:rsidRPr="001B4AD3">
              <w:rPr>
                <w:lang w:val="es-419"/>
              </w:rPr>
              <w:t>.ª sesión del CIG)</w:t>
            </w:r>
          </w:p>
          <w:p w:rsidR="00E40C05" w:rsidRPr="001B4AD3" w:rsidRDefault="00E40C05" w:rsidP="00E40C05">
            <w:pPr>
              <w:ind w:right="214"/>
              <w:rPr>
                <w:lang w:val="es-419"/>
              </w:rPr>
            </w:pPr>
            <w:r w:rsidRPr="001B4AD3">
              <w:rPr>
                <w:lang w:val="es-419"/>
              </w:rPr>
              <w:t>Emprender negociaciones sobre los CC.TT. y/o las ECT centrándose en el examen de las cuestiones no resueltas y transversales, y la consideración de distintas opciones relativas a proyecto(s) de instrumento(s) jurídico(s).</w:t>
            </w:r>
          </w:p>
          <w:p w:rsidR="00E40C05" w:rsidRPr="001B4AD3" w:rsidRDefault="00E40C05" w:rsidP="00E40C05">
            <w:pPr>
              <w:ind w:right="214"/>
              <w:rPr>
                <w:lang w:val="es-419"/>
              </w:rPr>
            </w:pPr>
          </w:p>
          <w:p w:rsidR="00E40C05" w:rsidRPr="001B4AD3" w:rsidRDefault="00E40C05" w:rsidP="00E40C05">
            <w:pPr>
              <w:ind w:right="214"/>
              <w:rPr>
                <w:lang w:val="es-419"/>
              </w:rPr>
            </w:pPr>
            <w:r w:rsidRPr="001B4AD3">
              <w:rPr>
                <w:lang w:val="es-419"/>
              </w:rPr>
              <w:t xml:space="preserve">Duración: 5 días, más, si así se decide, una reunión de un día de duración de un grupo de especialistas </w:t>
            </w:r>
            <w:r w:rsidRPr="001B4AD3">
              <w:rPr>
                <w:i/>
                <w:lang w:val="es-419"/>
              </w:rPr>
              <w:t>ad hoc</w:t>
            </w:r>
            <w:r w:rsidRPr="001B4AD3">
              <w:rPr>
                <w:lang w:val="es-419"/>
              </w:rPr>
              <w:t>.</w:t>
            </w:r>
          </w:p>
        </w:tc>
      </w:tr>
      <w:tr w:rsidR="00E40C05" w:rsidRPr="001B4AD3" w:rsidTr="0042090A">
        <w:trPr>
          <w:trHeight w:val="2095"/>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0D3355">
            <w:pPr>
              <w:rPr>
                <w:lang w:val="es-419"/>
              </w:rPr>
            </w:pPr>
            <w:r w:rsidRPr="001B4AD3">
              <w:rPr>
                <w:lang w:val="es-419"/>
              </w:rPr>
              <w:t>Junio/julio de 202</w:t>
            </w:r>
            <w:r w:rsidR="000D3355" w:rsidRPr="001B4AD3">
              <w:rPr>
                <w:lang w:val="es-419"/>
              </w:rPr>
              <w:t>3</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(4</w:t>
            </w:r>
            <w:r w:rsidR="000D3355" w:rsidRPr="001B4AD3">
              <w:rPr>
                <w:lang w:val="es-419"/>
              </w:rPr>
              <w:t>7</w:t>
            </w:r>
            <w:r w:rsidRPr="001B4AD3">
              <w:rPr>
                <w:lang w:val="es-419"/>
              </w:rPr>
              <w:t>.ª sesión del CIG)</w:t>
            </w:r>
          </w:p>
          <w:p w:rsidR="00E40C05" w:rsidRPr="001B4AD3" w:rsidRDefault="00E40C05" w:rsidP="00E40C05">
            <w:pPr>
              <w:rPr>
                <w:lang w:val="es-419"/>
              </w:rPr>
            </w:pPr>
            <w:r w:rsidRPr="001B4AD3">
              <w:rPr>
                <w:lang w:val="es-419"/>
              </w:rPr>
              <w:t>Emprender negociaciones sobre los CC.TT. y/o las ECT centrándose en el examen de las cuestiones no resueltas y transversales, y la consideración de distintas opciones relativas a proyecto(s) de instrumento(s) jurídico(s).</w:t>
            </w:r>
          </w:p>
          <w:p w:rsidR="00E40C05" w:rsidRPr="001B4AD3" w:rsidRDefault="00E40C05" w:rsidP="00E40C05">
            <w:pPr>
              <w:rPr>
                <w:lang w:val="es-419"/>
              </w:rPr>
            </w:pPr>
            <w:r w:rsidRPr="001B4AD3">
              <w:rPr>
                <w:lang w:val="es-419"/>
              </w:rPr>
              <w:t>Sesión de evaluación sobre RR.GG./CC.TT./ECT y formulación de una recomendación.</w:t>
            </w:r>
          </w:p>
          <w:p w:rsidR="00E40C05" w:rsidRPr="001B4AD3" w:rsidRDefault="00E40C05" w:rsidP="00E40C05">
            <w:pPr>
              <w:rPr>
                <w:lang w:val="es-419"/>
              </w:rPr>
            </w:pPr>
          </w:p>
          <w:p w:rsidR="00E40C05" w:rsidRPr="001B4AD3" w:rsidRDefault="00E40C05" w:rsidP="00E40C05">
            <w:pPr>
              <w:rPr>
                <w:lang w:val="es-419"/>
              </w:rPr>
            </w:pPr>
            <w:r w:rsidRPr="001B4AD3">
              <w:rPr>
                <w:lang w:val="es-419"/>
              </w:rPr>
              <w:t>Duración: 5 días.</w:t>
            </w:r>
          </w:p>
        </w:tc>
      </w:tr>
      <w:tr w:rsidR="00E40C05" w:rsidRPr="001B4AD3" w:rsidTr="0042090A">
        <w:trPr>
          <w:trHeight w:val="621"/>
        </w:trPr>
        <w:tc>
          <w:tcPr>
            <w:tcW w:w="2281" w:type="dxa"/>
            <w:tcBorders>
              <w:top w:val="single" w:sz="4" w:space="0" w:color="000000"/>
              <w:left w:val="single" w:sz="4" w:space="0" w:color="000000"/>
              <w:bottom w:val="single" w:sz="4" w:space="0" w:color="000000"/>
              <w:right w:val="single" w:sz="4" w:space="0" w:color="000000"/>
            </w:tcBorders>
          </w:tcPr>
          <w:p w:rsidR="00E40C05" w:rsidRPr="001B4AD3" w:rsidRDefault="00E40C05" w:rsidP="000D3355">
            <w:pPr>
              <w:rPr>
                <w:lang w:val="es-419"/>
              </w:rPr>
            </w:pPr>
            <w:r w:rsidRPr="001B4AD3">
              <w:rPr>
                <w:lang w:val="es-419"/>
              </w:rPr>
              <w:t>Octubre de 202</w:t>
            </w:r>
            <w:r w:rsidR="000D3355" w:rsidRPr="001B4AD3">
              <w:rPr>
                <w:lang w:val="es-419"/>
              </w:rPr>
              <w:t>3</w:t>
            </w:r>
          </w:p>
        </w:tc>
        <w:tc>
          <w:tcPr>
            <w:tcW w:w="7106" w:type="dxa"/>
            <w:tcBorders>
              <w:top w:val="single" w:sz="4" w:space="0" w:color="000000"/>
              <w:left w:val="single" w:sz="4" w:space="0" w:color="000000"/>
              <w:bottom w:val="single" w:sz="4" w:space="0" w:color="000000"/>
              <w:right w:val="single" w:sz="4" w:space="0" w:color="000000"/>
            </w:tcBorders>
          </w:tcPr>
          <w:p w:rsidR="00E40C05" w:rsidRPr="001B4AD3" w:rsidRDefault="00E40C05" w:rsidP="00E40C05">
            <w:pPr>
              <w:rPr>
                <w:lang w:val="es-419"/>
              </w:rPr>
            </w:pPr>
            <w:r w:rsidRPr="001B4AD3">
              <w:rPr>
                <w:lang w:val="es-419"/>
              </w:rPr>
              <w:t>La Asamblea General de la OMPI ponderará los avances efectuados, examinará el texto o textos y adoptará la decisión o decisiones pertinentes</w:t>
            </w:r>
            <w:r w:rsidR="00807F6C" w:rsidRPr="001B4AD3">
              <w:rPr>
                <w:lang w:val="es-419"/>
              </w:rPr>
              <w:t>”.</w:t>
            </w:r>
          </w:p>
        </w:tc>
      </w:tr>
    </w:tbl>
    <w:p w:rsidR="00A5142B" w:rsidRPr="001B4AD3" w:rsidRDefault="00DC3A1D" w:rsidP="00E45D7F">
      <w:pPr>
        <w:spacing w:before="240" w:after="480"/>
        <w:rPr>
          <w:bCs/>
          <w:lang w:val="es-419"/>
        </w:rPr>
      </w:pPr>
      <w:r w:rsidRPr="001B4AD3">
        <w:rPr>
          <w:lang w:val="es-419"/>
        </w:rPr>
        <w:t>Recordando las decisiones de la Asamblea General de la OMPI de 201</w:t>
      </w:r>
      <w:r w:rsidR="00B24533" w:rsidRPr="001B4AD3">
        <w:rPr>
          <w:lang w:val="es-419"/>
        </w:rPr>
        <w:t>9</w:t>
      </w:r>
      <w:r w:rsidRPr="001B4AD3">
        <w:rPr>
          <w:lang w:val="es-419"/>
        </w:rPr>
        <w:t xml:space="preserve"> a este respecto, el Comité también recomendó que la Asamblea General de la OMPI de 20</w:t>
      </w:r>
      <w:r w:rsidR="00B24533" w:rsidRPr="001B4AD3">
        <w:rPr>
          <w:lang w:val="es-419"/>
        </w:rPr>
        <w:t>21</w:t>
      </w:r>
      <w:r w:rsidRPr="001B4AD3">
        <w:rPr>
          <w:lang w:val="es-419"/>
        </w:rPr>
        <w:t xml:space="preserve"> reconozca la importancia de la participación de los pueblos indígenas y las comunidades locales en la labor del Comité, tome nota de que el </w:t>
      </w:r>
      <w:r w:rsidR="00AE16D8" w:rsidRPr="001B4AD3">
        <w:rPr>
          <w:lang w:val="es-419"/>
        </w:rPr>
        <w:t>Fondo de la OMPI de Contribuciones Voluntarias para las Comunidades Indígenas y Locales Acreditadas</w:t>
      </w:r>
      <w:r w:rsidRPr="001B4AD3">
        <w:rPr>
          <w:lang w:val="es-419"/>
        </w:rPr>
        <w:t xml:space="preserve"> está bajo mínimos, aliente a los Estados miembros a ponderar la posibilidad de realizar aportaciones a dicho Fondo e invite a los Estados miembros </w:t>
      </w:r>
      <w:r w:rsidR="00B916C2" w:rsidRPr="001B4AD3">
        <w:rPr>
          <w:lang w:val="es-419"/>
        </w:rPr>
        <w:t xml:space="preserve">a </w:t>
      </w:r>
      <w:r w:rsidRPr="001B4AD3">
        <w:rPr>
          <w:lang w:val="es-419"/>
        </w:rPr>
        <w:t>examinar otros posibles acuerdos de financiación.</w:t>
      </w:r>
    </w:p>
    <w:p w:rsidR="00A12CD1" w:rsidRPr="001B4AD3" w:rsidRDefault="00A12CD1" w:rsidP="00E45D7F">
      <w:pPr>
        <w:spacing w:after="240"/>
        <w:rPr>
          <w:lang w:val="es-419"/>
        </w:rPr>
      </w:pPr>
      <w:r w:rsidRPr="001B4AD3">
        <w:rPr>
          <w:lang w:val="es-419"/>
        </w:rPr>
        <w:t>DECISIÓN SOBRE EL PUNTO 8 DEL ORDEN DEL DÍA:</w:t>
      </w:r>
    </w:p>
    <w:p w:rsidR="00A5142B" w:rsidRPr="001B4AD3" w:rsidRDefault="00F24FFF" w:rsidP="00E45D7F">
      <w:pPr>
        <w:spacing w:after="240"/>
        <w:rPr>
          <w:lang w:val="es-419"/>
        </w:rPr>
      </w:pPr>
      <w:r w:rsidRPr="001B4AD3">
        <w:rPr>
          <w:lang w:val="es-419"/>
        </w:rPr>
        <w:t>OTROS ASUNTOS</w:t>
      </w:r>
    </w:p>
    <w:p w:rsidR="00A5142B" w:rsidRPr="001B4AD3" w:rsidRDefault="004F3FCC" w:rsidP="00E45D7F">
      <w:pPr>
        <w:spacing w:after="480"/>
        <w:rPr>
          <w:lang w:val="es-419"/>
        </w:rPr>
      </w:pPr>
      <w:r w:rsidRPr="001B4AD3">
        <w:rPr>
          <w:lang w:val="es-419"/>
        </w:rPr>
        <w:t>No hubo debate sobre este punto del orden del día.</w:t>
      </w:r>
    </w:p>
    <w:p w:rsidR="00A12CD1" w:rsidRPr="001B4AD3" w:rsidRDefault="00A12CD1" w:rsidP="00E45D7F">
      <w:pPr>
        <w:spacing w:after="240"/>
        <w:rPr>
          <w:lang w:val="es-419"/>
        </w:rPr>
      </w:pPr>
      <w:r w:rsidRPr="001B4AD3">
        <w:rPr>
          <w:lang w:val="es-419"/>
        </w:rPr>
        <w:t>DECISIÓN SOBRE EL PUNTO 9 DEL ORDEN DEL DÍA:</w:t>
      </w:r>
    </w:p>
    <w:p w:rsidR="00A5142B" w:rsidRPr="001B4AD3" w:rsidRDefault="00DF7ADF" w:rsidP="00E45D7F">
      <w:pPr>
        <w:spacing w:after="240"/>
        <w:rPr>
          <w:lang w:val="es-419"/>
        </w:rPr>
      </w:pPr>
      <w:r w:rsidRPr="001B4AD3">
        <w:rPr>
          <w:lang w:val="es-419"/>
        </w:rPr>
        <w:t>CLAUSURA DE LA SESIÓN</w:t>
      </w:r>
    </w:p>
    <w:p w:rsidR="00A5142B" w:rsidRPr="001B4AD3" w:rsidRDefault="0033037B" w:rsidP="00E45D7F">
      <w:pPr>
        <w:spacing w:after="600"/>
        <w:rPr>
          <w:lang w:val="es-419"/>
        </w:rPr>
      </w:pPr>
      <w:r w:rsidRPr="001B4AD3">
        <w:rPr>
          <w:lang w:val="es-419"/>
        </w:rPr>
        <w:t xml:space="preserve">El </w:t>
      </w:r>
      <w:r w:rsidR="009C3F32" w:rsidRPr="001B4AD3">
        <w:rPr>
          <w:lang w:val="es-419"/>
        </w:rPr>
        <w:t>3</w:t>
      </w:r>
      <w:r w:rsidR="00D953F9" w:rsidRPr="001B4AD3">
        <w:rPr>
          <w:lang w:val="es-419"/>
        </w:rPr>
        <w:t xml:space="preserve">1 de </w:t>
      </w:r>
      <w:r w:rsidR="009C3F32" w:rsidRPr="001B4AD3">
        <w:rPr>
          <w:lang w:val="es-419"/>
        </w:rPr>
        <w:t xml:space="preserve">agosto </w:t>
      </w:r>
      <w:r w:rsidR="00D953F9" w:rsidRPr="001B4AD3">
        <w:rPr>
          <w:lang w:val="es-419"/>
        </w:rPr>
        <w:t>de 20</w:t>
      </w:r>
      <w:r w:rsidRPr="001B4AD3">
        <w:rPr>
          <w:lang w:val="es-419"/>
        </w:rPr>
        <w:t>21</w:t>
      </w:r>
      <w:r w:rsidR="00D953F9" w:rsidRPr="001B4AD3">
        <w:rPr>
          <w:lang w:val="es-419"/>
        </w:rPr>
        <w:t xml:space="preserve">, el Comité adoptó decisiones en relación con los puntos 2, 3, 4, 5, 6, </w:t>
      </w:r>
      <w:r w:rsidR="004A589B" w:rsidRPr="001B4AD3">
        <w:rPr>
          <w:lang w:val="es-419"/>
        </w:rPr>
        <w:t>y 7</w:t>
      </w:r>
      <w:r w:rsidR="00D953F9" w:rsidRPr="001B4AD3">
        <w:rPr>
          <w:lang w:val="es-419"/>
        </w:rPr>
        <w:t xml:space="preserve"> del orden del día. Acordó que se redacte y distribuya, a más tardar el </w:t>
      </w:r>
      <w:r w:rsidR="008D2FDA" w:rsidRPr="001B4AD3">
        <w:rPr>
          <w:lang w:val="es-419"/>
        </w:rPr>
        <w:t>1</w:t>
      </w:r>
      <w:r w:rsidRPr="001B4AD3">
        <w:rPr>
          <w:lang w:val="es-419"/>
        </w:rPr>
        <w:t>5</w:t>
      </w:r>
      <w:r w:rsidR="00D953F9" w:rsidRPr="001B4AD3">
        <w:rPr>
          <w:lang w:val="es-419"/>
        </w:rPr>
        <w:t xml:space="preserve"> de </w:t>
      </w:r>
      <w:r w:rsidRPr="001B4AD3">
        <w:rPr>
          <w:lang w:val="es-419"/>
        </w:rPr>
        <w:t>octu</w:t>
      </w:r>
      <w:r w:rsidR="00D953F9" w:rsidRPr="001B4AD3">
        <w:rPr>
          <w:lang w:val="es-419"/>
        </w:rPr>
        <w:t>bre de 20</w:t>
      </w:r>
      <w:r w:rsidR="008D2FDA" w:rsidRPr="001B4AD3">
        <w:rPr>
          <w:lang w:val="es-419"/>
        </w:rPr>
        <w:t>2</w:t>
      </w:r>
      <w:r w:rsidR="00D953F9" w:rsidRPr="001B4AD3">
        <w:rPr>
          <w:lang w:val="es-419"/>
        </w:rPr>
        <w:t xml:space="preserve">1, un proyecto de informe que contenga el texto concertado de dichas decisiones, así como todas las intervenciones realizadas en la sesión del Comité. Se invitará a los participantes en la </w:t>
      </w:r>
      <w:r w:rsidR="00D953F9" w:rsidRPr="001B4AD3">
        <w:rPr>
          <w:lang w:val="es-419"/>
        </w:rPr>
        <w:lastRenderedPageBreak/>
        <w:t>sesión del Comité a presentar correcciones por escrito de sus intervenciones, según consten en el proyecto de informe, de modo que una versión final de dicho proyecto pueda distribuirse entre los participantes a los fines de su aprobación en la próxima sesión del Comité.</w:t>
      </w:r>
    </w:p>
    <w:p w:rsidR="00152CEA" w:rsidRPr="001B4AD3" w:rsidRDefault="00A5142B" w:rsidP="00E45D7F">
      <w:pPr>
        <w:pStyle w:val="Endofdocument-Annex"/>
        <w:rPr>
          <w:lang w:val="es-419"/>
        </w:rPr>
      </w:pPr>
      <w:r w:rsidRPr="001B4AD3">
        <w:rPr>
          <w:lang w:val="es-419"/>
        </w:rPr>
        <w:t>[</w:t>
      </w:r>
      <w:r w:rsidR="007F66C9" w:rsidRPr="001B4AD3">
        <w:rPr>
          <w:lang w:val="es-419"/>
        </w:rPr>
        <w:t xml:space="preserve">Fin del </w:t>
      </w:r>
      <w:r w:rsidRPr="001B4AD3">
        <w:rPr>
          <w:lang w:val="es-419"/>
        </w:rPr>
        <w:t>document</w:t>
      </w:r>
      <w:r w:rsidR="007F66C9" w:rsidRPr="001B4AD3">
        <w:rPr>
          <w:lang w:val="es-419"/>
        </w:rPr>
        <w:t>o</w:t>
      </w:r>
      <w:r w:rsidRPr="001B4AD3">
        <w:rPr>
          <w:lang w:val="es-419"/>
        </w:rPr>
        <w:t>]</w:t>
      </w:r>
    </w:p>
    <w:sectPr w:rsidR="00152CEA" w:rsidRPr="001B4AD3" w:rsidSect="00A5142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11A" w:rsidRDefault="00A0311A">
      <w:r>
        <w:separator/>
      </w:r>
    </w:p>
  </w:endnote>
  <w:endnote w:type="continuationSeparator" w:id="0">
    <w:p w:rsidR="00A0311A" w:rsidRPr="009D30E6" w:rsidRDefault="00A0311A" w:rsidP="007E663E">
      <w:pPr>
        <w:rPr>
          <w:sz w:val="17"/>
          <w:szCs w:val="17"/>
        </w:rPr>
      </w:pPr>
      <w:r w:rsidRPr="009D30E6">
        <w:rPr>
          <w:sz w:val="17"/>
          <w:szCs w:val="17"/>
        </w:rPr>
        <w:separator/>
      </w:r>
    </w:p>
    <w:p w:rsidR="00A0311A" w:rsidRPr="007E663E" w:rsidRDefault="00A0311A" w:rsidP="007E663E">
      <w:pPr>
        <w:spacing w:after="60"/>
        <w:rPr>
          <w:sz w:val="17"/>
          <w:szCs w:val="17"/>
        </w:rPr>
      </w:pPr>
      <w:r>
        <w:rPr>
          <w:sz w:val="17"/>
        </w:rPr>
        <w:t>[Continuación de la nota de la página anterior]</w:t>
      </w:r>
    </w:p>
  </w:endnote>
  <w:endnote w:type="continuationNotice" w:id="1">
    <w:p w:rsidR="00A0311A" w:rsidRPr="007E663E" w:rsidRDefault="00A0311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11A" w:rsidRDefault="00A0311A">
      <w:r>
        <w:separator/>
      </w:r>
    </w:p>
  </w:footnote>
  <w:footnote w:type="continuationSeparator" w:id="0">
    <w:p w:rsidR="00A0311A" w:rsidRPr="009D30E6" w:rsidRDefault="00A0311A" w:rsidP="007E663E">
      <w:pPr>
        <w:rPr>
          <w:sz w:val="17"/>
          <w:szCs w:val="17"/>
        </w:rPr>
      </w:pPr>
      <w:r w:rsidRPr="009D30E6">
        <w:rPr>
          <w:sz w:val="17"/>
          <w:szCs w:val="17"/>
        </w:rPr>
        <w:separator/>
      </w:r>
    </w:p>
    <w:p w:rsidR="00A0311A" w:rsidRPr="007E663E" w:rsidRDefault="00A0311A" w:rsidP="007E663E">
      <w:pPr>
        <w:spacing w:after="60"/>
        <w:rPr>
          <w:sz w:val="17"/>
          <w:szCs w:val="17"/>
        </w:rPr>
      </w:pPr>
      <w:r>
        <w:rPr>
          <w:sz w:val="17"/>
        </w:rPr>
        <w:t>[Continuación de la nota de la página anterior]</w:t>
      </w:r>
    </w:p>
  </w:footnote>
  <w:footnote w:type="continuationNotice" w:id="1">
    <w:p w:rsidR="00A0311A" w:rsidRPr="007E663E" w:rsidRDefault="00A0311A" w:rsidP="007E663E">
      <w:pPr>
        <w:spacing w:before="60"/>
        <w:jc w:val="right"/>
        <w:rPr>
          <w:sz w:val="17"/>
          <w:szCs w:val="17"/>
        </w:rPr>
      </w:pPr>
      <w:r w:rsidRPr="007E663E">
        <w:rPr>
          <w:sz w:val="17"/>
          <w:szCs w:val="17"/>
        </w:rPr>
        <w:t>[Sigue la nota en la página siguiente]</w:t>
      </w:r>
    </w:p>
  </w:footnote>
  <w:footnote w:id="2">
    <w:p w:rsidR="00E12621" w:rsidRPr="00AD40CC" w:rsidRDefault="00E12621" w:rsidP="00E12621">
      <w:pPr>
        <w:pStyle w:val="FootnoteText"/>
        <w:rPr>
          <w:szCs w:val="18"/>
        </w:rPr>
      </w:pPr>
      <w:r w:rsidRPr="00AD40CC">
        <w:rPr>
          <w:rStyle w:val="FootnoteReference"/>
          <w:szCs w:val="18"/>
        </w:rPr>
        <w:footnoteRef/>
      </w:r>
      <w:r w:rsidRPr="00AD40CC">
        <w:rPr>
          <w:szCs w:val="18"/>
        </w:rPr>
        <w:t xml:space="preserve"> </w:t>
      </w:r>
      <w:r w:rsidRPr="00AD40CC">
        <w:rPr>
          <w:szCs w:val="18"/>
          <w:lang w:val="es-ES_tradnl"/>
        </w:rPr>
        <w:t xml:space="preserve">Entre las cuestiones esenciales figuran, entre otras, las definiciones, los beneficiarios, la materia objeto de protección, </w:t>
      </w:r>
      <w:r w:rsidR="00292478">
        <w:rPr>
          <w:szCs w:val="18"/>
          <w:lang w:val="es-ES_tradnl"/>
        </w:rPr>
        <w:t xml:space="preserve">los objetivos, </w:t>
      </w:r>
      <w:r w:rsidRPr="00AD40CC">
        <w:rPr>
          <w:szCs w:val="18"/>
          <w:lang w:val="es-ES_tradnl"/>
        </w:rPr>
        <w:t>el alcance de la protección y qué CC.TT./ECT son objeto de protección en el plano internacional, incluido el examen de las excepciones y limitaciones y la relación con el dominio público.</w:t>
      </w:r>
    </w:p>
  </w:footnote>
  <w:footnote w:id="3">
    <w:p w:rsidR="00E12621" w:rsidRPr="00AD40CC" w:rsidRDefault="00E12621" w:rsidP="00E12621">
      <w:pPr>
        <w:pStyle w:val="FootnoteText"/>
        <w:rPr>
          <w:szCs w:val="18"/>
        </w:rPr>
      </w:pPr>
      <w:r w:rsidRPr="00AD40CC">
        <w:rPr>
          <w:rStyle w:val="FootnoteReference"/>
          <w:szCs w:val="18"/>
        </w:rPr>
        <w:footnoteRef/>
      </w:r>
      <w:r w:rsidRPr="00AD40CC">
        <w:rPr>
          <w:szCs w:val="18"/>
        </w:rPr>
        <w:t xml:space="preserve"> </w:t>
      </w:r>
      <w:r w:rsidRPr="00AD40CC">
        <w:rPr>
          <w:szCs w:val="18"/>
          <w:lang w:val="es-ES_tradnl"/>
        </w:rPr>
        <w:t>El grupo o grupos de especialistas gozarán de una representación geográfica equilibrada, y se servirán de una metodología de trabajo eficaz.</w:t>
      </w:r>
      <w:r w:rsidRPr="00AD40CC">
        <w:rPr>
          <w:szCs w:val="18"/>
        </w:rPr>
        <w:t xml:space="preserve"> </w:t>
      </w:r>
      <w:r w:rsidRPr="00AD40CC">
        <w:rPr>
          <w:szCs w:val="18"/>
          <w:lang w:val="es-ES_tradnl"/>
        </w:rPr>
        <w:t>El grupo o grupos de especialistas sesionará durante las semanas en las que sesione 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E7F20" w:rsidP="00477D6B">
    <w:pPr>
      <w:jc w:val="right"/>
    </w:pPr>
    <w:r>
      <w:t xml:space="preserve">página </w:t>
    </w:r>
    <w:r>
      <w:fldChar w:fldCharType="begin"/>
    </w:r>
    <w:r>
      <w:instrText xml:space="preserve"> PAGE  \* MERGEFORMAT </w:instrText>
    </w:r>
    <w:r>
      <w:fldChar w:fldCharType="separate"/>
    </w:r>
    <w:r w:rsidR="00CF75A5">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BACA8E7C"/>
    <w:lvl w:ilvl="0" w:tplc="8F2C096A">
      <w:start w:val="1"/>
      <w:numFmt w:val="lowerLetter"/>
      <w:lvlText w:val="%1)"/>
      <w:lvlJc w:val="left"/>
      <w:pPr>
        <w:ind w:left="-774" w:firstLine="0"/>
      </w:pPr>
      <w:rPr>
        <w:rFonts w:hint="default"/>
        <w:b w:val="0"/>
        <w:i w:val="0"/>
        <w:strike w:val="0"/>
        <w:dstrike w:val="0"/>
        <w:color w:val="000000"/>
        <w:sz w:val="22"/>
        <w:szCs w:val="22"/>
        <w:u w:val="none" w:color="000000"/>
        <w:bdr w:val="none" w:sz="0" w:space="0" w:color="auto"/>
        <w:shd w:val="clear" w:color="auto" w:fill="auto"/>
        <w:vertAlign w:val="baseline"/>
        <w:lang w:val="es-ES"/>
      </w:rPr>
    </w:lvl>
    <w:lvl w:ilvl="1" w:tplc="4B209092">
      <w:start w:val="1"/>
      <w:numFmt w:val="lowerLetter"/>
      <w:lvlText w:val="%2"/>
      <w:lvlJc w:val="left"/>
      <w:pPr>
        <w:ind w:left="-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1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2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2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3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4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5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2B"/>
    <w:rsid w:val="00010686"/>
    <w:rsid w:val="00013868"/>
    <w:rsid w:val="00017A3E"/>
    <w:rsid w:val="000202A8"/>
    <w:rsid w:val="00027191"/>
    <w:rsid w:val="00052915"/>
    <w:rsid w:val="00057F8D"/>
    <w:rsid w:val="00084EB3"/>
    <w:rsid w:val="000854DD"/>
    <w:rsid w:val="0009159A"/>
    <w:rsid w:val="000A60D9"/>
    <w:rsid w:val="000D3355"/>
    <w:rsid w:val="000E3BB3"/>
    <w:rsid w:val="000F5E56"/>
    <w:rsid w:val="000F6B4C"/>
    <w:rsid w:val="0010655F"/>
    <w:rsid w:val="001362EE"/>
    <w:rsid w:val="00136919"/>
    <w:rsid w:val="00137DCD"/>
    <w:rsid w:val="00141089"/>
    <w:rsid w:val="00152CEA"/>
    <w:rsid w:val="00176290"/>
    <w:rsid w:val="001832A6"/>
    <w:rsid w:val="0018387A"/>
    <w:rsid w:val="001849A7"/>
    <w:rsid w:val="001B4AD3"/>
    <w:rsid w:val="001E7189"/>
    <w:rsid w:val="001F6BA2"/>
    <w:rsid w:val="00233135"/>
    <w:rsid w:val="00236685"/>
    <w:rsid w:val="002526F2"/>
    <w:rsid w:val="00252BFB"/>
    <w:rsid w:val="00255A40"/>
    <w:rsid w:val="002634C4"/>
    <w:rsid w:val="00267964"/>
    <w:rsid w:val="00276B14"/>
    <w:rsid w:val="00286543"/>
    <w:rsid w:val="00292478"/>
    <w:rsid w:val="002A3F51"/>
    <w:rsid w:val="002A458E"/>
    <w:rsid w:val="002B65F2"/>
    <w:rsid w:val="002C2E2F"/>
    <w:rsid w:val="002D23B5"/>
    <w:rsid w:val="002E0F47"/>
    <w:rsid w:val="002F4E68"/>
    <w:rsid w:val="00305651"/>
    <w:rsid w:val="00310826"/>
    <w:rsid w:val="003226C3"/>
    <w:rsid w:val="00326B1E"/>
    <w:rsid w:val="0033037B"/>
    <w:rsid w:val="00354647"/>
    <w:rsid w:val="00377273"/>
    <w:rsid w:val="00380577"/>
    <w:rsid w:val="003845C1"/>
    <w:rsid w:val="00387287"/>
    <w:rsid w:val="003A212D"/>
    <w:rsid w:val="003C0A32"/>
    <w:rsid w:val="003D0E1C"/>
    <w:rsid w:val="003E48F1"/>
    <w:rsid w:val="003E64B1"/>
    <w:rsid w:val="003F347A"/>
    <w:rsid w:val="004004F1"/>
    <w:rsid w:val="00423E3E"/>
    <w:rsid w:val="00427AF4"/>
    <w:rsid w:val="00435754"/>
    <w:rsid w:val="00437AB8"/>
    <w:rsid w:val="0045231F"/>
    <w:rsid w:val="00456872"/>
    <w:rsid w:val="004647DA"/>
    <w:rsid w:val="0046793F"/>
    <w:rsid w:val="00472A6E"/>
    <w:rsid w:val="004771F9"/>
    <w:rsid w:val="00477808"/>
    <w:rsid w:val="00477D6B"/>
    <w:rsid w:val="004807E2"/>
    <w:rsid w:val="00481190"/>
    <w:rsid w:val="004A589B"/>
    <w:rsid w:val="004A6C37"/>
    <w:rsid w:val="004D4DC5"/>
    <w:rsid w:val="004E297D"/>
    <w:rsid w:val="004E5412"/>
    <w:rsid w:val="004F0049"/>
    <w:rsid w:val="004F3FCC"/>
    <w:rsid w:val="004F5588"/>
    <w:rsid w:val="005113A0"/>
    <w:rsid w:val="00531B02"/>
    <w:rsid w:val="005332F0"/>
    <w:rsid w:val="00547AA0"/>
    <w:rsid w:val="0055013B"/>
    <w:rsid w:val="00571B99"/>
    <w:rsid w:val="005856F5"/>
    <w:rsid w:val="00592527"/>
    <w:rsid w:val="005B2E45"/>
    <w:rsid w:val="005B2EAE"/>
    <w:rsid w:val="005B47BC"/>
    <w:rsid w:val="005D7414"/>
    <w:rsid w:val="005F10D5"/>
    <w:rsid w:val="00605827"/>
    <w:rsid w:val="00617C9A"/>
    <w:rsid w:val="006306C5"/>
    <w:rsid w:val="006454EA"/>
    <w:rsid w:val="00675021"/>
    <w:rsid w:val="006A06C6"/>
    <w:rsid w:val="006E69FD"/>
    <w:rsid w:val="006F2924"/>
    <w:rsid w:val="006F6675"/>
    <w:rsid w:val="00703AC5"/>
    <w:rsid w:val="007224C8"/>
    <w:rsid w:val="00757A2E"/>
    <w:rsid w:val="007839BD"/>
    <w:rsid w:val="00794BE2"/>
    <w:rsid w:val="007A5581"/>
    <w:rsid w:val="007B71FE"/>
    <w:rsid w:val="007C7C11"/>
    <w:rsid w:val="007D781E"/>
    <w:rsid w:val="007E663E"/>
    <w:rsid w:val="007F253B"/>
    <w:rsid w:val="007F5ADA"/>
    <w:rsid w:val="007F66C9"/>
    <w:rsid w:val="00807F6C"/>
    <w:rsid w:val="0081502F"/>
    <w:rsid w:val="00815082"/>
    <w:rsid w:val="00834891"/>
    <w:rsid w:val="00840403"/>
    <w:rsid w:val="0084105C"/>
    <w:rsid w:val="008573FE"/>
    <w:rsid w:val="0088395E"/>
    <w:rsid w:val="008A4B70"/>
    <w:rsid w:val="008B2CC1"/>
    <w:rsid w:val="008B5E09"/>
    <w:rsid w:val="008B7124"/>
    <w:rsid w:val="008C3008"/>
    <w:rsid w:val="008D2FDA"/>
    <w:rsid w:val="008E135A"/>
    <w:rsid w:val="008E6BD6"/>
    <w:rsid w:val="0090731E"/>
    <w:rsid w:val="00931F13"/>
    <w:rsid w:val="00942673"/>
    <w:rsid w:val="00966A22"/>
    <w:rsid w:val="00972F03"/>
    <w:rsid w:val="0098367F"/>
    <w:rsid w:val="009A0C8B"/>
    <w:rsid w:val="009A20CD"/>
    <w:rsid w:val="009B6241"/>
    <w:rsid w:val="009C3F32"/>
    <w:rsid w:val="009F0B2A"/>
    <w:rsid w:val="009F63E4"/>
    <w:rsid w:val="009F7FE0"/>
    <w:rsid w:val="00A0311A"/>
    <w:rsid w:val="00A12CD1"/>
    <w:rsid w:val="00A149F1"/>
    <w:rsid w:val="00A16FC0"/>
    <w:rsid w:val="00A32C9E"/>
    <w:rsid w:val="00A37646"/>
    <w:rsid w:val="00A5142B"/>
    <w:rsid w:val="00A642EA"/>
    <w:rsid w:val="00A761EC"/>
    <w:rsid w:val="00AB613D"/>
    <w:rsid w:val="00AD0BF8"/>
    <w:rsid w:val="00AE16D8"/>
    <w:rsid w:val="00AE7F20"/>
    <w:rsid w:val="00AF0229"/>
    <w:rsid w:val="00AF4D8A"/>
    <w:rsid w:val="00B24533"/>
    <w:rsid w:val="00B41B9D"/>
    <w:rsid w:val="00B43126"/>
    <w:rsid w:val="00B5015F"/>
    <w:rsid w:val="00B534D5"/>
    <w:rsid w:val="00B62C1F"/>
    <w:rsid w:val="00B65A0A"/>
    <w:rsid w:val="00B67CDC"/>
    <w:rsid w:val="00B72D36"/>
    <w:rsid w:val="00B752A1"/>
    <w:rsid w:val="00B904AE"/>
    <w:rsid w:val="00B9106F"/>
    <w:rsid w:val="00B916C2"/>
    <w:rsid w:val="00B958A0"/>
    <w:rsid w:val="00BA390E"/>
    <w:rsid w:val="00BB0A71"/>
    <w:rsid w:val="00BC3C79"/>
    <w:rsid w:val="00BC404F"/>
    <w:rsid w:val="00BC4164"/>
    <w:rsid w:val="00BD2DCC"/>
    <w:rsid w:val="00BD6F25"/>
    <w:rsid w:val="00BE7A02"/>
    <w:rsid w:val="00BF5A8E"/>
    <w:rsid w:val="00C341F3"/>
    <w:rsid w:val="00C4287D"/>
    <w:rsid w:val="00C47DD7"/>
    <w:rsid w:val="00C81495"/>
    <w:rsid w:val="00C90559"/>
    <w:rsid w:val="00C9195A"/>
    <w:rsid w:val="00C93A3B"/>
    <w:rsid w:val="00CA0500"/>
    <w:rsid w:val="00CA2251"/>
    <w:rsid w:val="00CB13AC"/>
    <w:rsid w:val="00CB78B3"/>
    <w:rsid w:val="00CE0677"/>
    <w:rsid w:val="00CF75A5"/>
    <w:rsid w:val="00D2710A"/>
    <w:rsid w:val="00D4047D"/>
    <w:rsid w:val="00D503BB"/>
    <w:rsid w:val="00D56C7C"/>
    <w:rsid w:val="00D71B4D"/>
    <w:rsid w:val="00D87F2B"/>
    <w:rsid w:val="00D90289"/>
    <w:rsid w:val="00D93D55"/>
    <w:rsid w:val="00D953F9"/>
    <w:rsid w:val="00DB3185"/>
    <w:rsid w:val="00DB4DDC"/>
    <w:rsid w:val="00DC3A1D"/>
    <w:rsid w:val="00DC4C60"/>
    <w:rsid w:val="00DC517B"/>
    <w:rsid w:val="00DD4B28"/>
    <w:rsid w:val="00DD6CF4"/>
    <w:rsid w:val="00DF5AB7"/>
    <w:rsid w:val="00DF7ADF"/>
    <w:rsid w:val="00E0079A"/>
    <w:rsid w:val="00E12621"/>
    <w:rsid w:val="00E203CD"/>
    <w:rsid w:val="00E40C05"/>
    <w:rsid w:val="00E444DA"/>
    <w:rsid w:val="00E45C84"/>
    <w:rsid w:val="00E45D7F"/>
    <w:rsid w:val="00E504E5"/>
    <w:rsid w:val="00E664C0"/>
    <w:rsid w:val="00EA779F"/>
    <w:rsid w:val="00EB0D93"/>
    <w:rsid w:val="00EB7A3E"/>
    <w:rsid w:val="00EC1AA7"/>
    <w:rsid w:val="00EC401A"/>
    <w:rsid w:val="00ED291C"/>
    <w:rsid w:val="00EF530A"/>
    <w:rsid w:val="00EF6622"/>
    <w:rsid w:val="00EF78A9"/>
    <w:rsid w:val="00F15FA2"/>
    <w:rsid w:val="00F24FFF"/>
    <w:rsid w:val="00F256DC"/>
    <w:rsid w:val="00F36DEA"/>
    <w:rsid w:val="00F55408"/>
    <w:rsid w:val="00F600B1"/>
    <w:rsid w:val="00F66152"/>
    <w:rsid w:val="00F80845"/>
    <w:rsid w:val="00F84474"/>
    <w:rsid w:val="00F94783"/>
    <w:rsid w:val="00FA0F0D"/>
    <w:rsid w:val="00FB6C53"/>
    <w:rsid w:val="00FC0760"/>
    <w:rsid w:val="00FC201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CDEFF2"/>
  <w15:docId w15:val="{7AC0E6A0-5874-4F74-B518-ECF973C1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A5142B"/>
    <w:rPr>
      <w:color w:val="0000FF" w:themeColor="hyperlink"/>
      <w:u w:val="single"/>
    </w:rPr>
  </w:style>
  <w:style w:type="character" w:customStyle="1" w:styleId="Heading3Char">
    <w:name w:val="Heading 3 Char"/>
    <w:basedOn w:val="DefaultParagraphFont"/>
    <w:link w:val="Heading3"/>
    <w:rsid w:val="00A5142B"/>
    <w:rPr>
      <w:rFonts w:ascii="Arial" w:eastAsia="SimSun" w:hAnsi="Arial" w:cs="Arial"/>
      <w:bCs/>
      <w:sz w:val="22"/>
      <w:szCs w:val="26"/>
      <w:u w:val="single"/>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5142B"/>
    <w:rPr>
      <w:vertAlign w:val="superscript"/>
    </w:rPr>
  </w:style>
  <w:style w:type="paragraph" w:customStyle="1" w:styleId="footnotedescription">
    <w:name w:val="footnote description"/>
    <w:next w:val="Normal"/>
    <w:link w:val="footnotedescriptionChar"/>
    <w:hidden/>
    <w:rsid w:val="00A5142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5142B"/>
    <w:rPr>
      <w:rFonts w:ascii="Arial" w:eastAsia="Arial" w:hAnsi="Arial" w:cs="Arial"/>
      <w:color w:val="000000"/>
      <w:szCs w:val="22"/>
      <w:lang w:val="en-AU" w:eastAsia="en-AU"/>
    </w:rPr>
  </w:style>
  <w:style w:type="character" w:customStyle="1" w:styleId="footnotemark">
    <w:name w:val="footnote mark"/>
    <w:hidden/>
    <w:rsid w:val="00A5142B"/>
    <w:rPr>
      <w:rFonts w:ascii="Arial" w:eastAsia="Arial" w:hAnsi="Arial" w:cs="Arial"/>
      <w:color w:val="000000"/>
      <w:sz w:val="20"/>
      <w:vertAlign w:val="superscript"/>
    </w:rPr>
  </w:style>
  <w:style w:type="character" w:customStyle="1" w:styleId="FootnoteTextChar">
    <w:name w:val="Footnote Text Char"/>
    <w:basedOn w:val="DefaultParagraphFont"/>
    <w:link w:val="FootnoteText"/>
    <w:rsid w:val="00A5142B"/>
    <w:rPr>
      <w:rFonts w:ascii="Arial" w:eastAsia="SimSun" w:hAnsi="Arial" w:cs="Arial"/>
      <w:sz w:val="18"/>
      <w:lang w:val="es-ES" w:eastAsia="zh-CN"/>
    </w:rPr>
  </w:style>
  <w:style w:type="character" w:customStyle="1" w:styleId="Heading1Char">
    <w:name w:val="Heading 1 Char"/>
    <w:link w:val="Heading1"/>
    <w:uiPriority w:val="9"/>
    <w:rsid w:val="00A5142B"/>
    <w:rPr>
      <w:rFonts w:ascii="Arial" w:eastAsia="SimSun" w:hAnsi="Arial" w:cs="Arial"/>
      <w:b/>
      <w:bCs/>
      <w:caps/>
      <w:kern w:val="32"/>
      <w:sz w:val="22"/>
      <w:szCs w:val="32"/>
      <w:lang w:val="es-ES" w:eastAsia="zh-CN"/>
    </w:rPr>
  </w:style>
  <w:style w:type="table" w:customStyle="1" w:styleId="TableGrid">
    <w:name w:val="TableGrid"/>
    <w:rsid w:val="00A5142B"/>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styleId="FollowedHyperlink">
    <w:name w:val="FollowedHyperlink"/>
    <w:basedOn w:val="DefaultParagraphFont"/>
    <w:semiHidden/>
    <w:unhideWhenUsed/>
    <w:rsid w:val="007F5ADA"/>
    <w:rPr>
      <w:color w:val="800080" w:themeColor="followedHyperlink"/>
      <w:u w:val="single"/>
    </w:rPr>
  </w:style>
  <w:style w:type="paragraph" w:styleId="BalloonText">
    <w:name w:val="Balloon Text"/>
    <w:basedOn w:val="Normal"/>
    <w:link w:val="BalloonTextChar"/>
    <w:semiHidden/>
    <w:unhideWhenUsed/>
    <w:rsid w:val="00A12CD1"/>
    <w:rPr>
      <w:rFonts w:ascii="Segoe UI" w:hAnsi="Segoe UI" w:cs="Segoe UI"/>
      <w:sz w:val="18"/>
      <w:szCs w:val="18"/>
    </w:rPr>
  </w:style>
  <w:style w:type="character" w:customStyle="1" w:styleId="BalloonTextChar">
    <w:name w:val="Balloon Text Char"/>
    <w:basedOn w:val="DefaultParagraphFont"/>
    <w:link w:val="BalloonText"/>
    <w:semiHidden/>
    <w:rsid w:val="00A12CD1"/>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0C8E-EDBA-484F-BB05-30A7A330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9519</Characters>
  <Application>Microsoft Office Word</Application>
  <DocSecurity>0</DocSecurity>
  <Lines>195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WIPO/GRTK/IC/41/</vt:lpstr>
      <vt:lpstr>WIPO/GRTK/IC/41/</vt:lpstr>
    </vt:vector>
  </TitlesOfParts>
  <Company>WIPO</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dc:title>
  <dc:creator>SALAZAR GUILLEN Ivan</dc:creator>
  <cp:keywords>FOR OFFICIAL USE ONLY</cp:keywords>
  <cp:lastModifiedBy>MORENO PALESTINI Maria Del Pilar</cp:lastModifiedBy>
  <cp:revision>2</cp:revision>
  <dcterms:created xsi:type="dcterms:W3CDTF">2021-08-31T13:58:00Z</dcterms:created>
  <dcterms:modified xsi:type="dcterms:W3CDTF">2021-08-31T13:58:00Z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