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bookmarkStart w:id="0" w:name="_GoBack"/>
            <w:bookmarkEnd w:id="0"/>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495CBB" w:rsidP="00FF2A14">
            <w:pPr>
              <w:jc w:val="right"/>
              <w:rPr>
                <w:rFonts w:ascii="Arial Black" w:hAnsi="Arial Black"/>
                <w:caps/>
                <w:sz w:val="15"/>
                <w:lang w:val="es-419"/>
              </w:rPr>
            </w:pPr>
            <w:r>
              <w:rPr>
                <w:rFonts w:ascii="Arial Black" w:hAnsi="Arial Black"/>
                <w:caps/>
                <w:sz w:val="15"/>
                <w:lang w:val="es-419"/>
              </w:rPr>
              <w:t>WIPO/GRTKF/IC/4</w:t>
            </w:r>
            <w:r w:rsidR="00FF2A14">
              <w:rPr>
                <w:rFonts w:ascii="Arial Black" w:hAnsi="Arial Black"/>
                <w:caps/>
                <w:sz w:val="15"/>
                <w:lang w:val="es-419"/>
              </w:rPr>
              <w:t>1</w:t>
            </w:r>
            <w:r w:rsidR="00D24F5B" w:rsidRPr="00475830">
              <w:rPr>
                <w:rFonts w:ascii="Arial Black" w:hAnsi="Arial Black"/>
                <w:caps/>
                <w:sz w:val="15"/>
                <w:lang w:val="es-419"/>
              </w:rPr>
              <w:t>/</w:t>
            </w:r>
            <w:bookmarkStart w:id="1" w:name="Code"/>
            <w:bookmarkEnd w:id="1"/>
            <w:r w:rsidR="00DB09F9">
              <w:rPr>
                <w:rFonts w:ascii="Arial Black" w:hAnsi="Arial Black"/>
                <w:caps/>
                <w:sz w:val="15"/>
                <w:lang w:val="es-419"/>
              </w:rPr>
              <w:t>5</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EF2CB8">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2" w:name="Original"/>
            <w:bookmarkEnd w:id="2"/>
            <w:r w:rsidR="00DB09F9">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856AFF">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3" w:name="Date"/>
            <w:bookmarkEnd w:id="3"/>
            <w:r w:rsidR="00856AFF">
              <w:rPr>
                <w:rFonts w:ascii="Arial Black" w:hAnsi="Arial Black"/>
                <w:caps/>
                <w:sz w:val="15"/>
                <w:lang w:val="es-419"/>
              </w:rPr>
              <w:t xml:space="preserve">7 </w:t>
            </w:r>
            <w:r w:rsidR="00DB09F9">
              <w:rPr>
                <w:rFonts w:ascii="Arial Black" w:hAnsi="Arial Black"/>
                <w:caps/>
                <w:sz w:val="15"/>
                <w:lang w:val="es-419"/>
              </w:rPr>
              <w:t xml:space="preserve">de </w:t>
            </w:r>
            <w:r w:rsidR="00856AFF">
              <w:rPr>
                <w:rFonts w:ascii="Arial Black" w:hAnsi="Arial Black"/>
                <w:caps/>
                <w:sz w:val="15"/>
                <w:lang w:val="es-419"/>
              </w:rPr>
              <w:t>JUNIO</w:t>
            </w:r>
            <w:r w:rsidR="00DB09F9">
              <w:rPr>
                <w:rFonts w:ascii="Arial Black" w:hAnsi="Arial Black"/>
                <w:caps/>
                <w:sz w:val="15"/>
                <w:lang w:val="es-419"/>
              </w:rPr>
              <w:t xml:space="preserve"> de 202</w:t>
            </w:r>
            <w:r w:rsidR="00856AFF">
              <w:rPr>
                <w:rFonts w:ascii="Arial Black" w:hAnsi="Arial Black"/>
                <w:caps/>
                <w:sz w:val="15"/>
                <w:lang w:val="es-419"/>
              </w:rPr>
              <w:t>1</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FF2A14" w:rsidRDefault="00FF2A14" w:rsidP="00FF2A14">
      <w:pPr>
        <w:rPr>
          <w:b/>
          <w:sz w:val="24"/>
          <w:szCs w:val="24"/>
        </w:rPr>
      </w:pPr>
      <w:r>
        <w:rPr>
          <w:b/>
          <w:sz w:val="24"/>
          <w:szCs w:val="24"/>
        </w:rPr>
        <w:t>Cuadragésima primera sesión</w:t>
      </w:r>
    </w:p>
    <w:p w:rsidR="00FF2A14" w:rsidRDefault="00856AFF" w:rsidP="00FF2A14">
      <w:pPr>
        <w:rPr>
          <w:b/>
          <w:sz w:val="24"/>
          <w:szCs w:val="24"/>
        </w:rPr>
      </w:pPr>
      <w:r>
        <w:rPr>
          <w:b/>
          <w:sz w:val="24"/>
          <w:szCs w:val="24"/>
        </w:rPr>
        <w:t>Ginebra, 30 de agosto</w:t>
      </w:r>
      <w:r w:rsidR="00FF2A14">
        <w:rPr>
          <w:b/>
          <w:sz w:val="24"/>
          <w:szCs w:val="24"/>
        </w:rPr>
        <w:t xml:space="preserve"> a </w:t>
      </w:r>
      <w:r>
        <w:rPr>
          <w:b/>
          <w:sz w:val="24"/>
          <w:szCs w:val="24"/>
        </w:rPr>
        <w:t>3</w:t>
      </w:r>
      <w:r w:rsidR="00FF2A14">
        <w:rPr>
          <w:b/>
          <w:sz w:val="24"/>
          <w:szCs w:val="24"/>
        </w:rPr>
        <w:t xml:space="preserve"> </w:t>
      </w:r>
      <w:r w:rsidR="006902F9">
        <w:rPr>
          <w:b/>
          <w:sz w:val="24"/>
          <w:szCs w:val="24"/>
        </w:rPr>
        <w:t xml:space="preserve">de </w:t>
      </w:r>
      <w:r>
        <w:rPr>
          <w:b/>
          <w:sz w:val="24"/>
          <w:szCs w:val="24"/>
        </w:rPr>
        <w:t>septiembre</w:t>
      </w:r>
      <w:r w:rsidR="006902F9">
        <w:rPr>
          <w:b/>
          <w:sz w:val="24"/>
          <w:szCs w:val="24"/>
        </w:rPr>
        <w:t xml:space="preserve"> </w:t>
      </w:r>
      <w:r w:rsidR="00FF2A14">
        <w:rPr>
          <w:b/>
          <w:sz w:val="24"/>
          <w:szCs w:val="24"/>
        </w:rPr>
        <w:t>de 202</w:t>
      </w:r>
      <w:r w:rsidR="006902F9">
        <w:rPr>
          <w:b/>
          <w:sz w:val="24"/>
          <w:szCs w:val="24"/>
        </w:rPr>
        <w:t>1</w:t>
      </w:r>
    </w:p>
    <w:p w:rsidR="008B2CC1" w:rsidRPr="00FF2A14" w:rsidRDefault="008B2CC1" w:rsidP="008B2CC1"/>
    <w:p w:rsidR="008B2CC1" w:rsidRPr="00475830" w:rsidRDefault="008B2CC1" w:rsidP="008B2CC1">
      <w:pPr>
        <w:rPr>
          <w:lang w:val="es-419"/>
        </w:rPr>
      </w:pPr>
    </w:p>
    <w:p w:rsidR="008B2CC1" w:rsidRPr="00475830" w:rsidRDefault="008B2CC1" w:rsidP="008B2CC1">
      <w:pPr>
        <w:rPr>
          <w:lang w:val="es-419"/>
        </w:rPr>
      </w:pPr>
    </w:p>
    <w:p w:rsidR="00FF2A14" w:rsidRDefault="00DB09F9" w:rsidP="00FF2A14">
      <w:pPr>
        <w:rPr>
          <w:caps/>
          <w:sz w:val="24"/>
        </w:rPr>
      </w:pPr>
      <w:bookmarkStart w:id="4" w:name="TitleOfDoc"/>
      <w:bookmarkEnd w:id="4"/>
      <w:r>
        <w:rPr>
          <w:caps/>
          <w:sz w:val="24"/>
        </w:rPr>
        <w:t>Texto del Proyecto de Instrumento jurídico internacional relativo a la propiedad intelectual, los recursos genéticos y los conocimientos tradicionales asociados a los recursos genéticos, preparado por el presidente</w:t>
      </w:r>
    </w:p>
    <w:p w:rsidR="00FF2A14" w:rsidRDefault="00FF2A14" w:rsidP="00FF2A14"/>
    <w:p w:rsidR="008B2CC1" w:rsidRPr="00475830" w:rsidRDefault="00DB09F9" w:rsidP="008B2CC1">
      <w:pPr>
        <w:rPr>
          <w:i/>
          <w:lang w:val="es-419"/>
        </w:rPr>
      </w:pPr>
      <w:bookmarkStart w:id="5" w:name="Prepared"/>
      <w:bookmarkEnd w:id="5"/>
      <w:r>
        <w:rPr>
          <w:i/>
          <w:lang w:val="es-419"/>
        </w:rPr>
        <w:t>Documento preparado por el presidente para el bienio 2018/2019</w:t>
      </w:r>
    </w:p>
    <w:p w:rsidR="008B2CC1" w:rsidRPr="00475830" w:rsidRDefault="008B2CC1" w:rsidP="003845C1">
      <w:pPr>
        <w:rPr>
          <w:lang w:val="es-419"/>
        </w:rPr>
      </w:pPr>
    </w:p>
    <w:p w:rsidR="000F5E56" w:rsidRPr="00475830" w:rsidRDefault="000F5E56">
      <w:pPr>
        <w:rPr>
          <w:lang w:val="es-419"/>
        </w:rPr>
      </w:pPr>
    </w:p>
    <w:p w:rsidR="00F84474" w:rsidRPr="00475830" w:rsidRDefault="00F84474">
      <w:pPr>
        <w:rPr>
          <w:lang w:val="es-419"/>
        </w:rPr>
      </w:pPr>
    </w:p>
    <w:p w:rsidR="00F84474" w:rsidRPr="00475830" w:rsidRDefault="00F84474">
      <w:pPr>
        <w:rPr>
          <w:lang w:val="es-419"/>
        </w:rPr>
      </w:pPr>
    </w:p>
    <w:p w:rsidR="00DB09F9" w:rsidRDefault="00DB09F9" w:rsidP="00DB09F9"/>
    <w:p w:rsidR="00DB09F9" w:rsidRDefault="009F7C1F" w:rsidP="00DB09F9">
      <w:pPr>
        <w:pStyle w:val="ListParagraph"/>
        <w:numPr>
          <w:ilvl w:val="0"/>
          <w:numId w:val="14"/>
        </w:numPr>
        <w:spacing w:after="0" w:line="240" w:lineRule="auto"/>
        <w:ind w:left="0" w:firstLine="0"/>
        <w:rPr>
          <w:rFonts w:ascii="Arial" w:hAnsi="Arial" w:cs="Arial"/>
        </w:rPr>
      </w:pPr>
      <w:r w:rsidRPr="009F7C1F">
        <w:rPr>
          <w:rFonts w:ascii="Arial" w:hAnsi="Arial" w:cs="Arial"/>
          <w:lang w:val="es-419"/>
        </w:rPr>
        <w:t xml:space="preserve">En abril de 2019, el presidente del Comité Intergubernamental sobre Propiedad Intelectual y Recursos Genéticos, Conocimientos Tradicionales y Folclore, de la OMPI (“el Comité”) para el bienio 2018/2019, Sr. </w:t>
      </w:r>
      <w:proofErr w:type="spellStart"/>
      <w:r w:rsidRPr="009F7C1F">
        <w:rPr>
          <w:rFonts w:ascii="Arial" w:hAnsi="Arial" w:cs="Arial"/>
          <w:lang w:val="es-419"/>
        </w:rPr>
        <w:t>Ian</w:t>
      </w:r>
      <w:proofErr w:type="spellEnd"/>
      <w:r w:rsidRPr="009F7C1F">
        <w:rPr>
          <w:rFonts w:ascii="Arial" w:hAnsi="Arial" w:cs="Arial"/>
          <w:lang w:val="es-419"/>
        </w:rPr>
        <w:t xml:space="preserve"> </w:t>
      </w:r>
      <w:proofErr w:type="spellStart"/>
      <w:r w:rsidRPr="009F7C1F">
        <w:rPr>
          <w:rFonts w:ascii="Arial" w:hAnsi="Arial" w:cs="Arial"/>
          <w:lang w:val="es-419"/>
        </w:rPr>
        <w:t>Goss</w:t>
      </w:r>
      <w:proofErr w:type="spellEnd"/>
      <w:r w:rsidRPr="009F7C1F">
        <w:rPr>
          <w:rFonts w:ascii="Arial" w:hAnsi="Arial" w:cs="Arial"/>
          <w:lang w:val="es-419"/>
        </w:rPr>
        <w:t>, preparó, en el ejercicio de sus facultades</w:t>
      </w:r>
      <w:r w:rsidR="009B3AFD">
        <w:rPr>
          <w:rFonts w:ascii="Arial" w:hAnsi="Arial" w:cs="Arial"/>
          <w:lang w:val="es-419"/>
        </w:rPr>
        <w:t xml:space="preserve"> y </w:t>
      </w:r>
      <w:r w:rsidR="009B3AFD" w:rsidRPr="009F7C1F">
        <w:rPr>
          <w:rFonts w:ascii="Arial" w:hAnsi="Arial" w:cs="Arial"/>
          <w:lang w:val="es-419"/>
        </w:rPr>
        <w:t>para examen por el Comité</w:t>
      </w:r>
      <w:r w:rsidRPr="009F7C1F">
        <w:rPr>
          <w:rFonts w:ascii="Arial" w:hAnsi="Arial" w:cs="Arial"/>
          <w:lang w:val="es-419"/>
        </w:rPr>
        <w:t xml:space="preserve">, el texto del presidente del CIG sobre un </w:t>
      </w:r>
      <w:r w:rsidRPr="009F7C1F">
        <w:rPr>
          <w:rFonts w:ascii="Arial" w:hAnsi="Arial" w:cs="Arial"/>
          <w:i/>
          <w:lang w:val="es-419"/>
        </w:rPr>
        <w:t>Proyecto de instrumento jurídico internacional relativo a la propiedad intelectual, los recursos genéticos y los conocimientos tradicionales asociados a los recursos genéticos</w:t>
      </w:r>
      <w:r w:rsidR="00DB09F9" w:rsidRPr="00BD1E3E">
        <w:rPr>
          <w:rFonts w:ascii="Arial" w:hAnsi="Arial" w:cs="Arial"/>
        </w:rPr>
        <w:t>.</w:t>
      </w:r>
    </w:p>
    <w:p w:rsidR="00DB09F9" w:rsidRDefault="00DB09F9" w:rsidP="00DB09F9">
      <w:pPr>
        <w:pStyle w:val="ListParagraph"/>
        <w:spacing w:after="0" w:line="240" w:lineRule="auto"/>
        <w:ind w:left="0"/>
        <w:rPr>
          <w:rFonts w:ascii="Arial" w:hAnsi="Arial" w:cs="Arial"/>
        </w:rPr>
      </w:pPr>
    </w:p>
    <w:p w:rsidR="00DB09F9" w:rsidRPr="00D272F9" w:rsidRDefault="0015624F" w:rsidP="00DB09F9">
      <w:pPr>
        <w:pStyle w:val="ListParagraph"/>
        <w:numPr>
          <w:ilvl w:val="0"/>
          <w:numId w:val="14"/>
        </w:numPr>
        <w:spacing w:after="0" w:line="240" w:lineRule="auto"/>
        <w:ind w:left="0" w:firstLine="0"/>
        <w:rPr>
          <w:rFonts w:ascii="Arial" w:hAnsi="Arial" w:cs="Arial"/>
        </w:rPr>
      </w:pPr>
      <w:r w:rsidRPr="0015624F">
        <w:rPr>
          <w:rFonts w:ascii="Arial" w:hAnsi="Arial" w:cs="Arial"/>
          <w:lang w:val="es-419"/>
        </w:rPr>
        <w:t xml:space="preserve">En su cuadragésima sesión, el Comité decidió incluirlo como documento de trabajo del Comité, en calidad de texto del presidente. A raíz de esa decisión, se anexa al presente documento el texto del presidente sobre un </w:t>
      </w:r>
      <w:r w:rsidRPr="0015624F">
        <w:rPr>
          <w:rFonts w:ascii="Arial" w:hAnsi="Arial" w:cs="Arial"/>
          <w:i/>
          <w:lang w:val="es-419"/>
        </w:rPr>
        <w:t>Proyecto de instrumento jurídico internacional relativo a la propiedad intelectual, los recursos genéticos y los conocimientos tradicionales asociados a los recursos genéticos</w:t>
      </w:r>
      <w:r w:rsidRPr="0015624F">
        <w:rPr>
          <w:rFonts w:ascii="Arial" w:hAnsi="Arial" w:cs="Arial"/>
          <w:lang w:val="es-419"/>
        </w:rPr>
        <w:t>, preparado en abril de 2019</w:t>
      </w:r>
      <w:r w:rsidR="00DB09F9" w:rsidRPr="0015624F">
        <w:rPr>
          <w:rFonts w:ascii="Arial" w:hAnsi="Arial" w:cs="Arial"/>
          <w:lang w:val="es-ES_tradnl"/>
        </w:rPr>
        <w:t>.</w:t>
      </w:r>
    </w:p>
    <w:p w:rsidR="00DB09F9" w:rsidRPr="009F1C4B" w:rsidRDefault="00DB09F9" w:rsidP="00DB09F9">
      <w:pPr>
        <w:pStyle w:val="ListParagraph"/>
        <w:spacing w:after="0" w:line="240" w:lineRule="auto"/>
        <w:ind w:left="0"/>
        <w:rPr>
          <w:rFonts w:ascii="Arial" w:hAnsi="Arial" w:cs="Arial"/>
        </w:rPr>
      </w:pPr>
    </w:p>
    <w:p w:rsidR="00DB09F9" w:rsidRPr="00D272F9" w:rsidRDefault="0015624F" w:rsidP="00DB09F9">
      <w:pPr>
        <w:pStyle w:val="ListParagraph"/>
        <w:numPr>
          <w:ilvl w:val="0"/>
          <w:numId w:val="14"/>
        </w:numPr>
        <w:spacing w:after="0" w:line="240" w:lineRule="auto"/>
        <w:ind w:left="5580" w:firstLine="0"/>
        <w:rPr>
          <w:rFonts w:ascii="Arial" w:hAnsi="Arial" w:cs="Arial"/>
        </w:rPr>
      </w:pPr>
      <w:r w:rsidRPr="0015624F">
        <w:rPr>
          <w:rFonts w:ascii="Arial" w:hAnsi="Arial" w:cs="Arial"/>
          <w:i/>
          <w:lang w:val="es-419"/>
        </w:rPr>
        <w:t>Se invita al Comité a examinar el documento que figura en el Anexo y formular comentarios al respecto</w:t>
      </w:r>
      <w:r w:rsidR="00DB09F9">
        <w:rPr>
          <w:rFonts w:ascii="Arial" w:hAnsi="Arial" w:cs="Arial"/>
          <w:i/>
        </w:rPr>
        <w:t>.</w:t>
      </w:r>
    </w:p>
    <w:p w:rsidR="00DB09F9" w:rsidRDefault="00DB09F9" w:rsidP="00DB09F9">
      <w:pPr>
        <w:pStyle w:val="ListParagraph"/>
        <w:spacing w:after="0" w:line="240" w:lineRule="auto"/>
        <w:ind w:left="5580"/>
        <w:rPr>
          <w:rFonts w:ascii="Arial" w:hAnsi="Arial" w:cs="Arial"/>
        </w:rPr>
      </w:pPr>
    </w:p>
    <w:p w:rsidR="001C66B6" w:rsidRDefault="001C66B6" w:rsidP="00DB09F9">
      <w:pPr>
        <w:pStyle w:val="ListParagraph"/>
        <w:spacing w:after="0" w:line="240" w:lineRule="auto"/>
        <w:ind w:left="5580"/>
        <w:rPr>
          <w:rFonts w:ascii="Arial" w:hAnsi="Arial" w:cs="Arial"/>
        </w:rPr>
      </w:pPr>
    </w:p>
    <w:p w:rsidR="00DB09F9" w:rsidRPr="00BD1E3E" w:rsidRDefault="00DB09F9" w:rsidP="00DB09F9">
      <w:pPr>
        <w:pStyle w:val="ListParagraph"/>
        <w:spacing w:line="240" w:lineRule="auto"/>
        <w:ind w:left="5580"/>
        <w:rPr>
          <w:rFonts w:ascii="Arial" w:hAnsi="Arial" w:cs="Arial"/>
        </w:rPr>
      </w:pPr>
      <w:r>
        <w:rPr>
          <w:rFonts w:ascii="Arial" w:hAnsi="Arial" w:cs="Arial"/>
        </w:rPr>
        <w:t>[</w:t>
      </w:r>
      <w:r w:rsidR="0015624F">
        <w:rPr>
          <w:rFonts w:ascii="Arial" w:hAnsi="Arial" w:cs="Arial"/>
        </w:rPr>
        <w:t>Sigue el Anexo</w:t>
      </w:r>
      <w:r>
        <w:rPr>
          <w:rFonts w:ascii="Arial" w:hAnsi="Arial" w:cs="Arial"/>
        </w:rPr>
        <w:t>]</w:t>
      </w:r>
    </w:p>
    <w:p w:rsidR="00DB09F9" w:rsidRPr="0015624F" w:rsidRDefault="00DB09F9" w:rsidP="00DB09F9">
      <w:pPr>
        <w:rPr>
          <w:lang w:val="es-ES_tradnl"/>
        </w:rPr>
      </w:pPr>
    </w:p>
    <w:p w:rsidR="00DB09F9" w:rsidRPr="0015624F" w:rsidRDefault="00DB09F9" w:rsidP="00DB09F9">
      <w:pPr>
        <w:rPr>
          <w:lang w:val="es-ES_tradnl"/>
        </w:rPr>
        <w:sectPr w:rsidR="00DB09F9" w:rsidRPr="0015624F" w:rsidSect="001C66B6">
          <w:headerReference w:type="even" r:id="rId9"/>
          <w:headerReference w:type="default" r:id="rId10"/>
          <w:endnotePr>
            <w:numFmt w:val="decimal"/>
          </w:endnotePr>
          <w:pgSz w:w="11907" w:h="16840" w:code="9"/>
          <w:pgMar w:top="567" w:right="1134" w:bottom="630" w:left="1418" w:header="510" w:footer="1021" w:gutter="0"/>
          <w:pgNumType w:start="1"/>
          <w:cols w:space="720"/>
          <w:titlePg/>
          <w:docGrid w:linePitch="326"/>
        </w:sectPr>
      </w:pPr>
    </w:p>
    <w:p w:rsidR="0015624F" w:rsidRPr="0015624F" w:rsidRDefault="0015624F" w:rsidP="0015624F">
      <w:pPr>
        <w:ind w:left="-360"/>
        <w:jc w:val="center"/>
        <w:outlineLvl w:val="0"/>
        <w:rPr>
          <w:b/>
          <w:szCs w:val="22"/>
          <w:lang w:val="es-ES_tradnl"/>
        </w:rPr>
      </w:pPr>
      <w:r w:rsidRPr="0015624F">
        <w:rPr>
          <w:b/>
          <w:szCs w:val="22"/>
          <w:lang w:val="es-ES_tradnl"/>
        </w:rPr>
        <w:lastRenderedPageBreak/>
        <w:t>Proyecto de</w:t>
      </w:r>
    </w:p>
    <w:p w:rsidR="0015624F" w:rsidRPr="0015624F" w:rsidRDefault="0015624F" w:rsidP="0015624F">
      <w:pPr>
        <w:ind w:left="-360"/>
        <w:jc w:val="center"/>
        <w:outlineLvl w:val="0"/>
        <w:rPr>
          <w:b/>
          <w:szCs w:val="22"/>
          <w:lang w:val="es-ES_tradnl"/>
        </w:rPr>
      </w:pPr>
      <w:r w:rsidRPr="0015624F">
        <w:rPr>
          <w:b/>
          <w:szCs w:val="22"/>
          <w:lang w:val="es-ES_tradnl"/>
        </w:rPr>
        <w:t>Instrumento jurídico internacional relativo a la propiedad intelectual, los recursos genéticos y los conocimientos tradicionales asociados a los recursos genéticos</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 xml:space="preserve">preparado por el Sr. </w:t>
      </w:r>
      <w:proofErr w:type="spellStart"/>
      <w:r w:rsidRPr="0015624F">
        <w:rPr>
          <w:b/>
          <w:szCs w:val="22"/>
          <w:lang w:val="es-ES_tradnl"/>
        </w:rPr>
        <w:t>Ian</w:t>
      </w:r>
      <w:proofErr w:type="spellEnd"/>
      <w:r w:rsidRPr="0015624F">
        <w:rPr>
          <w:b/>
          <w:szCs w:val="22"/>
          <w:lang w:val="es-ES_tradnl"/>
        </w:rPr>
        <w:t xml:space="preserve"> </w:t>
      </w:r>
      <w:proofErr w:type="spellStart"/>
      <w:r w:rsidRPr="0015624F">
        <w:rPr>
          <w:b/>
          <w:szCs w:val="22"/>
          <w:lang w:val="es-ES_tradnl"/>
        </w:rPr>
        <w:t>Goss</w:t>
      </w:r>
      <w:proofErr w:type="spellEnd"/>
    </w:p>
    <w:p w:rsidR="0015624F" w:rsidRPr="0015624F" w:rsidRDefault="0015624F" w:rsidP="0015624F">
      <w:pPr>
        <w:ind w:left="-360"/>
        <w:jc w:val="center"/>
        <w:outlineLvl w:val="0"/>
        <w:rPr>
          <w:b/>
          <w:szCs w:val="22"/>
          <w:lang w:val="es-ES_tradnl"/>
        </w:rPr>
      </w:pPr>
      <w:r w:rsidRPr="0015624F">
        <w:rPr>
          <w:b/>
          <w:szCs w:val="22"/>
          <w:lang w:val="es-ES_tradnl"/>
        </w:rPr>
        <w:t>presidente, Comité Intergubernamental sobre Propiedad Intelectual y Recursos Genéticos, Conocimientos Tradicionales y Folclore</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30 de abril de 2019</w:t>
      </w:r>
    </w:p>
    <w:p w:rsidR="00DB09F9" w:rsidRPr="0015624F" w:rsidRDefault="00DB09F9" w:rsidP="00DB09F9">
      <w:pPr>
        <w:ind w:left="-360"/>
        <w:jc w:val="center"/>
        <w:outlineLvl w:val="0"/>
        <w:rPr>
          <w:b/>
          <w:szCs w:val="22"/>
          <w:lang w:val="es-ES_tradnl"/>
        </w:rPr>
      </w:pPr>
    </w:p>
    <w:p w:rsidR="00DB09F9" w:rsidRPr="0015624F" w:rsidRDefault="00DB09F9" w:rsidP="00DB09F9">
      <w:pPr>
        <w:ind w:left="-360"/>
        <w:jc w:val="center"/>
        <w:rPr>
          <w:b/>
          <w:lang w:val="es-ES_tradnl"/>
        </w:rPr>
      </w:pPr>
    </w:p>
    <w:p w:rsidR="00DB09F9" w:rsidRPr="0015624F" w:rsidRDefault="00DB09F9" w:rsidP="00DB09F9">
      <w:pPr>
        <w:rPr>
          <w:b/>
          <w:lang w:val="es-ES_tradnl"/>
        </w:rPr>
      </w:pPr>
    </w:p>
    <w:p w:rsidR="00DB09F9" w:rsidRPr="0015624F" w:rsidRDefault="00DB09F9" w:rsidP="00DB09F9">
      <w:pPr>
        <w:rPr>
          <w:lang w:val="es-ES_tradnl"/>
        </w:rPr>
      </w:pPr>
    </w:p>
    <w:p w:rsidR="0015624F" w:rsidRPr="0015624F" w:rsidRDefault="0015624F" w:rsidP="0015624F">
      <w:pPr>
        <w:rPr>
          <w:b/>
          <w:i/>
          <w:szCs w:val="22"/>
          <w:lang w:val="es-419"/>
        </w:rPr>
      </w:pPr>
      <w:r w:rsidRPr="0015624F">
        <w:rPr>
          <w:b/>
          <w:i/>
          <w:szCs w:val="22"/>
          <w:lang w:val="es-419"/>
        </w:rPr>
        <w:t>Observaciones preliminares</w:t>
      </w:r>
      <w:r w:rsidRPr="0015624F">
        <w:rPr>
          <w:b/>
          <w:szCs w:val="22"/>
          <w:vertAlign w:val="superscript"/>
          <w:lang w:val="es-419"/>
        </w:rPr>
        <w:footnoteReference w:id="2"/>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15624F">
        <w:rPr>
          <w:szCs w:val="22"/>
          <w:vertAlign w:val="superscript"/>
          <w:lang w:val="es-419"/>
        </w:rPr>
        <w:footnoteReference w:id="3"/>
      </w:r>
    </w:p>
    <w:p w:rsidR="0015624F" w:rsidRPr="0015624F" w:rsidRDefault="0015624F" w:rsidP="0015624F">
      <w:pPr>
        <w:rPr>
          <w:szCs w:val="22"/>
          <w:lang w:val="es-419"/>
        </w:rPr>
      </w:pPr>
    </w:p>
    <w:p w:rsidR="0015624F" w:rsidRPr="0015624F" w:rsidRDefault="0015624F" w:rsidP="0015624F">
      <w:pPr>
        <w:rPr>
          <w:b/>
          <w:szCs w:val="22"/>
          <w:lang w:val="es-419"/>
        </w:rPr>
      </w:pPr>
      <w:r w:rsidRPr="0015624F">
        <w:rPr>
          <w:szCs w:val="22"/>
          <w:lang w:val="es-419"/>
        </w:rPr>
        <w:t>2.</w:t>
      </w:r>
      <w:r w:rsidRPr="0015624F">
        <w:rPr>
          <w:szCs w:val="22"/>
          <w:lang w:val="es-419"/>
        </w:rPr>
        <w:tab/>
        <w:t>La incapacidad que ha experimentado hasta el momento el CIG para hallar una posición de consenso queda reflejada en los distintos intereses de política que se observan en los objetivos alternativos del actual proyecto de texto del CIG sobre los RR.GG. y los CC.TT. conexos.</w:t>
      </w:r>
      <w:r w:rsidRPr="0015624F">
        <w:rPr>
          <w:szCs w:val="22"/>
          <w:vertAlign w:val="superscript"/>
          <w:lang w:val="es-419"/>
        </w:rPr>
        <w:footnoteReference w:id="4"/>
      </w:r>
      <w:r w:rsidRPr="0015624F">
        <w:rPr>
          <w:szCs w:val="22"/>
          <w:lang w:val="es-419"/>
        </w:rPr>
        <w:t xml:space="preserve"> En mi opinión, hay margen para salvar esas diferentes perspectivas y para equilibrar los derechos e intereses de los usuarios y los derechos e intereses de los proveedores y los titulares de los conocimientos. Además, </w:t>
      </w:r>
      <w:r w:rsidRPr="0015624F">
        <w:rPr>
          <w:b/>
          <w:szCs w:val="22"/>
          <w:lang w:val="es-419"/>
        </w:rPr>
        <w:t>comprender más claramente las modalidades de un requisito de divulgación internacional permitirá a las instancias encargadas de formular políticas tomar decisiones con conocimiento de causa sobre los costos, los riesgos y los beneficios de un requisito de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Desde esa perspectiva, he preparado el presente proyecto de texto de un instrumento jurídico internacional sobre la propiedad intelectual y los RR.GG. y los CC.TT. conexos para su examen por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He preparado el presente proyecto de texto únicamente bajo mi propia autoridad como contribución a las negociaciones que está llevando a cabo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El presente proyecto se entiende sin perjuicio de las posturas de los Estados Miembros y refleja mis puntos de vista únicamente. 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los usuarios de los RR.GG. y los CC.TT. conexos, sin los cuales, a mi juicio, no se logrará un acuerdo mutuamente beneficioso.</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lang w:val="es-419"/>
        </w:rPr>
        <w:t>6.</w:t>
      </w:r>
      <w:r w:rsidRPr="0015624F">
        <w:rPr>
          <w:szCs w:val="22"/>
          <w:lang w:val="es-419"/>
        </w:rPr>
        <w:tab/>
        <w:t>Al elaborar este texto, he examinado detenidamente la documentación existente del CIG</w:t>
      </w:r>
      <w:r w:rsidRPr="0015624F">
        <w:rPr>
          <w:szCs w:val="22"/>
          <w:vertAlign w:val="superscript"/>
          <w:lang w:val="es-419"/>
        </w:rPr>
        <w:footnoteReference w:id="5"/>
      </w:r>
      <w:r w:rsidRPr="0015624F">
        <w:rPr>
          <w:szCs w:val="22"/>
          <w:lang w:val="es-419"/>
        </w:rPr>
        <w:t xml:space="preserve"> y la publicación de la Secretaría de la OMPI </w:t>
      </w:r>
      <w:r w:rsidRPr="0015624F">
        <w:rPr>
          <w:i/>
          <w:iCs/>
          <w:szCs w:val="22"/>
          <w:lang w:val="es-419"/>
        </w:rPr>
        <w:t>Cuestiones clave sobre la divulgación de recursos genéticos y conocimientos tradicionales en las solicitudes de patente</w:t>
      </w:r>
      <w:r w:rsidRPr="0015624F">
        <w:rPr>
          <w:szCs w:val="22"/>
          <w:lang w:val="es-419"/>
        </w:rPr>
        <w:t>.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fomentaría la transparencia en relación con el uso de los RR.GG. y los CC.TT. conexos en el sistema de patentes, y mejoraría la eficacia y la calidad del sistema de patentes. A mi juicio, esto facilitaría también la participación en los beneficios e impediría la concesión errónea de patentes y la apropiación indebida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7.</w:t>
      </w:r>
      <w:r w:rsidRPr="0015624F">
        <w:rPr>
          <w:szCs w:val="22"/>
          <w:lang w:val="es-419"/>
        </w:rPr>
        <w:tab/>
        <w:t>Invito a los Estados miembros a que examinen este proyecto de texto en el contexto de la labor del CIG sobre los RR.GG. y los CC.TT. conexos. Espero con interés recibir comentarios sobre el proyecto de los Estados miembros y las partes interesadas.</w:t>
      </w:r>
    </w:p>
    <w:p w:rsidR="0015624F" w:rsidRPr="0015624F" w:rsidRDefault="0015624F" w:rsidP="0015624F">
      <w:pPr>
        <w:rPr>
          <w:szCs w:val="22"/>
          <w:lang w:val="es-419"/>
        </w:rPr>
      </w:pPr>
    </w:p>
    <w:p w:rsidR="00292773" w:rsidRDefault="0015624F" w:rsidP="0015624F">
      <w:pPr>
        <w:rPr>
          <w:szCs w:val="22"/>
          <w:lang w:val="es-419"/>
        </w:rPr>
      </w:pPr>
      <w:r w:rsidRPr="0015624F">
        <w:rPr>
          <w:szCs w:val="22"/>
          <w:lang w:val="es-419"/>
        </w:rPr>
        <w:t>8.</w:t>
      </w:r>
      <w:r w:rsidRPr="0015624F">
        <w:rPr>
          <w:szCs w:val="22"/>
          <w:lang w:val="es-419"/>
        </w:rPr>
        <w:tab/>
        <w:t>El texto del proyecto de instrumento jurídico figura a continuación. Algunos de los artículos, aunque no todos, están acompañados de notas explicativas. Esas notas no forman parte del texto y simplemente tienen por objeto ofrecer otros antecedentes y explicaciones. En caso de discrepancia entre el texto de un artículo y la nota que lo acompaña, tiene prioridad el texto del artículo.</w:t>
      </w:r>
    </w:p>
    <w:p w:rsidR="00292773" w:rsidRDefault="00292773" w:rsidP="0015624F">
      <w:pPr>
        <w:rPr>
          <w:szCs w:val="22"/>
          <w:lang w:val="es-419"/>
        </w:rPr>
      </w:pP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t>PROYECTO DEL PRESIDENTE DEL CIG</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t>INSTRUMENTO JURÍDICO INTERNACIONAL RELATIVO A LA PROPIEDAD INTELECTUAL, LOS RECURSOS GENÉTICOS Y LOS CONOCIMIENTOS TRADICIONALES ASOCIADOS A LOS RECURSOS GENÉTICOS</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419"/>
        </w:rPr>
      </w:pPr>
      <w:r w:rsidRPr="0015624F">
        <w:rPr>
          <w:b/>
          <w:szCs w:val="22"/>
          <w:lang w:val="es-419"/>
        </w:rPr>
        <w:t>30 de abril de 2019</w:t>
      </w:r>
      <w:r w:rsidRPr="0015624F">
        <w:rPr>
          <w:b/>
          <w:szCs w:val="22"/>
          <w:lang w:val="es-419"/>
        </w:rPr>
        <w:br/>
      </w:r>
    </w:p>
    <w:p w:rsidR="0015624F" w:rsidRPr="0015624F" w:rsidRDefault="0015624F" w:rsidP="005B51CE">
      <w:pPr>
        <w:rPr>
          <w:rFonts w:eastAsia="Times New Roman"/>
          <w:szCs w:val="22"/>
          <w:lang w:val="es-419" w:eastAsia="en-US"/>
        </w:rPr>
      </w:pPr>
    </w:p>
    <w:p w:rsidR="0015624F" w:rsidRPr="0015624F" w:rsidRDefault="0015624F" w:rsidP="00292773">
      <w:pPr>
        <w:rPr>
          <w:rFonts w:eastAsia="Times New Roman"/>
          <w:szCs w:val="22"/>
          <w:lang w:val="es-419" w:eastAsia="en-US"/>
        </w:rPr>
      </w:pPr>
      <w:r w:rsidRPr="0015624F">
        <w:rPr>
          <w:rFonts w:eastAsia="Times New Roman"/>
          <w:szCs w:val="22"/>
          <w:lang w:val="es-419" w:eastAsia="en-US"/>
        </w:rPr>
        <w:t>Las Par</w:t>
      </w:r>
      <w:r w:rsidR="005B51CE">
        <w:rPr>
          <w:rFonts w:eastAsia="Times New Roman"/>
          <w:szCs w:val="22"/>
          <w:lang w:val="es-419" w:eastAsia="en-US"/>
        </w:rPr>
        <w:t>tes en el presente instrumento,</w:t>
      </w:r>
      <w:r w:rsidRPr="0015624F">
        <w:rPr>
          <w:rFonts w:eastAsia="Times New Roman"/>
          <w:szCs w:val="22"/>
          <w:lang w:val="es-419" w:eastAsia="en-US"/>
        </w:rPr>
        <w:br/>
      </w:r>
    </w:p>
    <w:p w:rsidR="0015624F" w:rsidRPr="0015624F" w:rsidRDefault="0015624F" w:rsidP="0015624F">
      <w:pPr>
        <w:rPr>
          <w:szCs w:val="22"/>
          <w:lang w:val="es-419"/>
        </w:rPr>
      </w:pPr>
      <w:r w:rsidRPr="0015624F">
        <w:rPr>
          <w:i/>
          <w:szCs w:val="22"/>
          <w:lang w:val="es-419"/>
        </w:rPr>
        <w:t xml:space="preserve">Deseosas de </w:t>
      </w:r>
      <w:r w:rsidRPr="0015624F">
        <w:rPr>
          <w:szCs w:val="22"/>
          <w:lang w:val="es-419"/>
        </w:rPr>
        <w:t>promover la eficacia, la transparencia y la calidad del sistema de patentes en relación con los recursos genéticos (RR.GG.) y los conocimientos tradicionales asociados a los recursos genéticos (CC.TT. conexos),</w:t>
      </w:r>
      <w:r w:rsidRPr="0015624F">
        <w:rPr>
          <w:szCs w:val="22"/>
          <w:lang w:val="es-419"/>
        </w:rPr>
        <w:br/>
      </w:r>
    </w:p>
    <w:p w:rsidR="0015624F" w:rsidRPr="0015624F" w:rsidRDefault="0015624F" w:rsidP="0015624F">
      <w:pPr>
        <w:contextualSpacing/>
        <w:rPr>
          <w:i/>
          <w:szCs w:val="22"/>
          <w:lang w:val="es-419"/>
        </w:rPr>
      </w:pPr>
      <w:r w:rsidRPr="0015624F">
        <w:rPr>
          <w:i/>
          <w:iCs/>
          <w:szCs w:val="22"/>
          <w:lang w:val="es-419"/>
        </w:rPr>
        <w:t>Poniendo de relieve</w:t>
      </w:r>
      <w:r w:rsidRPr="0015624F">
        <w:rPr>
          <w:szCs w:val="22"/>
          <w:lang w:val="es-419"/>
        </w:rPr>
        <w:t xml:space="preserve"> la importancia de que las oficinas de patentes tengan acceso a información adecuada sobre los RR.GG. y los CC.TT. conexos para impedir que se concedan erróneamente patentes sobre invenciones que no sean nuevas ni conlleven actividad inventiva con respecto a los RR.GG. y los CC.TT. conexos,</w:t>
      </w:r>
      <w:r w:rsidRPr="0015624F">
        <w:rPr>
          <w:szCs w:val="22"/>
          <w:lang w:val="es-419"/>
        </w:rPr>
        <w:br/>
      </w: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la función que podría cumplir el sistema de patentes como aporte a la protección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que un requisito de divulgación internacional en relación con los RR.GG. y los CC.TT. conexos en las solicitudes de patente contribuye a la seguridad y coherencia jurídicas y, por lo tanto, resulta beneficioso para el sistema de patentes y para los proveedores y usuarios de dichos recursos y conocimientos,</w:t>
      </w:r>
      <w:r w:rsidRPr="0015624F">
        <w:rPr>
          <w:szCs w:val="22"/>
          <w:lang w:val="es-419"/>
        </w:rPr>
        <w:br/>
      </w:r>
    </w:p>
    <w:p w:rsidR="0015624F" w:rsidRPr="0015624F" w:rsidRDefault="0015624F" w:rsidP="0015624F">
      <w:pPr>
        <w:rPr>
          <w:szCs w:val="22"/>
          <w:lang w:val="es-419"/>
        </w:rPr>
      </w:pPr>
      <w:r w:rsidRPr="0015624F">
        <w:rPr>
          <w:i/>
          <w:szCs w:val="22"/>
          <w:lang w:val="es-419"/>
        </w:rPr>
        <w:t xml:space="preserve">Reconociendo </w:t>
      </w:r>
      <w:r w:rsidRPr="0015624F">
        <w:rPr>
          <w:szCs w:val="22"/>
          <w:lang w:val="es-419"/>
        </w:rPr>
        <w:t>que el presente instrumento y otros instrumentos internacionales relacionados con los RR.GG. y los CC.TT. conexos deben apoyarse mutuamente,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 y reafirmando</w:t>
      </w:r>
      <w:r w:rsidRPr="0015624F">
        <w:rPr>
          <w:szCs w:val="22"/>
          <w:lang w:val="es-419"/>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iCs/>
          <w:szCs w:val="22"/>
          <w:lang w:val="es-419"/>
        </w:rPr>
        <w:t>Reconociendo</w:t>
      </w:r>
      <w:r w:rsidRPr="0015624F">
        <w:rPr>
          <w:szCs w:val="22"/>
          <w:lang w:val="es-419"/>
        </w:rPr>
        <w:t xml:space="preserve"> la Declaración de las Naciones Unidas sobre los Derechos de los Pueblos Indígenas,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Han acordado lo siguiente:</w:t>
      </w:r>
      <w:r w:rsidRPr="0015624F">
        <w:rPr>
          <w:szCs w:val="22"/>
          <w:lang w:val="es-419"/>
        </w:rPr>
        <w:br w:type="page"/>
      </w:r>
    </w:p>
    <w:p w:rsidR="0015624F" w:rsidRPr="0015624F" w:rsidRDefault="0015624F" w:rsidP="0015624F">
      <w:pPr>
        <w:jc w:val="center"/>
        <w:rPr>
          <w:b/>
          <w:lang w:val="es-419"/>
        </w:rPr>
      </w:pPr>
    </w:p>
    <w:p w:rsidR="0015624F" w:rsidRPr="0015624F" w:rsidRDefault="0015624F" w:rsidP="0015624F">
      <w:pPr>
        <w:jc w:val="center"/>
        <w:rPr>
          <w:b/>
          <w:szCs w:val="22"/>
          <w:lang w:val="es-419"/>
        </w:rPr>
      </w:pPr>
      <w:r w:rsidRPr="0015624F">
        <w:rPr>
          <w:b/>
          <w:szCs w:val="22"/>
          <w:lang w:val="es-419"/>
        </w:rPr>
        <w:t>ARTÍCULO 1</w:t>
      </w:r>
    </w:p>
    <w:p w:rsidR="0015624F" w:rsidRPr="0015624F" w:rsidRDefault="0015624F" w:rsidP="0015624F">
      <w:pPr>
        <w:jc w:val="center"/>
        <w:rPr>
          <w:b/>
          <w:szCs w:val="22"/>
          <w:lang w:val="es-419"/>
        </w:rPr>
      </w:pPr>
      <w:r w:rsidRPr="0015624F">
        <w:rPr>
          <w:b/>
          <w:szCs w:val="22"/>
          <w:lang w:val="es-419"/>
        </w:rPr>
        <w:t>OBJETIVOS</w:t>
      </w:r>
    </w:p>
    <w:p w:rsidR="0015624F" w:rsidRPr="0015624F" w:rsidRDefault="0015624F" w:rsidP="0015624F">
      <w:pPr>
        <w:ind w:left="720"/>
        <w:rPr>
          <w:szCs w:val="22"/>
          <w:lang w:val="es-419"/>
        </w:rPr>
      </w:pPr>
    </w:p>
    <w:p w:rsidR="0015624F" w:rsidRPr="0015624F" w:rsidRDefault="0015624F" w:rsidP="009B3AFD">
      <w:pPr>
        <w:ind w:left="450"/>
        <w:rPr>
          <w:rFonts w:eastAsia="Times New Roman"/>
          <w:szCs w:val="22"/>
          <w:lang w:val="es-419" w:eastAsia="en-US"/>
        </w:rPr>
      </w:pPr>
      <w:r w:rsidRPr="0015624F">
        <w:rPr>
          <w:rFonts w:eastAsia="Times New Roman"/>
          <w:szCs w:val="22"/>
          <w:lang w:val="es-419" w:eastAsia="en-US"/>
        </w:rPr>
        <w:t>Los objetivos del presente instrumento son:</w:t>
      </w:r>
    </w:p>
    <w:p w:rsidR="0015624F" w:rsidRPr="0015624F" w:rsidRDefault="0015624F" w:rsidP="009B3AFD">
      <w:pPr>
        <w:ind w:left="450"/>
        <w:rPr>
          <w:rFonts w:eastAsia="Times New Roman"/>
          <w:szCs w:val="22"/>
          <w:lang w:val="es-419" w:eastAsia="en-US"/>
        </w:rPr>
      </w:pPr>
    </w:p>
    <w:p w:rsidR="0015624F" w:rsidRP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aumentar la eficacia, la transparencia y la calidad del sistema de patentes en lo que respecta a los RR.GG. y los CC.TT. conexos; y</w:t>
      </w:r>
    </w:p>
    <w:p w:rsidR="0015624F" w:rsidRPr="0015624F" w:rsidRDefault="0015624F" w:rsidP="009B3AFD">
      <w:pPr>
        <w:ind w:left="567"/>
        <w:rPr>
          <w:rFonts w:eastAsia="Times New Roman"/>
          <w:szCs w:val="22"/>
          <w:lang w:val="es-419" w:eastAsia="en-US"/>
        </w:rPr>
      </w:pPr>
    </w:p>
    <w:p w:rsid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impedir que se concedan erróneamente patentes para invenciones que no sean nuevas ni conlleven actividad inventiva en lo que respecta a los RR.GG. y los CC.TT. conexos.</w:t>
      </w:r>
    </w:p>
    <w:p w:rsidR="009B3AFD" w:rsidRPr="0015624F" w:rsidRDefault="009B3AFD" w:rsidP="009B3AFD">
      <w:pPr>
        <w:ind w:left="567"/>
        <w:rPr>
          <w:rFonts w:eastAsia="Times New Roman"/>
          <w:szCs w:val="22"/>
          <w:lang w:val="es-419" w:eastAsia="en-US"/>
        </w:rPr>
      </w:pPr>
    </w:p>
    <w:p w:rsidR="0015624F" w:rsidRPr="0015624F" w:rsidRDefault="0015624F" w:rsidP="0015624F">
      <w:pPr>
        <w:rPr>
          <w:szCs w:val="22"/>
          <w:u w:val="single"/>
          <w:lang w:val="es-419"/>
        </w:rPr>
      </w:pPr>
      <w:r w:rsidRPr="0015624F">
        <w:rPr>
          <w:szCs w:val="22"/>
          <w:u w:val="single"/>
          <w:lang w:val="es-419"/>
        </w:rPr>
        <w:br w:type="page"/>
      </w:r>
    </w:p>
    <w:p w:rsidR="0015624F" w:rsidRPr="0015624F" w:rsidRDefault="0015624F" w:rsidP="0015624F">
      <w:pPr>
        <w:rPr>
          <w:szCs w:val="22"/>
          <w:u w:val="single"/>
          <w:lang w:val="es-419"/>
        </w:rPr>
      </w:pPr>
      <w:r w:rsidRPr="0015624F">
        <w:rPr>
          <w:szCs w:val="22"/>
          <w:u w:val="single"/>
          <w:lang w:val="es-419"/>
        </w:rPr>
        <w:t>Notas sobre el artículo 1</w:t>
      </w:r>
    </w:p>
    <w:p w:rsidR="0015624F" w:rsidRPr="0015624F" w:rsidRDefault="0015624F" w:rsidP="0015624F">
      <w:pPr>
        <w:rPr>
          <w:szCs w:val="22"/>
          <w:lang w:val="es-419"/>
        </w:rPr>
      </w:pPr>
    </w:p>
    <w:p w:rsidR="0015624F" w:rsidRDefault="0015624F" w:rsidP="0015624F">
      <w:pPr>
        <w:rPr>
          <w:szCs w:val="22"/>
          <w:lang w:val="es-419"/>
        </w:rPr>
      </w:pPr>
      <w:r w:rsidRPr="0015624F">
        <w:rPr>
          <w:szCs w:val="22"/>
          <w:lang w:val="es-419"/>
        </w:rPr>
        <w:t xml:space="preserve">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w:t>
      </w:r>
      <w:proofErr w:type="spellStart"/>
      <w:r w:rsidRPr="0015624F">
        <w:rPr>
          <w:szCs w:val="22"/>
          <w:lang w:val="es-419"/>
        </w:rPr>
        <w:t>Fitogenéticos</w:t>
      </w:r>
      <w:proofErr w:type="spellEnd"/>
      <w:r w:rsidRPr="0015624F">
        <w:rPr>
          <w:szCs w:val="22"/>
          <w:lang w:val="es-419"/>
        </w:rPr>
        <w:t xml:space="preserve"> para la Alimentación y la Agricultura (TIRFAA)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redundará en última instancia en facilitar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rsidR="009B3AFD" w:rsidRPr="0015624F" w:rsidRDefault="009B3AFD" w:rsidP="0015624F">
      <w:pPr>
        <w:rPr>
          <w:szCs w:val="22"/>
          <w:lang w:val="es-419"/>
        </w:rPr>
      </w:pP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t>ARTÍCULO 2</w:t>
      </w:r>
    </w:p>
    <w:p w:rsidR="0015624F" w:rsidRPr="0015624F" w:rsidRDefault="0015624F" w:rsidP="0015624F">
      <w:pPr>
        <w:jc w:val="center"/>
        <w:rPr>
          <w:b/>
          <w:szCs w:val="22"/>
          <w:lang w:val="es-419"/>
        </w:rPr>
      </w:pPr>
      <w:r w:rsidRPr="0015624F">
        <w:rPr>
          <w:b/>
          <w:szCs w:val="22"/>
          <w:lang w:val="es-419"/>
        </w:rPr>
        <w:t>LISTA DE TÉRMINOS</w:t>
      </w:r>
    </w:p>
    <w:p w:rsidR="0015624F" w:rsidRPr="0015624F" w:rsidRDefault="0015624F" w:rsidP="0015624F">
      <w:pPr>
        <w:jc w:val="center"/>
        <w:rPr>
          <w:b/>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Los términos definidos a continuación se aplicarán al presente instrumento, salvo que se indique expresamente lo contrario:</w:t>
      </w:r>
    </w:p>
    <w:p w:rsidR="0015624F" w:rsidRPr="0015624F" w:rsidRDefault="0015624F" w:rsidP="009B3AFD">
      <w:pPr>
        <w:rPr>
          <w:rFonts w:eastAsia="Times New Roman"/>
          <w:szCs w:val="22"/>
          <w:lang w:val="es-419" w:eastAsia="en-US"/>
        </w:rPr>
      </w:pPr>
    </w:p>
    <w:p w:rsidR="0015624F" w:rsidRPr="009B3AFD" w:rsidRDefault="0015624F" w:rsidP="009B3AFD">
      <w:pPr>
        <w:rPr>
          <w:iCs/>
          <w:lang w:val="es-419"/>
        </w:rPr>
      </w:pPr>
      <w:r w:rsidRPr="009B3AFD">
        <w:rPr>
          <w:bCs/>
          <w:lang w:val="es-419"/>
        </w:rPr>
        <w:t>Se entenderá por</w:t>
      </w:r>
      <w:r w:rsidRPr="009B3AFD">
        <w:rPr>
          <w:b/>
          <w:i/>
          <w:iCs/>
          <w:lang w:val="es-419"/>
        </w:rPr>
        <w:t xml:space="preserve"> “solicitante”</w:t>
      </w:r>
      <w:r w:rsidRPr="009B3AFD">
        <w:rPr>
          <w:i/>
          <w:iCs/>
          <w:lang w:val="es-419"/>
        </w:rPr>
        <w:t xml:space="preserve"> </w:t>
      </w:r>
      <w:r w:rsidRPr="009B3AFD">
        <w:rPr>
          <w:iCs/>
          <w:lang w:val="es-419"/>
        </w:rPr>
        <w:t>la persona indicada en el registro de la Oficina, en virtud de la legislación aplicable, como la persona que solicita la patente, o como otra persona que presenta o tramita la solicitud.</w:t>
      </w:r>
    </w:p>
    <w:p w:rsidR="0015624F" w:rsidRPr="009B3AFD" w:rsidRDefault="0015624F" w:rsidP="009B3AFD">
      <w:pPr>
        <w:rPr>
          <w:rFonts w:eastAsia="Times New Roman"/>
          <w:szCs w:val="22"/>
          <w:lang w:val="es-419" w:eastAsia="en-US"/>
        </w:rPr>
      </w:pPr>
    </w:p>
    <w:p w:rsidR="0015624F" w:rsidRPr="009B3AFD" w:rsidRDefault="0015624F" w:rsidP="009B3AFD">
      <w:pPr>
        <w:rPr>
          <w:i/>
          <w:iCs/>
          <w:lang w:val="es-419"/>
        </w:rPr>
      </w:pPr>
      <w:r w:rsidRPr="009B3AFD">
        <w:rPr>
          <w:lang w:val="es-419"/>
        </w:rPr>
        <w:t xml:space="preserve">Se entenderá por </w:t>
      </w:r>
      <w:r w:rsidRPr="009B3AFD">
        <w:rPr>
          <w:b/>
          <w:i/>
          <w:iCs/>
          <w:lang w:val="es-419"/>
        </w:rPr>
        <w:t>“solicitud”</w:t>
      </w:r>
      <w:r w:rsidRPr="009B3AFD">
        <w:rPr>
          <w:i/>
          <w:iCs/>
          <w:lang w:val="es-419"/>
        </w:rPr>
        <w:t xml:space="preserve"> </w:t>
      </w:r>
      <w:r w:rsidRPr="009B3AFD">
        <w:rPr>
          <w:iCs/>
          <w:lang w:val="es-419"/>
        </w:rPr>
        <w:t>una solicitud de concesión de una patente</w:t>
      </w:r>
      <w:r w:rsidRPr="009B3AFD">
        <w:rPr>
          <w:i/>
          <w:iCs/>
          <w:lang w:val="es-419"/>
        </w:rPr>
        <w:t>.</w:t>
      </w:r>
    </w:p>
    <w:p w:rsidR="0015624F" w:rsidRPr="009B3AFD" w:rsidRDefault="0015624F" w:rsidP="009B3AFD">
      <w:pPr>
        <w:rPr>
          <w:rFonts w:eastAsia="Times New Roman"/>
          <w:szCs w:val="22"/>
          <w:lang w:val="es-419" w:eastAsia="en-US"/>
        </w:rPr>
      </w:pPr>
    </w:p>
    <w:p w:rsidR="0015624F" w:rsidRPr="009B3AFD" w:rsidRDefault="0015624F" w:rsidP="009B3AFD">
      <w:pPr>
        <w:rPr>
          <w:iCs/>
          <w:lang w:val="es-419"/>
        </w:rPr>
      </w:pPr>
      <w:r w:rsidRPr="009B3AFD">
        <w:rPr>
          <w:lang w:val="es-419"/>
        </w:rPr>
        <w:t xml:space="preserve">Se entenderá por </w:t>
      </w:r>
      <w:r w:rsidRPr="009B3AFD">
        <w:rPr>
          <w:b/>
          <w:i/>
          <w:iCs/>
          <w:lang w:val="es-419"/>
        </w:rPr>
        <w:t>“</w:t>
      </w:r>
      <w:r w:rsidRPr="009B3AFD">
        <w:rPr>
          <w:b/>
          <w:bCs/>
          <w:i/>
          <w:lang w:val="es-419"/>
        </w:rPr>
        <w:t>Parte Contratante”</w:t>
      </w:r>
      <w:r w:rsidRPr="009B3AFD">
        <w:rPr>
          <w:iCs/>
          <w:lang w:val="es-419"/>
        </w:rPr>
        <w:t xml:space="preserve"> cualquier Estado u organización intergubernamental que sea parte en el presente instrumento.</w:t>
      </w:r>
    </w:p>
    <w:p w:rsidR="0015624F" w:rsidRPr="0015624F" w:rsidRDefault="0015624F" w:rsidP="009B3AFD">
      <w:pPr>
        <w:rPr>
          <w:rFonts w:eastAsia="Times New Roman"/>
          <w:szCs w:val="22"/>
          <w:lang w:val="es-419" w:eastAsia="en-US"/>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“país de origen de los recursos genéticos”</w:t>
      </w:r>
      <w:r w:rsidRPr="0015624F">
        <w:rPr>
          <w:szCs w:val="22"/>
          <w:lang w:val="es-419"/>
        </w:rPr>
        <w:t xml:space="preserve"> el país que posee esos recursos genéticos en condiciones </w:t>
      </w:r>
      <w:r w:rsidRPr="0015624F">
        <w:rPr>
          <w:i/>
          <w:iCs/>
          <w:szCs w:val="22"/>
          <w:lang w:val="es-419"/>
        </w:rPr>
        <w:t>in situ</w:t>
      </w:r>
      <w:r w:rsidRPr="0015624F">
        <w:rPr>
          <w:szCs w:val="22"/>
          <w:lang w:val="es-419"/>
        </w:rPr>
        <w:t>.</w:t>
      </w:r>
    </w:p>
    <w:p w:rsidR="0015624F" w:rsidRPr="0015624F" w:rsidRDefault="0015624F" w:rsidP="005B51CE">
      <w:pPr>
        <w:rPr>
          <w:b/>
          <w:i/>
          <w:iCs/>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“basada [esencialmente/directamente] en”</w:t>
      </w:r>
      <w:r w:rsidRPr="0015624F">
        <w:rPr>
          <w:szCs w:val="22"/>
          <w:lang w:val="es-419"/>
        </w:rPr>
        <w:t xml:space="preserve"> que los RR.GG. y/o CC.TT. conexos deben </w:t>
      </w:r>
      <w:r w:rsidRPr="0015624F">
        <w:rPr>
          <w:i/>
          <w:iCs/>
          <w:szCs w:val="22"/>
          <w:lang w:val="es-419"/>
        </w:rPr>
        <w:t>haber sido necesarios o esenciales para el desarrollo de la invención reivindicada</w:t>
      </w:r>
      <w:r w:rsidRPr="0015624F">
        <w:rPr>
          <w:szCs w:val="22"/>
          <w:lang w:val="es-419"/>
        </w:rPr>
        <w:t xml:space="preserve">, y que </w:t>
      </w:r>
      <w:r w:rsidRPr="0015624F">
        <w:rPr>
          <w:i/>
          <w:iCs/>
          <w:szCs w:val="22"/>
          <w:lang w:val="es-419"/>
        </w:rPr>
        <w:t>la invención reivindicada debe depender de las propiedades específicas de los RR.GG. y/o CC.TT. conexos</w:t>
      </w:r>
      <w:r w:rsidRPr="0015624F">
        <w:rPr>
          <w:szCs w:val="22"/>
          <w:lang w:val="es-419"/>
        </w:rPr>
        <w:t>.</w:t>
      </w:r>
    </w:p>
    <w:p w:rsidR="0015624F" w:rsidRPr="0015624F" w:rsidRDefault="0015624F" w:rsidP="005B51CE">
      <w:pPr>
        <w:rPr>
          <w:szCs w:val="22"/>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 xml:space="preserve">Se entenderá por </w:t>
      </w:r>
      <w:r w:rsidRPr="0015624F">
        <w:rPr>
          <w:rFonts w:eastAsia="Times New Roman"/>
          <w:b/>
          <w:i/>
          <w:iCs/>
          <w:szCs w:val="22"/>
          <w:lang w:val="es-419" w:eastAsia="en-US"/>
        </w:rPr>
        <w:t>“material genético”</w:t>
      </w:r>
      <w:r w:rsidRPr="0015624F">
        <w:rPr>
          <w:rFonts w:eastAsia="Times New Roman"/>
          <w:i/>
          <w:iCs/>
          <w:szCs w:val="22"/>
          <w:lang w:val="es-419" w:eastAsia="en-US"/>
        </w:rPr>
        <w:t xml:space="preserve"> </w:t>
      </w:r>
      <w:r w:rsidRPr="0015624F">
        <w:rPr>
          <w:rFonts w:eastAsia="Times New Roman"/>
          <w:szCs w:val="22"/>
          <w:lang w:val="es-419" w:eastAsia="en-US"/>
        </w:rPr>
        <w:t>todo material de origen vegetal, animal, microbiano o de otro tipo que contenga unidades funcionales de la herencia.</w:t>
      </w:r>
    </w:p>
    <w:p w:rsidR="0015624F" w:rsidRPr="0015624F" w:rsidRDefault="0015624F" w:rsidP="009B3AFD">
      <w:pPr>
        <w:rPr>
          <w:rFonts w:eastAsia="Times New Roman"/>
          <w:sz w:val="24"/>
          <w:szCs w:val="24"/>
          <w:lang w:val="es-419" w:eastAsia="en-US"/>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“recursos genéticos”</w:t>
      </w:r>
      <w:r w:rsidRPr="0015624F">
        <w:rPr>
          <w:b/>
          <w:szCs w:val="22"/>
          <w:vertAlign w:val="superscript"/>
          <w:lang w:val="es-419"/>
        </w:rPr>
        <w:footnoteReference w:id="6"/>
      </w:r>
      <w:r w:rsidRPr="0015624F">
        <w:rPr>
          <w:szCs w:val="22"/>
          <w:lang w:val="es-419"/>
        </w:rPr>
        <w:t xml:space="preserve"> (RRR.GG) el material genético de valor real o potencial.</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 xml:space="preserve">“condiciones </w:t>
      </w:r>
      <w:r w:rsidRPr="0015624F">
        <w:rPr>
          <w:b/>
          <w:iCs/>
          <w:szCs w:val="22"/>
          <w:lang w:val="es-419"/>
        </w:rPr>
        <w:t>in situ</w:t>
      </w:r>
      <w:r w:rsidRPr="0015624F">
        <w:rPr>
          <w:b/>
          <w:i/>
          <w:szCs w:val="22"/>
          <w:lang w:val="es-419"/>
        </w:rPr>
        <w:t>”</w:t>
      </w:r>
      <w:r w:rsidRPr="0015624F">
        <w:rPr>
          <w:szCs w:val="22"/>
          <w:lang w:val="es-419"/>
        </w:rPr>
        <w:t xml:space="preserve"> las condiciones en que existen RR.GG. dentro de ecosistemas y hábitats naturales y, en el caso de las especies domesticadas o cultivadas, en los entornos en que hayan desarrollado sus propiedades específicas.</w:t>
      </w:r>
    </w:p>
    <w:p w:rsidR="0015624F" w:rsidRPr="0015624F"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Oficina</w:t>
      </w:r>
      <w:r w:rsidRPr="009B3AFD">
        <w:rPr>
          <w:szCs w:val="22"/>
          <w:lang w:val="es-419"/>
        </w:rPr>
        <w:t>” el organismo de una Parte Contratante encargado de la concesión de patentes.</w:t>
      </w:r>
    </w:p>
    <w:p w:rsidR="0015624F" w:rsidRPr="009B3AFD"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PCT</w:t>
      </w:r>
      <w:r w:rsidRPr="009B3AFD">
        <w:rPr>
          <w:szCs w:val="22"/>
          <w:lang w:val="es-419"/>
        </w:rPr>
        <w:t>” el Tratado de Cooperación en materia de Patentes (1970).</w:t>
      </w:r>
    </w:p>
    <w:p w:rsidR="0015624F" w:rsidRPr="009B3AFD" w:rsidRDefault="0015624F" w:rsidP="005B51CE">
      <w:pPr>
        <w:rPr>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recursos genéticos”</w:t>
      </w:r>
      <w:r w:rsidRPr="0015624F">
        <w:rPr>
          <w:szCs w:val="22"/>
          <w:lang w:val="es-419"/>
        </w:rPr>
        <w:t xml:space="preserve"> cualquier fuente de la que el solicitante haya obtenido los RR.GG., por ejemplo, un centro de investigación, un banco de genes, el sistema multilateral del Tratado Internacional sobre los Recursos </w:t>
      </w:r>
      <w:proofErr w:type="spellStart"/>
      <w:r w:rsidRPr="0015624F">
        <w:rPr>
          <w:szCs w:val="22"/>
          <w:lang w:val="es-419"/>
        </w:rPr>
        <w:t>Fitogenéticos</w:t>
      </w:r>
      <w:proofErr w:type="spellEnd"/>
      <w:r w:rsidRPr="0015624F">
        <w:rPr>
          <w:szCs w:val="22"/>
          <w:lang w:val="es-419"/>
        </w:rPr>
        <w:t xml:space="preserve"> para la Alimentación y la Agricultura (TIRFAA) o cualquier otra colección </w:t>
      </w:r>
      <w:r w:rsidRPr="0015624F">
        <w:rPr>
          <w:i/>
          <w:iCs/>
          <w:szCs w:val="22"/>
          <w:lang w:val="es-419"/>
        </w:rPr>
        <w:t>ex situ</w:t>
      </w:r>
      <w:r w:rsidRPr="0015624F">
        <w:rPr>
          <w:szCs w:val="22"/>
          <w:lang w:val="es-419"/>
        </w:rPr>
        <w:t xml:space="preserve"> o depósito de RR.GG.</w:t>
      </w:r>
    </w:p>
    <w:p w:rsidR="0015624F" w:rsidRPr="0015624F" w:rsidRDefault="0015624F" w:rsidP="0015624F">
      <w:pPr>
        <w:rPr>
          <w:b/>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conocimientos tradicionales asociados a los recursos genéticos”</w:t>
      </w:r>
      <w:r w:rsidRPr="0015624F">
        <w:rPr>
          <w:szCs w:val="22"/>
          <w:lang w:val="es-419"/>
        </w:rPr>
        <w:t xml:space="preserve"> cualquier fuente de la que el solicitante haya obtenido los conocimientos tradicionales asociados a los recursos genéticos, por ejemplo, las publicaciones científicas, las bases de datos accesibles al público, las solicitudes de patentes y las publicaciones sobre patentes.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u w:val="single"/>
          <w:lang w:val="es-419"/>
        </w:rPr>
        <w:t>Notas sobre el artículo 2</w:t>
      </w:r>
    </w:p>
    <w:p w:rsidR="0015624F" w:rsidRPr="0015624F" w:rsidRDefault="0015624F" w:rsidP="0015624F">
      <w:pPr>
        <w:ind w:left="360"/>
        <w:rPr>
          <w:szCs w:val="22"/>
          <w:lang w:val="es-419"/>
        </w:rPr>
      </w:pPr>
    </w:p>
    <w:p w:rsidR="0015624F" w:rsidRPr="0015624F" w:rsidRDefault="0015624F" w:rsidP="0015624F">
      <w:pPr>
        <w:keepLines/>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Las definiciones de </w:t>
      </w:r>
      <w:r w:rsidRPr="0015624F">
        <w:rPr>
          <w:rFonts w:eastAsia="Times New Roman"/>
          <w:i/>
          <w:iCs/>
          <w:szCs w:val="22"/>
          <w:lang w:val="es-419" w:eastAsia="en-US"/>
        </w:rPr>
        <w:t>recursos genéticos</w:t>
      </w:r>
      <w:r w:rsidRPr="0015624F">
        <w:rPr>
          <w:rFonts w:eastAsia="Times New Roman"/>
          <w:szCs w:val="22"/>
          <w:lang w:val="es-419" w:eastAsia="en-US"/>
        </w:rPr>
        <w:t xml:space="preserve">, </w:t>
      </w:r>
      <w:r w:rsidRPr="0015624F">
        <w:rPr>
          <w:rFonts w:eastAsia="Times New Roman"/>
          <w:i/>
          <w:iCs/>
          <w:szCs w:val="22"/>
          <w:lang w:val="es-419" w:eastAsia="en-US"/>
        </w:rPr>
        <w:t>material genético</w:t>
      </w:r>
      <w:r w:rsidRPr="0015624F">
        <w:rPr>
          <w:rFonts w:eastAsia="Times New Roman"/>
          <w:szCs w:val="22"/>
          <w:lang w:val="es-419" w:eastAsia="en-US"/>
        </w:rPr>
        <w:t xml:space="preserve">, </w:t>
      </w:r>
      <w:r w:rsidRPr="0015624F">
        <w:rPr>
          <w:rFonts w:eastAsia="Times New Roman"/>
          <w:i/>
          <w:iCs/>
          <w:szCs w:val="22"/>
          <w:lang w:val="es-419" w:eastAsia="en-US"/>
        </w:rPr>
        <w:t>país de origen</w:t>
      </w:r>
      <w:r w:rsidRPr="0015624F">
        <w:rPr>
          <w:rFonts w:eastAsia="Times New Roman"/>
          <w:szCs w:val="22"/>
          <w:lang w:val="es-419" w:eastAsia="en-US"/>
        </w:rPr>
        <w:t xml:space="preserve"> y </w:t>
      </w:r>
      <w:r w:rsidRPr="0015624F">
        <w:rPr>
          <w:rFonts w:eastAsia="Times New Roman"/>
          <w:i/>
          <w:iCs/>
          <w:szCs w:val="22"/>
          <w:lang w:val="es-419" w:eastAsia="en-US"/>
        </w:rPr>
        <w:t xml:space="preserve">condiciones </w:t>
      </w:r>
      <w:r w:rsidRPr="0015624F">
        <w:rPr>
          <w:rFonts w:eastAsia="Times New Roman"/>
          <w:szCs w:val="22"/>
          <w:lang w:val="es-419" w:eastAsia="en-US"/>
        </w:rPr>
        <w:t>in situ enumeradas en la lista de términos se han tomado directamente de los acuerdos multilaterales existentes en relación con los RR.GG., sobre todo del CDB.</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iCs/>
          <w:szCs w:val="22"/>
          <w:lang w:val="es-419" w:eastAsia="en-US"/>
        </w:rPr>
        <w:t>Las siguientes definiciones no se han definido previamente a nivel multilateral</w:t>
      </w:r>
      <w:r w:rsidRPr="0015624F">
        <w:rPr>
          <w:rFonts w:eastAsia="Times New Roman"/>
          <w:szCs w:val="22"/>
          <w:lang w:val="es-419" w:eastAsia="en-US"/>
        </w:rPr>
        <w:t xml:space="preserve">: </w:t>
      </w:r>
      <w:r w:rsidRPr="0015624F">
        <w:rPr>
          <w:rFonts w:eastAsia="Times New Roman"/>
          <w:bCs/>
          <w:i/>
          <w:szCs w:val="22"/>
          <w:lang w:val="es-419" w:eastAsia="en-US"/>
        </w:rPr>
        <w:t xml:space="preserve">basada esencialmente/directamente en, fuente de los recursos genéticos </w:t>
      </w:r>
      <w:r w:rsidRPr="0015624F">
        <w:rPr>
          <w:rFonts w:eastAsia="Times New Roman"/>
          <w:bCs/>
          <w:iCs/>
          <w:szCs w:val="22"/>
          <w:lang w:val="es-419" w:eastAsia="en-US"/>
        </w:rPr>
        <w:t>y</w:t>
      </w:r>
      <w:r w:rsidRPr="0015624F">
        <w:rPr>
          <w:rFonts w:eastAsia="Times New Roman"/>
          <w:bCs/>
          <w:i/>
          <w:szCs w:val="22"/>
          <w:lang w:val="es-419" w:eastAsia="en-US"/>
        </w:rPr>
        <w:t xml:space="preserve"> fuente de los conocimientos tradicionales asociados a los recursos genéticos.</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El término “</w:t>
      </w:r>
      <w:r w:rsidRPr="0015624F">
        <w:rPr>
          <w:rFonts w:eastAsia="Times New Roman"/>
          <w:bCs/>
          <w:i/>
          <w:szCs w:val="22"/>
          <w:lang w:val="es-419" w:eastAsia="en-US"/>
        </w:rPr>
        <w:t>basada esencialmente/directamente en”</w:t>
      </w:r>
      <w:r w:rsidRPr="0015624F">
        <w:rPr>
          <w:rFonts w:eastAsia="Times New Roman"/>
          <w:bCs/>
          <w:iCs/>
          <w:szCs w:val="22"/>
          <w:lang w:val="es-419" w:eastAsia="en-US"/>
        </w:rPr>
        <w:t xml:space="preserve"> especifica la relación existente entre la invención reivindicada y los RR.GG. y CC.TT. conexos que activa la obligación de divulgación (mencionada en los debates del CIG como el “desencadenante” de la divulgación).</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Actualmente, existen considerables disparidades en cuanto a los desencadenantes de la divulgación a nivel nacional y regional, por ejemplo, </w:t>
      </w:r>
      <w:r w:rsidRPr="0015624F">
        <w:rPr>
          <w:rFonts w:eastAsia="Times New Roman"/>
          <w:i/>
          <w:iCs/>
          <w:szCs w:val="22"/>
          <w:lang w:val="es-419" w:eastAsia="en-US"/>
        </w:rPr>
        <w:t>basada directamente en, basada en, basada en o derivada de, constituyen la base de, utilizados en una invención, invención que guarda relación con, invención relacionada con o invención que hace uso de, una invención-creación lograda recurriendo a los recursos genéticos</w:t>
      </w:r>
      <w:r w:rsidRPr="0015624F">
        <w:rPr>
          <w:rFonts w:eastAsia="Times New Roman"/>
          <w:szCs w:val="22"/>
          <w:lang w:val="es-419" w:eastAsia="en-US"/>
        </w:rPr>
        <w:t>. Asimismo, existe considerable ambigüedad en relación con el significado de esos términos. A fin de potenciar al máximo la seguridad jurídica, se han propuesto dos adverbios que amplían el sentido (</w:t>
      </w:r>
      <w:r w:rsidRPr="0015624F">
        <w:rPr>
          <w:rFonts w:eastAsia="Times New Roman"/>
          <w:i/>
          <w:iCs/>
          <w:szCs w:val="22"/>
          <w:lang w:val="es-419" w:eastAsia="en-US"/>
        </w:rPr>
        <w:t>esencialmente/directamente</w:t>
      </w:r>
      <w:r w:rsidRPr="0015624F">
        <w:rPr>
          <w:rFonts w:eastAsia="Times New Roman"/>
          <w:szCs w:val="22"/>
          <w:lang w:val="es-419" w:eastAsia="en-US"/>
        </w:rPr>
        <w:t>), además del concepto “</w:t>
      </w:r>
      <w:r w:rsidRPr="0015624F">
        <w:rPr>
          <w:rFonts w:eastAsia="Times New Roman"/>
          <w:i/>
          <w:iCs/>
          <w:szCs w:val="22"/>
          <w:lang w:val="es-419" w:eastAsia="en-US"/>
        </w:rPr>
        <w:t>basada en</w:t>
      </w:r>
      <w:r w:rsidRPr="0015624F">
        <w:rPr>
          <w:rFonts w:eastAsia="Times New Roman"/>
          <w:szCs w:val="22"/>
          <w:lang w:val="es-419" w:eastAsia="en-US"/>
        </w:rPr>
        <w:t xml:space="preserve">” como desencadenante de la divulgación, para que sean considerados por los Estados miembros, como consecuencia de los debates celebrados durante la 36.ª sesión del CIG, en junio de 2018. Se ha incluido como variante el término </w:t>
      </w:r>
      <w:r w:rsidRPr="0015624F">
        <w:rPr>
          <w:rFonts w:eastAsia="Times New Roman"/>
          <w:i/>
          <w:iCs/>
          <w:szCs w:val="22"/>
          <w:lang w:val="es-419" w:eastAsia="en-US"/>
        </w:rPr>
        <w:t>“esencialmente”</w:t>
      </w:r>
      <w:r w:rsidRPr="0015624F">
        <w:rPr>
          <w:rFonts w:eastAsia="Times New Roman"/>
          <w:szCs w:val="22"/>
          <w:lang w:val="es-419" w:eastAsia="en-US"/>
        </w:rPr>
        <w:t xml:space="preserve">, ya que el término </w:t>
      </w:r>
      <w:r w:rsidRPr="0015624F">
        <w:rPr>
          <w:rFonts w:eastAsia="Times New Roman"/>
          <w:i/>
          <w:iCs/>
          <w:szCs w:val="22"/>
          <w:lang w:val="es-419" w:eastAsia="en-US"/>
        </w:rPr>
        <w:t>“directamente”</w:t>
      </w:r>
      <w:r w:rsidRPr="0015624F">
        <w:rPr>
          <w:rFonts w:eastAsia="Times New Roman"/>
          <w:szCs w:val="22"/>
          <w:lang w:val="es-419" w:eastAsia="en-US"/>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15624F">
        <w:rPr>
          <w:rFonts w:eastAsia="Times New Roman"/>
          <w:i/>
          <w:iCs/>
          <w:szCs w:val="22"/>
          <w:lang w:val="es-419" w:eastAsia="en-US"/>
        </w:rPr>
        <w:t>“basada en”</w:t>
      </w:r>
      <w:r w:rsidRPr="0015624F">
        <w:rPr>
          <w:rFonts w:eastAsia="Times New Roman"/>
          <w:szCs w:val="22"/>
          <w:lang w:val="es-419" w:eastAsia="en-US"/>
        </w:rPr>
        <w:t xml:space="preserve"> y utilizar una definición de</w:t>
      </w:r>
      <w:r w:rsidRPr="0015624F">
        <w:rPr>
          <w:rFonts w:eastAsia="Times New Roman"/>
          <w:i/>
          <w:iCs/>
          <w:szCs w:val="22"/>
          <w:lang w:val="es-419" w:eastAsia="en-US"/>
        </w:rPr>
        <w:t xml:space="preserve"> </w:t>
      </w:r>
      <w:r w:rsidRPr="0015624F">
        <w:rPr>
          <w:rFonts w:eastAsia="Times New Roman"/>
          <w:szCs w:val="22"/>
          <w:lang w:val="es-419" w:eastAsia="en-US"/>
        </w:rPr>
        <w:t>dicho concepto para aclarar el alcance del desencadenante.</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Una cuestión polémica que tiene que ver con el concepto de </w:t>
      </w:r>
      <w:r w:rsidRPr="0015624F">
        <w:rPr>
          <w:rFonts w:eastAsia="Times New Roman"/>
          <w:i/>
          <w:iCs/>
          <w:szCs w:val="22"/>
          <w:lang w:val="es-419" w:eastAsia="en-US"/>
        </w:rPr>
        <w:t>“basada directamente en”</w:t>
      </w:r>
      <w:r w:rsidRPr="0015624F">
        <w:rPr>
          <w:rFonts w:eastAsia="Times New Roman"/>
          <w:szCs w:val="22"/>
          <w:lang w:val="es-419" w:eastAsia="en-US"/>
        </w:rPr>
        <w:t>, que figura en la propuesta de la UE presentada por primera vez en 2005</w:t>
      </w:r>
      <w:r w:rsidRPr="0015624F">
        <w:rPr>
          <w:rFonts w:eastAsiaTheme="majorEastAsia"/>
          <w:szCs w:val="22"/>
          <w:vertAlign w:val="superscript"/>
          <w:lang w:val="es-419" w:eastAsia="en-US"/>
        </w:rPr>
        <w:footnoteReference w:id="7"/>
      </w:r>
      <w:r w:rsidRPr="0015624F">
        <w:rPr>
          <w:rFonts w:eastAsia="Times New Roman"/>
          <w:szCs w:val="22"/>
          <w:lang w:val="es-419" w:eastAsia="en-US"/>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Pr="0015624F">
        <w:rPr>
          <w:rFonts w:eastAsia="Times New Roman"/>
          <w:i/>
          <w:iCs/>
          <w:szCs w:val="22"/>
          <w:lang w:val="es-419" w:eastAsia="en-US"/>
        </w:rPr>
        <w:t>“se deberá hacer un uso inmediato”</w:t>
      </w:r>
      <w:r w:rsidRPr="0015624F">
        <w:rPr>
          <w:rFonts w:eastAsia="Times New Roman"/>
          <w:szCs w:val="22"/>
          <w:lang w:val="es-419" w:eastAsia="en-US"/>
        </w:rPr>
        <w:t xml:space="preserve">. En mi opinión, con todos los respetos, no está claro el significado de ese término. A fin de tener en cuenta esta cuestión, se han incluido los términos </w:t>
      </w:r>
      <w:r w:rsidRPr="0015624F">
        <w:rPr>
          <w:rFonts w:eastAsia="Times New Roman"/>
          <w:i/>
          <w:iCs/>
          <w:szCs w:val="22"/>
          <w:lang w:val="es-419" w:eastAsia="en-US"/>
        </w:rPr>
        <w:t>“necesarios”</w:t>
      </w:r>
      <w:r w:rsidRPr="0015624F">
        <w:rPr>
          <w:rFonts w:eastAsia="Times New Roman"/>
          <w:szCs w:val="22"/>
          <w:lang w:val="es-419" w:eastAsia="en-US"/>
        </w:rPr>
        <w:t xml:space="preserve"> y </w:t>
      </w:r>
      <w:r w:rsidRPr="0015624F">
        <w:rPr>
          <w:rFonts w:eastAsia="Times New Roman"/>
          <w:i/>
          <w:iCs/>
          <w:szCs w:val="22"/>
          <w:lang w:val="es-419" w:eastAsia="en-US"/>
        </w:rPr>
        <w:t>“esenciales para”</w:t>
      </w:r>
      <w:r w:rsidRPr="0015624F">
        <w:rPr>
          <w:rFonts w:eastAsia="Times New Roman"/>
          <w:szCs w:val="22"/>
          <w:lang w:val="es-419" w:eastAsia="en-US"/>
        </w:rPr>
        <w:t xml:space="preserve"> con el fin de reducir la ambigüedad. Además, se incluye en la definición la frase “</w:t>
      </w:r>
      <w:r w:rsidRPr="0015624F">
        <w:rPr>
          <w:rFonts w:eastAsia="Times New Roman"/>
          <w:i/>
          <w:iCs/>
          <w:szCs w:val="22"/>
          <w:lang w:val="es-419" w:eastAsia="en-US"/>
        </w:rPr>
        <w:t>la invención reivindicada debe depender de las propiedades específicas de los RR.GG. y/o CC.TT. conexos”</w:t>
      </w:r>
      <w:r w:rsidRPr="0015624F">
        <w:rPr>
          <w:rFonts w:eastAsia="Times New Roman"/>
          <w:szCs w:val="22"/>
          <w:lang w:val="es-419" w:eastAsia="en-US"/>
        </w:rPr>
        <w:t>.</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Por </w:t>
      </w:r>
      <w:r w:rsidRPr="0015624F">
        <w:rPr>
          <w:rFonts w:eastAsia="Times New Roman"/>
          <w:i/>
          <w:iCs/>
          <w:szCs w:val="22"/>
          <w:lang w:val="es-419" w:eastAsia="en-US"/>
        </w:rPr>
        <w:t>“fuente”</w:t>
      </w:r>
      <w:r w:rsidRPr="0015624F">
        <w:rPr>
          <w:rFonts w:eastAsia="Times New Roman"/>
          <w:szCs w:val="22"/>
          <w:lang w:val="es-419" w:eastAsia="en-US"/>
        </w:rPr>
        <w:t xml:space="preserve"> debe entenderse su significado corriente, </w:t>
      </w:r>
      <w:r w:rsidRPr="0015624F">
        <w:rPr>
          <w:rFonts w:eastAsia="Times New Roman"/>
          <w:i/>
          <w:iCs/>
          <w:szCs w:val="22"/>
          <w:lang w:val="es-419" w:eastAsia="en-US"/>
        </w:rPr>
        <w:t>“principio, fundamento u origen de algo”.</w:t>
      </w:r>
      <w:r w:rsidRPr="0015624F">
        <w:rPr>
          <w:rFonts w:eastAsiaTheme="majorEastAsia"/>
          <w:szCs w:val="22"/>
          <w:vertAlign w:val="superscript"/>
          <w:lang w:val="es-419" w:eastAsia="en-US"/>
        </w:rPr>
        <w:footnoteReference w:id="8"/>
      </w:r>
      <w:r w:rsidRPr="0015624F">
        <w:rPr>
          <w:rFonts w:eastAsia="Times New Roman"/>
          <w:szCs w:val="22"/>
          <w:lang w:val="es-419" w:eastAsia="en-US"/>
        </w:rPr>
        <w:t xml:space="preserve"> Las dos definiciones relativas a los RR.GG. y a los CC.TT. conexos proporcionan simplemente una lista no exhaustiva de fuentes de las que pueden haberse originado los RR.GG. o los CC.TT. conexos.</w:t>
      </w:r>
    </w:p>
    <w:p w:rsidR="0015624F" w:rsidRPr="0015624F" w:rsidRDefault="0015624F" w:rsidP="005B51CE">
      <w:pPr>
        <w:rPr>
          <w:rFonts w:eastAsia="Times New Roman"/>
          <w:szCs w:val="22"/>
          <w:lang w:val="es-419" w:eastAsia="en-US"/>
        </w:rPr>
      </w:pPr>
    </w:p>
    <w:p w:rsidR="0015624F" w:rsidRPr="0015624F" w:rsidRDefault="0015624F" w:rsidP="0015624F">
      <w:pPr>
        <w:numPr>
          <w:ilvl w:val="0"/>
          <w:numId w:val="8"/>
        </w:numPr>
        <w:ind w:left="0" w:firstLine="0"/>
        <w:rPr>
          <w:b/>
          <w:szCs w:val="22"/>
          <w:lang w:val="es-419"/>
        </w:rPr>
      </w:pPr>
      <w:r w:rsidRPr="0015624F">
        <w:rPr>
          <w:rFonts w:eastAsia="Times New Roman"/>
          <w:szCs w:val="22"/>
          <w:lang w:val="es-419" w:eastAsia="en-US"/>
        </w:rPr>
        <w:t xml:space="preserve">La definición de </w:t>
      </w:r>
      <w:r w:rsidRPr="0015624F">
        <w:rPr>
          <w:rFonts w:eastAsia="Times New Roman"/>
          <w:i/>
          <w:iCs/>
          <w:szCs w:val="22"/>
          <w:lang w:val="es-419" w:eastAsia="en-US"/>
        </w:rPr>
        <w:t>conocimientos tradicionales</w:t>
      </w:r>
      <w:r w:rsidRPr="0015624F">
        <w:rPr>
          <w:rFonts w:eastAsia="Times New Roman"/>
          <w:szCs w:val="22"/>
          <w:lang w:val="es-419" w:eastAsia="en-US"/>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nivel internacional en otros procesos, dejando que el término se interprete a nivel nacional. A la espera de que se llegue a un acuerdo sobre este asunto en el CIG, se propone no definir el término en ese momento y dejar que se interprete a nivel nacional.</w:t>
      </w:r>
    </w:p>
    <w:p w:rsidR="0015624F" w:rsidRPr="0015624F" w:rsidRDefault="0015624F" w:rsidP="0015624F">
      <w:pPr>
        <w:spacing w:after="200" w:line="276" w:lineRule="auto"/>
        <w:ind w:left="720"/>
        <w:rPr>
          <w:rFonts w:eastAsia="Times New Roman"/>
          <w:szCs w:val="22"/>
          <w:lang w:val="es-419" w:eastAsia="en-US"/>
        </w:rPr>
      </w:pPr>
    </w:p>
    <w:p w:rsidR="0015624F" w:rsidRPr="0015624F" w:rsidRDefault="0015624F" w:rsidP="0015624F">
      <w:pPr>
        <w:jc w:val="center"/>
        <w:rPr>
          <w:b/>
          <w:szCs w:val="22"/>
          <w:lang w:val="es-419"/>
        </w:rPr>
      </w:pPr>
      <w:r w:rsidRPr="0015624F">
        <w:rPr>
          <w:rFonts w:eastAsia="Times New Roman"/>
          <w:szCs w:val="22"/>
          <w:lang w:val="es-419" w:eastAsia="en-US"/>
        </w:rPr>
        <w:br w:type="page"/>
      </w:r>
      <w:r w:rsidRPr="0015624F">
        <w:rPr>
          <w:b/>
          <w:szCs w:val="22"/>
          <w:lang w:val="es-419"/>
        </w:rPr>
        <w:t>ARTÍCULO 3</w:t>
      </w:r>
    </w:p>
    <w:p w:rsidR="0015624F" w:rsidRPr="0015624F" w:rsidRDefault="0015624F" w:rsidP="0015624F">
      <w:pPr>
        <w:jc w:val="center"/>
        <w:rPr>
          <w:b/>
          <w:szCs w:val="22"/>
          <w:lang w:val="es-419"/>
        </w:rPr>
      </w:pPr>
      <w:r w:rsidRPr="0015624F">
        <w:rPr>
          <w:b/>
          <w:szCs w:val="22"/>
          <w:lang w:val="es-419"/>
        </w:rPr>
        <w:t>REQUISITO DE DIVULGACIÓN</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3.1</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RR.GG., cada Parte Contratante exigirá que los solicitantes divulguen:</w:t>
      </w:r>
    </w:p>
    <w:p w:rsidR="0015624F" w:rsidRPr="0015624F" w:rsidRDefault="0015624F" w:rsidP="005B51CE">
      <w:pPr>
        <w:rPr>
          <w:szCs w:val="22"/>
          <w:lang w:val="es-419"/>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el país de origen de los RR.GG., o</w:t>
      </w:r>
    </w:p>
    <w:p w:rsidR="0015624F" w:rsidRPr="0015624F" w:rsidRDefault="0015624F" w:rsidP="009B3AFD">
      <w:pPr>
        <w:ind w:left="1140"/>
        <w:rPr>
          <w:rFonts w:eastAsia="Times New Roman"/>
          <w:szCs w:val="22"/>
          <w:lang w:val="es-419" w:eastAsia="en-US"/>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en los casos en que el solicitante desconozca la información del apartado a), o cuando no se aplique el apartado a), la fuente de los RR.GG.</w:t>
      </w:r>
    </w:p>
    <w:p w:rsidR="0015624F" w:rsidRPr="0015624F" w:rsidRDefault="0015624F" w:rsidP="009B3AFD">
      <w:pPr>
        <w:ind w:left="450"/>
        <w:rPr>
          <w:rFonts w:eastAsia="Times New Roman"/>
          <w:szCs w:val="22"/>
          <w:lang w:val="es-419" w:eastAsia="en-US"/>
        </w:rPr>
      </w:pPr>
    </w:p>
    <w:p w:rsidR="0015624F" w:rsidRPr="0015624F" w:rsidRDefault="0015624F" w:rsidP="005B51CE">
      <w:pPr>
        <w:rPr>
          <w:szCs w:val="22"/>
          <w:lang w:val="es-419"/>
        </w:rPr>
      </w:pPr>
      <w:r w:rsidRPr="0015624F">
        <w:rPr>
          <w:szCs w:val="22"/>
          <w:lang w:val="es-419"/>
        </w:rPr>
        <w:t>3.2</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CC.TT. conexos, cada Parte Contratante exigirá que los solicitantes divulguen:</w:t>
      </w:r>
    </w:p>
    <w:p w:rsidR="0015624F" w:rsidRPr="0015624F" w:rsidRDefault="0015624F" w:rsidP="0015624F">
      <w:pPr>
        <w:rPr>
          <w:szCs w:val="22"/>
          <w:lang w:val="es-419"/>
        </w:rPr>
      </w:pPr>
    </w:p>
    <w:p w:rsidR="0015624F" w:rsidRPr="0015624F" w:rsidRDefault="0015624F" w:rsidP="0015624F">
      <w:pPr>
        <w:ind w:left="1170" w:hanging="720"/>
        <w:rPr>
          <w:szCs w:val="22"/>
          <w:lang w:val="es-419"/>
        </w:rPr>
      </w:pPr>
      <w:r w:rsidRPr="0015624F">
        <w:rPr>
          <w:szCs w:val="22"/>
          <w:lang w:val="es-419"/>
        </w:rPr>
        <w:t>a)</w:t>
      </w:r>
      <w:r w:rsidRPr="0015624F">
        <w:rPr>
          <w:szCs w:val="22"/>
          <w:lang w:val="es-419"/>
        </w:rPr>
        <w:tab/>
        <w:t>los pueblos indígenas o la comunidad local que proporcionaron los CC.TT. conexos, o</w:t>
      </w:r>
    </w:p>
    <w:p w:rsidR="0015624F" w:rsidRPr="0015624F" w:rsidRDefault="0015624F" w:rsidP="0015624F">
      <w:pPr>
        <w:ind w:left="450"/>
        <w:rPr>
          <w:szCs w:val="22"/>
          <w:lang w:val="es-419"/>
        </w:rPr>
      </w:pPr>
    </w:p>
    <w:p w:rsidR="0015624F" w:rsidRPr="0015624F" w:rsidRDefault="0015624F" w:rsidP="009B3AFD">
      <w:pPr>
        <w:ind w:left="1170" w:hanging="720"/>
        <w:rPr>
          <w:rFonts w:eastAsia="Times New Roman"/>
          <w:szCs w:val="22"/>
          <w:lang w:val="es-419" w:eastAsia="en-US"/>
        </w:rPr>
      </w:pPr>
      <w:r w:rsidRPr="0015624F">
        <w:rPr>
          <w:rFonts w:eastAsia="Times New Roman"/>
          <w:szCs w:val="22"/>
          <w:lang w:val="es-419" w:eastAsia="en-US"/>
        </w:rPr>
        <w:t>b)</w:t>
      </w:r>
      <w:r w:rsidRPr="0015624F">
        <w:rPr>
          <w:rFonts w:eastAsia="Times New Roman"/>
          <w:szCs w:val="22"/>
          <w:lang w:val="es-419" w:eastAsia="en-US"/>
        </w:rPr>
        <w:tab/>
        <w:t>en los casos en que el solicitante desconozca la información del apartado a), o cuando no se aplique el apartado a), la fuente de los CC.TT. conexos.</w:t>
      </w:r>
    </w:p>
    <w:p w:rsidR="0015624F" w:rsidRPr="0015624F" w:rsidRDefault="0015624F" w:rsidP="0015624F">
      <w:pPr>
        <w:contextualSpacing/>
        <w:rPr>
          <w:szCs w:val="22"/>
          <w:lang w:val="es-419"/>
        </w:rPr>
      </w:pPr>
    </w:p>
    <w:p w:rsidR="0015624F" w:rsidRPr="0015624F" w:rsidRDefault="0015624F" w:rsidP="0015624F">
      <w:pPr>
        <w:rPr>
          <w:szCs w:val="22"/>
          <w:lang w:val="es-419"/>
        </w:rPr>
      </w:pPr>
      <w:r w:rsidRPr="0015624F">
        <w:rPr>
          <w:szCs w:val="22"/>
          <w:lang w:val="es-419"/>
        </w:rPr>
        <w:t>3.3</w:t>
      </w:r>
      <w:r w:rsidRPr="0015624F">
        <w:rPr>
          <w:szCs w:val="22"/>
          <w:lang w:val="es-419"/>
        </w:rPr>
        <w:tab/>
        <w:t>En los casos en que el solicitante desconozca la información de los párrafos 3.1 y/o 3.2, cada Parte Contratante exigirá que el solicitante formule una declaración a tal efecto.</w:t>
      </w:r>
    </w:p>
    <w:p w:rsidR="0015624F" w:rsidRPr="0015624F" w:rsidRDefault="0015624F" w:rsidP="0015624F">
      <w:pPr>
        <w:rPr>
          <w:szCs w:val="22"/>
          <w:lang w:val="es-419"/>
        </w:rPr>
      </w:pPr>
    </w:p>
    <w:p w:rsidR="0015624F" w:rsidRPr="0015624F" w:rsidRDefault="00292773" w:rsidP="0015624F">
      <w:pPr>
        <w:rPr>
          <w:szCs w:val="22"/>
          <w:lang w:val="es-419"/>
        </w:rPr>
      </w:pPr>
      <w:r>
        <w:rPr>
          <w:szCs w:val="22"/>
          <w:lang w:val="es-419"/>
        </w:rPr>
        <w:t>3.4</w:t>
      </w:r>
      <w:r w:rsidR="0015624F" w:rsidRPr="0015624F">
        <w:rPr>
          <w:szCs w:val="22"/>
          <w:lang w:val="es-419"/>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3.5</w:t>
      </w:r>
      <w:r w:rsidRPr="0015624F">
        <w:rPr>
          <w:szCs w:val="22"/>
          <w:lang w:val="es-419"/>
        </w:rPr>
        <w:tab/>
        <w:t>Las Partes Contratantes no obligarán a las Oficinas a verificar la autenticidad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3.6</w:t>
      </w:r>
      <w:r w:rsidRPr="0015624F">
        <w:rPr>
          <w:szCs w:val="22"/>
          <w:lang w:val="es-419"/>
        </w:rPr>
        <w:tab/>
        <w:t>Cada Parte Contratante pondrá a disposición del público la información divulgada de conformidad con los procedimientos en materia de patentes, sin perjuicio de la protección de la información confidencial.</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t>Notas sobre el artículo 3</w:t>
      </w:r>
    </w:p>
    <w:p w:rsidR="0015624F" w:rsidRPr="0015624F" w:rsidRDefault="0015624F" w:rsidP="0015624F">
      <w:pPr>
        <w:ind w:left="360"/>
        <w:rPr>
          <w:szCs w:val="22"/>
          <w:u w:val="single"/>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El artículo 3 establece un requisito de divulgación obligatorio. En aras de la seguridad jurídica, resulta esencial, a mi juicio, que las disposiciones relativas al requisito de divulgación aclaren lo siguiente:</w:t>
      </w:r>
    </w:p>
    <w:p w:rsidR="0015624F" w:rsidRPr="0015624F" w:rsidRDefault="0015624F" w:rsidP="0015624F">
      <w:pPr>
        <w:rPr>
          <w:szCs w:val="22"/>
          <w:lang w:val="es-419"/>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relación existente entre la invención reivindicada y los RR.GG. y CC.TT. conexos que </w:t>
      </w:r>
      <w:r w:rsidRPr="0015624F">
        <w:rPr>
          <w:rFonts w:eastAsia="Times New Roman"/>
          <w:bCs/>
          <w:iCs/>
          <w:szCs w:val="22"/>
          <w:lang w:val="es-419" w:eastAsia="en-US"/>
        </w:rPr>
        <w:t xml:space="preserve">activa la obligación de divulgación, mencionada en los debates del CIG como el </w:t>
      </w:r>
      <w:r w:rsidRPr="0015624F">
        <w:rPr>
          <w:rFonts w:eastAsia="Times New Roman"/>
          <w:bCs/>
          <w:i/>
          <w:szCs w:val="22"/>
          <w:lang w:val="es-419" w:eastAsia="en-US"/>
        </w:rPr>
        <w:t>“desencadenante”</w:t>
      </w:r>
      <w:r w:rsidRPr="0015624F">
        <w:rPr>
          <w:rFonts w:eastAsia="Times New Roman"/>
          <w:bCs/>
          <w:iCs/>
          <w:szCs w:val="22"/>
          <w:lang w:val="es-419" w:eastAsia="en-US"/>
        </w:rPr>
        <w:t xml:space="preserve"> de la divulgación; y</w:t>
      </w:r>
    </w:p>
    <w:p w:rsidR="0015624F" w:rsidRPr="0015624F" w:rsidRDefault="0015624F" w:rsidP="00A517E3">
      <w:pPr>
        <w:rPr>
          <w:rFonts w:eastAsia="Times New Roman"/>
          <w:szCs w:val="22"/>
          <w:lang w:val="es-419" w:eastAsia="en-US"/>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información que tiene que divulgarse, mencionada en los debates del CIG como el </w:t>
      </w:r>
      <w:r w:rsidRPr="0015624F">
        <w:rPr>
          <w:rFonts w:eastAsia="Times New Roman"/>
          <w:i/>
          <w:iCs/>
          <w:szCs w:val="22"/>
          <w:lang w:val="es-419" w:eastAsia="en-US"/>
        </w:rPr>
        <w:t>“contenido”</w:t>
      </w:r>
      <w:r w:rsidRPr="0015624F">
        <w:rPr>
          <w:rFonts w:eastAsia="Times New Roman"/>
          <w:szCs w:val="22"/>
          <w:lang w:val="es-419" w:eastAsia="en-US"/>
        </w:rPr>
        <w:t>.</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rsidR="0015624F" w:rsidRPr="0015624F" w:rsidRDefault="0015624F" w:rsidP="0015624F">
      <w:pPr>
        <w:rPr>
          <w:szCs w:val="22"/>
          <w:lang w:val="es-419"/>
        </w:rPr>
      </w:pPr>
    </w:p>
    <w:p w:rsidR="0015624F" w:rsidRPr="0015624F" w:rsidRDefault="0015624F" w:rsidP="0015624F">
      <w:pPr>
        <w:rPr>
          <w:i/>
          <w:szCs w:val="22"/>
          <w:lang w:val="es-419"/>
        </w:rPr>
      </w:pPr>
      <w:r w:rsidRPr="0015624F">
        <w:rPr>
          <w:i/>
          <w:szCs w:val="22"/>
          <w:lang w:val="es-419"/>
        </w:rPr>
        <w:t>Desencadenante</w:t>
      </w:r>
    </w:p>
    <w:p w:rsidR="0015624F" w:rsidRPr="0015624F" w:rsidRDefault="0015624F" w:rsidP="0015624F">
      <w:pPr>
        <w:rPr>
          <w:b/>
          <w:i/>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los artículos 3.1 y 3.2 se aclara la relación existente entre la invención reivindicada y los RR.GG. y CC.TT. conexos, que </w:t>
      </w:r>
      <w:r w:rsidRPr="0015624F">
        <w:rPr>
          <w:bCs/>
          <w:iCs/>
          <w:szCs w:val="22"/>
          <w:lang w:val="es-419"/>
        </w:rPr>
        <w:t xml:space="preserve">activa la obligación de divulgación. </w:t>
      </w:r>
      <w:r w:rsidRPr="0015624F">
        <w:rPr>
          <w:szCs w:val="22"/>
          <w:lang w:val="es-419"/>
        </w:rPr>
        <w:t xml:space="preserve">En consecuencia, los artículos 3.1 y 3.2 exigen que la invención esté </w:t>
      </w:r>
      <w:r w:rsidRPr="0015624F">
        <w:rPr>
          <w:i/>
          <w:iCs/>
          <w:szCs w:val="22"/>
          <w:lang w:val="es-419"/>
        </w:rPr>
        <w:t>“basada esencialmente/directamente en”</w:t>
      </w:r>
      <w:r w:rsidRPr="0015624F">
        <w:rPr>
          <w:szCs w:val="22"/>
          <w:lang w:val="es-419"/>
        </w:rPr>
        <w:t xml:space="preserve"> uno o más RR.GG. o CC.TT. conexos.</w:t>
      </w:r>
    </w:p>
    <w:p w:rsidR="0015624F" w:rsidRPr="0015624F" w:rsidRDefault="0015624F" w:rsidP="0015624F">
      <w:pPr>
        <w:rPr>
          <w:szCs w:val="22"/>
          <w:u w:val="single"/>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 xml:space="preserve">En el contexto de los RR.GG., el término </w:t>
      </w:r>
      <w:r w:rsidRPr="0015624F">
        <w:rPr>
          <w:i/>
          <w:iCs/>
          <w:szCs w:val="22"/>
          <w:lang w:val="es-419"/>
        </w:rPr>
        <w:t>“basada esencialmente/directamente en”</w:t>
      </w:r>
      <w:r w:rsidRPr="0015624F">
        <w:rPr>
          <w:szCs w:val="22"/>
          <w:lang w:val="es-419"/>
        </w:rPr>
        <w:t xml:space="preserve"> aclara que la materia que activa el requisito de divulgación son RR.GG. que fueron necesarios o esenciales para el desarrollo de la invención reivindicada. </w:t>
      </w:r>
      <w:r w:rsidRPr="0015624F">
        <w:rPr>
          <w:i/>
          <w:iCs/>
          <w:szCs w:val="22"/>
          <w:lang w:val="es-419"/>
        </w:rPr>
        <w:t>“Basada en”</w:t>
      </w:r>
      <w:r w:rsidRPr="0015624F">
        <w:rPr>
          <w:szCs w:val="22"/>
          <w:lang w:val="es-419"/>
        </w:rPr>
        <w:t xml:space="preserve"> incluye los RR.GG. que formaron parte del desarrollo de la invención. El término </w:t>
      </w:r>
      <w:r w:rsidRPr="0015624F">
        <w:rPr>
          <w:i/>
          <w:iCs/>
          <w:szCs w:val="22"/>
          <w:lang w:val="es-419"/>
        </w:rPr>
        <w:t>“esencialmente/directamente”</w:t>
      </w:r>
      <w:r w:rsidRPr="0015624F">
        <w:rPr>
          <w:szCs w:val="22"/>
          <w:lang w:val="es-419"/>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 xml:space="preserve">En el contexto de los CC.TT. conexos, </w:t>
      </w:r>
      <w:r w:rsidRPr="0015624F">
        <w:rPr>
          <w:i/>
          <w:iCs/>
          <w:szCs w:val="22"/>
          <w:lang w:val="es-419"/>
        </w:rPr>
        <w:t>“basada esencialmente/directamente en”</w:t>
      </w:r>
      <w:r w:rsidRPr="0015624F">
        <w:rPr>
          <w:szCs w:val="22"/>
          <w:lang w:val="es-419"/>
        </w:rPr>
        <w:t xml:space="preserve"> significa que el inventor debe haber utilizado los CC.TT. al desarrollar la invención reivindicada y que la invención reivindicada debe haber dependido de los CC.TT.</w:t>
      </w:r>
    </w:p>
    <w:p w:rsidR="0015624F" w:rsidRPr="0015624F" w:rsidRDefault="0015624F" w:rsidP="0015624F">
      <w:pPr>
        <w:rPr>
          <w:b/>
          <w:i/>
          <w:szCs w:val="22"/>
          <w:lang w:val="es-419"/>
        </w:rPr>
      </w:pPr>
    </w:p>
    <w:p w:rsidR="0015624F" w:rsidRPr="0015624F" w:rsidRDefault="0015624F" w:rsidP="0015624F">
      <w:pPr>
        <w:rPr>
          <w:i/>
          <w:szCs w:val="22"/>
          <w:lang w:val="es-419"/>
        </w:rPr>
      </w:pPr>
      <w:r w:rsidRPr="0015624F">
        <w:rPr>
          <w:i/>
          <w:szCs w:val="22"/>
          <w:lang w:val="es-419"/>
        </w:rPr>
        <w:t>Contenido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6.</w:t>
      </w:r>
      <w:r w:rsidRPr="0015624F">
        <w:rPr>
          <w:szCs w:val="22"/>
          <w:lang w:val="es-419"/>
        </w:rPr>
        <w:tab/>
        <w:t>En función de las circunstancias específicas, el artículo 3 exige que se divulgue distinta información en las solicitudes de patentes:</w:t>
      </w:r>
    </w:p>
    <w:p w:rsidR="0015624F" w:rsidRPr="0015624F" w:rsidRDefault="0015624F" w:rsidP="0015624F">
      <w:pPr>
        <w:rPr>
          <w:szCs w:val="22"/>
          <w:lang w:val="es-419"/>
        </w:rPr>
      </w:pPr>
    </w:p>
    <w:p w:rsidR="0015624F" w:rsidRPr="0015624F" w:rsidRDefault="0015624F" w:rsidP="00A517E3">
      <w:pPr>
        <w:numPr>
          <w:ilvl w:val="0"/>
          <w:numId w:val="21"/>
        </w:numPr>
        <w:rPr>
          <w:szCs w:val="22"/>
          <w:lang w:val="es-419"/>
        </w:rPr>
      </w:pPr>
      <w:r w:rsidRPr="0015624F">
        <w:rPr>
          <w:szCs w:val="22"/>
          <w:lang w:val="es-419"/>
        </w:rPr>
        <w:t>En los párrafos 3.1 y 3.2 se enumera la información que debe divulgarse, si es aplicable y la conoce el solicitante de patente.</w:t>
      </w:r>
    </w:p>
    <w:p w:rsidR="0015624F" w:rsidRPr="0015624F" w:rsidRDefault="0015624F" w:rsidP="0015624F">
      <w:pPr>
        <w:ind w:left="357"/>
        <w:rPr>
          <w:rFonts w:eastAsia="Times New Roman"/>
          <w:szCs w:val="22"/>
          <w:u w:val="single"/>
          <w:lang w:val="es-419" w:eastAsia="en-US"/>
        </w:rPr>
      </w:pPr>
    </w:p>
    <w:p w:rsidR="0015624F" w:rsidRPr="0015624F" w:rsidRDefault="0015624F" w:rsidP="0015624F">
      <w:pPr>
        <w:ind w:left="1134"/>
        <w:rPr>
          <w:szCs w:val="22"/>
          <w:lang w:val="es-419"/>
        </w:rPr>
      </w:pPr>
      <w:r w:rsidRPr="0015624F">
        <w:rPr>
          <w:i/>
          <w:szCs w:val="22"/>
          <w:lang w:val="es-419"/>
        </w:rPr>
        <w:t>En el contexto de los RR.GG. (párrafo 3.1)</w:t>
      </w:r>
      <w:r w:rsidRPr="0015624F">
        <w:rPr>
          <w:szCs w:val="22"/>
          <w:lang w:val="es-419"/>
        </w:rPr>
        <w:t xml:space="preserve">, la Parte Contratante exigirá al solicitante de patente que divulgue el país de origen de los RR.GG. A fin de velar por el apoyo mutuo con otros instrumentos internacionales, de conformidad con los principios del presente instrumento, deberá entenderse que el país de origen es el definido en el CDB, es decir, el país que posee los RR.GG. en condiciones </w:t>
      </w:r>
      <w:r w:rsidRPr="0015624F">
        <w:rPr>
          <w:i/>
          <w:iCs/>
          <w:szCs w:val="22"/>
          <w:lang w:val="es-419"/>
        </w:rPr>
        <w:t>in situ</w:t>
      </w:r>
      <w:r w:rsidRPr="0015624F">
        <w:rPr>
          <w:szCs w:val="22"/>
          <w:lang w:val="es-419"/>
        </w:rPr>
        <w:t xml:space="preserve">. Sin embargo, muchos RR.GG. se hallan </w:t>
      </w:r>
      <w:r w:rsidRPr="0015624F">
        <w:rPr>
          <w:i/>
          <w:iCs/>
          <w:szCs w:val="22"/>
          <w:lang w:val="es-419"/>
        </w:rPr>
        <w:t>in situ</w:t>
      </w:r>
      <w:r w:rsidRPr="0015624F">
        <w:rPr>
          <w:szCs w:val="22"/>
          <w:lang w:val="es-419"/>
        </w:rPr>
        <w:t xml:space="preserve"> en más de un país. Por lo tanto, a menudo existe más de un país de origen para un recurso genético específico. Sin embargo, de conformidad con el artículo </w:t>
      </w:r>
      <w:proofErr w:type="gramStart"/>
      <w:r w:rsidRPr="0015624F">
        <w:rPr>
          <w:szCs w:val="22"/>
          <w:lang w:val="es-419"/>
        </w:rPr>
        <w:t>3.1.a</w:t>
      </w:r>
      <w:proofErr w:type="gramEnd"/>
      <w:r w:rsidRPr="0015624F">
        <w:rPr>
          <w:szCs w:val="22"/>
          <w:lang w:val="es-419"/>
        </w:rPr>
        <w:t xml:space="preserve">), lo que deberá divulgarse es el “país de origen [específico] </w:t>
      </w:r>
      <w:r w:rsidRPr="0015624F">
        <w:rPr>
          <w:szCs w:val="22"/>
          <w:u w:val="single"/>
          <w:lang w:val="es-419"/>
        </w:rPr>
        <w:t>de los</w:t>
      </w:r>
      <w:r w:rsidRPr="0015624F">
        <w:rPr>
          <w:szCs w:val="22"/>
          <w:lang w:val="es-419"/>
        </w:rPr>
        <w:t xml:space="preserve"> RR.GG” (se ha añadido el subrayado), es decir, el mismo recurso genético en el que se basa [</w:t>
      </w:r>
      <w:r w:rsidRPr="0015624F">
        <w:rPr>
          <w:i/>
          <w:iCs/>
          <w:szCs w:val="22"/>
          <w:lang w:val="es-419"/>
        </w:rPr>
        <w:t>esencialmente/directamente</w:t>
      </w:r>
      <w:r w:rsidRPr="0015624F">
        <w:rPr>
          <w:szCs w:val="22"/>
          <w:lang w:val="es-419"/>
        </w:rPr>
        <w:t xml:space="preserve">] la invención reivindicada, que es el país del que se ha obtenido realmente dicho recurso genético (un solo país en lo que respecta a cada recurso genético). </w:t>
      </w:r>
      <w:r w:rsidRPr="0015624F">
        <w:rPr>
          <w:szCs w:val="22"/>
          <w:lang w:val="es-419"/>
        </w:rPr>
        <w:br/>
      </w:r>
    </w:p>
    <w:p w:rsidR="0015624F" w:rsidRPr="0015624F" w:rsidRDefault="0015624F" w:rsidP="0015624F">
      <w:pPr>
        <w:ind w:left="1134"/>
        <w:rPr>
          <w:szCs w:val="22"/>
          <w:lang w:val="es-419"/>
        </w:rPr>
      </w:pPr>
      <w:r w:rsidRPr="0015624F">
        <w:rPr>
          <w:i/>
          <w:szCs w:val="22"/>
          <w:lang w:val="es-419"/>
        </w:rPr>
        <w:t xml:space="preserve">En el contexto de los CC.TT. conexos, </w:t>
      </w:r>
      <w:r w:rsidRPr="0015624F">
        <w:rPr>
          <w:szCs w:val="22"/>
          <w:lang w:val="es-419"/>
        </w:rPr>
        <w:t>la Parte Contratante exigirá al solicitante de patente que divulgue el pueblo indígena o la comunidad local que proporcionaron esos conocimientos, es decir, el titular a partir del cual se accedió a los conocimientos o se aprendieron los conocimientos.</w:t>
      </w:r>
    </w:p>
    <w:p w:rsidR="0015624F" w:rsidRPr="0015624F" w:rsidRDefault="0015624F" w:rsidP="0015624F">
      <w:pPr>
        <w:ind w:left="900"/>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RR.GG.,</w:t>
      </w:r>
      <w:r w:rsidRPr="0015624F">
        <w:rPr>
          <w:szCs w:val="22"/>
          <w:lang w:val="es-419"/>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CC.TT. conexos,</w:t>
      </w:r>
      <w:r w:rsidRPr="0015624F">
        <w:rPr>
          <w:szCs w:val="22"/>
          <w:lang w:val="es-419"/>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rsidR="0015624F" w:rsidRPr="0015624F" w:rsidRDefault="0015624F" w:rsidP="0015624F">
      <w:pPr>
        <w:ind w:left="907"/>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w:t>
      </w:r>
      <w:r w:rsidRPr="0015624F">
        <w:rPr>
          <w:szCs w:val="22"/>
          <w:lang w:val="es-419"/>
        </w:rPr>
        <w:t>una</w:t>
      </w:r>
      <w:r w:rsidRPr="0015624F">
        <w:rPr>
          <w:rFonts w:eastAsia="Times New Roman"/>
          <w:szCs w:val="22"/>
          <w:lang w:val="es-419" w:eastAsia="en-US"/>
        </w:rPr>
        <w:t xml:space="preserve">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Pr="0015624F">
        <w:rPr>
          <w:rFonts w:eastAsia="Times New Roman"/>
          <w:szCs w:val="22"/>
          <w:lang w:val="es-419" w:eastAsia="en-US"/>
        </w:rPr>
        <w:br/>
      </w:r>
    </w:p>
    <w:p w:rsidR="0015624F" w:rsidRPr="0015624F" w:rsidRDefault="0015624F" w:rsidP="0015624F">
      <w:pPr>
        <w:rPr>
          <w:szCs w:val="22"/>
          <w:lang w:val="es-419"/>
        </w:rPr>
      </w:pPr>
      <w:r w:rsidRPr="0015624F">
        <w:rPr>
          <w:szCs w:val="22"/>
          <w:lang w:val="es-419"/>
        </w:rPr>
        <w:t>7.</w:t>
      </w:r>
      <w:r w:rsidRPr="0015624F">
        <w:rPr>
          <w:szCs w:val="22"/>
          <w:lang w:val="es-419"/>
        </w:rPr>
        <w:tab/>
        <w:t>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patentes y velar por que no se creen retrasos de tramitación injustificables para los solicitantes de patentes. Asimismo, se reconoce que las oficinas de patentes carecen de los conocimientos técnicos propios para aplicar ese tipo de medidas.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8.</w:t>
      </w:r>
      <w:r w:rsidRPr="0015624F">
        <w:rPr>
          <w:szCs w:val="22"/>
          <w:lang w:val="es-419"/>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 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t>ARTÍCULO 4</w:t>
      </w:r>
    </w:p>
    <w:p w:rsidR="0015624F" w:rsidRPr="0015624F" w:rsidRDefault="0015624F" w:rsidP="0015624F">
      <w:pPr>
        <w:jc w:val="center"/>
        <w:rPr>
          <w:b/>
          <w:szCs w:val="22"/>
          <w:lang w:val="es-419"/>
        </w:rPr>
      </w:pPr>
      <w:r w:rsidRPr="0015624F">
        <w:rPr>
          <w:b/>
          <w:szCs w:val="22"/>
          <w:lang w:val="es-419"/>
        </w:rPr>
        <w:t>EXCEPCIONES Y LIMITACIONES</w:t>
      </w:r>
    </w:p>
    <w:p w:rsidR="0015624F" w:rsidRPr="0015624F" w:rsidRDefault="0015624F" w:rsidP="0015624F">
      <w:pPr>
        <w:rPr>
          <w:szCs w:val="22"/>
          <w:lang w:val="es-419"/>
        </w:rPr>
      </w:pPr>
    </w:p>
    <w:p w:rsidR="003F552E" w:rsidRDefault="0015624F" w:rsidP="0015624F">
      <w:pPr>
        <w:rPr>
          <w:szCs w:val="22"/>
          <w:lang w:val="es-419"/>
        </w:rPr>
      </w:pPr>
      <w:r w:rsidRPr="0015624F">
        <w:rPr>
          <w:szCs w:val="22"/>
          <w:lang w:val="es-419"/>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jc w:val="center"/>
        <w:rPr>
          <w:b/>
          <w:szCs w:val="22"/>
          <w:lang w:val="es-419"/>
        </w:rPr>
      </w:pPr>
      <w:r w:rsidRPr="0015624F">
        <w:rPr>
          <w:b/>
          <w:szCs w:val="22"/>
          <w:lang w:val="es-419"/>
        </w:rPr>
        <w:t>ARTÍCULO 5</w:t>
      </w:r>
    </w:p>
    <w:p w:rsidR="0015624F" w:rsidRPr="0015624F" w:rsidRDefault="0015624F" w:rsidP="005B51CE">
      <w:pPr>
        <w:jc w:val="center"/>
        <w:rPr>
          <w:b/>
          <w:szCs w:val="22"/>
          <w:lang w:val="es-419"/>
        </w:rPr>
      </w:pPr>
      <w:r w:rsidRPr="0015624F">
        <w:rPr>
          <w:b/>
          <w:szCs w:val="22"/>
          <w:lang w:val="es-419"/>
        </w:rPr>
        <w:t>NO RETROACTIVIDAD</w:t>
      </w:r>
    </w:p>
    <w:p w:rsidR="0015624F" w:rsidRPr="0015624F" w:rsidRDefault="0015624F" w:rsidP="0015624F">
      <w:pPr>
        <w:rPr>
          <w:szCs w:val="22"/>
          <w:lang w:val="es-419"/>
        </w:rPr>
      </w:pPr>
    </w:p>
    <w:p w:rsidR="0015624F" w:rsidRPr="0015624F" w:rsidRDefault="0015624F" w:rsidP="0015624F">
      <w:pPr>
        <w:jc w:val="both"/>
        <w:rPr>
          <w:szCs w:val="22"/>
          <w:lang w:val="es-419"/>
        </w:rPr>
      </w:pPr>
      <w:r w:rsidRPr="0015624F">
        <w:rPr>
          <w:szCs w:val="22"/>
          <w:lang w:val="es-419"/>
        </w:rPr>
        <w:t>Las Partes Contratantes no impondrán las obligaciones del presente instrumento en relación con las solicitudes de patente que hayan sido presentadas antes de la ratificación o adhesión de esa Parte Contratante al presente instrumento, con arreglo a la legislación nacional vigente antes de dicha ratificación o adhesión.</w:t>
      </w:r>
      <w:r w:rsidRPr="0015624F">
        <w:rPr>
          <w:szCs w:val="22"/>
          <w:lang w:val="es-419"/>
        </w:rPr>
        <w:br w:type="page"/>
      </w:r>
    </w:p>
    <w:p w:rsidR="0015624F" w:rsidRPr="0015624F" w:rsidRDefault="0015624F" w:rsidP="0015624F">
      <w:pPr>
        <w:rPr>
          <w:szCs w:val="22"/>
          <w:lang w:val="es-419"/>
        </w:rPr>
      </w:pPr>
      <w:r w:rsidRPr="0015624F">
        <w:rPr>
          <w:szCs w:val="22"/>
          <w:u w:val="single"/>
          <w:lang w:val="es-419"/>
        </w:rPr>
        <w:t>Notas sobre el artículo 5</w:t>
      </w:r>
      <w:r w:rsidRPr="0015624F">
        <w:rPr>
          <w:szCs w:val="22"/>
          <w:u w:val="single"/>
          <w:lang w:val="es-419"/>
        </w:rPr>
        <w:br/>
      </w:r>
    </w:p>
    <w:p w:rsidR="0015624F" w:rsidRPr="0015624F" w:rsidRDefault="0015624F" w:rsidP="0015624F">
      <w:pPr>
        <w:rPr>
          <w:szCs w:val="22"/>
          <w:lang w:val="es-419"/>
        </w:rPr>
      </w:pPr>
      <w:r w:rsidRPr="0015624F">
        <w:rPr>
          <w:szCs w:val="22"/>
          <w:lang w:val="es-419"/>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t>ARTÍCULO 6</w:t>
      </w:r>
    </w:p>
    <w:p w:rsidR="0015624F" w:rsidRPr="0015624F" w:rsidRDefault="0015624F" w:rsidP="0015624F">
      <w:pPr>
        <w:jc w:val="center"/>
        <w:rPr>
          <w:b/>
          <w:szCs w:val="22"/>
          <w:lang w:val="es-419"/>
        </w:rPr>
      </w:pPr>
      <w:r w:rsidRPr="0015624F">
        <w:rPr>
          <w:b/>
          <w:szCs w:val="22"/>
          <w:lang w:val="es-419"/>
        </w:rPr>
        <w:t>SANCIONES Y RECURSOS</w:t>
      </w:r>
    </w:p>
    <w:p w:rsidR="0015624F" w:rsidRPr="0015624F" w:rsidRDefault="0015624F" w:rsidP="00B770A1">
      <w:pPr>
        <w:rPr>
          <w:lang w:val="es-419"/>
        </w:rPr>
      </w:pPr>
    </w:p>
    <w:p w:rsidR="0015624F" w:rsidRPr="0015624F" w:rsidRDefault="0015624F" w:rsidP="00B770A1">
      <w:pPr>
        <w:rPr>
          <w:szCs w:val="22"/>
          <w:lang w:val="es-419"/>
        </w:rPr>
      </w:pPr>
      <w:r w:rsidRPr="0015624F">
        <w:rPr>
          <w:szCs w:val="22"/>
          <w:lang w:val="es-419"/>
        </w:rPr>
        <w:t>6.1</w:t>
      </w:r>
      <w:r w:rsidRPr="0015624F">
        <w:rPr>
          <w:szCs w:val="22"/>
          <w:lang w:val="es-419"/>
        </w:rPr>
        <w:tab/>
      </w:r>
      <w:r w:rsidRPr="0015624F">
        <w:rPr>
          <w:lang w:val="es-419"/>
        </w:rPr>
        <w:t xml:space="preserve">Cada Parte Contratante </w:t>
      </w:r>
      <w:r w:rsidRPr="0015624F">
        <w:rPr>
          <w:szCs w:val="22"/>
          <w:lang w:val="es-419"/>
        </w:rPr>
        <w:t>establecerá disposiciones legales, administrativas y/o medidas de política adecuadas, eficaces y proporcionales para hacer frente al hecho de que el solicitante no facilite la información exigida en el Artículo 3 del presente instrumento.</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6.2</w:t>
      </w:r>
      <w:r w:rsidRPr="0015624F">
        <w:rPr>
          <w:szCs w:val="22"/>
          <w:lang w:val="es-419"/>
        </w:rPr>
        <w:tab/>
        <w:t>Cada Parte Contratante proporcionará al solicitante la posibilidad de rectificar el hecho de no haber incluido la información mínima especificada en el Artículo 3 antes de imponer las sanciones u ordenar los recursos.</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6.3</w:t>
      </w:r>
      <w:r w:rsidRPr="0015624F">
        <w:rPr>
          <w:szCs w:val="22"/>
          <w:lang w:val="es-419"/>
        </w:rPr>
        <w:tab/>
        <w:t>Con arreglo al artículo 6.4, ninguna Parte Contratante revocará o despojará de fuerza jurídica una patente basándose solamente en el hecho de que el solicitante no ha divulgado la información especificada en el artículo 3 del presente instrumento.</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6.4</w:t>
      </w:r>
      <w:r w:rsidRPr="0015624F">
        <w:rPr>
          <w:szCs w:val="22"/>
          <w:lang w:val="es-419"/>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6.5</w:t>
      </w:r>
      <w:r w:rsidRPr="0015624F">
        <w:rPr>
          <w:szCs w:val="22"/>
          <w:lang w:val="es-419"/>
        </w:rPr>
        <w:tab/>
        <w:t xml:space="preserve">Sin perjuicio del incumplimiento como consecuencia de la intención fraudulenta mencionada en el artículo 6.4, las Partes Contratantes establecerán mecanismos adecuados de solución de controversias que permitan a todas las partes interesadas lograr soluciones puntuales y mutuamente satisfactorias, de conformidad con la legislación nacional. </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t>Notas sobre el artículo 6</w:t>
      </w:r>
    </w:p>
    <w:p w:rsidR="0015624F" w:rsidRPr="0015624F" w:rsidRDefault="0015624F" w:rsidP="0015624F">
      <w:pPr>
        <w:rPr>
          <w:szCs w:val="22"/>
          <w:u w:val="single"/>
          <w:lang w:val="es-419"/>
        </w:rPr>
      </w:pPr>
    </w:p>
    <w:p w:rsidR="0015624F" w:rsidRPr="0015624F" w:rsidRDefault="0015624F" w:rsidP="0015624F">
      <w:pPr>
        <w:keepLines/>
        <w:rPr>
          <w:szCs w:val="22"/>
          <w:lang w:val="es-419"/>
        </w:rPr>
      </w:pPr>
      <w:r w:rsidRPr="0015624F">
        <w:rPr>
          <w:szCs w:val="22"/>
          <w:lang w:val="es-419"/>
        </w:rPr>
        <w:t>1.</w:t>
      </w:r>
      <w:r w:rsidRPr="0015624F">
        <w:rPr>
          <w:szCs w:val="22"/>
          <w:lang w:val="es-419"/>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15624F">
        <w:rPr>
          <w:b/>
          <w:bCs/>
          <w:szCs w:val="22"/>
          <w:lang w:val="es-419"/>
        </w:rPr>
        <w:t>solamente</w:t>
      </w:r>
      <w:r w:rsidRPr="0015624F">
        <w:rPr>
          <w:szCs w:val="22"/>
          <w:lang w:val="es-419"/>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rsidR="0015624F" w:rsidRPr="0015624F" w:rsidRDefault="0015624F" w:rsidP="0015624F">
      <w:pPr>
        <w:rPr>
          <w:szCs w:val="22"/>
          <w:lang w:val="es-419"/>
        </w:rPr>
      </w:pPr>
    </w:p>
    <w:p w:rsidR="0015624F" w:rsidRPr="0015624F" w:rsidRDefault="0015624F" w:rsidP="00AD1C9C">
      <w:pPr>
        <w:rPr>
          <w:rFonts w:eastAsia="Times New Roman"/>
          <w:szCs w:val="22"/>
          <w:lang w:val="es-419" w:eastAsia="en-US"/>
        </w:rPr>
      </w:pPr>
      <w:r w:rsidRPr="0015624F">
        <w:rPr>
          <w:rFonts w:eastAsia="Times New Roman"/>
          <w:szCs w:val="22"/>
          <w:lang w:val="es-419" w:eastAsia="en-US"/>
        </w:rPr>
        <w:t>4.</w:t>
      </w:r>
      <w:r w:rsidRPr="0015624F">
        <w:rPr>
          <w:rFonts w:eastAsia="Times New Roman"/>
          <w:szCs w:val="22"/>
          <w:lang w:val="es-419" w:eastAsia="en-US"/>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t>ARTÍCULO 7</w:t>
      </w:r>
    </w:p>
    <w:p w:rsidR="0015624F" w:rsidRPr="0015624F" w:rsidRDefault="0015624F" w:rsidP="00AD1C9C">
      <w:pPr>
        <w:jc w:val="center"/>
        <w:rPr>
          <w:b/>
          <w:szCs w:val="22"/>
          <w:lang w:val="es-419"/>
        </w:rPr>
      </w:pPr>
      <w:r w:rsidRPr="0015624F">
        <w:rPr>
          <w:b/>
          <w:szCs w:val="22"/>
          <w:lang w:val="es-419"/>
        </w:rPr>
        <w:t>SISTEMAS DE INFORMACIÓN</w:t>
      </w:r>
    </w:p>
    <w:p w:rsidR="0015624F" w:rsidRPr="0015624F" w:rsidRDefault="0015624F" w:rsidP="00AD1C9C">
      <w:pPr>
        <w:rPr>
          <w:lang w:val="es-419"/>
        </w:rPr>
      </w:pPr>
    </w:p>
    <w:p w:rsidR="0015624F" w:rsidRPr="0015624F" w:rsidRDefault="0015624F" w:rsidP="00AD1C9C">
      <w:pPr>
        <w:rPr>
          <w:szCs w:val="22"/>
          <w:lang w:val="es-419"/>
        </w:rPr>
      </w:pPr>
      <w:r w:rsidRPr="0015624F">
        <w:rPr>
          <w:szCs w:val="22"/>
          <w:lang w:val="es-419"/>
        </w:rPr>
        <w:t>7.1</w:t>
      </w:r>
      <w:r w:rsidRPr="0015624F">
        <w:rPr>
          <w:szCs w:val="22"/>
          <w:lang w:val="es-419"/>
        </w:rPr>
        <w:tab/>
        <w:t>Las Partes Contratantes podrán establecer sistemas de información (por ejemplo, bases de datos) de RR.GG. y CC.TT. conexos, en consulta con los sectores interesados pertinentes, teniendo en cuenta sus circunstancias nacionales.</w:t>
      </w:r>
    </w:p>
    <w:p w:rsidR="0015624F" w:rsidRPr="0015624F" w:rsidRDefault="0015624F" w:rsidP="00AD1C9C">
      <w:pPr>
        <w:rPr>
          <w:szCs w:val="22"/>
          <w:lang w:val="es-419"/>
        </w:rPr>
      </w:pPr>
    </w:p>
    <w:p w:rsidR="0015624F" w:rsidRPr="0015624F" w:rsidRDefault="0015624F" w:rsidP="00AD1C9C">
      <w:pPr>
        <w:rPr>
          <w:szCs w:val="22"/>
          <w:lang w:val="es-419"/>
        </w:rPr>
      </w:pPr>
      <w:r w:rsidRPr="0015624F">
        <w:rPr>
          <w:szCs w:val="22"/>
          <w:lang w:val="es-419"/>
        </w:rPr>
        <w:t>7.2</w:t>
      </w:r>
      <w:r w:rsidRPr="0015624F">
        <w:rPr>
          <w:szCs w:val="22"/>
          <w:lang w:val="es-419"/>
        </w:rPr>
        <w:tab/>
        <w:t>Los sistemas de información, dotados de las salvaguardias apropiadas, deberán ser accesibles para las Oficinas a los fines de la búsqueda y el examen de solicitudes de patente.</w:t>
      </w:r>
    </w:p>
    <w:p w:rsidR="0015624F" w:rsidRPr="0015624F" w:rsidRDefault="0015624F" w:rsidP="00AD1C9C">
      <w:pPr>
        <w:ind w:left="360"/>
        <w:rPr>
          <w:szCs w:val="22"/>
          <w:lang w:val="es-419"/>
        </w:rPr>
      </w:pPr>
    </w:p>
    <w:p w:rsidR="0015624F" w:rsidRPr="0015624F" w:rsidRDefault="0015624F" w:rsidP="00AD1C9C">
      <w:pPr>
        <w:rPr>
          <w:szCs w:val="22"/>
          <w:lang w:val="es-419"/>
        </w:rPr>
      </w:pPr>
      <w:r w:rsidRPr="0015624F">
        <w:rPr>
          <w:szCs w:val="22"/>
          <w:lang w:val="es-419"/>
        </w:rPr>
        <w:t>7.3.</w:t>
      </w:r>
      <w:r w:rsidRPr="0015624F">
        <w:rPr>
          <w:szCs w:val="22"/>
          <w:lang w:val="es-419"/>
        </w:rPr>
        <w:tab/>
        <w:t>En lo que respecta a dichos sistemas de información, la Asamblea de las Partes Contratantes podrá establecer uno o más grupos de trabajo técnico para:</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a)</w:t>
      </w:r>
      <w:r w:rsidRPr="0015624F">
        <w:rPr>
          <w:szCs w:val="22"/>
          <w:lang w:val="es-419"/>
        </w:rPr>
        <w:tab/>
        <w:t>Elaborar normas y estructuras mínimas de interoperabilidad del contenido de los sistemas de información;</w:t>
      </w:r>
    </w:p>
    <w:p w:rsidR="0015624F" w:rsidRPr="0015624F" w:rsidRDefault="0015624F" w:rsidP="00AD1C9C">
      <w:pPr>
        <w:rPr>
          <w:rFonts w:eastAsia="Times New Roman"/>
          <w:szCs w:val="22"/>
          <w:lang w:val="es-419" w:eastAsia="en-US"/>
        </w:rPr>
      </w:pPr>
    </w:p>
    <w:p w:rsidR="0015624F" w:rsidRPr="0015624F" w:rsidRDefault="0015624F" w:rsidP="00AD1C9C">
      <w:pPr>
        <w:ind w:left="560"/>
        <w:rPr>
          <w:szCs w:val="22"/>
          <w:lang w:val="es-419"/>
        </w:rPr>
      </w:pPr>
      <w:r w:rsidRPr="0015624F">
        <w:rPr>
          <w:szCs w:val="22"/>
          <w:lang w:val="es-419"/>
        </w:rPr>
        <w:t>b)</w:t>
      </w:r>
      <w:r w:rsidRPr="0015624F">
        <w:rPr>
          <w:szCs w:val="22"/>
          <w:lang w:val="es-419"/>
        </w:rPr>
        <w:tab/>
        <w:t>elaborar directrices relativas a las salvaguardias;</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c)</w:t>
      </w:r>
      <w:r w:rsidRPr="0015624F">
        <w:rPr>
          <w:szCs w:val="22"/>
          <w:lang w:val="es-419"/>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rsidR="0015624F" w:rsidRPr="0015624F" w:rsidRDefault="0015624F" w:rsidP="00AD1C9C">
      <w:pPr>
        <w:rPr>
          <w:lang w:val="es-419"/>
        </w:rPr>
      </w:pPr>
    </w:p>
    <w:p w:rsidR="0015624F" w:rsidRPr="0015624F" w:rsidRDefault="0015624F" w:rsidP="00AD1C9C">
      <w:pPr>
        <w:ind w:left="560"/>
        <w:rPr>
          <w:szCs w:val="22"/>
          <w:lang w:val="es-419"/>
        </w:rPr>
      </w:pPr>
      <w:r w:rsidRPr="0015624F">
        <w:rPr>
          <w:szCs w:val="22"/>
          <w:lang w:val="es-419"/>
        </w:rPr>
        <w:t>d)</w:t>
      </w:r>
      <w:r w:rsidRPr="0015624F">
        <w:rPr>
          <w:szCs w:val="22"/>
          <w:lang w:val="es-419"/>
        </w:rPr>
        <w:tab/>
        <w:t>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e)</w:t>
      </w:r>
      <w:r w:rsidRPr="0015624F">
        <w:rPr>
          <w:szCs w:val="22"/>
          <w:lang w:val="es-419"/>
        </w:rPr>
        <w:tab/>
        <w:t>examinar cualquier otra cuestión conexa.</w:t>
      </w:r>
    </w:p>
    <w:p w:rsidR="0015624F" w:rsidRPr="0015624F" w:rsidRDefault="0015624F" w:rsidP="0015624F">
      <w:pPr>
        <w:jc w:val="cente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t>ARTÍCULO 8</w:t>
      </w:r>
    </w:p>
    <w:p w:rsidR="0015624F" w:rsidRPr="0015624F" w:rsidRDefault="0015624F" w:rsidP="00B770A1">
      <w:pPr>
        <w:jc w:val="center"/>
        <w:rPr>
          <w:b/>
          <w:szCs w:val="22"/>
          <w:lang w:val="es-419"/>
        </w:rPr>
      </w:pPr>
      <w:r w:rsidRPr="0015624F">
        <w:rPr>
          <w:b/>
          <w:szCs w:val="22"/>
          <w:lang w:val="es-419"/>
        </w:rPr>
        <w:t>RELACIÓN CON OTROS ACUERDOS INTERNACIONALES</w:t>
      </w:r>
    </w:p>
    <w:p w:rsidR="0015624F" w:rsidRPr="0015624F" w:rsidRDefault="0015624F" w:rsidP="00B770A1">
      <w:pPr>
        <w:rPr>
          <w:b/>
          <w:lang w:val="es-419"/>
        </w:rPr>
      </w:pPr>
    </w:p>
    <w:p w:rsidR="0015624F" w:rsidRPr="0015624F" w:rsidRDefault="0015624F" w:rsidP="00B770A1">
      <w:pPr>
        <w:rPr>
          <w:szCs w:val="22"/>
          <w:lang w:val="es-419"/>
        </w:rPr>
      </w:pPr>
      <w:r w:rsidRPr="0015624F">
        <w:rPr>
          <w:szCs w:val="22"/>
          <w:lang w:val="es-419"/>
        </w:rPr>
        <w:t>El presente instrumento se aplicará de manera que se apoye mutuamente con otros instrumentos internacionales pertinentes al presente instrumento.</w:t>
      </w:r>
      <w:r w:rsidRPr="0015624F">
        <w:rPr>
          <w:szCs w:val="22"/>
          <w:vertAlign w:val="superscript"/>
          <w:lang w:val="es-419"/>
        </w:rPr>
        <w:footnoteReference w:id="9"/>
      </w:r>
      <w:r w:rsidRPr="0015624F">
        <w:rPr>
          <w:szCs w:val="22"/>
          <w:lang w:val="es-419"/>
        </w:rPr>
        <w:br w:type="page"/>
      </w:r>
    </w:p>
    <w:p w:rsidR="0015624F" w:rsidRPr="0015624F" w:rsidRDefault="0015624F" w:rsidP="0015624F">
      <w:pPr>
        <w:keepLines/>
        <w:jc w:val="center"/>
        <w:rPr>
          <w:b/>
          <w:szCs w:val="22"/>
          <w:lang w:val="es-419"/>
        </w:rPr>
      </w:pPr>
      <w:r w:rsidRPr="0015624F">
        <w:rPr>
          <w:b/>
          <w:szCs w:val="22"/>
          <w:lang w:val="es-419"/>
        </w:rPr>
        <w:t>ARTÍCULO 9</w:t>
      </w:r>
    </w:p>
    <w:p w:rsidR="0015624F" w:rsidRPr="0015624F" w:rsidRDefault="0015624F" w:rsidP="0015624F">
      <w:pPr>
        <w:keepLines/>
        <w:jc w:val="center"/>
        <w:rPr>
          <w:b/>
          <w:lang w:val="es-419"/>
        </w:rPr>
      </w:pPr>
      <w:r w:rsidRPr="0015624F">
        <w:rPr>
          <w:b/>
          <w:szCs w:val="22"/>
          <w:lang w:val="es-419"/>
        </w:rPr>
        <w:t>EXAMEN</w:t>
      </w:r>
    </w:p>
    <w:p w:rsidR="0015624F" w:rsidRPr="0015624F" w:rsidRDefault="0015624F" w:rsidP="0015624F">
      <w:pPr>
        <w:keepLines/>
        <w:jc w:val="center"/>
        <w:rPr>
          <w:b/>
          <w:lang w:val="es-419"/>
        </w:rPr>
      </w:pPr>
    </w:p>
    <w:p w:rsidR="0015624F" w:rsidRPr="0015624F" w:rsidRDefault="0015624F" w:rsidP="0015624F">
      <w:pPr>
        <w:keepLines/>
        <w:rPr>
          <w:rFonts w:eastAsia="Calibri"/>
          <w:szCs w:val="22"/>
          <w:lang w:val="es-419"/>
        </w:rPr>
      </w:pPr>
      <w:r w:rsidRPr="0015624F">
        <w:rPr>
          <w:rFonts w:eastAsia="Calibri"/>
          <w:szCs w:val="22"/>
          <w:lang w:val="es-419"/>
        </w:rPr>
        <w:t>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w:t>
      </w:r>
    </w:p>
    <w:p w:rsidR="0015624F" w:rsidRPr="0015624F" w:rsidRDefault="0015624F" w:rsidP="0015624F">
      <w:pPr>
        <w:keepLines/>
        <w:rPr>
          <w:rFonts w:eastAsia="Calibri"/>
          <w:szCs w:val="22"/>
          <w:u w:val="single"/>
          <w:lang w:val="es-419"/>
        </w:rPr>
      </w:pPr>
      <w:r w:rsidRPr="0015624F">
        <w:rPr>
          <w:rFonts w:eastAsia="Calibri"/>
          <w:szCs w:val="22"/>
          <w:u w:val="single"/>
          <w:lang w:val="es-419"/>
        </w:rPr>
        <w:br w:type="page"/>
      </w:r>
    </w:p>
    <w:p w:rsidR="0015624F" w:rsidRPr="0015624F" w:rsidRDefault="0015624F" w:rsidP="005B51CE">
      <w:pPr>
        <w:rPr>
          <w:rFonts w:eastAsia="Calibri"/>
          <w:szCs w:val="22"/>
          <w:u w:val="single"/>
          <w:lang w:val="es-419"/>
        </w:rPr>
      </w:pPr>
      <w:r w:rsidRPr="0015624F">
        <w:rPr>
          <w:rFonts w:eastAsia="Calibri"/>
          <w:szCs w:val="22"/>
          <w:u w:val="single"/>
          <w:lang w:val="es-419"/>
        </w:rPr>
        <w:t>Notas sobre el artículo 9</w:t>
      </w:r>
    </w:p>
    <w:p w:rsidR="0015624F" w:rsidRPr="0015624F" w:rsidRDefault="0015624F" w:rsidP="005B51CE">
      <w:pPr>
        <w:rPr>
          <w:rFonts w:eastAsia="Calibri"/>
          <w:szCs w:val="22"/>
          <w:u w:val="single"/>
          <w:lang w:val="es-419"/>
        </w:rPr>
      </w:pPr>
    </w:p>
    <w:p w:rsidR="0015624F" w:rsidRPr="0015624F" w:rsidRDefault="0015624F" w:rsidP="005B51CE">
      <w:pPr>
        <w:rPr>
          <w:rFonts w:eastAsia="Calibri"/>
          <w:szCs w:val="22"/>
          <w:lang w:val="es-419"/>
        </w:rPr>
      </w:pPr>
      <w:r w:rsidRPr="0015624F">
        <w:rPr>
          <w:rFonts w:eastAsia="Calibri"/>
          <w:szCs w:val="22"/>
          <w:lang w:val="es-419"/>
        </w:rPr>
        <w:t>1.</w:t>
      </w:r>
      <w:r w:rsidRPr="0015624F">
        <w:rPr>
          <w:rFonts w:eastAsia="Calibri"/>
          <w:szCs w:val="22"/>
          <w:lang w:val="es-419"/>
        </w:rPr>
        <w:tab/>
        <w:t>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w:t>
      </w:r>
    </w:p>
    <w:p w:rsidR="0015624F" w:rsidRPr="0015624F" w:rsidRDefault="0015624F" w:rsidP="005B51CE">
      <w:pPr>
        <w:rPr>
          <w:rFonts w:eastAsia="Calibri"/>
          <w:szCs w:val="22"/>
          <w:lang w:val="es-419"/>
        </w:rPr>
      </w:pPr>
    </w:p>
    <w:p w:rsidR="0015624F" w:rsidRPr="0015624F" w:rsidRDefault="0015624F" w:rsidP="005B51CE">
      <w:pPr>
        <w:rPr>
          <w:rFonts w:eastAsia="Calibri"/>
          <w:szCs w:val="22"/>
          <w:lang w:val="es-419"/>
        </w:rPr>
      </w:pPr>
      <w:r w:rsidRPr="0015624F">
        <w:rPr>
          <w:rFonts w:eastAsia="Calibri"/>
          <w:szCs w:val="22"/>
          <w:lang w:val="es-419"/>
        </w:rPr>
        <w:t>2.</w:t>
      </w:r>
      <w:r w:rsidRPr="0015624F">
        <w:rPr>
          <w:rFonts w:eastAsia="Calibri"/>
          <w:szCs w:val="22"/>
          <w:lang w:val="es-419"/>
        </w:rPr>
        <w:tab/>
        <w:t>Este enfoque permite hacer avanzar el instrumento en cuanto que instrumento de base dotado de un mecanismo integrado para examinar cuestiones adicionales dentro de un plazo determinado previamente.</w:t>
      </w:r>
      <w:r w:rsidRPr="0015624F">
        <w:rPr>
          <w:rFonts w:eastAsia="Calibri"/>
          <w:szCs w:val="22"/>
          <w:lang w:val="es-419"/>
        </w:rPr>
        <w:br w:type="page"/>
      </w:r>
    </w:p>
    <w:p w:rsidR="0015624F" w:rsidRPr="0015624F" w:rsidRDefault="0015624F" w:rsidP="005B51CE">
      <w:pPr>
        <w:jc w:val="center"/>
        <w:rPr>
          <w:b/>
          <w:szCs w:val="22"/>
          <w:lang w:val="es-419"/>
        </w:rPr>
      </w:pPr>
      <w:r w:rsidRPr="0015624F">
        <w:rPr>
          <w:b/>
          <w:szCs w:val="22"/>
          <w:lang w:val="es-419"/>
        </w:rPr>
        <w:t>[ARTÍCULO 10</w:t>
      </w:r>
      <w:r w:rsidRPr="0015624F">
        <w:rPr>
          <w:b/>
          <w:szCs w:val="22"/>
          <w:vertAlign w:val="superscript"/>
          <w:lang w:val="es-419"/>
        </w:rPr>
        <w:footnoteReference w:id="10"/>
      </w:r>
    </w:p>
    <w:p w:rsidR="0015624F" w:rsidRPr="0015624F" w:rsidRDefault="0015624F" w:rsidP="005B51CE">
      <w:pPr>
        <w:jc w:val="center"/>
        <w:rPr>
          <w:b/>
          <w:szCs w:val="22"/>
          <w:lang w:val="es-419"/>
        </w:rPr>
      </w:pPr>
      <w:r w:rsidRPr="0015624F">
        <w:rPr>
          <w:b/>
          <w:szCs w:val="22"/>
          <w:lang w:val="es-419"/>
        </w:rPr>
        <w:t>PRINCIPIOS GENERALES SOBRE LA APLICACIÓN</w:t>
      </w:r>
    </w:p>
    <w:p w:rsidR="0015624F" w:rsidRPr="0015624F" w:rsidRDefault="0015624F" w:rsidP="005B51CE">
      <w:pPr>
        <w:jc w:val="center"/>
        <w:rPr>
          <w:szCs w:val="22"/>
          <w:lang w:val="es-419"/>
        </w:rPr>
      </w:pPr>
    </w:p>
    <w:p w:rsidR="0015624F" w:rsidRPr="0015624F" w:rsidRDefault="0015624F" w:rsidP="005B51CE">
      <w:pPr>
        <w:ind w:left="360"/>
        <w:rPr>
          <w:szCs w:val="22"/>
          <w:lang w:val="es-419"/>
        </w:rPr>
      </w:pPr>
      <w:r w:rsidRPr="0015624F">
        <w:rPr>
          <w:szCs w:val="22"/>
          <w:lang w:val="es-419"/>
        </w:rPr>
        <w:t>10.1</w:t>
      </w:r>
      <w:r w:rsidRPr="0015624F">
        <w:rPr>
          <w:szCs w:val="22"/>
          <w:lang w:val="es-419"/>
        </w:rPr>
        <w:tab/>
        <w:t>Las Partes Contratantes se comprometen a adoptar las medidas necesarias para garantizar la aplicación del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ind w:left="360"/>
        <w:rPr>
          <w:szCs w:val="22"/>
          <w:lang w:val="es-419"/>
        </w:rPr>
      </w:pPr>
      <w:r w:rsidRPr="0015624F">
        <w:rPr>
          <w:szCs w:val="22"/>
          <w:lang w:val="es-419"/>
        </w:rPr>
        <w:t>10.2</w:t>
      </w:r>
      <w:r w:rsidRPr="0015624F">
        <w:rPr>
          <w:szCs w:val="22"/>
          <w:lang w:val="es-419"/>
        </w:rPr>
        <w:tab/>
        <w:t>Nada impedirá a las Partes Contratantes determinar la vía más adecuada para aplicar las disposiciones del presente instrumento de conformidad con sus propios ordenamientos jurídicos y prácticas legales.]</w:t>
      </w:r>
    </w:p>
    <w:p w:rsidR="0015624F" w:rsidRPr="0015624F" w:rsidRDefault="0015624F" w:rsidP="005B51CE">
      <w:pPr>
        <w:rPr>
          <w:b/>
          <w:szCs w:val="22"/>
          <w:lang w:val="es-419"/>
        </w:rPr>
      </w:pPr>
      <w:r w:rsidRPr="0015624F">
        <w:rPr>
          <w:b/>
          <w:szCs w:val="22"/>
          <w:lang w:val="es-419"/>
        </w:rPr>
        <w:br w:type="page"/>
      </w:r>
    </w:p>
    <w:p w:rsidR="0015624F" w:rsidRPr="0015624F" w:rsidRDefault="0015624F" w:rsidP="001E1D70">
      <w:pPr>
        <w:jc w:val="center"/>
        <w:rPr>
          <w:b/>
          <w:szCs w:val="22"/>
          <w:lang w:val="es-419"/>
        </w:rPr>
      </w:pPr>
      <w:r w:rsidRPr="0015624F">
        <w:rPr>
          <w:b/>
          <w:szCs w:val="22"/>
          <w:lang w:val="es-419"/>
        </w:rPr>
        <w:t>[ARTÍCULO 11</w:t>
      </w:r>
    </w:p>
    <w:p w:rsidR="0015624F" w:rsidRPr="0015624F" w:rsidRDefault="0015624F" w:rsidP="001E1D70">
      <w:pPr>
        <w:jc w:val="center"/>
        <w:rPr>
          <w:b/>
          <w:szCs w:val="22"/>
          <w:lang w:val="es-419"/>
        </w:rPr>
      </w:pPr>
      <w:r w:rsidRPr="0015624F">
        <w:rPr>
          <w:b/>
          <w:szCs w:val="22"/>
          <w:lang w:val="es-419"/>
        </w:rPr>
        <w:t>ASAMBLEA</w:t>
      </w:r>
    </w:p>
    <w:p w:rsidR="0015624F" w:rsidRPr="0015624F" w:rsidRDefault="0015624F" w:rsidP="001E1D70">
      <w:pPr>
        <w:rPr>
          <w:szCs w:val="22"/>
          <w:lang w:val="es-419"/>
        </w:rPr>
      </w:pPr>
    </w:p>
    <w:p w:rsidR="0015624F" w:rsidRPr="0015624F" w:rsidRDefault="0015624F" w:rsidP="001E1D70">
      <w:pPr>
        <w:rPr>
          <w:szCs w:val="22"/>
          <w:lang w:val="es-419"/>
        </w:rPr>
      </w:pPr>
      <w:r w:rsidRPr="0015624F">
        <w:rPr>
          <w:szCs w:val="22"/>
          <w:lang w:val="es-419"/>
        </w:rPr>
        <w:t>11.1</w:t>
      </w:r>
      <w:r w:rsidRPr="0015624F">
        <w:rPr>
          <w:szCs w:val="22"/>
          <w:lang w:val="es-419"/>
        </w:rPr>
        <w:tab/>
        <w:t>Las Partes Contratantes contarán con una Asamblea:</w:t>
      </w:r>
    </w:p>
    <w:p w:rsidR="0015624F" w:rsidRPr="0015624F" w:rsidRDefault="0015624F" w:rsidP="001E1D70">
      <w:pPr>
        <w:rPr>
          <w:szCs w:val="22"/>
          <w:lang w:val="es-419"/>
        </w:rPr>
      </w:pPr>
    </w:p>
    <w:p w:rsidR="0015624F" w:rsidRPr="0015624F" w:rsidRDefault="0015624F" w:rsidP="0015624F">
      <w:pPr>
        <w:ind w:left="1134" w:hanging="567"/>
        <w:rPr>
          <w:lang w:val="es-419"/>
        </w:rPr>
      </w:pPr>
      <w:r w:rsidRPr="0015624F">
        <w:rPr>
          <w:szCs w:val="22"/>
          <w:lang w:val="es-419"/>
        </w:rPr>
        <w:t>a</w:t>
      </w:r>
      <w:r w:rsidRPr="0015624F">
        <w:rPr>
          <w:lang w:val="es-419"/>
        </w:rPr>
        <w:t>)</w:t>
      </w:r>
      <w:r w:rsidRPr="0015624F">
        <w:rPr>
          <w:lang w:val="es-419"/>
        </w:rPr>
        <w:tab/>
      </w:r>
      <w:r w:rsidRPr="0015624F">
        <w:rPr>
          <w:szCs w:val="22"/>
          <w:lang w:val="es-419"/>
        </w:rPr>
        <w:t>Cada Parte Contratante estará representada en la Asamblea por un delegado, que podrá estar asistido por suplentes, asesores y especialistas.</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lang w:val="es-419"/>
        </w:rPr>
        <w:t>b)</w:t>
      </w:r>
      <w:r w:rsidRPr="0015624F">
        <w:rPr>
          <w:lang w:val="es-419"/>
        </w:rPr>
        <w:tab/>
      </w:r>
      <w:r w:rsidRPr="0015624F">
        <w:rPr>
          <w:szCs w:val="22"/>
          <w:lang w:val="es-419"/>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15624F" w:rsidRPr="0015624F" w:rsidRDefault="0015624F" w:rsidP="0015624F">
      <w:pPr>
        <w:ind w:left="1134" w:hanging="567"/>
        <w:rPr>
          <w:szCs w:val="22"/>
          <w:lang w:val="es-419"/>
        </w:rPr>
      </w:pPr>
    </w:p>
    <w:p w:rsidR="0015624F" w:rsidRPr="0015624F" w:rsidRDefault="0015624F" w:rsidP="0015624F">
      <w:pPr>
        <w:ind w:left="1134" w:hanging="567"/>
        <w:rPr>
          <w:lang w:val="es-419"/>
        </w:rPr>
      </w:pPr>
      <w:r w:rsidRPr="0015624F">
        <w:rPr>
          <w:szCs w:val="22"/>
          <w:lang w:val="es-419"/>
        </w:rPr>
        <w:t>c)</w:t>
      </w:r>
      <w:r w:rsidRPr="0015624F">
        <w:rPr>
          <w:szCs w:val="22"/>
          <w:lang w:val="es-419"/>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szCs w:val="22"/>
          <w:lang w:val="es-419"/>
        </w:rPr>
        <w:t>d)</w:t>
      </w:r>
      <w:r w:rsidRPr="0015624F">
        <w:rPr>
          <w:szCs w:val="22"/>
          <w:lang w:val="es-419"/>
        </w:rPr>
        <w:tab/>
      </w:r>
      <w:r w:rsidRPr="0015624F">
        <w:rPr>
          <w:lang w:val="es-419"/>
        </w:rPr>
        <w:t xml:space="preserve">La </w:t>
      </w:r>
      <w:r w:rsidRPr="0015624F">
        <w:rPr>
          <w:szCs w:val="22"/>
          <w:lang w:val="es-419"/>
        </w:rPr>
        <w:t>Asamblea realizará la función que le sea asignada en virtud del artículo 13 respecto de la admisión de determinadas organizaciones intergubernamentales para ser parte en el presente instrumento.</w:t>
      </w:r>
    </w:p>
    <w:p w:rsidR="0015624F" w:rsidRPr="0015624F" w:rsidRDefault="0015624F" w:rsidP="0015624F">
      <w:pPr>
        <w:ind w:left="1134" w:hanging="567"/>
        <w:rPr>
          <w:rFonts w:eastAsia="Times New Roman"/>
          <w:szCs w:val="22"/>
          <w:lang w:val="es-419" w:eastAsia="en-US"/>
        </w:rPr>
      </w:pPr>
    </w:p>
    <w:p w:rsidR="0015624F" w:rsidRPr="0015624F" w:rsidRDefault="0015624F" w:rsidP="0015624F">
      <w:pPr>
        <w:ind w:left="1134" w:hanging="567"/>
        <w:rPr>
          <w:szCs w:val="22"/>
          <w:lang w:val="es-419"/>
        </w:rPr>
      </w:pPr>
      <w:r w:rsidRPr="0015624F">
        <w:rPr>
          <w:szCs w:val="22"/>
          <w:lang w:val="es-419"/>
        </w:rPr>
        <w:t>e)</w:t>
      </w:r>
      <w:r w:rsidRPr="0015624F">
        <w:rPr>
          <w:szCs w:val="22"/>
          <w:lang w:val="es-419"/>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rsidR="0015624F" w:rsidRPr="0015624F" w:rsidRDefault="0015624F" w:rsidP="001E1D70">
      <w:pPr>
        <w:ind w:left="993"/>
        <w:rPr>
          <w:rFonts w:eastAsia="Times New Roman"/>
          <w:szCs w:val="22"/>
          <w:lang w:val="es-419" w:eastAsia="en-US"/>
        </w:rPr>
      </w:pPr>
    </w:p>
    <w:p w:rsidR="0015624F" w:rsidRPr="0015624F" w:rsidRDefault="0015624F" w:rsidP="001E1D70">
      <w:pPr>
        <w:ind w:left="450"/>
        <w:rPr>
          <w:rFonts w:eastAsia="Times New Roman"/>
          <w:szCs w:val="22"/>
          <w:lang w:val="es-419" w:eastAsia="en-US"/>
        </w:rPr>
      </w:pPr>
      <w:r w:rsidRPr="0015624F">
        <w:rPr>
          <w:rFonts w:eastAsia="Times New Roman"/>
          <w:szCs w:val="22"/>
          <w:lang w:val="es-419" w:eastAsia="en-US"/>
        </w:rPr>
        <w:t>11.2</w:t>
      </w:r>
      <w:r w:rsidRPr="0015624F">
        <w:rPr>
          <w:rFonts w:eastAsia="Times New Roman"/>
          <w:szCs w:val="22"/>
          <w:lang w:val="es-419" w:eastAsia="en-US"/>
        </w:rPr>
        <w:tab/>
        <w:t>La Asamblea se reunirá previa convocatoria del director general y, salvo en casos excepcionales, durante el mismo período y en el mismo lugar que la Asamblea General de la OMPI.</w:t>
      </w:r>
    </w:p>
    <w:p w:rsidR="0015624F" w:rsidRPr="0015624F" w:rsidRDefault="0015624F" w:rsidP="001E1D70">
      <w:pPr>
        <w:rPr>
          <w:rFonts w:eastAsia="Times New Roman"/>
          <w:szCs w:val="22"/>
          <w:lang w:val="es-419" w:eastAsia="en-US"/>
        </w:rPr>
      </w:pPr>
    </w:p>
    <w:p w:rsidR="0015624F" w:rsidRPr="0015624F" w:rsidRDefault="0015624F" w:rsidP="001E1D70">
      <w:pPr>
        <w:ind w:left="450"/>
        <w:rPr>
          <w:sz w:val="24"/>
          <w:szCs w:val="22"/>
          <w:lang w:val="es-419" w:eastAsia="en-US"/>
        </w:rPr>
      </w:pPr>
      <w:r w:rsidRPr="0015624F">
        <w:rPr>
          <w:rFonts w:eastAsia="Times New Roman"/>
          <w:szCs w:val="22"/>
          <w:lang w:val="es-419" w:eastAsia="en-US"/>
        </w:rPr>
        <w:t>11.3</w:t>
      </w:r>
      <w:r w:rsidRPr="0015624F">
        <w:rPr>
          <w:rFonts w:eastAsia="Times New Roman"/>
          <w:szCs w:val="22"/>
          <w:lang w:val="es-419" w:eastAsia="en-US"/>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p>
    <w:p w:rsidR="0015624F" w:rsidRPr="0015624F" w:rsidRDefault="0015624F" w:rsidP="0015624F">
      <w:pPr>
        <w:spacing w:before="240" w:after="220"/>
        <w:ind w:left="540" w:hanging="540"/>
        <w:outlineLvl w:val="1"/>
        <w:rPr>
          <w:b/>
          <w:bCs/>
          <w:iCs/>
          <w:caps/>
          <w:szCs w:val="28"/>
          <w:lang w:val="es-419"/>
        </w:rPr>
      </w:pPr>
      <w:r w:rsidRPr="0015624F">
        <w:rPr>
          <w:b/>
          <w:bCs/>
          <w:iCs/>
          <w:caps/>
          <w:szCs w:val="28"/>
          <w:lang w:val="es-419"/>
        </w:rPr>
        <w:br w:type="page"/>
      </w:r>
    </w:p>
    <w:p w:rsidR="0015624F" w:rsidRPr="0015624F" w:rsidRDefault="0015624F" w:rsidP="005B51CE">
      <w:pPr>
        <w:spacing w:before="240" w:after="220"/>
        <w:ind w:left="540" w:hanging="540"/>
        <w:jc w:val="center"/>
        <w:outlineLvl w:val="1"/>
        <w:rPr>
          <w:b/>
          <w:bCs/>
          <w:iCs/>
          <w:caps/>
          <w:szCs w:val="28"/>
          <w:lang w:val="es-419"/>
        </w:rPr>
      </w:pPr>
      <w:r w:rsidRPr="0015624F">
        <w:rPr>
          <w:b/>
          <w:bCs/>
          <w:iCs/>
          <w:caps/>
          <w:szCs w:val="28"/>
          <w:lang w:val="es-419"/>
        </w:rPr>
        <w:t>[ARTÍCULO 12</w:t>
      </w:r>
      <w:r w:rsidRPr="0015624F">
        <w:rPr>
          <w:b/>
          <w:bCs/>
          <w:iCs/>
          <w:caps/>
          <w:szCs w:val="28"/>
          <w:lang w:val="es-419"/>
        </w:rPr>
        <w:br/>
        <w:t>OFICINA InternaCional</w:t>
      </w:r>
    </w:p>
    <w:p w:rsidR="0015624F" w:rsidRPr="0015624F" w:rsidRDefault="0015624F" w:rsidP="001E1D70">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La Oficina Internacional de la OMPI se encargará de las tareas administrativas relativas al presente instrumento.</w:t>
      </w:r>
      <w:r w:rsidR="005B51CE">
        <w:rPr>
          <w:rFonts w:eastAsia="Times New Roman"/>
          <w:szCs w:val="22"/>
          <w:lang w:val="es-419" w:eastAsia="en-US"/>
        </w:rPr>
        <w:t>]</w:t>
      </w:r>
      <w:r w:rsidRPr="0015624F">
        <w:rPr>
          <w:rFonts w:eastAsia="Times New Roman"/>
          <w:szCs w:val="22"/>
          <w:lang w:val="es-419" w:eastAsia="en-US"/>
        </w:rPr>
        <w:br w:type="page"/>
      </w:r>
    </w:p>
    <w:p w:rsidR="0015624F" w:rsidRPr="005B51CE" w:rsidRDefault="0015624F" w:rsidP="005B51CE">
      <w:pPr>
        <w:ind w:left="450"/>
        <w:jc w:val="center"/>
        <w:rPr>
          <w:b/>
          <w:sz w:val="24"/>
          <w:lang w:val="es-419"/>
        </w:rPr>
      </w:pPr>
      <w:r w:rsidRPr="005B51CE">
        <w:rPr>
          <w:b/>
          <w:sz w:val="24"/>
          <w:lang w:val="es-419"/>
        </w:rPr>
        <w:t>[ARTÍCULO 13</w:t>
      </w:r>
    </w:p>
    <w:p w:rsidR="0015624F" w:rsidRPr="0015624F" w:rsidRDefault="0015624F" w:rsidP="005B51CE">
      <w:pPr>
        <w:jc w:val="center"/>
        <w:rPr>
          <w:b/>
          <w:lang w:val="es-419"/>
        </w:rPr>
      </w:pPr>
      <w:r w:rsidRPr="0015624F">
        <w:rPr>
          <w:b/>
          <w:szCs w:val="22"/>
          <w:lang w:val="es-419"/>
        </w:rPr>
        <w:t>CONDICIONES PARA SER PARTE EN EL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13.1</w:t>
      </w:r>
      <w:r w:rsidRPr="0015624F">
        <w:rPr>
          <w:rFonts w:eastAsia="Times New Roman"/>
          <w:szCs w:val="22"/>
          <w:lang w:val="es-419" w:eastAsia="en-US"/>
        </w:rPr>
        <w:tab/>
        <w:t>Todo Estado miembro de la OMPI podrá ser parte en 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13.2</w:t>
      </w:r>
      <w:r w:rsidRPr="0015624F">
        <w:rPr>
          <w:rFonts w:eastAsia="Times New Roman"/>
          <w:szCs w:val="22"/>
          <w:lang w:val="es-419" w:eastAsia="en-US"/>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Pr="0015624F">
        <w:rPr>
          <w:rFonts w:eastAsia="Times New Roman"/>
          <w:szCs w:val="22"/>
          <w:lang w:val="es-419" w:eastAsia="en-US"/>
        </w:rPr>
        <w:br w:type="page"/>
      </w:r>
    </w:p>
    <w:p w:rsidR="0015624F" w:rsidRPr="0015624F" w:rsidRDefault="0015624F" w:rsidP="005B51CE">
      <w:pPr>
        <w:rPr>
          <w:rFonts w:eastAsia="Times New Roman"/>
          <w:szCs w:val="22"/>
          <w:lang w:val="es-419" w:eastAsia="en-US"/>
        </w:rPr>
      </w:pPr>
    </w:p>
    <w:p w:rsidR="0015624F" w:rsidRPr="0015624F" w:rsidRDefault="0015624F" w:rsidP="005B51CE">
      <w:pPr>
        <w:jc w:val="center"/>
        <w:rPr>
          <w:b/>
          <w:szCs w:val="22"/>
          <w:lang w:val="es-419"/>
        </w:rPr>
      </w:pPr>
      <w:r w:rsidRPr="0015624F">
        <w:rPr>
          <w:b/>
          <w:szCs w:val="22"/>
          <w:lang w:val="es-419"/>
        </w:rPr>
        <w:t>[ARTÍCULO 14</w:t>
      </w:r>
    </w:p>
    <w:p w:rsidR="0015624F" w:rsidRPr="0015624F" w:rsidRDefault="0015624F" w:rsidP="005B51CE">
      <w:pPr>
        <w:jc w:val="center"/>
        <w:rPr>
          <w:b/>
          <w:szCs w:val="22"/>
          <w:lang w:val="es-419"/>
        </w:rPr>
      </w:pPr>
      <w:r w:rsidRPr="0015624F">
        <w:rPr>
          <w:b/>
          <w:szCs w:val="22"/>
          <w:lang w:val="es-419"/>
        </w:rPr>
        <w:t>REVISIONES</w:t>
      </w:r>
    </w:p>
    <w:p w:rsidR="0015624F" w:rsidRPr="0015624F" w:rsidRDefault="0015624F" w:rsidP="005B51CE">
      <w:pPr>
        <w:rPr>
          <w:rFonts w:eastAsia="Times New Roman"/>
          <w:iCs/>
          <w:szCs w:val="22"/>
          <w:lang w:val="es-419" w:eastAsia="en-US"/>
        </w:rPr>
      </w:pPr>
    </w:p>
    <w:p w:rsidR="0015624F" w:rsidRPr="0015624F" w:rsidRDefault="0015624F" w:rsidP="005B51CE">
      <w:pPr>
        <w:rPr>
          <w:rFonts w:eastAsia="Times New Roman"/>
          <w:iCs/>
          <w:szCs w:val="22"/>
          <w:lang w:val="es-419" w:eastAsia="en-US"/>
        </w:rPr>
      </w:pPr>
      <w:r w:rsidRPr="0015624F">
        <w:rPr>
          <w:rFonts w:eastAsia="Times New Roman"/>
          <w:iCs/>
          <w:szCs w:val="22"/>
          <w:lang w:val="es-419" w:eastAsia="en-US"/>
        </w:rPr>
        <w:t>El presente instrumento solo podrá ser revisado por una conferencia diplomática. La convocación de cualquier conferencia diplomática será decidida por la Asamblea de las Partes Contratantes del presente instrumento.]</w:t>
      </w:r>
      <w:r w:rsidRPr="0015624F">
        <w:rPr>
          <w:rFonts w:eastAsia="Times New Roman"/>
          <w:iCs/>
          <w:szCs w:val="22"/>
          <w:lang w:val="es-419" w:eastAsia="en-US"/>
        </w:rPr>
        <w:br w:type="page"/>
      </w:r>
    </w:p>
    <w:p w:rsidR="0015624F" w:rsidRPr="0015624F" w:rsidRDefault="0015624F" w:rsidP="00983417">
      <w:pPr>
        <w:ind w:left="810"/>
        <w:jc w:val="center"/>
        <w:rPr>
          <w:rFonts w:eastAsia="Times New Roman"/>
          <w:b/>
          <w:sz w:val="24"/>
          <w:szCs w:val="22"/>
          <w:lang w:val="es-419" w:eastAsia="en-US"/>
        </w:rPr>
      </w:pPr>
      <w:r w:rsidRPr="0015624F">
        <w:rPr>
          <w:rFonts w:eastAsia="Times New Roman"/>
          <w:b/>
          <w:sz w:val="24"/>
          <w:szCs w:val="22"/>
          <w:lang w:val="es-419" w:eastAsia="en-US"/>
        </w:rPr>
        <w:t>[ARTÍCULO 15</w:t>
      </w:r>
    </w:p>
    <w:p w:rsidR="0015624F" w:rsidRPr="0015624F" w:rsidRDefault="0015624F" w:rsidP="00983417">
      <w:pPr>
        <w:jc w:val="center"/>
        <w:rPr>
          <w:b/>
          <w:szCs w:val="22"/>
          <w:lang w:val="es-419"/>
        </w:rPr>
      </w:pPr>
      <w:r w:rsidRPr="0015624F">
        <w:rPr>
          <w:b/>
          <w:szCs w:val="22"/>
          <w:lang w:val="es-419"/>
        </w:rPr>
        <w:t>FIRMA</w:t>
      </w:r>
    </w:p>
    <w:p w:rsidR="0015624F" w:rsidRPr="0015624F" w:rsidRDefault="0015624F" w:rsidP="00983417">
      <w:pPr>
        <w:jc w:val="center"/>
        <w:rPr>
          <w:b/>
          <w:szCs w:val="22"/>
          <w:lang w:val="es-419"/>
        </w:rPr>
      </w:pPr>
    </w:p>
    <w:p w:rsidR="0015624F" w:rsidRPr="0015624F" w:rsidRDefault="0015624F" w:rsidP="00983417">
      <w:pPr>
        <w:rPr>
          <w:szCs w:val="22"/>
          <w:lang w:val="es-419"/>
        </w:rPr>
      </w:pPr>
      <w:r w:rsidRPr="0015624F">
        <w:rPr>
          <w:szCs w:val="22"/>
          <w:lang w:val="es-419"/>
        </w:rPr>
        <w:t>El presente instrumento quedará abierto a la firma en la Conferencia Diplomática de …</w:t>
      </w:r>
      <w:proofErr w:type="gramStart"/>
      <w:r w:rsidRPr="0015624F">
        <w:rPr>
          <w:szCs w:val="22"/>
          <w:lang w:val="es-419"/>
        </w:rPr>
        <w:t>…….</w:t>
      </w:r>
      <w:proofErr w:type="gramEnd"/>
      <w:r w:rsidRPr="0015624F">
        <w:rPr>
          <w:szCs w:val="22"/>
          <w:lang w:val="es-419"/>
        </w:rPr>
        <w:t>, y posteriormente, en la sede de la OMPI, durante un año tras su adopción, por toda Parte que reúna las condiciones requeridas para tal fin.]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983417">
      <w:pPr>
        <w:jc w:val="center"/>
        <w:rPr>
          <w:b/>
          <w:szCs w:val="22"/>
          <w:lang w:val="es-419"/>
        </w:rPr>
      </w:pPr>
      <w:r w:rsidRPr="0015624F">
        <w:rPr>
          <w:b/>
          <w:szCs w:val="22"/>
          <w:lang w:val="es-419"/>
        </w:rPr>
        <w:t>[ARTÍCULO 16</w:t>
      </w:r>
    </w:p>
    <w:p w:rsidR="0015624F" w:rsidRPr="0015624F" w:rsidRDefault="0015624F" w:rsidP="00983417">
      <w:pPr>
        <w:jc w:val="center"/>
        <w:rPr>
          <w:b/>
          <w:szCs w:val="22"/>
          <w:lang w:val="es-419"/>
        </w:rPr>
      </w:pPr>
      <w:r w:rsidRPr="0015624F">
        <w:rPr>
          <w:b/>
          <w:szCs w:val="22"/>
          <w:lang w:val="es-419"/>
        </w:rPr>
        <w:t>ENTRADA EN VIGOR</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El presente instrumento entrará en vigor tres meses después de que 20 Partes que reúnan las condiciones mencionadas en el artículo 13 hayan depositado sus instrumentos de ratificación o adhesión.]</w:t>
      </w:r>
      <w:r w:rsidRPr="0015624F">
        <w:rPr>
          <w:szCs w:val="22"/>
          <w:lang w:val="es-419"/>
        </w:rPr>
        <w:br w:type="page"/>
      </w:r>
    </w:p>
    <w:p w:rsidR="0015624F" w:rsidRPr="0015624F" w:rsidRDefault="0015624F" w:rsidP="00983417">
      <w:pPr>
        <w:jc w:val="center"/>
        <w:rPr>
          <w:szCs w:val="22"/>
          <w:lang w:val="es-419"/>
        </w:rPr>
      </w:pPr>
      <w:r w:rsidRPr="0015624F">
        <w:rPr>
          <w:b/>
          <w:szCs w:val="22"/>
          <w:lang w:val="es-419"/>
        </w:rPr>
        <w:t>[ARTÍCULO 17</w:t>
      </w:r>
    </w:p>
    <w:p w:rsidR="0015624F" w:rsidRPr="0015624F" w:rsidRDefault="0015624F" w:rsidP="00983417">
      <w:pPr>
        <w:jc w:val="center"/>
        <w:rPr>
          <w:b/>
          <w:szCs w:val="22"/>
          <w:lang w:val="es-419"/>
        </w:rPr>
      </w:pPr>
      <w:r w:rsidRPr="0015624F">
        <w:rPr>
          <w:b/>
          <w:szCs w:val="22"/>
          <w:lang w:val="es-419"/>
        </w:rPr>
        <w:t>DENUNCIA</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t>[ARTÍCULO 18</w:t>
      </w:r>
    </w:p>
    <w:p w:rsidR="0015624F" w:rsidRPr="0015624F" w:rsidRDefault="0015624F" w:rsidP="00B304A4">
      <w:pPr>
        <w:jc w:val="center"/>
        <w:rPr>
          <w:b/>
          <w:szCs w:val="22"/>
          <w:lang w:val="es-419"/>
        </w:rPr>
      </w:pPr>
      <w:r w:rsidRPr="0015624F">
        <w:rPr>
          <w:b/>
          <w:szCs w:val="22"/>
          <w:lang w:val="es-419"/>
        </w:rPr>
        <w:t>RESERVAS</w:t>
      </w:r>
    </w:p>
    <w:p w:rsidR="0015624F" w:rsidRPr="00B304A4" w:rsidRDefault="0015624F" w:rsidP="00B304A4">
      <w:pPr>
        <w:rPr>
          <w:szCs w:val="22"/>
          <w:lang w:val="es-419"/>
        </w:rPr>
      </w:pPr>
    </w:p>
    <w:p w:rsidR="0015624F" w:rsidRPr="0015624F" w:rsidRDefault="0015624F" w:rsidP="00B304A4">
      <w:pPr>
        <w:rPr>
          <w:szCs w:val="22"/>
          <w:lang w:val="es-419"/>
        </w:rPr>
      </w:pPr>
      <w:r w:rsidRPr="0015624F">
        <w:rPr>
          <w:szCs w:val="22"/>
          <w:lang w:val="es-419"/>
        </w:rPr>
        <w:t>No se podrán formular reservas al presente instrumento.]</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t>[ARTÍCULO 19</w:t>
      </w:r>
    </w:p>
    <w:p w:rsidR="0015624F" w:rsidRPr="0015624F" w:rsidRDefault="0015624F" w:rsidP="00B304A4">
      <w:pPr>
        <w:jc w:val="center"/>
        <w:rPr>
          <w:b/>
          <w:szCs w:val="22"/>
          <w:lang w:val="es-419"/>
        </w:rPr>
      </w:pPr>
      <w:r w:rsidRPr="0015624F">
        <w:rPr>
          <w:b/>
          <w:szCs w:val="22"/>
          <w:lang w:val="es-419"/>
        </w:rPr>
        <w:t>TEXTO AUTÉNTICO</w:t>
      </w:r>
    </w:p>
    <w:p w:rsidR="0015624F" w:rsidRPr="0015624F" w:rsidRDefault="0015624F" w:rsidP="00B304A4">
      <w:pPr>
        <w:jc w:val="center"/>
        <w:rPr>
          <w:b/>
          <w:lang w:val="es-419"/>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19.1</w:t>
      </w:r>
      <w:r w:rsidRPr="0015624F">
        <w:rPr>
          <w:rFonts w:eastAsia="Times New Roman"/>
          <w:iCs/>
          <w:szCs w:val="22"/>
          <w:lang w:val="es-419" w:eastAsia="en-US"/>
        </w:rPr>
        <w:tab/>
        <w:t>El presente instrumento se firmará en un solo ejemplar original en español, árabe, chino, francés, inglés y ruso, considerándose igualmente auténticos todos los textos.</w:t>
      </w:r>
    </w:p>
    <w:p w:rsidR="0015624F" w:rsidRPr="0015624F" w:rsidRDefault="0015624F" w:rsidP="00B304A4">
      <w:pPr>
        <w:rPr>
          <w:rFonts w:eastAsia="Times New Roman"/>
          <w:iCs/>
          <w:szCs w:val="22"/>
          <w:lang w:val="es-419" w:eastAsia="en-US"/>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19.2</w:t>
      </w:r>
      <w:r w:rsidRPr="0015624F">
        <w:rPr>
          <w:rFonts w:eastAsia="Times New Roman"/>
          <w:iCs/>
          <w:szCs w:val="22"/>
          <w:lang w:val="es-419" w:eastAsia="en-US"/>
        </w:rPr>
        <w:tab/>
        <w:t>A petición de una parte interesada, el director general de la OMPI establecerá un texto oficial en un idioma no mencionado en el artículo 19.1), previa consulta con todas las partes interesadas.</w:t>
      </w:r>
      <w:r w:rsidRPr="0015624F">
        <w:rPr>
          <w:rFonts w:eastAsia="Times New Roman"/>
          <w:sz w:val="24"/>
          <w:szCs w:val="24"/>
          <w:lang w:val="es-419" w:eastAsia="en-US"/>
        </w:rPr>
        <w:t xml:space="preserve"> </w:t>
      </w:r>
      <w:r w:rsidRPr="0015624F">
        <w:rPr>
          <w:rFonts w:eastAsia="Times New Roman"/>
          <w:iCs/>
          <w:szCs w:val="22"/>
          <w:lang w:val="es-419" w:eastAsia="en-US"/>
        </w:rPr>
        <w:t>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552660">
      <w:pPr>
        <w:jc w:val="center"/>
        <w:rPr>
          <w:b/>
          <w:szCs w:val="22"/>
          <w:lang w:val="es-419"/>
        </w:rPr>
      </w:pPr>
      <w:r w:rsidRPr="0015624F">
        <w:rPr>
          <w:b/>
          <w:szCs w:val="22"/>
          <w:lang w:val="es-419"/>
        </w:rPr>
        <w:t>[ARTÍCULO 20</w:t>
      </w:r>
    </w:p>
    <w:p w:rsidR="0015624F" w:rsidRPr="0015624F" w:rsidRDefault="0015624F" w:rsidP="00552660">
      <w:pPr>
        <w:jc w:val="center"/>
        <w:rPr>
          <w:b/>
          <w:szCs w:val="22"/>
          <w:lang w:val="es-419"/>
        </w:rPr>
      </w:pPr>
      <w:r w:rsidRPr="0015624F">
        <w:rPr>
          <w:b/>
          <w:szCs w:val="22"/>
          <w:lang w:val="es-419"/>
        </w:rPr>
        <w:t>DEPOSITARIO</w:t>
      </w:r>
    </w:p>
    <w:p w:rsidR="0015624F" w:rsidRPr="0015624F" w:rsidRDefault="0015624F" w:rsidP="00552660">
      <w:pPr>
        <w:jc w:val="center"/>
        <w:rPr>
          <w:b/>
          <w:lang w:val="es-419"/>
        </w:rPr>
      </w:pPr>
    </w:p>
    <w:p w:rsidR="0015624F" w:rsidRPr="0015624F" w:rsidRDefault="0015624F" w:rsidP="00552660">
      <w:pPr>
        <w:rPr>
          <w:lang w:val="es-419"/>
        </w:rPr>
      </w:pPr>
      <w:r w:rsidRPr="0015624F">
        <w:rPr>
          <w:szCs w:val="22"/>
          <w:lang w:val="es-419"/>
        </w:rPr>
        <w:t>El director general de la OMPI es el depositario del presente instrumento.]</w:t>
      </w:r>
    </w:p>
    <w:p w:rsidR="0015624F" w:rsidRPr="0015624F" w:rsidRDefault="0015624F" w:rsidP="00552660">
      <w:pPr>
        <w:rPr>
          <w:lang w:val="es-419"/>
        </w:rPr>
      </w:pPr>
    </w:p>
    <w:p w:rsidR="0015624F" w:rsidRPr="0015624F" w:rsidRDefault="0015624F" w:rsidP="00552660">
      <w:pPr>
        <w:rPr>
          <w:lang w:val="es-419"/>
        </w:rPr>
      </w:pPr>
    </w:p>
    <w:p w:rsidR="0015624F" w:rsidRPr="0015624F" w:rsidRDefault="0015624F" w:rsidP="00552660">
      <w:pPr>
        <w:rPr>
          <w:lang w:val="es-419"/>
        </w:rPr>
      </w:pPr>
      <w:r w:rsidRPr="0015624F">
        <w:rPr>
          <w:lang w:val="es-419"/>
        </w:rPr>
        <w:t>Hecho en……</w:t>
      </w:r>
    </w:p>
    <w:p w:rsidR="0015624F" w:rsidRPr="0015624F" w:rsidRDefault="0015624F" w:rsidP="00552660">
      <w:pPr>
        <w:rPr>
          <w:lang w:val="es-419"/>
        </w:rPr>
      </w:pPr>
    </w:p>
    <w:p w:rsidR="0015624F" w:rsidRPr="0015624F" w:rsidRDefault="0015624F" w:rsidP="00552660">
      <w:pPr>
        <w:rPr>
          <w:sz w:val="20"/>
          <w:szCs w:val="22"/>
          <w:lang w:val="es-419"/>
        </w:rPr>
      </w:pPr>
    </w:p>
    <w:p w:rsidR="00152CEA" w:rsidRPr="0015624F" w:rsidRDefault="0015624F" w:rsidP="00210E5F">
      <w:pPr>
        <w:pStyle w:val="Endofdocument-Annex"/>
        <w:rPr>
          <w:lang w:val="es-ES_tradnl"/>
        </w:rPr>
      </w:pPr>
      <w:r w:rsidRPr="00E84A76">
        <w:rPr>
          <w:lang w:val="es-US"/>
        </w:rPr>
        <w:t>[Fin del Anexo y del documento]</w:t>
      </w:r>
    </w:p>
    <w:sectPr w:rsidR="00152CEA" w:rsidRPr="0015624F" w:rsidSect="001C66B6">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F9" w:rsidRDefault="00DB09F9">
      <w:r>
        <w:separator/>
      </w:r>
    </w:p>
  </w:endnote>
  <w:end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endnote>
  <w:endnote w:type="continuationNotice" w:id="1">
    <w:p w:rsidR="00DB09F9" w:rsidRPr="007E663E" w:rsidRDefault="00DB09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F9" w:rsidRDefault="00DB09F9">
      <w:r>
        <w:separator/>
      </w:r>
    </w:p>
  </w:footnote>
  <w:foot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footnote>
  <w:footnote w:type="continuationNotice" w:id="1">
    <w:p w:rsidR="00DB09F9" w:rsidRPr="007E663E" w:rsidRDefault="00DB09F9" w:rsidP="007E663E">
      <w:pPr>
        <w:spacing w:before="60"/>
        <w:jc w:val="right"/>
        <w:rPr>
          <w:sz w:val="17"/>
          <w:szCs w:val="17"/>
        </w:rPr>
      </w:pPr>
      <w:r w:rsidRPr="007E663E">
        <w:rPr>
          <w:sz w:val="17"/>
          <w:szCs w:val="17"/>
        </w:rPr>
        <w:t>[Sigue la nota en la página siguiente]</w:t>
      </w:r>
    </w:p>
  </w:footnote>
  <w:footnote w:id="2">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Estas observaciones preliminares no forman parte del proyecto de instrumento.</w:t>
      </w:r>
    </w:p>
  </w:footnote>
  <w:footnote w:id="3">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Estas negociaciones se están llevando a cabo actualmente de conformidad con el mandato del CIG para 2018/19.</w:t>
      </w:r>
    </w:p>
  </w:footnote>
  <w:footnote w:id="4">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WIPO/GRTKF/IC/40/6 Documento consolidado en relación con la propiedad intelectual y los recursos genéticos.</w:t>
      </w:r>
    </w:p>
  </w:footnote>
  <w:footnote w:id="5">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Como el documento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w:t>
      </w:r>
      <w:proofErr w:type="spellStart"/>
      <w:r w:rsidRPr="00AD40CC">
        <w:rPr>
          <w:szCs w:val="18"/>
        </w:rPr>
        <w:t>patentamiento</w:t>
      </w:r>
      <w:proofErr w:type="spellEnd"/>
      <w:r w:rsidRPr="00AD40CC">
        <w:rPr>
          <w:szCs w:val="18"/>
        </w:rPr>
        <w:t>: inquietudes de los Estados Unidos de América respecto de las propuestas sobre los nuevos requisitos de divulgación en las solicitudes de patente.</w:t>
      </w:r>
    </w:p>
  </w:footnote>
  <w:footnote w:id="6">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La definición de </w:t>
      </w:r>
      <w:r>
        <w:rPr>
          <w:sz w:val="18"/>
          <w:szCs w:val="18"/>
        </w:rPr>
        <w:t>“</w:t>
      </w:r>
      <w:r w:rsidRPr="00AD40CC">
        <w:rPr>
          <w:sz w:val="18"/>
          <w:szCs w:val="18"/>
        </w:rPr>
        <w:t>recursos genéticos</w:t>
      </w:r>
      <w:r>
        <w:rPr>
          <w:sz w:val="18"/>
          <w:szCs w:val="18"/>
        </w:rPr>
        <w:t>”</w:t>
      </w:r>
      <w:r w:rsidRPr="00AD40CC">
        <w:rPr>
          <w:sz w:val="18"/>
          <w:szCs w:val="18"/>
        </w:rPr>
        <w:t xml:space="preserve">, en concordancia con la manera en que se entiende el término en el contexto del CDB, no tiene por fin incluir los </w:t>
      </w:r>
      <w:r>
        <w:rPr>
          <w:sz w:val="18"/>
          <w:szCs w:val="18"/>
        </w:rPr>
        <w:t>“</w:t>
      </w:r>
      <w:r w:rsidRPr="00AD40CC">
        <w:rPr>
          <w:sz w:val="18"/>
          <w:szCs w:val="18"/>
        </w:rPr>
        <w:t>recursos genéticos humanos</w:t>
      </w:r>
      <w:r>
        <w:rPr>
          <w:sz w:val="18"/>
          <w:szCs w:val="18"/>
        </w:rPr>
        <w:t>”</w:t>
      </w:r>
      <w:r w:rsidRPr="00AD40CC">
        <w:rPr>
          <w:sz w:val="18"/>
          <w:szCs w:val="18"/>
        </w:rPr>
        <w:t>.</w:t>
      </w:r>
    </w:p>
  </w:footnote>
  <w:footnote w:id="7">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Documento WIPO/GRTKF/IC/8/11.</w:t>
      </w:r>
    </w:p>
  </w:footnote>
  <w:footnote w:id="8">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Diccionario de la RAE, edición del tricentenario, 2018.</w:t>
      </w:r>
    </w:p>
  </w:footnote>
  <w:footnote w:id="9">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Declaración concertada relativa al artículo 8: </w:t>
      </w:r>
      <w:r w:rsidRPr="00AD40CC">
        <w:rPr>
          <w:color w:val="000000"/>
          <w:sz w:val="18"/>
          <w:szCs w:val="18"/>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10">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DB09F9" w:rsidRPr="00326029" w:rsidRDefault="00DB09F9" w:rsidP="00DB09F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DB09F9" w:rsidRDefault="00DB09F9" w:rsidP="00DB09F9">
    <w:pPr>
      <w:jc w:val="right"/>
    </w:pPr>
  </w:p>
  <w:p w:rsidR="00DB09F9" w:rsidRDefault="00DB09F9" w:rsidP="00DB09F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DB09F9" w:rsidRPr="00552660" w:rsidRDefault="00DB09F9" w:rsidP="00DB09F9">
        <w:pPr>
          <w:pStyle w:val="Header"/>
          <w:jc w:val="right"/>
          <w:rPr>
            <w:lang w:val="pt-BR"/>
          </w:rPr>
        </w:pPr>
        <w:r w:rsidRPr="00552660">
          <w:rPr>
            <w:lang w:val="pt-BR"/>
          </w:rPr>
          <w:t>WIPO/GRTKF/IC/41/5</w:t>
        </w:r>
      </w:p>
      <w:p w:rsidR="00DB09F9" w:rsidRPr="00552660" w:rsidRDefault="00DB09F9" w:rsidP="00DB09F9">
        <w:pPr>
          <w:pStyle w:val="Header"/>
          <w:jc w:val="right"/>
          <w:rPr>
            <w:lang w:val="pt-BR"/>
          </w:rPr>
        </w:pPr>
        <w:r w:rsidRPr="00552660">
          <w:rPr>
            <w:lang w:val="pt-BR"/>
          </w:rPr>
          <w:t>Anex</w:t>
        </w:r>
        <w:r w:rsidR="00552660" w:rsidRPr="00552660">
          <w:rPr>
            <w:lang w:val="pt-BR"/>
          </w:rPr>
          <w:t>o</w:t>
        </w:r>
        <w:r w:rsidRPr="00552660">
          <w:rPr>
            <w:lang w:val="pt-BR"/>
          </w:rPr>
          <w:t>, p</w:t>
        </w:r>
        <w:r w:rsidR="00552660" w:rsidRPr="00552660">
          <w:rPr>
            <w:lang w:val="pt-BR"/>
          </w:rPr>
          <w:t>ágina</w:t>
        </w:r>
        <w:r w:rsidRPr="00552660">
          <w:rPr>
            <w:lang w:val="pt-BR"/>
          </w:rPr>
          <w:t xml:space="preserve"> 2</w:t>
        </w:r>
      </w:p>
    </w:sdtContent>
  </w:sdt>
  <w:p w:rsidR="00DB09F9" w:rsidRPr="00552660" w:rsidRDefault="00DB09F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F9" w:rsidRPr="001C66B6" w:rsidRDefault="00DB09F9" w:rsidP="00477D6B">
    <w:pPr>
      <w:jc w:val="right"/>
      <w:rPr>
        <w:lang w:val="pt-BR"/>
      </w:rPr>
    </w:pPr>
    <w:bookmarkStart w:id="6" w:name="Code2"/>
    <w:bookmarkEnd w:id="6"/>
    <w:r w:rsidRPr="001C66B6">
      <w:rPr>
        <w:lang w:val="pt-BR"/>
      </w:rPr>
      <w:t>WIPO/GRTKF/IC/41/5</w:t>
    </w:r>
  </w:p>
  <w:p w:rsidR="00DB09F9" w:rsidRPr="001C66B6" w:rsidRDefault="001C66B6" w:rsidP="00477D6B">
    <w:pPr>
      <w:jc w:val="right"/>
      <w:rPr>
        <w:lang w:val="pt-BR"/>
      </w:rPr>
    </w:pPr>
    <w:r w:rsidRPr="001C66B6">
      <w:rPr>
        <w:lang w:val="pt-BR"/>
      </w:rPr>
      <w:t xml:space="preserve">Anexo, </w:t>
    </w:r>
    <w:r w:rsidR="00DB09F9" w:rsidRPr="001C66B6">
      <w:rPr>
        <w:lang w:val="pt-BR"/>
      </w:rPr>
      <w:t xml:space="preserve">página </w:t>
    </w:r>
    <w:r w:rsidR="00DB09F9">
      <w:fldChar w:fldCharType="begin"/>
    </w:r>
    <w:r w:rsidR="00DB09F9" w:rsidRPr="001C66B6">
      <w:rPr>
        <w:lang w:val="pt-BR"/>
      </w:rPr>
      <w:instrText xml:space="preserve"> PAGE  \* MERGEFORMAT </w:instrText>
    </w:r>
    <w:r w:rsidR="00DB09F9">
      <w:fldChar w:fldCharType="separate"/>
    </w:r>
    <w:r w:rsidR="00013CA9">
      <w:rPr>
        <w:noProof/>
        <w:lang w:val="pt-BR"/>
      </w:rPr>
      <w:t>20</w:t>
    </w:r>
    <w:r w:rsidR="00DB09F9">
      <w:fldChar w:fldCharType="end"/>
    </w:r>
  </w:p>
  <w:p w:rsidR="00DB09F9" w:rsidRPr="001C66B6" w:rsidRDefault="00DB09F9" w:rsidP="00477D6B">
    <w:pPr>
      <w:jc w:val="right"/>
      <w:rPr>
        <w:lang w:val="pt-BR"/>
      </w:rPr>
    </w:pPr>
  </w:p>
  <w:p w:rsidR="00DB09F9" w:rsidRPr="001C66B6" w:rsidRDefault="00DB09F9"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B6" w:rsidRDefault="001C66B6" w:rsidP="001C66B6">
    <w:pPr>
      <w:pStyle w:val="Header"/>
      <w:jc w:val="right"/>
    </w:pPr>
    <w:r>
      <w:t>WIPO/GRTKF/IC/41/5</w:t>
    </w:r>
  </w:p>
  <w:p w:rsidR="001C66B6" w:rsidRDefault="001C66B6" w:rsidP="001C66B6">
    <w:pPr>
      <w:pStyle w:val="Header"/>
      <w:jc w:val="right"/>
    </w:pPr>
    <w:r>
      <w:t>ANEXO</w:t>
    </w:r>
  </w:p>
  <w:p w:rsidR="001C66B6" w:rsidRDefault="001C66B6" w:rsidP="001C66B6">
    <w:pPr>
      <w:pStyle w:val="Header"/>
      <w:jc w:val="right"/>
    </w:pPr>
  </w:p>
  <w:p w:rsidR="001C66B6" w:rsidRDefault="001C66B6" w:rsidP="001C66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7B4A7C"/>
    <w:multiLevelType w:val="hybridMultilevel"/>
    <w:tmpl w:val="AF18B2FA"/>
    <w:lvl w:ilvl="0" w:tplc="8F7E370E">
      <w:start w:val="1"/>
      <w:numFmt w:val="lowerLetter"/>
      <w:lvlText w:val="%1)"/>
      <w:lvlJc w:val="left"/>
      <w:pPr>
        <w:ind w:left="1170" w:hanging="360"/>
      </w:pPr>
      <w:rPr>
        <w:i w:val="0"/>
      </w:r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C930BBA"/>
    <w:multiLevelType w:val="hybridMultilevel"/>
    <w:tmpl w:val="2C366914"/>
    <w:lvl w:ilvl="0" w:tplc="984AD61C">
      <w:start w:val="1"/>
      <w:numFmt w:val="lowerLetter"/>
      <w:lvlText w:val="%1)"/>
      <w:lvlJc w:val="left"/>
      <w:pPr>
        <w:ind w:left="81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1105443"/>
    <w:multiLevelType w:val="hybridMultilevel"/>
    <w:tmpl w:val="123C00AA"/>
    <w:lvl w:ilvl="0" w:tplc="E4B2FF20">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CE3588"/>
    <w:multiLevelType w:val="hybridMultilevel"/>
    <w:tmpl w:val="E1A65CA8"/>
    <w:lvl w:ilvl="0" w:tplc="040A000F">
      <w:start w:val="1"/>
      <w:numFmt w:val="decimal"/>
      <w:lvlText w:val="%1."/>
      <w:lvlJc w:val="left"/>
      <w:pPr>
        <w:ind w:left="1170" w:hanging="360"/>
      </w:p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19"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16"/>
  </w:num>
  <w:num w:numId="8">
    <w:abstractNumId w:val="5"/>
  </w:num>
  <w:num w:numId="9">
    <w:abstractNumId w:val="17"/>
  </w:num>
  <w:num w:numId="10">
    <w:abstractNumId w:val="15"/>
  </w:num>
  <w:num w:numId="11">
    <w:abstractNumId w:val="20"/>
  </w:num>
  <w:num w:numId="12">
    <w:abstractNumId w:val="10"/>
  </w:num>
  <w:num w:numId="13">
    <w:abstractNumId w:val="14"/>
  </w:num>
  <w:num w:numId="14">
    <w:abstractNumId w:val="13"/>
  </w:num>
  <w:num w:numId="15">
    <w:abstractNumId w:val="7"/>
  </w:num>
  <w:num w:numId="16">
    <w:abstractNumId w:val="19"/>
  </w:num>
  <w:num w:numId="17">
    <w:abstractNumId w:val="9"/>
  </w:num>
  <w:num w:numId="18">
    <w:abstractNumId w:val="4"/>
  </w:num>
  <w:num w:numId="19">
    <w:abstractNumId w:val="18"/>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F9"/>
    <w:rsid w:val="00010686"/>
    <w:rsid w:val="00013CA9"/>
    <w:rsid w:val="00052915"/>
    <w:rsid w:val="000566AF"/>
    <w:rsid w:val="000D734A"/>
    <w:rsid w:val="000E3BB3"/>
    <w:rsid w:val="000F5E56"/>
    <w:rsid w:val="001362EE"/>
    <w:rsid w:val="00152CEA"/>
    <w:rsid w:val="0015624F"/>
    <w:rsid w:val="001832A6"/>
    <w:rsid w:val="001C66B6"/>
    <w:rsid w:val="001E1D70"/>
    <w:rsid w:val="00210E5F"/>
    <w:rsid w:val="002634C4"/>
    <w:rsid w:val="00292773"/>
    <w:rsid w:val="002C2E2F"/>
    <w:rsid w:val="002E0F47"/>
    <w:rsid w:val="002F4E68"/>
    <w:rsid w:val="00310826"/>
    <w:rsid w:val="00354647"/>
    <w:rsid w:val="00377273"/>
    <w:rsid w:val="003845C1"/>
    <w:rsid w:val="00387287"/>
    <w:rsid w:val="003E48F1"/>
    <w:rsid w:val="003F347A"/>
    <w:rsid w:val="003F552E"/>
    <w:rsid w:val="00407551"/>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52660"/>
    <w:rsid w:val="00571B99"/>
    <w:rsid w:val="005B51CE"/>
    <w:rsid w:val="00605827"/>
    <w:rsid w:val="00640B48"/>
    <w:rsid w:val="00675021"/>
    <w:rsid w:val="006902F9"/>
    <w:rsid w:val="00691613"/>
    <w:rsid w:val="006A06C6"/>
    <w:rsid w:val="007224C8"/>
    <w:rsid w:val="00794BE2"/>
    <w:rsid w:val="007A5581"/>
    <w:rsid w:val="007B71FE"/>
    <w:rsid w:val="007D781E"/>
    <w:rsid w:val="007E663E"/>
    <w:rsid w:val="00815082"/>
    <w:rsid w:val="00820944"/>
    <w:rsid w:val="00856AFF"/>
    <w:rsid w:val="0088395E"/>
    <w:rsid w:val="008B2CC1"/>
    <w:rsid w:val="008E6BD6"/>
    <w:rsid w:val="0090731E"/>
    <w:rsid w:val="00911BEA"/>
    <w:rsid w:val="00966A22"/>
    <w:rsid w:val="00972F03"/>
    <w:rsid w:val="00983417"/>
    <w:rsid w:val="009A0C8B"/>
    <w:rsid w:val="009A20CD"/>
    <w:rsid w:val="009B3AFD"/>
    <w:rsid w:val="009B6241"/>
    <w:rsid w:val="009F7C1F"/>
    <w:rsid w:val="00A16FC0"/>
    <w:rsid w:val="00A32C9E"/>
    <w:rsid w:val="00A517E3"/>
    <w:rsid w:val="00AB613D"/>
    <w:rsid w:val="00AD1C9C"/>
    <w:rsid w:val="00AE7F20"/>
    <w:rsid w:val="00B304A4"/>
    <w:rsid w:val="00B534D5"/>
    <w:rsid w:val="00B65A0A"/>
    <w:rsid w:val="00B67CDC"/>
    <w:rsid w:val="00B72D36"/>
    <w:rsid w:val="00B770A1"/>
    <w:rsid w:val="00BC4164"/>
    <w:rsid w:val="00BD2DCC"/>
    <w:rsid w:val="00C64C77"/>
    <w:rsid w:val="00C90559"/>
    <w:rsid w:val="00CA2251"/>
    <w:rsid w:val="00D24F5B"/>
    <w:rsid w:val="00D56C7C"/>
    <w:rsid w:val="00D71B4D"/>
    <w:rsid w:val="00D90289"/>
    <w:rsid w:val="00D93D55"/>
    <w:rsid w:val="00DB09F9"/>
    <w:rsid w:val="00DC4C60"/>
    <w:rsid w:val="00E0079A"/>
    <w:rsid w:val="00E444DA"/>
    <w:rsid w:val="00E45C84"/>
    <w:rsid w:val="00E504E5"/>
    <w:rsid w:val="00E84A76"/>
    <w:rsid w:val="00EB7A3E"/>
    <w:rsid w:val="00EC1AA7"/>
    <w:rsid w:val="00EC401A"/>
    <w:rsid w:val="00EF2CB8"/>
    <w:rsid w:val="00EF530A"/>
    <w:rsid w:val="00EF6622"/>
    <w:rsid w:val="00EF78A9"/>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6A37AA0-3FC9-4147-BE34-BD85BE5F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B09F9"/>
    <w:rPr>
      <w:rFonts w:ascii="Arial" w:eastAsia="SimSun" w:hAnsi="Arial" w:cs="Arial"/>
      <w:bCs/>
      <w:iCs/>
      <w:caps/>
      <w:sz w:val="22"/>
      <w:szCs w:val="28"/>
      <w:lang w:val="es-ES" w:eastAsia="zh-CN"/>
    </w:rPr>
  </w:style>
  <w:style w:type="character" w:customStyle="1" w:styleId="CommentTextChar">
    <w:name w:val="Comment Text Char"/>
    <w:basedOn w:val="DefaultParagraphFont"/>
    <w:link w:val="CommentText"/>
    <w:semiHidden/>
    <w:rsid w:val="00DB09F9"/>
    <w:rPr>
      <w:rFonts w:ascii="Arial" w:eastAsia="SimSun" w:hAnsi="Arial" w:cs="Arial"/>
      <w:sz w:val="18"/>
      <w:lang w:val="es-ES" w:eastAsia="zh-CN"/>
    </w:rPr>
  </w:style>
  <w:style w:type="character" w:customStyle="1" w:styleId="FooterChar">
    <w:name w:val="Footer Char"/>
    <w:basedOn w:val="DefaultParagraphFont"/>
    <w:link w:val="Footer"/>
    <w:semiHidden/>
    <w:rsid w:val="00DB09F9"/>
    <w:rPr>
      <w:rFonts w:ascii="Arial" w:eastAsia="SimSun" w:hAnsi="Arial" w:cs="Arial"/>
      <w:sz w:val="22"/>
      <w:lang w:val="es-ES" w:eastAsia="zh-CN"/>
    </w:rPr>
  </w:style>
  <w:style w:type="character" w:customStyle="1" w:styleId="FootnoteTextChar">
    <w:name w:val="Footnote Text Char"/>
    <w:basedOn w:val="DefaultParagraphFont"/>
    <w:link w:val="FootnoteText"/>
    <w:rsid w:val="00DB09F9"/>
    <w:rPr>
      <w:rFonts w:ascii="Arial" w:eastAsia="SimSun" w:hAnsi="Arial" w:cs="Arial"/>
      <w:sz w:val="18"/>
      <w:lang w:val="es-ES" w:eastAsia="zh-CN"/>
    </w:rPr>
  </w:style>
  <w:style w:type="character" w:customStyle="1" w:styleId="HeaderChar">
    <w:name w:val="Header Char"/>
    <w:basedOn w:val="DefaultParagraphFont"/>
    <w:link w:val="Header"/>
    <w:uiPriority w:val="99"/>
    <w:rsid w:val="00DB09F9"/>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DB09F9"/>
    <w:rPr>
      <w:vertAlign w:val="superscript"/>
    </w:rPr>
  </w:style>
  <w:style w:type="paragraph" w:styleId="ListParagraph">
    <w:name w:val="List Paragraph"/>
    <w:basedOn w:val="Normal"/>
    <w:uiPriority w:val="34"/>
    <w:qFormat/>
    <w:rsid w:val="00DB09F9"/>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DB09F9"/>
  </w:style>
  <w:style w:type="paragraph" w:styleId="NormalWeb">
    <w:name w:val="Normal (Web)"/>
    <w:basedOn w:val="Normal"/>
    <w:uiPriority w:val="99"/>
    <w:unhideWhenUsed/>
    <w:rsid w:val="00DB09F9"/>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DB09F9"/>
  </w:style>
  <w:style w:type="character" w:styleId="Strong">
    <w:name w:val="Strong"/>
    <w:basedOn w:val="DefaultParagraphFont"/>
    <w:uiPriority w:val="22"/>
    <w:qFormat/>
    <w:rsid w:val="00DB09F9"/>
    <w:rPr>
      <w:b/>
      <w:bCs/>
    </w:rPr>
  </w:style>
  <w:style w:type="character" w:styleId="Emphasis">
    <w:name w:val="Emphasis"/>
    <w:basedOn w:val="DefaultParagraphFont"/>
    <w:uiPriority w:val="20"/>
    <w:qFormat/>
    <w:rsid w:val="00DB0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3C0C3-F914-4141-936D-1CB66B82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Template>
  <TotalTime>4</TotalTime>
  <Pages>33</Pages>
  <Words>6202</Words>
  <Characters>34053</Characters>
  <Application>Microsoft Office Word</Application>
  <DocSecurity>0</DocSecurity>
  <Lines>739</Lines>
  <Paragraphs>184</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dc:title>
  <dc:creator>MIGLIORE Liliana</dc:creator>
  <cp:keywords>FOR OFFICIAL USE ONLY</cp:keywords>
  <cp:lastModifiedBy>MORENO PALESTINI Maria del Pilar</cp:lastModifiedBy>
  <cp:revision>4</cp:revision>
  <dcterms:created xsi:type="dcterms:W3CDTF">2021-01-27T18:03:00Z</dcterms:created>
  <dcterms:modified xsi:type="dcterms:W3CDTF">2021-06-11T12:43:00Z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