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57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457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572" w:rsidRDefault="00DE5F47" w:rsidP="00916EE2">
            <w:pPr>
              <w:rPr>
                <w:lang w:val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BB3AFA9" wp14:editId="0766A7A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572" w:rsidRDefault="00DE5F47" w:rsidP="00916EE2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551932" w:rsidRPr="00084572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4572" w:rsidRDefault="00EB0C6C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84572">
              <w:rPr>
                <w:rFonts w:ascii="Arial Black" w:hAnsi="Arial Black"/>
                <w:caps/>
                <w:sz w:val="15"/>
                <w:lang w:val="es-ES"/>
              </w:rPr>
              <w:t>WIPO/GRTKF/IC/40</w:t>
            </w:r>
            <w:r w:rsidR="001E1BB2" w:rsidRPr="00084572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D264B2" w:rsidRPr="00084572">
              <w:rPr>
                <w:rFonts w:ascii="Arial Black" w:hAnsi="Arial Black"/>
                <w:caps/>
                <w:sz w:val="15"/>
                <w:lang w:val="es-ES"/>
              </w:rPr>
              <w:t>INF/5</w:t>
            </w:r>
          </w:p>
        </w:tc>
      </w:tr>
      <w:tr w:rsidR="00551932" w:rsidRPr="0008457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4572" w:rsidRDefault="00633C16" w:rsidP="0038213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_GoBack"/>
            <w:bookmarkEnd w:id="1"/>
            <w:r w:rsidR="00382134" w:rsidRPr="0008457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8B2CC1" w:rsidRPr="0008457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08457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4572" w:rsidRDefault="00382134" w:rsidP="0038213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84572">
              <w:rPr>
                <w:rFonts w:ascii="Arial Black" w:hAnsi="Arial Black"/>
                <w:caps/>
                <w:sz w:val="15"/>
                <w:lang w:val="es-ES"/>
              </w:rPr>
              <w:t>fecha: 21 de mayo de 2019</w:t>
            </w:r>
            <w:r w:rsidR="008B2CC1" w:rsidRPr="0008457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382134">
      <w:pPr>
        <w:rPr>
          <w:b/>
          <w:sz w:val="28"/>
          <w:szCs w:val="28"/>
          <w:lang w:val="es-ES"/>
        </w:rPr>
      </w:pPr>
      <w:r w:rsidRPr="0008457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382134" w:rsidRPr="00084572" w:rsidRDefault="00382134" w:rsidP="003845C1">
      <w:pPr>
        <w:rPr>
          <w:lang w:val="es-ES"/>
        </w:rPr>
      </w:pPr>
    </w:p>
    <w:p w:rsidR="00382134" w:rsidRPr="00084572" w:rsidRDefault="00382134" w:rsidP="003845C1">
      <w:pPr>
        <w:rPr>
          <w:lang w:val="es-ES"/>
        </w:rPr>
      </w:pPr>
    </w:p>
    <w:p w:rsidR="00382134" w:rsidRPr="00084572" w:rsidRDefault="00382134" w:rsidP="00382134">
      <w:pPr>
        <w:rPr>
          <w:b/>
          <w:sz w:val="24"/>
          <w:szCs w:val="24"/>
          <w:lang w:val="es-ES"/>
        </w:rPr>
      </w:pPr>
      <w:r w:rsidRPr="00084572">
        <w:rPr>
          <w:b/>
          <w:sz w:val="24"/>
          <w:szCs w:val="24"/>
          <w:lang w:val="es-ES"/>
        </w:rPr>
        <w:t>Cuadragésima sesión</w:t>
      </w:r>
    </w:p>
    <w:p w:rsidR="00382134" w:rsidRPr="00084572" w:rsidRDefault="00382134" w:rsidP="00382134">
      <w:pPr>
        <w:rPr>
          <w:b/>
          <w:sz w:val="24"/>
          <w:szCs w:val="24"/>
          <w:lang w:val="es-ES"/>
        </w:rPr>
      </w:pPr>
      <w:r w:rsidRPr="00084572">
        <w:rPr>
          <w:b/>
          <w:sz w:val="24"/>
          <w:szCs w:val="24"/>
          <w:lang w:val="es-ES"/>
        </w:rPr>
        <w:t>Ginebra, 17 a 21 de junio de 2019</w:t>
      </w: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8B2CC1">
      <w:pPr>
        <w:rPr>
          <w:lang w:val="es-ES"/>
        </w:rPr>
      </w:pPr>
    </w:p>
    <w:p w:rsidR="00382134" w:rsidRPr="00084572" w:rsidRDefault="00382134" w:rsidP="00D264B2">
      <w:pPr>
        <w:rPr>
          <w:caps/>
          <w:sz w:val="24"/>
          <w:lang w:val="es-ES"/>
        </w:rPr>
      </w:pPr>
      <w:bookmarkStart w:id="2" w:name="TitleOfDoc"/>
      <w:bookmarkEnd w:id="2"/>
      <w:r w:rsidRPr="00084572">
        <w:rPr>
          <w:sz w:val="24"/>
          <w:lang w:val="es-ES"/>
        </w:rPr>
        <w:t>NOTA INFORMATIVA PARA LA MESA REDONDA DE LAS COMUNIDADES INDÍGENAS Y LOCALES</w:t>
      </w:r>
    </w:p>
    <w:p w:rsidR="00382134" w:rsidRPr="00084572" w:rsidRDefault="00382134" w:rsidP="00D264B2">
      <w:pPr>
        <w:rPr>
          <w:lang w:val="es-ES"/>
        </w:rPr>
      </w:pPr>
    </w:p>
    <w:p w:rsidR="00382134" w:rsidRPr="00084572" w:rsidRDefault="00382134" w:rsidP="00D264B2">
      <w:pPr>
        <w:rPr>
          <w:i/>
          <w:lang w:val="es-ES"/>
        </w:rPr>
      </w:pPr>
      <w:r w:rsidRPr="00084572">
        <w:rPr>
          <w:i/>
          <w:lang w:val="es-ES"/>
        </w:rPr>
        <w:t>prepara</w:t>
      </w:r>
      <w:r w:rsidR="00D264B2" w:rsidRPr="00084572">
        <w:rPr>
          <w:i/>
          <w:lang w:val="es-ES"/>
        </w:rPr>
        <w:t>d</w:t>
      </w:r>
      <w:r w:rsidRPr="00084572">
        <w:rPr>
          <w:i/>
          <w:lang w:val="es-ES"/>
        </w:rPr>
        <w:t>a</w:t>
      </w:r>
      <w:r w:rsidR="00D264B2" w:rsidRPr="00084572">
        <w:rPr>
          <w:i/>
          <w:lang w:val="es-ES"/>
        </w:rPr>
        <w:t xml:space="preserve"> </w:t>
      </w:r>
      <w:r w:rsidRPr="00084572">
        <w:rPr>
          <w:i/>
          <w:lang w:val="es-ES"/>
        </w:rPr>
        <w:t>por la Secretaría</w:t>
      </w:r>
    </w:p>
    <w:p w:rsidR="00382134" w:rsidRPr="00084572" w:rsidRDefault="00382134" w:rsidP="00D264B2">
      <w:pPr>
        <w:rPr>
          <w:i/>
          <w:lang w:val="es-ES"/>
        </w:rPr>
      </w:pPr>
    </w:p>
    <w:p w:rsidR="00382134" w:rsidRPr="00084572" w:rsidRDefault="00382134" w:rsidP="00D264B2">
      <w:pPr>
        <w:rPr>
          <w:i/>
          <w:lang w:val="es-ES"/>
        </w:rPr>
      </w:pPr>
    </w:p>
    <w:p w:rsidR="00382134" w:rsidRPr="00084572" w:rsidRDefault="00382134" w:rsidP="00D264B2">
      <w:pPr>
        <w:rPr>
          <w:i/>
          <w:lang w:val="es-ES"/>
        </w:rPr>
      </w:pPr>
    </w:p>
    <w:p w:rsidR="00382134" w:rsidRPr="00084572" w:rsidRDefault="00382134" w:rsidP="00D264B2">
      <w:pPr>
        <w:rPr>
          <w:i/>
          <w:lang w:val="es-ES"/>
        </w:rPr>
      </w:pPr>
    </w:p>
    <w:p w:rsidR="00382134" w:rsidRPr="00084572" w:rsidRDefault="00382134" w:rsidP="00382134">
      <w:pPr>
        <w:numPr>
          <w:ilvl w:val="0"/>
          <w:numId w:val="7"/>
        </w:numPr>
        <w:rPr>
          <w:lang w:val="es-ES"/>
        </w:rPr>
      </w:pPr>
      <w:r w:rsidRPr="00084572">
        <w:rPr>
          <w:lang w:val="es-ES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382134" w:rsidRPr="00084572" w:rsidRDefault="00382134" w:rsidP="00D264B2">
      <w:pPr>
        <w:rPr>
          <w:lang w:val="es-ES"/>
        </w:rPr>
      </w:pPr>
    </w:p>
    <w:p w:rsidR="00382134" w:rsidRPr="00084572" w:rsidRDefault="001902D9" w:rsidP="001902D9">
      <w:pPr>
        <w:numPr>
          <w:ilvl w:val="0"/>
          <w:numId w:val="7"/>
        </w:numPr>
        <w:rPr>
          <w:lang w:val="es-ES"/>
        </w:rPr>
      </w:pPr>
      <w:r w:rsidRPr="00084572">
        <w:rPr>
          <w:lang w:val="es-ES"/>
        </w:rPr>
        <w:t xml:space="preserve">De conformidad con el mandato del CIG y de su programa de trabajo para el bienio 2018/2019, la cuadragésima sesión se centrará en los conocimientos tradicionales y las expresiones culturales tradicionales, y </w:t>
      </w:r>
      <w:r w:rsidR="00084572">
        <w:rPr>
          <w:lang w:val="es-ES"/>
        </w:rPr>
        <w:t xml:space="preserve">en </w:t>
      </w:r>
      <w:r w:rsidRPr="00084572">
        <w:rPr>
          <w:lang w:val="es-ES"/>
        </w:rPr>
        <w:t xml:space="preserve">hacer balance de los progresos realizados y formular una recomendación a la Asamblea General. El tema de la mesa redonda de esa sesión será: </w:t>
      </w:r>
      <w:r w:rsidR="00D264B2" w:rsidRPr="00084572">
        <w:rPr>
          <w:lang w:val="es-ES"/>
        </w:rPr>
        <w:t>“</w:t>
      </w:r>
      <w:r w:rsidRPr="00084572">
        <w:rPr>
          <w:lang w:val="es-ES"/>
        </w:rPr>
        <w:t xml:space="preserve">La Propiedad Intelectual y los Conocimientos Tradicionales o las Expresiones Culturales Tradicionales: </w:t>
      </w:r>
      <w:r w:rsidR="009C25D0" w:rsidRPr="00084572">
        <w:rPr>
          <w:lang w:val="es-ES"/>
        </w:rPr>
        <w:t>Perspectivas de los Pueblos Indígenas y las Comunidades Locales respecto de los Objetivos</w:t>
      </w:r>
      <w:r w:rsidR="00AE1D94" w:rsidRPr="00084572">
        <w:rPr>
          <w:lang w:val="es-ES"/>
        </w:rPr>
        <w:t>”.</w:t>
      </w:r>
    </w:p>
    <w:p w:rsidR="00382134" w:rsidRPr="00084572" w:rsidRDefault="00382134" w:rsidP="00D264B2">
      <w:pPr>
        <w:rPr>
          <w:lang w:val="es-ES"/>
        </w:rPr>
      </w:pPr>
    </w:p>
    <w:p w:rsidR="00382134" w:rsidRPr="00084572" w:rsidRDefault="001902D9" w:rsidP="001902D9">
      <w:pPr>
        <w:numPr>
          <w:ilvl w:val="0"/>
          <w:numId w:val="7"/>
        </w:numPr>
        <w:rPr>
          <w:lang w:val="es-ES"/>
        </w:rPr>
      </w:pPr>
      <w:r w:rsidRPr="00084572">
        <w:rPr>
          <w:lang w:val="es-ES"/>
        </w:rPr>
        <w:t>En el Anexo figura el programa provisional de la mesa redonda de la cuadragésima sesión</w:t>
      </w:r>
      <w:r w:rsidR="00D264B2" w:rsidRPr="00084572">
        <w:rPr>
          <w:lang w:val="es-ES"/>
        </w:rPr>
        <w:t>.</w:t>
      </w:r>
    </w:p>
    <w:p w:rsidR="00382134" w:rsidRPr="00084572" w:rsidRDefault="00382134" w:rsidP="00D264B2">
      <w:pPr>
        <w:rPr>
          <w:lang w:val="es-ES"/>
        </w:rPr>
      </w:pPr>
    </w:p>
    <w:p w:rsidR="00382134" w:rsidRPr="00084572" w:rsidRDefault="00D264B2" w:rsidP="00D264B2">
      <w:pPr>
        <w:ind w:left="5533"/>
        <w:rPr>
          <w:i/>
          <w:lang w:val="es-ES"/>
        </w:rPr>
      </w:pPr>
      <w:r w:rsidRPr="00084572">
        <w:rPr>
          <w:lang w:val="es-ES"/>
        </w:rPr>
        <w:t>[</w:t>
      </w:r>
      <w:r w:rsidR="001902D9" w:rsidRPr="00084572">
        <w:rPr>
          <w:lang w:val="es-ES"/>
        </w:rPr>
        <w:t>Sigue el Anexo</w:t>
      </w:r>
      <w:r w:rsidRPr="00084572">
        <w:rPr>
          <w:lang w:val="es-ES"/>
        </w:rPr>
        <w:t>]</w:t>
      </w:r>
    </w:p>
    <w:p w:rsidR="00382134" w:rsidRPr="00084572" w:rsidRDefault="00382134" w:rsidP="00D264B2">
      <w:pPr>
        <w:rPr>
          <w:lang w:val="es-ES"/>
        </w:rPr>
      </w:pPr>
    </w:p>
    <w:p w:rsidR="00382134" w:rsidRPr="00084572" w:rsidRDefault="00D264B2" w:rsidP="00D264B2">
      <w:pPr>
        <w:rPr>
          <w:lang w:val="es-ES"/>
        </w:rPr>
      </w:pPr>
      <w:r w:rsidRPr="00084572">
        <w:rPr>
          <w:lang w:val="es-ES"/>
        </w:rPr>
        <w:br w:type="page"/>
      </w:r>
    </w:p>
    <w:p w:rsidR="00382134" w:rsidRPr="00084572" w:rsidRDefault="009C25D0" w:rsidP="00D264B2">
      <w:pPr>
        <w:rPr>
          <w:lang w:val="es-ES"/>
        </w:rPr>
      </w:pPr>
      <w:r w:rsidRPr="00084572">
        <w:rPr>
          <w:lang w:val="es-ES"/>
        </w:rPr>
        <w:lastRenderedPageBreak/>
        <w:t>PROGRAMA PROVISIONAL DE LA MESA REDONDA</w:t>
      </w:r>
      <w:r w:rsidR="00D264B2" w:rsidRPr="00084572">
        <w:rPr>
          <w:lang w:val="es-ES"/>
        </w:rPr>
        <w:t xml:space="preserve"> </w:t>
      </w:r>
    </w:p>
    <w:p w:rsidR="00382134" w:rsidRPr="00084572" w:rsidRDefault="00382134" w:rsidP="00D264B2">
      <w:pPr>
        <w:rPr>
          <w:lang w:val="es-ES"/>
        </w:rPr>
      </w:pPr>
    </w:p>
    <w:p w:rsidR="00D264B2" w:rsidRPr="00084572" w:rsidRDefault="00D264B2" w:rsidP="00D264B2">
      <w:pPr>
        <w:rPr>
          <w:lang w:val="es-ES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012"/>
      </w:tblGrid>
      <w:tr w:rsidR="00D264B2" w:rsidRPr="00084572" w:rsidTr="00D264B2">
        <w:tc>
          <w:tcPr>
            <w:tcW w:w="3438" w:type="dxa"/>
            <w:gridSpan w:val="2"/>
            <w:shd w:val="clear" w:color="auto" w:fill="auto"/>
          </w:tcPr>
          <w:p w:rsidR="00382134" w:rsidRPr="00084572" w:rsidRDefault="009C25D0" w:rsidP="002A65D0">
            <w:pPr>
              <w:rPr>
                <w:u w:val="single"/>
                <w:lang w:val="es-ES"/>
              </w:rPr>
            </w:pPr>
            <w:r w:rsidRPr="00084572">
              <w:rPr>
                <w:u w:val="single"/>
                <w:lang w:val="es-ES"/>
              </w:rPr>
              <w:t>Lunes 17 de junio de</w:t>
            </w:r>
            <w:r w:rsidR="00D264B2" w:rsidRPr="00084572">
              <w:rPr>
                <w:u w:val="single"/>
                <w:lang w:val="es-ES"/>
              </w:rPr>
              <w:t xml:space="preserve"> 2019</w:t>
            </w:r>
          </w:p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012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084572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u w:val="single"/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084572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 xml:space="preserve">11.00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9C25D0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Apertura</w:t>
            </w:r>
          </w:p>
        </w:tc>
      </w:tr>
      <w:tr w:rsidR="00D264B2" w:rsidRPr="00084572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9C25D0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Presidente: (pendiente de designación por el Foro de la OMPI de consulta con las comunidades indígenas)</w:t>
            </w: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11.00 – 11.15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9C25D0" w:rsidP="00EA6B4D">
            <w:pPr>
              <w:rPr>
                <w:lang w:val="es-ES"/>
              </w:rPr>
            </w:pPr>
            <w:r w:rsidRPr="00084572">
              <w:rPr>
                <w:lang w:val="es-ES"/>
              </w:rPr>
              <w:t>S</w:t>
            </w:r>
            <w:r w:rsidR="00D264B2" w:rsidRPr="00084572">
              <w:rPr>
                <w:lang w:val="es-ES"/>
              </w:rPr>
              <w:t xml:space="preserve">r. Wilton Littlechild, </w:t>
            </w:r>
            <w:r w:rsidR="00EA6B4D" w:rsidRPr="00084572">
              <w:rPr>
                <w:lang w:val="es-ES"/>
              </w:rPr>
              <w:t xml:space="preserve">jefe cree y abogado que ha trabajado a nivel nacional e internacional en pro de los derechos indígenas. El jefe </w:t>
            </w:r>
            <w:r w:rsidR="00D264B2" w:rsidRPr="00084572">
              <w:rPr>
                <w:lang w:val="es-ES"/>
              </w:rPr>
              <w:t>Littlechild ha</w:t>
            </w:r>
            <w:r w:rsidR="00EA6B4D" w:rsidRPr="00084572">
              <w:rPr>
                <w:lang w:val="es-ES"/>
              </w:rPr>
              <w:t xml:space="preserve"> sido miembro del parlamento, vicepresidente del </w:t>
            </w:r>
            <w:r w:rsidRPr="00084572">
              <w:rPr>
                <w:lang w:val="es-ES"/>
              </w:rPr>
              <w:t>Parlamento Indígena de América</w:t>
            </w:r>
            <w:r w:rsidR="00D264B2" w:rsidRPr="00084572">
              <w:rPr>
                <w:lang w:val="es-ES"/>
              </w:rPr>
              <w:t xml:space="preserve">, </w:t>
            </w:r>
            <w:r w:rsidR="00EA6B4D" w:rsidRPr="00084572">
              <w:rPr>
                <w:lang w:val="es-ES"/>
              </w:rPr>
              <w:t xml:space="preserve">representante de América del Norte ante el </w:t>
            </w:r>
            <w:r w:rsidRPr="00084572">
              <w:rPr>
                <w:lang w:val="es-ES"/>
              </w:rPr>
              <w:t>Foro Permanente de las Naciones Unidas para las Cuestiones Indígenas</w:t>
            </w:r>
            <w:r w:rsidR="00D264B2" w:rsidRPr="00084572">
              <w:rPr>
                <w:lang w:val="es-ES"/>
              </w:rPr>
              <w:t xml:space="preserve"> </w:t>
            </w:r>
            <w:r w:rsidR="00EA6B4D" w:rsidRPr="00084572">
              <w:rPr>
                <w:lang w:val="es-ES"/>
              </w:rPr>
              <w:t>y presidente del</w:t>
            </w:r>
            <w:r w:rsidR="00D264B2" w:rsidRPr="00084572">
              <w:rPr>
                <w:lang w:val="es-ES"/>
              </w:rPr>
              <w:t xml:space="preserve"> </w:t>
            </w:r>
            <w:r w:rsidRPr="00084572">
              <w:rPr>
                <w:lang w:val="es-ES"/>
              </w:rPr>
              <w:t>Mecanismo de Expertos de las Naciones Unidas sobre los Derechos de los Pueblos Indígenas</w:t>
            </w:r>
            <w:r w:rsidR="00D264B2" w:rsidRPr="00084572">
              <w:rPr>
                <w:lang w:val="es-ES"/>
              </w:rPr>
              <w:t xml:space="preserve"> </w:t>
            </w:r>
            <w:r w:rsidR="00EA6B4D" w:rsidRPr="00084572">
              <w:rPr>
                <w:lang w:val="es-ES"/>
              </w:rPr>
              <w:t>y de la</w:t>
            </w:r>
            <w:r w:rsidR="00D264B2" w:rsidRPr="00084572">
              <w:rPr>
                <w:lang w:val="es-ES"/>
              </w:rPr>
              <w:t xml:space="preserve"> </w:t>
            </w:r>
            <w:r w:rsidR="00877481" w:rsidRPr="00084572">
              <w:rPr>
                <w:lang w:val="es-ES"/>
              </w:rPr>
              <w:t>Comisión sobre las Primeras Naciones, los Métis y la Reforma de la Justicia</w:t>
            </w:r>
            <w:r w:rsidR="00D264B2" w:rsidRPr="00084572">
              <w:rPr>
                <w:lang w:val="es-ES"/>
              </w:rPr>
              <w:t>.</w:t>
            </w: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11.15 – 11.30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82134" w:rsidRPr="00084572" w:rsidRDefault="009C25D0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Sra</w:t>
            </w:r>
            <w:r w:rsidR="00D264B2" w:rsidRPr="00084572">
              <w:rPr>
                <w:lang w:val="es-ES"/>
              </w:rPr>
              <w:t>. Lucy Mulenkei</w:t>
            </w:r>
            <w:r w:rsidR="00EF5C75" w:rsidRPr="00084572">
              <w:rPr>
                <w:lang w:val="es-ES"/>
              </w:rPr>
              <w:t>,</w:t>
            </w:r>
            <w:r w:rsidR="00EA6B4D" w:rsidRPr="00084572">
              <w:rPr>
                <w:lang w:val="es-ES"/>
              </w:rPr>
              <w:t xml:space="preserve"> m</w:t>
            </w:r>
            <w:r w:rsidR="00A32E97" w:rsidRPr="00084572">
              <w:rPr>
                <w:lang w:val="es-ES"/>
              </w:rPr>
              <w:t>a</w:t>
            </w:r>
            <w:r w:rsidR="00D264B2" w:rsidRPr="00084572">
              <w:rPr>
                <w:lang w:val="es-ES"/>
              </w:rPr>
              <w:t xml:space="preserve">sai </w:t>
            </w:r>
            <w:r w:rsidR="00A32E97" w:rsidRPr="00084572">
              <w:rPr>
                <w:lang w:val="es-ES"/>
              </w:rPr>
              <w:t xml:space="preserve">de Kenya. </w:t>
            </w:r>
            <w:r w:rsidR="00EF5C75" w:rsidRPr="00084572">
              <w:rPr>
                <w:lang w:val="es-ES"/>
              </w:rPr>
              <w:t>Es</w:t>
            </w:r>
            <w:r w:rsidR="00D264B2" w:rsidRPr="00084572">
              <w:rPr>
                <w:lang w:val="es-ES"/>
              </w:rPr>
              <w:t xml:space="preserve"> </w:t>
            </w:r>
            <w:r w:rsidR="00EF5C75" w:rsidRPr="00084572">
              <w:rPr>
                <w:lang w:val="es-ES"/>
              </w:rPr>
              <w:t>directora ejecutiva</w:t>
            </w:r>
            <w:r w:rsidR="00A32E97" w:rsidRPr="00084572">
              <w:rPr>
                <w:lang w:val="es-ES"/>
              </w:rPr>
              <w:t xml:space="preserve"> de la Indigenous Information Network (IIN)</w:t>
            </w:r>
            <w:r w:rsidR="00D264B2" w:rsidRPr="00084572">
              <w:rPr>
                <w:lang w:val="es-ES"/>
              </w:rPr>
              <w:t xml:space="preserve"> </w:t>
            </w:r>
            <w:r w:rsidR="00A32E97" w:rsidRPr="00084572">
              <w:rPr>
                <w:lang w:val="es-ES"/>
              </w:rPr>
              <w:t>de</w:t>
            </w:r>
            <w:r w:rsidR="00877481" w:rsidRPr="00084572">
              <w:rPr>
                <w:lang w:val="es-ES"/>
              </w:rPr>
              <w:t xml:space="preserve"> Kenya;</w:t>
            </w:r>
            <w:r w:rsidR="00EF5C75" w:rsidRPr="00084572">
              <w:rPr>
                <w:lang w:val="es-ES"/>
              </w:rPr>
              <w:t xml:space="preserve"> trabaja</w:t>
            </w:r>
            <w:r w:rsidR="00D264B2" w:rsidRPr="00084572">
              <w:rPr>
                <w:lang w:val="es-ES"/>
              </w:rPr>
              <w:t xml:space="preserve"> </w:t>
            </w:r>
            <w:r w:rsidR="00A32E97" w:rsidRPr="00084572">
              <w:rPr>
                <w:lang w:val="es-ES"/>
              </w:rPr>
              <w:t>con la</w:t>
            </w:r>
            <w:r w:rsidR="00D264B2" w:rsidRPr="00084572">
              <w:rPr>
                <w:lang w:val="es-ES"/>
              </w:rPr>
              <w:t xml:space="preserve"> African Indigenous Women’s Organization in the East African Region (AIWO), </w:t>
            </w:r>
            <w:r w:rsidR="00EF5C75" w:rsidRPr="00084572">
              <w:rPr>
                <w:lang w:val="es-ES"/>
              </w:rPr>
              <w:t>la Red de Biodiversidad de Mujeres Indígenas (RDBMI)</w:t>
            </w:r>
            <w:r w:rsidR="00D264B2" w:rsidRPr="00084572">
              <w:rPr>
                <w:lang w:val="es-ES"/>
              </w:rPr>
              <w:t xml:space="preserve"> </w:t>
            </w:r>
            <w:r w:rsidR="00EF5C75" w:rsidRPr="00084572">
              <w:rPr>
                <w:lang w:val="es-ES"/>
              </w:rPr>
              <w:t>para Á</w:t>
            </w:r>
            <w:r w:rsidR="00D264B2" w:rsidRPr="00084572">
              <w:rPr>
                <w:lang w:val="es-ES"/>
              </w:rPr>
              <w:t>frica</w:t>
            </w:r>
            <w:r w:rsidR="00EF5C75" w:rsidRPr="00084572">
              <w:rPr>
                <w:lang w:val="es-ES"/>
              </w:rPr>
              <w:t xml:space="preserve">, y fue elegida coordinadora del </w:t>
            </w:r>
            <w:r w:rsidR="00EF5C75" w:rsidRPr="00084572">
              <w:rPr>
                <w:rStyle w:val="preferred"/>
                <w:lang w:val="es-ES"/>
              </w:rPr>
              <w:t>Foro Internacional Indígena sobre Biodiversidad</w:t>
            </w:r>
            <w:r w:rsidR="00D264B2" w:rsidRPr="00084572">
              <w:rPr>
                <w:lang w:val="es-ES"/>
              </w:rPr>
              <w:t xml:space="preserve"> (</w:t>
            </w:r>
            <w:r w:rsidR="00EF5C75" w:rsidRPr="00084572">
              <w:rPr>
                <w:lang w:val="es-ES"/>
              </w:rPr>
              <w:t>FIIB)</w:t>
            </w:r>
            <w:r w:rsidR="00D264B2" w:rsidRPr="00084572">
              <w:rPr>
                <w:lang w:val="es-ES"/>
              </w:rPr>
              <w:t xml:space="preserve"> </w:t>
            </w:r>
            <w:r w:rsidR="00EF5C75" w:rsidRPr="00084572">
              <w:rPr>
                <w:lang w:val="es-ES"/>
              </w:rPr>
              <w:t>en representación de Á</w:t>
            </w:r>
            <w:r w:rsidR="00D264B2" w:rsidRPr="00084572">
              <w:rPr>
                <w:lang w:val="es-ES"/>
              </w:rPr>
              <w:t>frica.</w:t>
            </w:r>
          </w:p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11.30 – 11.45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82134" w:rsidRPr="00084572" w:rsidRDefault="009C25D0" w:rsidP="002A65D0">
            <w:pPr>
              <w:rPr>
                <w:bCs/>
                <w:szCs w:val="22"/>
                <w:lang w:val="es-ES"/>
              </w:rPr>
            </w:pPr>
            <w:r w:rsidRPr="00084572">
              <w:rPr>
                <w:bCs/>
                <w:szCs w:val="22"/>
                <w:lang w:val="es-ES"/>
              </w:rPr>
              <w:t>Sra</w:t>
            </w:r>
            <w:r w:rsidR="00D264B2" w:rsidRPr="00084572">
              <w:rPr>
                <w:bCs/>
                <w:szCs w:val="22"/>
                <w:lang w:val="es-ES"/>
              </w:rPr>
              <w:t xml:space="preserve">. Valmaine Toki, </w:t>
            </w:r>
            <w:r w:rsidR="00877481" w:rsidRPr="00084572">
              <w:rPr>
                <w:bCs/>
                <w:szCs w:val="22"/>
                <w:lang w:val="es-ES"/>
              </w:rPr>
              <w:t>de ascendencia</w:t>
            </w:r>
            <w:r w:rsidR="00D264B2" w:rsidRPr="00084572">
              <w:rPr>
                <w:bCs/>
                <w:szCs w:val="22"/>
                <w:lang w:val="es-ES"/>
              </w:rPr>
              <w:t xml:space="preserve"> </w:t>
            </w:r>
            <w:r w:rsidR="00877481" w:rsidRPr="00084572">
              <w:rPr>
                <w:bCs/>
                <w:i/>
                <w:szCs w:val="22"/>
                <w:lang w:val="es-ES"/>
              </w:rPr>
              <w:t>n</w:t>
            </w:r>
            <w:r w:rsidR="00D264B2" w:rsidRPr="00084572">
              <w:rPr>
                <w:bCs/>
                <w:i/>
                <w:szCs w:val="22"/>
                <w:lang w:val="es-ES"/>
              </w:rPr>
              <w:t xml:space="preserve">gapuhi </w:t>
            </w:r>
            <w:r w:rsidR="00877481" w:rsidRPr="00084572">
              <w:rPr>
                <w:bCs/>
                <w:i/>
                <w:szCs w:val="22"/>
                <w:lang w:val="es-ES"/>
              </w:rPr>
              <w:t>n</w:t>
            </w:r>
            <w:r w:rsidR="00D264B2" w:rsidRPr="00084572">
              <w:rPr>
                <w:bCs/>
                <w:i/>
                <w:szCs w:val="22"/>
                <w:lang w:val="es-ES"/>
              </w:rPr>
              <w:t xml:space="preserve">gati </w:t>
            </w:r>
            <w:r w:rsidR="00877481" w:rsidRPr="00084572">
              <w:rPr>
                <w:bCs/>
                <w:i/>
                <w:szCs w:val="22"/>
                <w:lang w:val="es-ES"/>
              </w:rPr>
              <w:t>w</w:t>
            </w:r>
            <w:r w:rsidR="00D264B2" w:rsidRPr="00084572">
              <w:rPr>
                <w:bCs/>
                <w:i/>
                <w:szCs w:val="22"/>
                <w:lang w:val="es-ES"/>
              </w:rPr>
              <w:t xml:space="preserve">ai </w:t>
            </w:r>
            <w:r w:rsidR="00877481" w:rsidRPr="00084572">
              <w:rPr>
                <w:bCs/>
                <w:i/>
                <w:szCs w:val="22"/>
                <w:lang w:val="es-ES"/>
              </w:rPr>
              <w:t>n</w:t>
            </w:r>
            <w:r w:rsidR="00D264B2" w:rsidRPr="00084572">
              <w:rPr>
                <w:bCs/>
                <w:i/>
                <w:szCs w:val="22"/>
                <w:lang w:val="es-ES"/>
              </w:rPr>
              <w:t xml:space="preserve">gat </w:t>
            </w:r>
            <w:r w:rsidR="00877481" w:rsidRPr="00084572">
              <w:rPr>
                <w:bCs/>
                <w:i/>
                <w:szCs w:val="22"/>
                <w:lang w:val="es-ES"/>
              </w:rPr>
              <w:t>w</w:t>
            </w:r>
            <w:r w:rsidR="00D264B2" w:rsidRPr="00084572">
              <w:rPr>
                <w:bCs/>
                <w:i/>
                <w:szCs w:val="22"/>
                <w:lang w:val="es-ES"/>
              </w:rPr>
              <w:t>hatua</w:t>
            </w:r>
            <w:r w:rsidR="00D264B2" w:rsidRPr="00084572">
              <w:rPr>
                <w:bCs/>
                <w:szCs w:val="22"/>
                <w:lang w:val="es-ES"/>
              </w:rPr>
              <w:t xml:space="preserve">, </w:t>
            </w:r>
            <w:r w:rsidR="00877481" w:rsidRPr="00084572">
              <w:rPr>
                <w:bCs/>
                <w:szCs w:val="22"/>
                <w:lang w:val="es-ES"/>
              </w:rPr>
              <w:t>y primera persona maorí</w:t>
            </w:r>
            <w:r w:rsidR="00D264B2" w:rsidRPr="00084572">
              <w:rPr>
                <w:bCs/>
                <w:szCs w:val="22"/>
                <w:lang w:val="es-ES"/>
              </w:rPr>
              <w:t xml:space="preserve"> </w:t>
            </w:r>
            <w:r w:rsidR="00877481" w:rsidRPr="00084572">
              <w:rPr>
                <w:bCs/>
                <w:szCs w:val="22"/>
                <w:lang w:val="es-ES"/>
              </w:rPr>
              <w:t>y neozelandesa en ser designada miembro experto del</w:t>
            </w:r>
            <w:r w:rsidR="00D264B2" w:rsidRPr="00084572">
              <w:rPr>
                <w:bCs/>
                <w:szCs w:val="22"/>
                <w:lang w:val="es-ES"/>
              </w:rPr>
              <w:t xml:space="preserve"> </w:t>
            </w:r>
            <w:r w:rsidRPr="00084572">
              <w:rPr>
                <w:bCs/>
                <w:szCs w:val="22"/>
                <w:lang w:val="es-ES"/>
              </w:rPr>
              <w:t>Foro Permanente de las Naciones Unidas para las Cuestiones Indígenas</w:t>
            </w:r>
            <w:r w:rsidR="00EF5C75" w:rsidRPr="00084572">
              <w:rPr>
                <w:bCs/>
                <w:szCs w:val="22"/>
                <w:lang w:val="es-ES"/>
              </w:rPr>
              <w:t xml:space="preserve">. Es profesora </w:t>
            </w:r>
            <w:r w:rsidR="00AE1D94" w:rsidRPr="00084572">
              <w:rPr>
                <w:bCs/>
                <w:szCs w:val="22"/>
                <w:lang w:val="es-ES"/>
              </w:rPr>
              <w:t>y</w:t>
            </w:r>
            <w:r w:rsidR="00D264B2" w:rsidRPr="00084572">
              <w:rPr>
                <w:bCs/>
                <w:szCs w:val="22"/>
                <w:lang w:val="es-ES"/>
              </w:rPr>
              <w:t xml:space="preserve"> </w:t>
            </w:r>
            <w:r w:rsidR="00AE1D94" w:rsidRPr="00084572">
              <w:rPr>
                <w:bCs/>
                <w:szCs w:val="22"/>
                <w:lang w:val="es-ES"/>
              </w:rPr>
              <w:t>directora de la facultad</w:t>
            </w:r>
            <w:r w:rsidR="00D264B2" w:rsidRPr="00084572">
              <w:rPr>
                <w:bCs/>
                <w:szCs w:val="22"/>
                <w:lang w:val="es-ES"/>
              </w:rPr>
              <w:t xml:space="preserve"> </w:t>
            </w:r>
            <w:r w:rsidR="00AE1D94" w:rsidRPr="00084572">
              <w:rPr>
                <w:bCs/>
                <w:szCs w:val="22"/>
                <w:lang w:val="es-ES"/>
              </w:rPr>
              <w:t xml:space="preserve">de derecho </w:t>
            </w:r>
            <w:r w:rsidR="00EF5C75" w:rsidRPr="00084572">
              <w:rPr>
                <w:bCs/>
                <w:szCs w:val="22"/>
                <w:lang w:val="es-ES"/>
              </w:rPr>
              <w:t>de la</w:t>
            </w:r>
            <w:r w:rsidR="00D264B2" w:rsidRPr="00084572">
              <w:rPr>
                <w:bCs/>
                <w:szCs w:val="22"/>
                <w:lang w:val="es-ES"/>
              </w:rPr>
              <w:t xml:space="preserve"> Universi</w:t>
            </w:r>
            <w:r w:rsidR="00EF5C75" w:rsidRPr="00084572">
              <w:rPr>
                <w:bCs/>
                <w:szCs w:val="22"/>
                <w:lang w:val="es-ES"/>
              </w:rPr>
              <w:t>dad de</w:t>
            </w:r>
            <w:r w:rsidR="00D264B2" w:rsidRPr="00084572">
              <w:rPr>
                <w:bCs/>
                <w:szCs w:val="22"/>
                <w:lang w:val="es-ES"/>
              </w:rPr>
              <w:t xml:space="preserve"> Waikato.</w:t>
            </w:r>
          </w:p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 xml:space="preserve">11.45 – 12.00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9C25D0" w:rsidP="002A65D0">
            <w:pPr>
              <w:rPr>
                <w:lang w:val="es-ES"/>
              </w:rPr>
            </w:pPr>
            <w:r w:rsidRPr="00084572">
              <w:rPr>
                <w:lang w:val="es-ES"/>
              </w:rPr>
              <w:t>Debate y clausura de la mesa redonda</w:t>
            </w: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  <w:tr w:rsidR="00D264B2" w:rsidRPr="00DE5F47" w:rsidTr="00D264B2">
        <w:tc>
          <w:tcPr>
            <w:tcW w:w="2898" w:type="dxa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D264B2" w:rsidRPr="00084572" w:rsidRDefault="00D264B2" w:rsidP="002A65D0">
            <w:pPr>
              <w:rPr>
                <w:lang w:val="es-ES"/>
              </w:rPr>
            </w:pPr>
          </w:p>
        </w:tc>
      </w:tr>
    </w:tbl>
    <w:p w:rsidR="00382134" w:rsidRPr="00084572" w:rsidRDefault="00D264B2" w:rsidP="00FE4B13">
      <w:pPr>
        <w:ind w:left="5670"/>
        <w:rPr>
          <w:lang w:val="es-ES"/>
        </w:rPr>
      </w:pPr>
      <w:r w:rsidRPr="00084572">
        <w:rPr>
          <w:lang w:val="es-ES"/>
        </w:rPr>
        <w:t>[</w:t>
      </w:r>
      <w:r w:rsidR="009C25D0" w:rsidRPr="00084572">
        <w:rPr>
          <w:lang w:val="es-ES"/>
        </w:rPr>
        <w:t>Fin del Anexo y del</w:t>
      </w:r>
      <w:r w:rsidRPr="00084572">
        <w:rPr>
          <w:lang w:val="es-ES"/>
        </w:rPr>
        <w:t xml:space="preserve"> document</w:t>
      </w:r>
      <w:r w:rsidR="009C25D0" w:rsidRPr="00084572">
        <w:rPr>
          <w:lang w:val="es-ES"/>
        </w:rPr>
        <w:t>o</w:t>
      </w:r>
      <w:r w:rsidRPr="00084572">
        <w:rPr>
          <w:lang w:val="es-ES"/>
        </w:rPr>
        <w:t>]</w:t>
      </w:r>
      <w:bookmarkStart w:id="3" w:name="Prepared"/>
      <w:bookmarkEnd w:id="3"/>
    </w:p>
    <w:p w:rsidR="00382134" w:rsidRPr="00084572" w:rsidRDefault="00382134">
      <w:pPr>
        <w:rPr>
          <w:lang w:val="es-ES"/>
        </w:rPr>
      </w:pPr>
    </w:p>
    <w:p w:rsidR="002928D3" w:rsidRPr="00084572" w:rsidRDefault="002928D3">
      <w:pPr>
        <w:rPr>
          <w:lang w:val="es-ES"/>
        </w:rPr>
      </w:pPr>
    </w:p>
    <w:sectPr w:rsidR="002928D3" w:rsidRPr="00084572" w:rsidSect="00D264B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B2" w:rsidRDefault="00D264B2">
      <w:r>
        <w:separator/>
      </w:r>
    </w:p>
  </w:endnote>
  <w:endnote w:type="continuationSeparator" w:id="0">
    <w:p w:rsidR="00D264B2" w:rsidRDefault="00D264B2" w:rsidP="003B38C1">
      <w:r>
        <w:separator/>
      </w:r>
    </w:p>
    <w:p w:rsidR="00D264B2" w:rsidRPr="003B38C1" w:rsidRDefault="00D264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64B2" w:rsidRPr="003B38C1" w:rsidRDefault="00D264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B2" w:rsidRDefault="00D264B2">
      <w:r>
        <w:separator/>
      </w:r>
    </w:p>
  </w:footnote>
  <w:footnote w:type="continuationSeparator" w:id="0">
    <w:p w:rsidR="00D264B2" w:rsidRDefault="00D264B2" w:rsidP="008B60B2">
      <w:r>
        <w:separator/>
      </w:r>
    </w:p>
    <w:p w:rsidR="00D264B2" w:rsidRPr="00ED77FB" w:rsidRDefault="00D264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64B2" w:rsidRPr="00ED77FB" w:rsidRDefault="00D264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84572" w:rsidRDefault="00D264B2" w:rsidP="00477D6B">
    <w:pPr>
      <w:jc w:val="right"/>
      <w:rPr>
        <w:lang w:val="es-ES"/>
      </w:rPr>
    </w:pPr>
    <w:bookmarkStart w:id="4" w:name="Code2"/>
    <w:bookmarkEnd w:id="4"/>
    <w:r w:rsidRPr="00084572">
      <w:rPr>
        <w:lang w:val="es-ES"/>
      </w:rPr>
      <w:t>WIPO/GRTKF/IC/40/INF/5</w:t>
    </w:r>
  </w:p>
  <w:p w:rsidR="00EC4E49" w:rsidRPr="00084572" w:rsidRDefault="009C25D0" w:rsidP="00477D6B">
    <w:pPr>
      <w:jc w:val="right"/>
      <w:rPr>
        <w:lang w:val="es-ES"/>
      </w:rPr>
    </w:pPr>
    <w:r w:rsidRPr="00084572">
      <w:rPr>
        <w:lang w:val="es-ES"/>
      </w:rPr>
      <w:t>A</w:t>
    </w:r>
    <w:r w:rsidR="00D264B2" w:rsidRPr="00084572">
      <w:rPr>
        <w:lang w:val="es-ES"/>
      </w:rPr>
      <w:t>NEX</w:t>
    </w:r>
    <w:r w:rsidRPr="00084572">
      <w:rPr>
        <w:lang w:val="es-ES"/>
      </w:rPr>
      <w:t>O</w:t>
    </w:r>
  </w:p>
  <w:p w:rsidR="00EC4E49" w:rsidRPr="00084572" w:rsidRDefault="00EC4E49" w:rsidP="00477D6B">
    <w:pPr>
      <w:jc w:val="right"/>
      <w:rPr>
        <w:lang w:val="es-ES"/>
      </w:rPr>
    </w:pPr>
  </w:p>
  <w:p w:rsidR="008A134B" w:rsidRPr="00084572" w:rsidRDefault="008A134B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xtBase TMs\WorkspaceSTS\Patents &amp; Innovation\P Instruments|TextBase TMs\WorkspaceSTS\Patents &amp; Innovation\Patents Main"/>
    <w:docVar w:name="TextBaseURL" w:val="empty"/>
    <w:docVar w:name="UILng" w:val="en"/>
  </w:docVars>
  <w:rsids>
    <w:rsidRoot w:val="00D264B2"/>
    <w:rsid w:val="00043CAA"/>
    <w:rsid w:val="00075432"/>
    <w:rsid w:val="00084572"/>
    <w:rsid w:val="000968ED"/>
    <w:rsid w:val="000F5E56"/>
    <w:rsid w:val="001362EE"/>
    <w:rsid w:val="001647D5"/>
    <w:rsid w:val="001832A6"/>
    <w:rsid w:val="001902D9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2134"/>
    <w:rsid w:val="003845C1"/>
    <w:rsid w:val="003A6F89"/>
    <w:rsid w:val="003B38C1"/>
    <w:rsid w:val="00421A8D"/>
    <w:rsid w:val="00423E3E"/>
    <w:rsid w:val="00427AF4"/>
    <w:rsid w:val="004647DA"/>
    <w:rsid w:val="00474062"/>
    <w:rsid w:val="00477D6B"/>
    <w:rsid w:val="005019FF"/>
    <w:rsid w:val="0053057A"/>
    <w:rsid w:val="00551932"/>
    <w:rsid w:val="00560A29"/>
    <w:rsid w:val="005C6649"/>
    <w:rsid w:val="00605827"/>
    <w:rsid w:val="00633C16"/>
    <w:rsid w:val="00646050"/>
    <w:rsid w:val="006713CA"/>
    <w:rsid w:val="00676C5C"/>
    <w:rsid w:val="006967DF"/>
    <w:rsid w:val="007D1613"/>
    <w:rsid w:val="007E4C0E"/>
    <w:rsid w:val="00877481"/>
    <w:rsid w:val="008A134B"/>
    <w:rsid w:val="008B2CC1"/>
    <w:rsid w:val="008B60B2"/>
    <w:rsid w:val="0090731E"/>
    <w:rsid w:val="00916EE2"/>
    <w:rsid w:val="00966A22"/>
    <w:rsid w:val="0096722F"/>
    <w:rsid w:val="00980843"/>
    <w:rsid w:val="009C25D0"/>
    <w:rsid w:val="009E2791"/>
    <w:rsid w:val="009E3F6F"/>
    <w:rsid w:val="009F499F"/>
    <w:rsid w:val="00A1389A"/>
    <w:rsid w:val="00A32E97"/>
    <w:rsid w:val="00A37342"/>
    <w:rsid w:val="00A42DAF"/>
    <w:rsid w:val="00A45BD8"/>
    <w:rsid w:val="00A869B7"/>
    <w:rsid w:val="00A87BA3"/>
    <w:rsid w:val="00AC205C"/>
    <w:rsid w:val="00AC7148"/>
    <w:rsid w:val="00AE1D94"/>
    <w:rsid w:val="00AF0A6B"/>
    <w:rsid w:val="00B05A69"/>
    <w:rsid w:val="00B9734B"/>
    <w:rsid w:val="00BA30E2"/>
    <w:rsid w:val="00BE29C4"/>
    <w:rsid w:val="00C11BFE"/>
    <w:rsid w:val="00C5068F"/>
    <w:rsid w:val="00C86D74"/>
    <w:rsid w:val="00CD04F1"/>
    <w:rsid w:val="00D10DAE"/>
    <w:rsid w:val="00D264B2"/>
    <w:rsid w:val="00D45252"/>
    <w:rsid w:val="00D71B4D"/>
    <w:rsid w:val="00D93D55"/>
    <w:rsid w:val="00DE5F47"/>
    <w:rsid w:val="00E15015"/>
    <w:rsid w:val="00E17E6D"/>
    <w:rsid w:val="00E335FE"/>
    <w:rsid w:val="00EA6B4D"/>
    <w:rsid w:val="00EA7D6E"/>
    <w:rsid w:val="00EB0C6C"/>
    <w:rsid w:val="00EC4E49"/>
    <w:rsid w:val="00ED65B6"/>
    <w:rsid w:val="00ED77FB"/>
    <w:rsid w:val="00EE45FA"/>
    <w:rsid w:val="00EF5C75"/>
    <w:rsid w:val="00F66152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083AB9E4"/>
  <w15:docId w15:val="{2874794E-0384-4463-A71E-41B97E4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preferred">
    <w:name w:val="preferred"/>
    <w:basedOn w:val="DefaultParagraphFont"/>
    <w:rsid w:val="00EF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40 (E).dotm</Template>
  <TotalTime>122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WIPO/GRTKF/IC/40/INF/5</vt:lpstr>
    </vt:vector>
  </TitlesOfParts>
  <Company>WIPO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WIPO/GRTKF/IC/40/INF/5</dc:title>
  <dc:creator>JIAO Fei</dc:creator>
  <cp:keywords>FOR OFFICIAL USE ONLY</cp:keywords>
  <cp:lastModifiedBy>SANDOVAL Barbara</cp:lastModifiedBy>
  <cp:revision>9</cp:revision>
  <cp:lastPrinted>2011-02-15T11:56:00Z</cp:lastPrinted>
  <dcterms:created xsi:type="dcterms:W3CDTF">2019-05-23T14:55:00Z</dcterms:created>
  <dcterms:modified xsi:type="dcterms:W3CDTF">2019-05-24T09:25:00Z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