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D48DF" w:rsidRPr="00BE7F8A" w:rsidTr="0088395E">
        <w:tc>
          <w:tcPr>
            <w:tcW w:w="4513" w:type="dxa"/>
            <w:tcBorders>
              <w:bottom w:val="single" w:sz="4" w:space="0" w:color="auto"/>
            </w:tcBorders>
            <w:tcMar>
              <w:bottom w:w="170" w:type="dxa"/>
            </w:tcMar>
          </w:tcPr>
          <w:p w:rsidR="00E504E5" w:rsidRPr="00BE7F8A" w:rsidRDefault="00E504E5" w:rsidP="00AB613D"/>
        </w:tc>
        <w:tc>
          <w:tcPr>
            <w:tcW w:w="4337" w:type="dxa"/>
            <w:tcBorders>
              <w:bottom w:val="single" w:sz="4" w:space="0" w:color="auto"/>
            </w:tcBorders>
            <w:tcMar>
              <w:left w:w="0" w:type="dxa"/>
              <w:right w:w="0" w:type="dxa"/>
            </w:tcMar>
          </w:tcPr>
          <w:p w:rsidR="00E504E5" w:rsidRPr="00BE7F8A" w:rsidRDefault="002C2E2F" w:rsidP="00AB613D">
            <w:r w:rsidRPr="00BE7F8A">
              <w:rPr>
                <w:noProof/>
                <w:lang w:eastAsia="es-E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E7F8A" w:rsidRDefault="00E504E5" w:rsidP="00AB613D">
            <w:pPr>
              <w:jc w:val="right"/>
            </w:pPr>
            <w:r w:rsidRPr="00BE7F8A">
              <w:rPr>
                <w:b/>
                <w:sz w:val="40"/>
                <w:szCs w:val="40"/>
              </w:rPr>
              <w:t>S</w:t>
            </w:r>
          </w:p>
        </w:tc>
      </w:tr>
      <w:tr w:rsidR="005D48DF" w:rsidRPr="00BE7F8A"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BE7F8A" w:rsidRDefault="008B2CC1" w:rsidP="00AB613D">
            <w:pPr>
              <w:jc w:val="right"/>
              <w:rPr>
                <w:rFonts w:ascii="Arial Black" w:hAnsi="Arial Black"/>
                <w:caps/>
                <w:sz w:val="15"/>
              </w:rPr>
            </w:pPr>
            <w:bookmarkStart w:id="0" w:name="Code"/>
            <w:bookmarkEnd w:id="0"/>
          </w:p>
        </w:tc>
      </w:tr>
      <w:tr w:rsidR="005D48DF" w:rsidRPr="00BE7F8A" w:rsidTr="00AB613D">
        <w:trPr>
          <w:trHeight w:hRule="exact" w:val="170"/>
        </w:trPr>
        <w:tc>
          <w:tcPr>
            <w:tcW w:w="9356" w:type="dxa"/>
            <w:gridSpan w:val="3"/>
            <w:noWrap/>
            <w:tcMar>
              <w:left w:w="0" w:type="dxa"/>
              <w:right w:w="0" w:type="dxa"/>
            </w:tcMar>
            <w:vAlign w:val="bottom"/>
          </w:tcPr>
          <w:p w:rsidR="008B2CC1" w:rsidRPr="00BE7F8A" w:rsidRDefault="00C64C77" w:rsidP="004C498D">
            <w:pPr>
              <w:jc w:val="right"/>
              <w:rPr>
                <w:rFonts w:ascii="Arial Black" w:hAnsi="Arial Black"/>
                <w:caps/>
                <w:sz w:val="15"/>
              </w:rPr>
            </w:pPr>
            <w:r w:rsidRPr="00BE7F8A">
              <w:rPr>
                <w:rFonts w:ascii="Arial Black" w:hAnsi="Arial Black"/>
                <w:caps/>
                <w:sz w:val="15"/>
              </w:rPr>
              <w:t>ORIGINAL:</w:t>
            </w:r>
            <w:r w:rsidR="009A20CD" w:rsidRPr="00BE7F8A">
              <w:rPr>
                <w:rFonts w:ascii="Arial Black" w:hAnsi="Arial Black"/>
                <w:caps/>
                <w:sz w:val="15"/>
              </w:rPr>
              <w:t xml:space="preserve"> </w:t>
            </w:r>
            <w:bookmarkStart w:id="1" w:name="Original"/>
            <w:bookmarkEnd w:id="1"/>
            <w:r w:rsidR="004C498D" w:rsidRPr="00BE7F8A">
              <w:rPr>
                <w:rFonts w:ascii="Arial Black" w:hAnsi="Arial Black"/>
                <w:caps/>
                <w:sz w:val="15"/>
              </w:rPr>
              <w:t>Inglés</w:t>
            </w:r>
            <w:r w:rsidR="008B2CC1" w:rsidRPr="00BE7F8A">
              <w:rPr>
                <w:rFonts w:ascii="Arial Black" w:hAnsi="Arial Black"/>
                <w:caps/>
                <w:sz w:val="15"/>
              </w:rPr>
              <w:t xml:space="preserve"> </w:t>
            </w:r>
          </w:p>
        </w:tc>
      </w:tr>
      <w:tr w:rsidR="005D48DF" w:rsidRPr="00BE7F8A" w:rsidTr="00AB613D">
        <w:trPr>
          <w:trHeight w:hRule="exact" w:val="198"/>
        </w:trPr>
        <w:tc>
          <w:tcPr>
            <w:tcW w:w="9356" w:type="dxa"/>
            <w:gridSpan w:val="3"/>
            <w:tcMar>
              <w:left w:w="0" w:type="dxa"/>
              <w:right w:w="0" w:type="dxa"/>
            </w:tcMar>
            <w:vAlign w:val="bottom"/>
          </w:tcPr>
          <w:p w:rsidR="008B2CC1" w:rsidRPr="00BE7F8A" w:rsidRDefault="00D24F5B" w:rsidP="00C64C77">
            <w:pPr>
              <w:jc w:val="right"/>
              <w:rPr>
                <w:rFonts w:ascii="Arial Black" w:hAnsi="Arial Black"/>
                <w:caps/>
                <w:sz w:val="15"/>
              </w:rPr>
            </w:pPr>
            <w:r w:rsidRPr="00BE7F8A">
              <w:rPr>
                <w:rFonts w:ascii="Arial Black" w:hAnsi="Arial Black"/>
                <w:caps/>
                <w:sz w:val="15"/>
              </w:rPr>
              <w:t>FECHA:</w:t>
            </w:r>
            <w:r w:rsidR="009A20CD" w:rsidRPr="00BE7F8A">
              <w:rPr>
                <w:rFonts w:ascii="Arial Black" w:hAnsi="Arial Black"/>
                <w:caps/>
                <w:sz w:val="15"/>
              </w:rPr>
              <w:t xml:space="preserve"> </w:t>
            </w:r>
            <w:bookmarkStart w:id="2" w:name="Date"/>
            <w:bookmarkEnd w:id="2"/>
            <w:r w:rsidR="004C498D" w:rsidRPr="00BE7F8A">
              <w:rPr>
                <w:rFonts w:ascii="Arial Black" w:hAnsi="Arial Black"/>
                <w:caps/>
                <w:sz w:val="15"/>
              </w:rPr>
              <w:t>21 de junio de 2019</w:t>
            </w:r>
            <w:r w:rsidR="008B2CC1" w:rsidRPr="00BE7F8A">
              <w:rPr>
                <w:rFonts w:ascii="Arial Black" w:hAnsi="Arial Black"/>
                <w:caps/>
                <w:sz w:val="15"/>
              </w:rPr>
              <w:t xml:space="preserve"> </w:t>
            </w:r>
          </w:p>
        </w:tc>
      </w:tr>
    </w:tbl>
    <w:p w:rsidR="00C97FC3" w:rsidRPr="00BE7F8A" w:rsidRDefault="00C97FC3" w:rsidP="008B2CC1"/>
    <w:p w:rsidR="00C97FC3" w:rsidRPr="00BE7F8A" w:rsidRDefault="00C97FC3" w:rsidP="008B2CC1"/>
    <w:p w:rsidR="00C97FC3" w:rsidRPr="00BE7F8A" w:rsidRDefault="00C97FC3" w:rsidP="008B2CC1"/>
    <w:p w:rsidR="00C97FC3" w:rsidRPr="00BE7F8A" w:rsidRDefault="00C97FC3" w:rsidP="008B2CC1"/>
    <w:p w:rsidR="00C97FC3" w:rsidRPr="00BE7F8A" w:rsidRDefault="00C97FC3" w:rsidP="008B2CC1"/>
    <w:p w:rsidR="00C97FC3" w:rsidRPr="00BE7F8A" w:rsidRDefault="00D24F5B" w:rsidP="00B67CDC">
      <w:pPr>
        <w:rPr>
          <w:b/>
          <w:sz w:val="28"/>
          <w:szCs w:val="28"/>
        </w:rPr>
      </w:pPr>
      <w:r w:rsidRPr="00BE7F8A">
        <w:rPr>
          <w:b/>
          <w:sz w:val="28"/>
          <w:szCs w:val="28"/>
        </w:rPr>
        <w:t>Comité Intergubernamental sobre Propiedad Intelectual y Recursos Genéticos, Conocimientos Tradicionales y Folclore</w:t>
      </w:r>
    </w:p>
    <w:p w:rsidR="00C97FC3" w:rsidRPr="00BE7F8A" w:rsidRDefault="00C97FC3" w:rsidP="003845C1"/>
    <w:p w:rsidR="00C97FC3" w:rsidRPr="00BE7F8A" w:rsidRDefault="00C97FC3" w:rsidP="003845C1"/>
    <w:p w:rsidR="00C97FC3" w:rsidRPr="00BE7F8A" w:rsidRDefault="00640B48" w:rsidP="00D24F5B">
      <w:pPr>
        <w:rPr>
          <w:b/>
          <w:sz w:val="24"/>
          <w:szCs w:val="24"/>
        </w:rPr>
      </w:pPr>
      <w:r w:rsidRPr="00BE7F8A">
        <w:rPr>
          <w:b/>
          <w:sz w:val="24"/>
          <w:szCs w:val="24"/>
        </w:rPr>
        <w:t xml:space="preserve">Cuadragésima </w:t>
      </w:r>
      <w:r w:rsidR="00D24F5B" w:rsidRPr="00BE7F8A">
        <w:rPr>
          <w:b/>
          <w:sz w:val="24"/>
          <w:szCs w:val="24"/>
        </w:rPr>
        <w:t>sesión</w:t>
      </w:r>
    </w:p>
    <w:p w:rsidR="00C97FC3" w:rsidRPr="00BE7F8A" w:rsidRDefault="00D24F5B" w:rsidP="00D24F5B">
      <w:pPr>
        <w:rPr>
          <w:b/>
          <w:sz w:val="24"/>
          <w:szCs w:val="24"/>
        </w:rPr>
      </w:pPr>
      <w:r w:rsidRPr="00BE7F8A">
        <w:rPr>
          <w:b/>
          <w:sz w:val="24"/>
          <w:szCs w:val="24"/>
        </w:rPr>
        <w:t>Ginebra, 1</w:t>
      </w:r>
      <w:r w:rsidR="00495CBB" w:rsidRPr="00BE7F8A">
        <w:rPr>
          <w:b/>
          <w:sz w:val="24"/>
          <w:szCs w:val="24"/>
        </w:rPr>
        <w:t>7 a 21 de junio</w:t>
      </w:r>
      <w:r w:rsidRPr="00BE7F8A">
        <w:rPr>
          <w:b/>
          <w:sz w:val="24"/>
          <w:szCs w:val="24"/>
        </w:rPr>
        <w:t xml:space="preserve"> de 2019</w:t>
      </w:r>
    </w:p>
    <w:p w:rsidR="00C97FC3" w:rsidRPr="00BE7F8A" w:rsidRDefault="00C97FC3" w:rsidP="008B2CC1"/>
    <w:p w:rsidR="00C97FC3" w:rsidRPr="00BE7F8A" w:rsidRDefault="00C97FC3" w:rsidP="008B2CC1"/>
    <w:p w:rsidR="00C97FC3" w:rsidRPr="00BE7F8A" w:rsidRDefault="00C97FC3" w:rsidP="008B2CC1"/>
    <w:p w:rsidR="00C97FC3" w:rsidRPr="00BE7F8A" w:rsidRDefault="004C498D" w:rsidP="008B2CC1">
      <w:pPr>
        <w:rPr>
          <w:caps/>
          <w:sz w:val="24"/>
        </w:rPr>
      </w:pPr>
      <w:bookmarkStart w:id="3" w:name="TitleOfDoc"/>
      <w:bookmarkEnd w:id="3"/>
      <w:r w:rsidRPr="00BE7F8A">
        <w:rPr>
          <w:caps/>
          <w:sz w:val="24"/>
        </w:rPr>
        <w:t>decisiones de la cuadragésima sesión del Comité</w:t>
      </w:r>
    </w:p>
    <w:p w:rsidR="00C97FC3" w:rsidRPr="00BE7F8A" w:rsidRDefault="00C97FC3" w:rsidP="008B2CC1"/>
    <w:p w:rsidR="00C97FC3" w:rsidRDefault="004C498D">
      <w:pPr>
        <w:rPr>
          <w:i/>
        </w:rPr>
      </w:pPr>
      <w:bookmarkStart w:id="4" w:name="Prepared"/>
      <w:bookmarkEnd w:id="4"/>
      <w:r w:rsidRPr="00BE7F8A">
        <w:rPr>
          <w:i/>
        </w:rPr>
        <w:t xml:space="preserve">Documento </w:t>
      </w:r>
      <w:r w:rsidR="008E1B84" w:rsidRPr="00BE7F8A">
        <w:rPr>
          <w:i/>
        </w:rPr>
        <w:t>aprobado</w:t>
      </w:r>
      <w:r w:rsidRPr="00BE7F8A">
        <w:rPr>
          <w:i/>
        </w:rPr>
        <w:t xml:space="preserve"> por </w:t>
      </w:r>
      <w:r w:rsidR="008E1B84" w:rsidRPr="00BE7F8A">
        <w:rPr>
          <w:i/>
        </w:rPr>
        <w:t>el</w:t>
      </w:r>
      <w:r w:rsidRPr="00BE7F8A">
        <w:rPr>
          <w:i/>
        </w:rPr>
        <w:t xml:space="preserve"> </w:t>
      </w:r>
      <w:r w:rsidR="008E1B84" w:rsidRPr="00BE7F8A">
        <w:rPr>
          <w:i/>
        </w:rPr>
        <w:t>Comité</w:t>
      </w:r>
    </w:p>
    <w:p w:rsidR="00114F14" w:rsidRDefault="00114F14">
      <w:pPr>
        <w:rPr>
          <w:i/>
        </w:rPr>
      </w:pPr>
    </w:p>
    <w:p w:rsidR="00114F14" w:rsidRDefault="00114F14">
      <w:pPr>
        <w:rPr>
          <w:i/>
        </w:rPr>
      </w:pPr>
    </w:p>
    <w:p w:rsidR="00114F14" w:rsidRPr="00114F14" w:rsidRDefault="00114F14">
      <w:bookmarkStart w:id="5" w:name="_GoBack"/>
      <w:bookmarkEnd w:id="5"/>
    </w:p>
    <w:p w:rsidR="00C97FC3" w:rsidRPr="00BE7F8A" w:rsidRDefault="004C498D">
      <w:r w:rsidRPr="00BE7F8A">
        <w:br w:type="page"/>
      </w:r>
    </w:p>
    <w:p w:rsidR="00C97FC3" w:rsidRPr="00BE7F8A" w:rsidRDefault="007D651D" w:rsidP="007D651D">
      <w:pPr>
        <w:spacing w:after="120" w:line="260" w:lineRule="atLeast"/>
        <w:rPr>
          <w:szCs w:val="22"/>
        </w:rPr>
      </w:pPr>
      <w:r w:rsidRPr="00BE7F8A">
        <w:rPr>
          <w:szCs w:val="22"/>
        </w:rPr>
        <w:lastRenderedPageBreak/>
        <w:t>DECISIÓN SOBRE EL PUNTO 2 DEL ORDEN DEL DÍA:</w:t>
      </w:r>
    </w:p>
    <w:p w:rsidR="00C97FC3" w:rsidRPr="00BE7F8A" w:rsidRDefault="00961DAA" w:rsidP="007D651D">
      <w:pPr>
        <w:spacing w:after="120" w:line="260" w:lineRule="atLeast"/>
        <w:rPr>
          <w:szCs w:val="22"/>
        </w:rPr>
      </w:pPr>
      <w:r w:rsidRPr="00BE7F8A">
        <w:rPr>
          <w:szCs w:val="22"/>
        </w:rPr>
        <w:t>APROBACIÓN DEL ORDEN DEL DÍA</w:t>
      </w:r>
    </w:p>
    <w:p w:rsidR="00C97FC3" w:rsidRPr="00BE7F8A" w:rsidRDefault="007D651D" w:rsidP="007D651D">
      <w:pPr>
        <w:spacing w:after="120" w:line="260" w:lineRule="atLeast"/>
        <w:rPr>
          <w:szCs w:val="22"/>
        </w:rPr>
      </w:pPr>
      <w:r w:rsidRPr="00BE7F8A">
        <w:rPr>
          <w:szCs w:val="22"/>
        </w:rPr>
        <w:t>El presidente sometió a aprobación el proyecto de orden del día, distribuido con la signatura WIPO/GRTKF/IC/40/1 Prov. 2, que fue aprobado.</w:t>
      </w:r>
    </w:p>
    <w:p w:rsidR="00C97FC3" w:rsidRPr="00BE7F8A" w:rsidRDefault="00C97FC3" w:rsidP="004C498D">
      <w:pPr>
        <w:spacing w:after="120" w:line="260" w:lineRule="atLeast"/>
        <w:rPr>
          <w:szCs w:val="22"/>
        </w:rPr>
      </w:pPr>
    </w:p>
    <w:p w:rsidR="00C97FC3" w:rsidRPr="00BE7F8A" w:rsidRDefault="007D651D" w:rsidP="007D651D">
      <w:pPr>
        <w:spacing w:after="120" w:line="260" w:lineRule="atLeast"/>
        <w:rPr>
          <w:szCs w:val="22"/>
        </w:rPr>
      </w:pPr>
      <w:r w:rsidRPr="00BE7F8A">
        <w:rPr>
          <w:szCs w:val="22"/>
        </w:rPr>
        <w:t>DECISIÓN SOBRE EL PUNTO 3 DEL ORDEN DEL DÍA:</w:t>
      </w:r>
    </w:p>
    <w:p w:rsidR="00C97FC3" w:rsidRPr="00BE7F8A" w:rsidRDefault="00961DAA" w:rsidP="007D651D">
      <w:pPr>
        <w:spacing w:after="120" w:line="260" w:lineRule="atLeast"/>
        <w:rPr>
          <w:szCs w:val="22"/>
        </w:rPr>
      </w:pPr>
      <w:r w:rsidRPr="00BE7F8A">
        <w:rPr>
          <w:szCs w:val="22"/>
        </w:rPr>
        <w:t>APROBACIÓN DEL INFORME DE LA TRIGÉSIMA NOVENA SESIÓN</w:t>
      </w:r>
    </w:p>
    <w:p w:rsidR="00C97FC3" w:rsidRPr="00BE7F8A" w:rsidRDefault="007D651D" w:rsidP="007D651D">
      <w:pPr>
        <w:spacing w:after="120" w:line="260" w:lineRule="atLeast"/>
        <w:rPr>
          <w:szCs w:val="22"/>
        </w:rPr>
      </w:pPr>
      <w:r w:rsidRPr="00BE7F8A">
        <w:rPr>
          <w:szCs w:val="22"/>
        </w:rPr>
        <w:t xml:space="preserve">El presidente sometió a aprobación el proyecto de informe de la trigésima </w:t>
      </w:r>
      <w:r w:rsidR="00961DAA" w:rsidRPr="00BE7F8A">
        <w:rPr>
          <w:szCs w:val="22"/>
        </w:rPr>
        <w:t>novena</w:t>
      </w:r>
      <w:r w:rsidRPr="00BE7F8A">
        <w:rPr>
          <w:szCs w:val="22"/>
        </w:rPr>
        <w:t xml:space="preserve"> sesión del Comité (WIPO/GRTKF/IC/39/18 Prov. 2), que fue aprobado.</w:t>
      </w:r>
    </w:p>
    <w:p w:rsidR="00C97FC3" w:rsidRPr="00BE7F8A" w:rsidRDefault="00C97FC3" w:rsidP="004C498D">
      <w:pPr>
        <w:spacing w:after="120" w:line="260" w:lineRule="atLeast"/>
        <w:rPr>
          <w:szCs w:val="22"/>
        </w:rPr>
      </w:pPr>
    </w:p>
    <w:p w:rsidR="00C97FC3" w:rsidRPr="00BE7F8A" w:rsidRDefault="007D651D" w:rsidP="007D651D">
      <w:pPr>
        <w:spacing w:after="120" w:line="260" w:lineRule="atLeast"/>
        <w:rPr>
          <w:szCs w:val="22"/>
        </w:rPr>
      </w:pPr>
      <w:r w:rsidRPr="00BE7F8A">
        <w:rPr>
          <w:szCs w:val="22"/>
        </w:rPr>
        <w:t>DECISIÓN SOBRE EL PUNTO 4 DEL ORDEN DEL DÍA:</w:t>
      </w:r>
    </w:p>
    <w:p w:rsidR="00C97FC3" w:rsidRPr="00BE7F8A" w:rsidRDefault="00961DAA" w:rsidP="007D651D">
      <w:pPr>
        <w:spacing w:after="120" w:line="260" w:lineRule="atLeast"/>
        <w:rPr>
          <w:szCs w:val="22"/>
        </w:rPr>
      </w:pPr>
      <w:r w:rsidRPr="00BE7F8A">
        <w:rPr>
          <w:szCs w:val="22"/>
        </w:rPr>
        <w:t>ACREDITACIÓN DE DETERMINADAS ORGANIZACIONES</w:t>
      </w:r>
    </w:p>
    <w:p w:rsidR="00C97FC3" w:rsidRPr="00BE7F8A" w:rsidRDefault="008C44C1" w:rsidP="007D651D">
      <w:pPr>
        <w:pStyle w:val="Default"/>
        <w:rPr>
          <w:color w:val="auto"/>
          <w:sz w:val="22"/>
          <w:szCs w:val="22"/>
          <w:lang w:val="es-ES"/>
        </w:rPr>
      </w:pPr>
      <w:r w:rsidRPr="00BE7F8A">
        <w:rPr>
          <w:color w:val="auto"/>
          <w:sz w:val="22"/>
          <w:szCs w:val="22"/>
          <w:lang w:val="es-ES"/>
        </w:rPr>
        <w:t>El</w:t>
      </w:r>
      <w:r w:rsidR="004C498D" w:rsidRPr="00BE7F8A">
        <w:rPr>
          <w:color w:val="auto"/>
          <w:sz w:val="22"/>
          <w:szCs w:val="22"/>
          <w:lang w:val="es-ES"/>
        </w:rPr>
        <w:t xml:space="preserve"> </w:t>
      </w:r>
      <w:r w:rsidRPr="00BE7F8A">
        <w:rPr>
          <w:color w:val="auto"/>
          <w:sz w:val="22"/>
          <w:szCs w:val="22"/>
          <w:lang w:val="es-ES"/>
        </w:rPr>
        <w:t>Comité</w:t>
      </w:r>
      <w:r w:rsidR="004C498D" w:rsidRPr="00BE7F8A">
        <w:rPr>
          <w:color w:val="auto"/>
          <w:sz w:val="22"/>
          <w:szCs w:val="22"/>
          <w:lang w:val="es-ES"/>
        </w:rPr>
        <w:t xml:space="preserve"> </w:t>
      </w:r>
      <w:r w:rsidR="00961DAA" w:rsidRPr="00BE7F8A">
        <w:rPr>
          <w:color w:val="auto"/>
          <w:sz w:val="22"/>
          <w:szCs w:val="22"/>
          <w:lang w:val="es-ES"/>
        </w:rPr>
        <w:t>aprobó por unanimidad la</w:t>
      </w:r>
      <w:r w:rsidR="004C498D" w:rsidRPr="00BE7F8A">
        <w:rPr>
          <w:color w:val="auto"/>
          <w:sz w:val="22"/>
          <w:szCs w:val="22"/>
          <w:lang w:val="es-ES"/>
        </w:rPr>
        <w:t xml:space="preserve"> </w:t>
      </w:r>
      <w:r w:rsidRPr="00BE7F8A">
        <w:rPr>
          <w:color w:val="auto"/>
          <w:sz w:val="22"/>
          <w:szCs w:val="22"/>
          <w:lang w:val="es-ES"/>
        </w:rPr>
        <w:t>acreditación</w:t>
      </w:r>
      <w:r w:rsidR="002807C7" w:rsidRPr="00BE7F8A">
        <w:rPr>
          <w:color w:val="auto"/>
          <w:sz w:val="22"/>
          <w:szCs w:val="22"/>
          <w:lang w:val="es-ES"/>
        </w:rPr>
        <w:t>,</w:t>
      </w:r>
      <w:r w:rsidR="004C498D" w:rsidRPr="00BE7F8A">
        <w:rPr>
          <w:color w:val="auto"/>
          <w:sz w:val="22"/>
          <w:szCs w:val="22"/>
          <w:lang w:val="es-ES"/>
        </w:rPr>
        <w:t xml:space="preserve"> </w:t>
      </w:r>
      <w:r w:rsidR="002807C7" w:rsidRPr="00BE7F8A">
        <w:rPr>
          <w:color w:val="auto"/>
          <w:sz w:val="22"/>
          <w:szCs w:val="22"/>
          <w:lang w:val="es-ES"/>
        </w:rPr>
        <w:t xml:space="preserve">en calidad de </w:t>
      </w:r>
      <w:r w:rsidR="00961DAA" w:rsidRPr="00BE7F8A">
        <w:rPr>
          <w:color w:val="auto"/>
          <w:sz w:val="22"/>
          <w:szCs w:val="22"/>
          <w:lang w:val="es-ES"/>
        </w:rPr>
        <w:t xml:space="preserve">observadores </w:t>
      </w:r>
      <w:r w:rsidR="00961DAA" w:rsidRPr="00BE7F8A">
        <w:rPr>
          <w:i/>
          <w:color w:val="auto"/>
          <w:sz w:val="22"/>
          <w:szCs w:val="22"/>
          <w:lang w:val="es-ES"/>
        </w:rPr>
        <w:t>ad hoc</w:t>
      </w:r>
      <w:r w:rsidR="002807C7" w:rsidRPr="00BE7F8A">
        <w:rPr>
          <w:color w:val="auto"/>
          <w:sz w:val="22"/>
          <w:szCs w:val="22"/>
          <w:lang w:val="es-ES"/>
        </w:rPr>
        <w:t>,</w:t>
      </w:r>
      <w:r w:rsidR="00961DAA" w:rsidRPr="00BE7F8A">
        <w:rPr>
          <w:color w:val="auto"/>
          <w:sz w:val="22"/>
          <w:szCs w:val="22"/>
          <w:lang w:val="es-ES"/>
        </w:rPr>
        <w:t xml:space="preserve"> del </w:t>
      </w:r>
      <w:r w:rsidR="002807C7" w:rsidRPr="00BE7F8A">
        <w:rPr>
          <w:color w:val="auto"/>
          <w:sz w:val="22"/>
          <w:szCs w:val="22"/>
          <w:lang w:val="es-ES"/>
        </w:rPr>
        <w:t xml:space="preserve">Centro de Derecho Internacional del Desarrollo Sostenible </w:t>
      </w:r>
      <w:r w:rsidR="004C498D" w:rsidRPr="00BE7F8A">
        <w:rPr>
          <w:color w:val="auto"/>
          <w:sz w:val="22"/>
          <w:szCs w:val="22"/>
          <w:lang w:val="es-ES"/>
        </w:rPr>
        <w:t xml:space="preserve">(CISDL) </w:t>
      </w:r>
      <w:r w:rsidR="00961DAA" w:rsidRPr="00BE7F8A">
        <w:rPr>
          <w:color w:val="auto"/>
          <w:sz w:val="22"/>
          <w:szCs w:val="22"/>
          <w:lang w:val="es-ES"/>
        </w:rPr>
        <w:t xml:space="preserve">y de </w:t>
      </w:r>
      <w:r w:rsidR="004C498D" w:rsidRPr="00BE7F8A">
        <w:rPr>
          <w:i/>
          <w:color w:val="auto"/>
          <w:sz w:val="22"/>
          <w:szCs w:val="22"/>
          <w:lang w:val="es-ES"/>
        </w:rPr>
        <w:t>Alternative Approaches to Addiction, Think &amp; do tank</w:t>
      </w:r>
      <w:r w:rsidR="004C498D" w:rsidRPr="00BE7F8A">
        <w:rPr>
          <w:color w:val="auto"/>
          <w:sz w:val="22"/>
          <w:szCs w:val="22"/>
          <w:lang w:val="es-ES"/>
        </w:rPr>
        <w:t xml:space="preserve"> (FAAAT).</w:t>
      </w:r>
    </w:p>
    <w:p w:rsidR="00C97FC3" w:rsidRPr="00BE7F8A" w:rsidRDefault="00C97FC3" w:rsidP="004C498D">
      <w:pPr>
        <w:spacing w:after="120" w:line="260" w:lineRule="atLeast"/>
      </w:pPr>
    </w:p>
    <w:p w:rsidR="00C97FC3" w:rsidRPr="00BE7F8A" w:rsidRDefault="007D651D" w:rsidP="007D651D">
      <w:pPr>
        <w:spacing w:after="120" w:line="260" w:lineRule="atLeast"/>
        <w:rPr>
          <w:szCs w:val="22"/>
        </w:rPr>
      </w:pPr>
      <w:r w:rsidRPr="00BE7F8A">
        <w:rPr>
          <w:szCs w:val="22"/>
        </w:rPr>
        <w:t>DECISIÓN SOBRE EL PUNTO 5 DEL ORDEN DEL DÍA:</w:t>
      </w:r>
    </w:p>
    <w:p w:rsidR="00C97FC3" w:rsidRPr="00BE7F8A" w:rsidRDefault="002807C7" w:rsidP="007D651D">
      <w:pPr>
        <w:spacing w:after="120" w:line="260" w:lineRule="atLeast"/>
        <w:rPr>
          <w:szCs w:val="22"/>
        </w:rPr>
      </w:pPr>
      <w:r w:rsidRPr="00BE7F8A">
        <w:rPr>
          <w:szCs w:val="22"/>
        </w:rPr>
        <w:t>PARTICIPACIÓN DE LAS COMUNIDADES INDÍGENAS Y LOCALES</w:t>
      </w:r>
    </w:p>
    <w:p w:rsidR="00C97FC3" w:rsidRPr="00BE7F8A" w:rsidRDefault="007D651D" w:rsidP="007D651D">
      <w:pPr>
        <w:spacing w:line="260" w:lineRule="atLeast"/>
        <w:rPr>
          <w:szCs w:val="22"/>
        </w:rPr>
      </w:pPr>
      <w:r w:rsidRPr="00BE7F8A">
        <w:rPr>
          <w:szCs w:val="22"/>
        </w:rPr>
        <w:t>El Comité tomó nota de los documentos WIPO/GRTKF/IC/40/3, WIPO/GRTKF/IC/40/INF/4 y WIPO/GRTKF/IC/40/INF/6.</w:t>
      </w:r>
    </w:p>
    <w:p w:rsidR="00C97FC3" w:rsidRPr="00BE7F8A" w:rsidRDefault="00C97FC3" w:rsidP="004C498D">
      <w:pPr>
        <w:spacing w:line="260" w:lineRule="atLeast"/>
        <w:rPr>
          <w:szCs w:val="22"/>
        </w:rPr>
      </w:pPr>
    </w:p>
    <w:p w:rsidR="005D48DF" w:rsidRPr="00BE7F8A" w:rsidRDefault="007D651D" w:rsidP="007D651D">
      <w:pPr>
        <w:spacing w:line="260" w:lineRule="atLeast"/>
      </w:pPr>
      <w:r w:rsidRPr="00BE7F8A">
        <w:t>El Comité instó encarecidamente a los miembros del Comité y a todas las entidades públicas y privadas interesadas a que contribuyan al Fondo de la OMPI de Contribuciones Voluntarias para las Comunidades Indígenas y Locales Acreditadas.</w:t>
      </w:r>
    </w:p>
    <w:p w:rsidR="00C97FC3" w:rsidRPr="00BE7F8A" w:rsidRDefault="00C97FC3" w:rsidP="004C498D">
      <w:pPr>
        <w:spacing w:line="260" w:lineRule="atLeast"/>
        <w:rPr>
          <w:szCs w:val="22"/>
        </w:rPr>
      </w:pPr>
    </w:p>
    <w:p w:rsidR="00C97FC3" w:rsidRPr="00BE7F8A" w:rsidRDefault="007D651D" w:rsidP="007D651D">
      <w:pPr>
        <w:spacing w:line="260" w:lineRule="atLeast"/>
        <w:rPr>
          <w:szCs w:val="22"/>
        </w:rPr>
      </w:pPr>
      <w:r w:rsidRPr="00BE7F8A">
        <w:rPr>
          <w:szCs w:val="22"/>
        </w:rPr>
        <w:t>Tras recordar las decisiones adoptadas en el quincuagésimo período de sesiones de la Asamblea General de la OMPI, el Comité instó asimismo a sus miembros a que consideren otras modalidades de financiación.</w:t>
      </w:r>
    </w:p>
    <w:p w:rsidR="00C97FC3" w:rsidRPr="00BE7F8A" w:rsidRDefault="00C97FC3" w:rsidP="004C498D">
      <w:pPr>
        <w:spacing w:line="260" w:lineRule="atLeast"/>
        <w:rPr>
          <w:szCs w:val="22"/>
        </w:rPr>
      </w:pPr>
    </w:p>
    <w:p w:rsidR="00C97FC3" w:rsidRPr="00BE7F8A" w:rsidRDefault="007D651D" w:rsidP="007D651D">
      <w:pPr>
        <w:rPr>
          <w:szCs w:val="22"/>
        </w:rPr>
      </w:pPr>
      <w:r w:rsidRPr="00BE7F8A">
        <w:rPr>
          <w:szCs w:val="22"/>
        </w:rPr>
        <w:t xml:space="preserve">El </w:t>
      </w:r>
      <w:r w:rsidR="002807C7" w:rsidRPr="00BE7F8A">
        <w:rPr>
          <w:szCs w:val="22"/>
        </w:rPr>
        <w:t xml:space="preserve">presidente </w:t>
      </w:r>
      <w:r w:rsidRPr="00BE7F8A">
        <w:rPr>
          <w:szCs w:val="22"/>
        </w:rPr>
        <w:t xml:space="preserve">propuso a las ocho personas siguientes para que intervengan a título personal en la Junta Asesora, y el Comité las eligió por aclamación: </w:t>
      </w:r>
      <w:r w:rsidR="004A4657" w:rsidRPr="00BE7F8A">
        <w:rPr>
          <w:szCs w:val="22"/>
        </w:rPr>
        <w:t xml:space="preserve">Sr. Reza DEHGHANI, consejero, Misión Permanente de la República </w:t>
      </w:r>
      <w:r w:rsidR="008E74C9" w:rsidRPr="00BE7F8A">
        <w:rPr>
          <w:szCs w:val="22"/>
        </w:rPr>
        <w:t>Islámica</w:t>
      </w:r>
      <w:r w:rsidR="004A4657" w:rsidRPr="00BE7F8A">
        <w:rPr>
          <w:szCs w:val="22"/>
        </w:rPr>
        <w:t xml:space="preserve"> del </w:t>
      </w:r>
      <w:r w:rsidR="008E74C9" w:rsidRPr="00BE7F8A">
        <w:rPr>
          <w:szCs w:val="22"/>
        </w:rPr>
        <w:t>Irán</w:t>
      </w:r>
      <w:r w:rsidR="004A4657" w:rsidRPr="00BE7F8A">
        <w:rPr>
          <w:szCs w:val="22"/>
        </w:rPr>
        <w:t xml:space="preserve">, </w:t>
      </w:r>
      <w:r w:rsidR="008E74C9" w:rsidRPr="00BE7F8A">
        <w:rPr>
          <w:szCs w:val="22"/>
        </w:rPr>
        <w:t>Ginebra</w:t>
      </w:r>
      <w:r w:rsidR="004A4657" w:rsidRPr="00BE7F8A">
        <w:rPr>
          <w:szCs w:val="22"/>
        </w:rPr>
        <w:t xml:space="preserve">; Sr. Nelson DE LEÓN KANTULE, representante, Asociación Kunas Unidos por Napguana (KUNA); Sr. Mahmud JUMAZODA, segundo secretario, Misión Permanente de Tayikistán, Ginebra; Sra. Subama MAPOU, representante, ADJMOR; Sra. Lucy MULENKEI, </w:t>
      </w:r>
      <w:r w:rsidR="008E74C9" w:rsidRPr="00BE7F8A">
        <w:rPr>
          <w:szCs w:val="22"/>
        </w:rPr>
        <w:t>representante</w:t>
      </w:r>
      <w:r w:rsidR="004A4657" w:rsidRPr="00BE7F8A">
        <w:rPr>
          <w:szCs w:val="22"/>
        </w:rPr>
        <w:t xml:space="preserve">, </w:t>
      </w:r>
      <w:r w:rsidR="004A4657" w:rsidRPr="00BE7F8A">
        <w:rPr>
          <w:i/>
          <w:szCs w:val="22"/>
        </w:rPr>
        <w:t>Indigenous Information Network</w:t>
      </w:r>
      <w:r w:rsidR="004A4657" w:rsidRPr="00BE7F8A">
        <w:rPr>
          <w:szCs w:val="22"/>
        </w:rPr>
        <w:t xml:space="preserve"> (IIN); Sr. Moses PHAHLANE, director adjunto, Cuestiones Comerciales Multilaterales, </w:t>
      </w:r>
      <w:r w:rsidR="008E74C9" w:rsidRPr="00BE7F8A">
        <w:rPr>
          <w:szCs w:val="22"/>
        </w:rPr>
        <w:t>Departamento</w:t>
      </w:r>
      <w:r w:rsidR="004A4657" w:rsidRPr="00BE7F8A">
        <w:rPr>
          <w:szCs w:val="22"/>
        </w:rPr>
        <w:t xml:space="preserve"> de Cooperación International, Sudáfrica; Sra. Aurelia SCHULTZ, consejera, Oficina de Políticas y Asuntos Internacionales, Oficina de Derecho de Autor, Estados Unidos de América; y Sra. Heidi VASCONES MEDINA, tercer secretario, </w:t>
      </w:r>
      <w:r w:rsidR="008E74C9" w:rsidRPr="00BE7F8A">
        <w:rPr>
          <w:szCs w:val="22"/>
        </w:rPr>
        <w:t>Misión</w:t>
      </w:r>
      <w:r w:rsidR="004A4657" w:rsidRPr="00BE7F8A">
        <w:rPr>
          <w:szCs w:val="22"/>
        </w:rPr>
        <w:t xml:space="preserve"> Permanente del Ecuador, Ginebra.</w:t>
      </w:r>
    </w:p>
    <w:p w:rsidR="00C97FC3" w:rsidRPr="00BE7F8A" w:rsidRDefault="00C97FC3" w:rsidP="004C498D">
      <w:pPr>
        <w:spacing w:line="260" w:lineRule="atLeast"/>
        <w:rPr>
          <w:szCs w:val="22"/>
        </w:rPr>
      </w:pPr>
    </w:p>
    <w:p w:rsidR="00C97FC3" w:rsidRPr="00BE7F8A" w:rsidRDefault="007D651D" w:rsidP="007D651D">
      <w:pPr>
        <w:spacing w:after="120" w:line="260" w:lineRule="atLeast"/>
        <w:rPr>
          <w:szCs w:val="22"/>
        </w:rPr>
      </w:pPr>
      <w:r w:rsidRPr="00BE7F8A">
        <w:rPr>
          <w:szCs w:val="22"/>
        </w:rPr>
        <w:t>El presidente del Comité nombró presidente de la Junta Asesora al Sr. Faizal Chery Sidharta, vicepresidente del Comité.</w:t>
      </w:r>
    </w:p>
    <w:p w:rsidR="00C97FC3" w:rsidRPr="00BE7F8A" w:rsidRDefault="00677E45" w:rsidP="00677E45">
      <w:pPr>
        <w:spacing w:after="120" w:line="260" w:lineRule="atLeast"/>
      </w:pPr>
      <w:r w:rsidRPr="00BE7F8A">
        <w:t xml:space="preserve">Reconociendo la contribución hecha a la labor del Comité por el Taller de expertos de las comunidades indígenas y locales celebrado en 2013, según </w:t>
      </w:r>
      <w:r w:rsidR="008E74C9" w:rsidRPr="00BE7F8A">
        <w:t>se refleja</w:t>
      </w:r>
      <w:r w:rsidRPr="00BE7F8A">
        <w:t xml:space="preserve"> en su informe (OMPI/GRTKF/IC/25/INF/9), y en relación con la recomendación formulada por el Foro Permanente para las Cuestiones Indígenas en su decimoctava sesión, en 2019, el Comité </w:t>
      </w:r>
      <w:r w:rsidRPr="00BE7F8A">
        <w:lastRenderedPageBreak/>
        <w:t>solicitó a la Secretaría de la OMPI que organice</w:t>
      </w:r>
      <w:r w:rsidR="00751064" w:rsidRPr="00BE7F8A">
        <w:t xml:space="preserve">, valiéndose de los recursos existentes, </w:t>
      </w:r>
      <w:r w:rsidRPr="00BE7F8A">
        <w:t>un Taller de especialistas de las comunidades indígenas y locales durante el bienio 2020/2021, que se rija por disposiciones similares</w:t>
      </w:r>
      <w:r w:rsidR="008E74C9" w:rsidRPr="00BE7F8A">
        <w:t xml:space="preserve">, </w:t>
      </w:r>
      <w:r w:rsidR="008E74C9" w:rsidRPr="00BE7F8A">
        <w:rPr>
          <w:i/>
        </w:rPr>
        <w:t>mutatis mutandis,</w:t>
      </w:r>
      <w:r w:rsidRPr="00BE7F8A">
        <w:t xml:space="preserve"> a las acordadas en la vigésima sesión del Comité en el marco del punto 8 del orden del día.</w:t>
      </w:r>
    </w:p>
    <w:p w:rsidR="00C97FC3" w:rsidRPr="00BE7F8A" w:rsidRDefault="00677E45" w:rsidP="00677E45">
      <w:pPr>
        <w:spacing w:after="120" w:line="260" w:lineRule="atLeast"/>
      </w:pPr>
      <w:r w:rsidRPr="00BE7F8A">
        <w:t xml:space="preserve">Reconociendo la contribución </w:t>
      </w:r>
      <w:r w:rsidR="00B97B84" w:rsidRPr="00BE7F8A">
        <w:t xml:space="preserve">que supuso para la labor del Comité </w:t>
      </w:r>
      <w:r w:rsidRPr="00BE7F8A">
        <w:t xml:space="preserve">el </w:t>
      </w:r>
      <w:r w:rsidRPr="00BE7F8A">
        <w:rPr>
          <w:i/>
        </w:rPr>
        <w:t>Examen técnico de algunas cuestiones esenciales de propiedad intelectual de los proyectos de instrumentos de la OMPI relativos a los recursos genéticos, los conocimientos tradicionales y las expresiones culturales tradicionales</w:t>
      </w:r>
      <w:r w:rsidRPr="00BE7F8A">
        <w:t xml:space="preserve"> (WIPO/GRTKF/IC29/INF/10) (el Examen técnico)</w:t>
      </w:r>
      <w:r w:rsidR="00B97B84" w:rsidRPr="00BE7F8A">
        <w:t>, elaborado por un especialista indígena,</w:t>
      </w:r>
      <w:r w:rsidRPr="00BE7F8A">
        <w:t xml:space="preserve"> y en relación con la recomendación formulada por el Foro Permanente para las Cuestiones Indígenas en su decimoctava sesión, en 2019, el Comité solicitó a la Secretaría que encargue</w:t>
      </w:r>
      <w:r w:rsidR="005E0765" w:rsidRPr="00BE7F8A">
        <w:t>,</w:t>
      </w:r>
      <w:r w:rsidRPr="00BE7F8A">
        <w:t xml:space="preserve"> </w:t>
      </w:r>
      <w:r w:rsidR="002071A4" w:rsidRPr="00BE7F8A">
        <w:t xml:space="preserve">valiéndose de los recursos existentes, </w:t>
      </w:r>
      <w:r w:rsidRPr="00BE7F8A">
        <w:t>la actualización del Examen técnico para someterlo al exam</w:t>
      </w:r>
      <w:r w:rsidR="008E74C9" w:rsidRPr="00BE7F8A">
        <w:t>en del Comité durante el bienio </w:t>
      </w:r>
      <w:r w:rsidRPr="00BE7F8A">
        <w:t>2020/2021.</w:t>
      </w:r>
    </w:p>
    <w:p w:rsidR="00C97FC3" w:rsidRPr="00BE7F8A" w:rsidRDefault="00C97FC3" w:rsidP="00677E45">
      <w:pPr>
        <w:spacing w:after="120" w:line="260" w:lineRule="atLeast"/>
      </w:pPr>
    </w:p>
    <w:p w:rsidR="00C97FC3" w:rsidRPr="00BE7F8A" w:rsidRDefault="007D651D" w:rsidP="007D651D">
      <w:pPr>
        <w:spacing w:after="120" w:line="260" w:lineRule="atLeast"/>
        <w:rPr>
          <w:szCs w:val="22"/>
        </w:rPr>
      </w:pPr>
      <w:r w:rsidRPr="00BE7F8A">
        <w:rPr>
          <w:szCs w:val="22"/>
        </w:rPr>
        <w:t>DECISIÓN SOBRE EL PUNTO 6 DEL ORDEN DEL DÍA:</w:t>
      </w:r>
    </w:p>
    <w:p w:rsidR="00C97FC3" w:rsidRPr="00BE7F8A" w:rsidRDefault="007D651D" w:rsidP="007D651D">
      <w:pPr>
        <w:spacing w:after="120" w:line="260" w:lineRule="atLeast"/>
        <w:rPr>
          <w:szCs w:val="22"/>
        </w:rPr>
      </w:pPr>
      <w:r w:rsidRPr="00BE7F8A">
        <w:rPr>
          <w:szCs w:val="22"/>
        </w:rPr>
        <w:t>CONOCIMIENTOS TRADICIONALES/EXPRESIONES CULTURALES TRADICIONALES</w:t>
      </w:r>
    </w:p>
    <w:p w:rsidR="00C97FC3" w:rsidRPr="00BE7F8A" w:rsidRDefault="007D651D" w:rsidP="007D651D">
      <w:pPr>
        <w:spacing w:after="120" w:line="260" w:lineRule="atLeast"/>
      </w:pPr>
      <w:r w:rsidRPr="00BE7F8A">
        <w:t>El Comité elaboró, a partir del documento WIPO/GRTKF/IC/40/4, un nuevo texto titulado “La protección de los conocimientos tradicion</w:t>
      </w:r>
      <w:r w:rsidR="008E74C9" w:rsidRPr="00BE7F8A">
        <w:t xml:space="preserve">ales: proyecto de artículos, texto revisado de </w:t>
      </w:r>
      <w:r w:rsidR="00677E45" w:rsidRPr="00BE7F8A">
        <w:t>los facilitadores</w:t>
      </w:r>
      <w:r w:rsidRPr="00BE7F8A">
        <w:t>” y, a partir del documento WIPO/GRTKF/IC/40/5, un nuevo texto titulado “La protección de las expresiones culturales tradicionales: proyecto de artículos</w:t>
      </w:r>
      <w:r w:rsidR="00677E45" w:rsidRPr="00BE7F8A">
        <w:t>,</w:t>
      </w:r>
      <w:r w:rsidRPr="00BE7F8A">
        <w:t xml:space="preserve"> </w:t>
      </w:r>
      <w:r w:rsidR="008E74C9" w:rsidRPr="00BE7F8A">
        <w:t>texto revisado de</w:t>
      </w:r>
      <w:r w:rsidR="00677E45" w:rsidRPr="00BE7F8A">
        <w:t xml:space="preserve"> los facilitadores</w:t>
      </w:r>
      <w:r w:rsidRPr="00BE7F8A">
        <w:t>”.</w:t>
      </w:r>
      <w:r w:rsidR="004C498D" w:rsidRPr="00BE7F8A">
        <w:t xml:space="preserve"> </w:t>
      </w:r>
      <w:r w:rsidRPr="00BE7F8A">
        <w:t>El Comité decidió que dicho texto, en la forma en que consta al cierre de este punto del orden del día el 19 de junio de 2019, sea examinado por el Comité en el marco del punto 7 del orden del día (Balance de los progresos realizados y formulación de una recomendación a la Asamblea General), de conformidad con el mandato del Comité para 2018-2019 y el programa de trabajo para 2019, según consta en el documento WO/GA/49/21.</w:t>
      </w:r>
    </w:p>
    <w:p w:rsidR="00C97FC3" w:rsidRPr="00BE7F8A" w:rsidRDefault="007D651D" w:rsidP="007D651D">
      <w:pPr>
        <w:spacing w:after="120" w:line="260" w:lineRule="atLeast"/>
        <w:rPr>
          <w:szCs w:val="22"/>
        </w:rPr>
      </w:pPr>
      <w:r w:rsidRPr="00BE7F8A">
        <w:rPr>
          <w:szCs w:val="22"/>
        </w:rPr>
        <w:t xml:space="preserve">El Comité tomó nota de los documentos que se mencionan a continuación, los cuales fueron objeto de debate: </w:t>
      </w:r>
      <w:r w:rsidR="002807C7" w:rsidRPr="00BE7F8A">
        <w:t>WIPO/GRTKF/IC/40/7, WIPO/GRTKF/IC/40/8, WIPO/GRTKF/IC/40/9, WIPO/GRTKF/IC/40/10, WIPO/GRTKF/IC/40/11, WIPO/GRTKF/IC/40/12, WIPO/GRTKF/IC/40/13 Rev., WIPO/GRTKF/IC/40/14, WIPO/GRTKF/IC/40/15, WIPO/GRTKF/IC/40/16, WIPO/GRTKF/IC/40/17 y WIPO/GRTKF/IC/40/INF/7</w:t>
      </w:r>
      <w:r w:rsidRPr="00BE7F8A">
        <w:rPr>
          <w:szCs w:val="22"/>
        </w:rPr>
        <w:t>.</w:t>
      </w:r>
    </w:p>
    <w:p w:rsidR="00C97FC3" w:rsidRPr="00BE7F8A" w:rsidRDefault="00C97FC3" w:rsidP="004C498D">
      <w:pPr>
        <w:spacing w:after="120" w:line="260" w:lineRule="atLeast"/>
        <w:rPr>
          <w:rFonts w:eastAsia="Times New Roman"/>
          <w:bCs/>
          <w:szCs w:val="22"/>
          <w:lang w:eastAsia="en-US"/>
        </w:rPr>
      </w:pPr>
    </w:p>
    <w:p w:rsidR="00C97FC3" w:rsidRPr="00BE7F8A" w:rsidRDefault="007D651D" w:rsidP="007D651D">
      <w:pPr>
        <w:spacing w:after="120" w:line="260" w:lineRule="atLeast"/>
      </w:pPr>
      <w:r w:rsidRPr="00BE7F8A">
        <w:t>DECISIÓN SOBRE EL PUNTO 7 DEL ORDEN DEL DÍA:</w:t>
      </w:r>
    </w:p>
    <w:p w:rsidR="00C97FC3" w:rsidRPr="00BE7F8A" w:rsidRDefault="002807C7" w:rsidP="002807C7">
      <w:pPr>
        <w:pStyle w:val="Default"/>
        <w:rPr>
          <w:bCs/>
          <w:color w:val="auto"/>
          <w:szCs w:val="22"/>
          <w:lang w:val="es-ES" w:eastAsia="en-US"/>
        </w:rPr>
      </w:pPr>
      <w:r w:rsidRPr="00BE7F8A">
        <w:rPr>
          <w:bCs/>
          <w:color w:val="auto"/>
          <w:szCs w:val="22"/>
          <w:lang w:val="es-ES" w:eastAsia="en-US"/>
        </w:rPr>
        <w:t>BALANCE DE LOS PROGRESOS Y FORMULACIÓN DE UNA RECOMENDACIÓN A LA ASAMBLEA GENERAL</w:t>
      </w:r>
    </w:p>
    <w:p w:rsidR="00C97FC3" w:rsidRPr="00BE7F8A" w:rsidRDefault="00C97FC3" w:rsidP="004C498D">
      <w:pPr>
        <w:spacing w:after="120" w:line="260" w:lineRule="atLeast"/>
        <w:rPr>
          <w:rFonts w:eastAsia="Times New Roman"/>
          <w:bCs/>
          <w:szCs w:val="22"/>
          <w:lang w:eastAsia="en-US"/>
        </w:rPr>
      </w:pPr>
    </w:p>
    <w:p w:rsidR="00C97FC3" w:rsidRPr="00BE7F8A" w:rsidRDefault="00677E45" w:rsidP="00677E45">
      <w:pPr>
        <w:spacing w:after="120" w:line="260" w:lineRule="atLeast"/>
      </w:pPr>
      <w:r w:rsidRPr="00BE7F8A">
        <w:rPr>
          <w:rFonts w:eastAsia="Times New Roman"/>
          <w:bCs/>
          <w:szCs w:val="22"/>
          <w:lang w:eastAsia="en-US"/>
        </w:rPr>
        <w:t xml:space="preserve">El Comité hizo balance de los progresos realizados durante el bienio 2018/2019 y confirmó que los textos contenidos en los anexos de los documentos </w:t>
      </w:r>
      <w:r w:rsidR="008E74C9" w:rsidRPr="00BE7F8A">
        <w:rPr>
          <w:rFonts w:eastAsia="Times New Roman"/>
          <w:bCs/>
          <w:szCs w:val="22"/>
          <w:lang w:eastAsia="en-US"/>
        </w:rPr>
        <w:t>WIPO</w:t>
      </w:r>
      <w:r w:rsidRPr="00BE7F8A">
        <w:rPr>
          <w:rFonts w:eastAsia="Times New Roman"/>
          <w:bCs/>
          <w:szCs w:val="22"/>
          <w:lang w:eastAsia="en-US"/>
        </w:rPr>
        <w:t xml:space="preserve">/GRTKF/IC/40/6, </w:t>
      </w:r>
      <w:r w:rsidR="008E74C9" w:rsidRPr="00BE7F8A">
        <w:rPr>
          <w:rFonts w:eastAsia="Times New Roman"/>
          <w:bCs/>
          <w:szCs w:val="22"/>
          <w:lang w:eastAsia="en-US"/>
        </w:rPr>
        <w:t>WIPO</w:t>
      </w:r>
      <w:r w:rsidRPr="00BE7F8A">
        <w:rPr>
          <w:rFonts w:eastAsia="Times New Roman"/>
          <w:bCs/>
          <w:szCs w:val="22"/>
          <w:lang w:eastAsia="en-US"/>
        </w:rPr>
        <w:t xml:space="preserve">/GRTKF/IC/40/18 y </w:t>
      </w:r>
      <w:r w:rsidR="008E74C9" w:rsidRPr="00BE7F8A">
        <w:rPr>
          <w:rFonts w:eastAsia="Times New Roman"/>
          <w:bCs/>
          <w:szCs w:val="22"/>
          <w:lang w:eastAsia="en-US"/>
        </w:rPr>
        <w:t>WIPO</w:t>
      </w:r>
      <w:r w:rsidRPr="00BE7F8A">
        <w:rPr>
          <w:rFonts w:eastAsia="Times New Roman"/>
          <w:bCs/>
          <w:szCs w:val="22"/>
          <w:lang w:eastAsia="en-US"/>
        </w:rPr>
        <w:t>/GRTKF/IC/40/19 se transmi</w:t>
      </w:r>
      <w:r w:rsidR="008E74C9" w:rsidRPr="00BE7F8A">
        <w:rPr>
          <w:rFonts w:eastAsia="Times New Roman"/>
          <w:bCs/>
          <w:szCs w:val="22"/>
          <w:lang w:eastAsia="en-US"/>
        </w:rPr>
        <w:t>tan a la Asamblea General de la </w:t>
      </w:r>
      <w:r w:rsidRPr="00BE7F8A">
        <w:rPr>
          <w:rFonts w:eastAsia="Times New Roman"/>
          <w:bCs/>
          <w:szCs w:val="22"/>
          <w:lang w:eastAsia="en-US"/>
        </w:rPr>
        <w:t xml:space="preserve">OMPI de 2019, de conformidad con el mandato del Comité para </w:t>
      </w:r>
      <w:r w:rsidRPr="00BE7F8A">
        <w:t>2018/2019 y el programa de trabajo para 2019, que figuran en el documento WO/GA/49/21.</w:t>
      </w:r>
    </w:p>
    <w:p w:rsidR="00C97FC3" w:rsidRPr="00BE7F8A" w:rsidRDefault="00677E45" w:rsidP="00677E45">
      <w:pPr>
        <w:spacing w:after="120" w:line="260" w:lineRule="atLeast"/>
      </w:pPr>
      <w:r w:rsidRPr="00BE7F8A">
        <w:t xml:space="preserve">El Comité decidió transmitir a la Asamblea General de la OMPI de 2019 el texto del </w:t>
      </w:r>
      <w:r w:rsidRPr="00BE7F8A">
        <w:rPr>
          <w:i/>
        </w:rPr>
        <w:t>Proyecto de Instrumento jurídico internacional relativo a la propiedad intelectual, los recursos genéticos y los conocimientos tradicionales asociados a los recursos genéticos</w:t>
      </w:r>
      <w:r w:rsidRPr="00BE7F8A">
        <w:t>, preparado por el presidente, e incluirlo como documento de trabajo del Comité, en calidad de texto del presidente.</w:t>
      </w:r>
    </w:p>
    <w:p w:rsidR="00C97FC3" w:rsidRPr="00BE7F8A" w:rsidRDefault="00677E45" w:rsidP="005B06AD">
      <w:pPr>
        <w:spacing w:after="120" w:line="260" w:lineRule="atLeast"/>
        <w:rPr>
          <w:rFonts w:eastAsia="Times New Roman"/>
          <w:bCs/>
          <w:szCs w:val="22"/>
          <w:lang w:eastAsia="en-US"/>
        </w:rPr>
      </w:pPr>
      <w:r w:rsidRPr="00BE7F8A">
        <w:rPr>
          <w:rFonts w:eastAsia="Times New Roman"/>
          <w:bCs/>
          <w:szCs w:val="22"/>
          <w:lang w:eastAsia="en-US"/>
        </w:rPr>
        <w:t>El Comité convino en recomendar a la Asamblea General de la OMPI de 2019 que se renueve para el bienio 2020/</w:t>
      </w:r>
      <w:r w:rsidRPr="00BE7F8A">
        <w:t>2021 el</w:t>
      </w:r>
      <w:r w:rsidRPr="00BE7F8A">
        <w:rPr>
          <w:rFonts w:eastAsia="Times New Roman"/>
          <w:bCs/>
          <w:szCs w:val="22"/>
          <w:lang w:eastAsia="en-US"/>
        </w:rPr>
        <w:t xml:space="preserve"> mandato del Comité. Convino asimismo en recomendar a la Asamblea General de 2019 que los términos del mandat</w:t>
      </w:r>
      <w:r w:rsidR="008E74C9" w:rsidRPr="00BE7F8A">
        <w:rPr>
          <w:rFonts w:eastAsia="Times New Roman"/>
          <w:bCs/>
          <w:szCs w:val="22"/>
          <w:lang w:eastAsia="en-US"/>
        </w:rPr>
        <w:t>o</w:t>
      </w:r>
      <w:r w:rsidRPr="00BE7F8A">
        <w:rPr>
          <w:rFonts w:eastAsia="Times New Roman"/>
          <w:bCs/>
          <w:szCs w:val="22"/>
          <w:lang w:eastAsia="en-US"/>
        </w:rPr>
        <w:t xml:space="preserve"> y el programa de trabajo para 2020/2021 sean los siguientes</w:t>
      </w:r>
      <w:r w:rsidR="005B06AD" w:rsidRPr="00BE7F8A">
        <w:rPr>
          <w:rFonts w:eastAsia="Times New Roman"/>
          <w:bCs/>
          <w:szCs w:val="22"/>
          <w:lang w:eastAsia="en-US"/>
        </w:rPr>
        <w:t>:</w:t>
      </w:r>
    </w:p>
    <w:p w:rsidR="005D48DF" w:rsidRPr="00BE7F8A" w:rsidRDefault="000F2FF8" w:rsidP="000F2FF8">
      <w:pPr>
        <w:spacing w:after="120" w:line="260" w:lineRule="atLeast"/>
        <w:rPr>
          <w:rFonts w:eastAsia="Times New Roman"/>
          <w:bCs/>
          <w:szCs w:val="22"/>
          <w:lang w:eastAsia="en-US"/>
        </w:rPr>
      </w:pPr>
      <w:r w:rsidRPr="00BE7F8A">
        <w:rPr>
          <w:rFonts w:eastAsia="Times New Roman"/>
          <w:bCs/>
          <w:szCs w:val="22"/>
          <w:lang w:eastAsia="en-US"/>
        </w:rPr>
        <w:lastRenderedPageBreak/>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rsidR="005D48DF" w:rsidRPr="00BE7F8A" w:rsidRDefault="000F2FF8" w:rsidP="006F0D58">
      <w:pPr>
        <w:numPr>
          <w:ilvl w:val="0"/>
          <w:numId w:val="7"/>
        </w:numPr>
        <w:spacing w:after="120" w:line="260" w:lineRule="atLeast"/>
        <w:ind w:left="567" w:hanging="567"/>
        <w:rPr>
          <w:rFonts w:eastAsia="Times New Roman"/>
          <w:bCs/>
          <w:szCs w:val="22"/>
          <w:lang w:eastAsia="en-US"/>
        </w:rPr>
      </w:pPr>
      <w:r w:rsidRPr="00BE7F8A">
        <w:rPr>
          <w:rFonts w:eastAsia="Times New Roman"/>
          <w:bCs/>
          <w:szCs w:val="22"/>
          <w:lang w:eastAsia="en-US"/>
        </w:rPr>
        <w:t>En el próximo ejercicio presupuestario de 2020/21, el Comité seguirá agilizando su labor con objeto de concluir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w:t>
      </w:r>
    </w:p>
    <w:p w:rsidR="005D48DF" w:rsidRPr="00BE7F8A" w:rsidRDefault="000F2FF8" w:rsidP="006F0D58">
      <w:pPr>
        <w:numPr>
          <w:ilvl w:val="0"/>
          <w:numId w:val="7"/>
        </w:numPr>
        <w:spacing w:after="120" w:line="260" w:lineRule="atLeast"/>
        <w:ind w:left="567" w:hanging="567"/>
        <w:rPr>
          <w:rFonts w:eastAsia="Times New Roman"/>
          <w:bCs/>
          <w:szCs w:val="22"/>
          <w:lang w:eastAsia="en-US"/>
        </w:rPr>
      </w:pPr>
      <w:r w:rsidRPr="00BE7F8A">
        <w:rPr>
          <w:rFonts w:eastAsia="Times New Roman"/>
          <w:bCs/>
          <w:szCs w:val="22"/>
          <w:lang w:eastAsia="en-US"/>
        </w:rPr>
        <w:t>En el bienio 2020/21, las actividades del Comité tendrán como punto de partida la labor que ya ha efectuado, incluidas las negociaciones basadas en textos, centrándose primordialmente en reducir los actuales desequilibrios y en lograr una postura común sobre las cuestiones esenciales.</w:t>
      </w:r>
      <w:r w:rsidRPr="00BE7F8A">
        <w:rPr>
          <w:rStyle w:val="FootnoteReference"/>
          <w:rFonts w:eastAsia="Times New Roman"/>
          <w:bCs/>
          <w:szCs w:val="22"/>
          <w:lang w:eastAsia="en-US"/>
        </w:rPr>
        <w:footnoteReference w:id="2"/>
      </w:r>
    </w:p>
    <w:p w:rsidR="005D48DF" w:rsidRPr="00BE7F8A" w:rsidRDefault="00C97FC3" w:rsidP="006F0D58">
      <w:pPr>
        <w:numPr>
          <w:ilvl w:val="0"/>
          <w:numId w:val="7"/>
        </w:numPr>
        <w:spacing w:after="120" w:line="260" w:lineRule="atLeast"/>
        <w:ind w:left="567" w:hanging="567"/>
        <w:rPr>
          <w:rFonts w:eastAsia="Times New Roman"/>
          <w:bCs/>
          <w:szCs w:val="22"/>
          <w:lang w:eastAsia="en-US"/>
        </w:rPr>
      </w:pPr>
      <w:r w:rsidRPr="00BE7F8A">
        <w:rPr>
          <w:rFonts w:eastAsia="Times New Roman"/>
          <w:bCs/>
          <w:szCs w:val="22"/>
          <w:lang w:eastAsia="en-US"/>
        </w:rPr>
        <w:t>Como consta en el cuadro que figura más adelante, en el bienio 2020/21, el Comité se atendrá a un programa de trabajo basado en métodos de trabajo abiertos e incluyentes, con inclusión del enfoque empírico que se establece en el apartado d).</w:t>
      </w:r>
      <w:r w:rsidR="000F2FF8" w:rsidRPr="00BE7F8A">
        <w:rPr>
          <w:rFonts w:eastAsia="Times New Roman"/>
          <w:bCs/>
          <w:szCs w:val="22"/>
          <w:lang w:eastAsia="en-US"/>
        </w:rPr>
        <w:t xml:space="preserve"> </w:t>
      </w:r>
      <w:r w:rsidRPr="00BE7F8A">
        <w:rPr>
          <w:rFonts w:eastAsia="Times New Roman"/>
          <w:bCs/>
          <w:szCs w:val="22"/>
          <w:lang w:eastAsia="en-US"/>
        </w:rPr>
        <w:t>En dicho programa de trabajo se preverán 6 sesiones del Comité en 2020/21, incluidas sesiones temáticas, generales y de evaluación.</w:t>
      </w:r>
      <w:r w:rsidR="005D48DF" w:rsidRPr="00BE7F8A">
        <w:rPr>
          <w:rFonts w:eastAsia="Times New Roman"/>
          <w:bCs/>
          <w:szCs w:val="22"/>
          <w:lang w:eastAsia="en-US"/>
        </w:rPr>
        <w:t xml:space="preserve"> </w:t>
      </w:r>
      <w:r w:rsidRPr="00BE7F8A">
        <w:rPr>
          <w:rFonts w:eastAsia="Times New Roman"/>
          <w:bCs/>
          <w:szCs w:val="22"/>
          <w:lang w:eastAsia="en-US"/>
        </w:rPr>
        <w:t xml:space="preserve">El Comité podrá establecer uno o varios grupos </w:t>
      </w:r>
      <w:r w:rsidRPr="00BE7F8A">
        <w:rPr>
          <w:rFonts w:eastAsia="Times New Roman"/>
          <w:bCs/>
          <w:i/>
          <w:szCs w:val="22"/>
          <w:lang w:eastAsia="en-US"/>
        </w:rPr>
        <w:t xml:space="preserve">ad hoc </w:t>
      </w:r>
      <w:r w:rsidRPr="00BE7F8A">
        <w:rPr>
          <w:rFonts w:eastAsia="Times New Roman"/>
          <w:bCs/>
          <w:szCs w:val="22"/>
          <w:lang w:eastAsia="en-US"/>
        </w:rPr>
        <w:t xml:space="preserve">de </w:t>
      </w:r>
      <w:r w:rsidR="00CF5C9F">
        <w:rPr>
          <w:rFonts w:eastAsia="Times New Roman"/>
          <w:bCs/>
          <w:szCs w:val="22"/>
          <w:lang w:eastAsia="en-US"/>
        </w:rPr>
        <w:t>especialistas</w:t>
      </w:r>
      <w:r w:rsidRPr="00BE7F8A">
        <w:rPr>
          <w:rFonts w:eastAsia="Times New Roman"/>
          <w:bCs/>
          <w:szCs w:val="22"/>
          <w:lang w:eastAsia="en-US"/>
        </w:rPr>
        <w:t xml:space="preserve"> a fin de abordar una cuestión jurídica, normativa o técnica específica.</w:t>
      </w:r>
      <w:r w:rsidRPr="00BE7F8A">
        <w:rPr>
          <w:rStyle w:val="FootnoteReference"/>
          <w:rFonts w:eastAsia="Times New Roman"/>
          <w:bCs/>
          <w:szCs w:val="22"/>
          <w:lang w:eastAsia="en-US"/>
        </w:rPr>
        <w:footnoteReference w:id="3"/>
      </w:r>
      <w:r w:rsidR="000F2FF8" w:rsidRPr="00BE7F8A">
        <w:rPr>
          <w:rFonts w:eastAsia="Times New Roman"/>
          <w:bCs/>
          <w:szCs w:val="22"/>
          <w:lang w:eastAsia="en-US"/>
        </w:rPr>
        <w:t xml:space="preserve"> </w:t>
      </w:r>
      <w:r w:rsidRPr="00BE7F8A">
        <w:rPr>
          <w:rFonts w:eastAsia="Times New Roman"/>
          <w:bCs/>
          <w:szCs w:val="22"/>
          <w:lang w:eastAsia="en-US"/>
        </w:rPr>
        <w:t>Los resultados de la labor de esos grupos será sometida a examen del Comité.</w:t>
      </w:r>
    </w:p>
    <w:p w:rsidR="005D48DF" w:rsidRPr="00BE7F8A" w:rsidRDefault="00D80AF2" w:rsidP="006F0D58">
      <w:pPr>
        <w:numPr>
          <w:ilvl w:val="0"/>
          <w:numId w:val="7"/>
        </w:numPr>
        <w:spacing w:after="120" w:line="260" w:lineRule="atLeast"/>
        <w:ind w:left="567" w:hanging="567"/>
        <w:rPr>
          <w:rFonts w:eastAsia="Times New Roman"/>
          <w:bCs/>
          <w:szCs w:val="22"/>
          <w:lang w:eastAsia="en-US"/>
        </w:rPr>
      </w:pPr>
      <w:r w:rsidRPr="00BE7F8A">
        <w:rPr>
          <w:rFonts w:eastAsia="Times New Roman"/>
          <w:bCs/>
          <w:szCs w:val="22"/>
          <w:lang w:eastAsia="en-US"/>
        </w:rPr>
        <w:t>El Comité hará uso de todos los documentos de trabajo de la OMPI, incluidos los documentos WIPO/GRTKF/IC/40/6, WIPO/GRTKF/IC/40/18 y WIPO/GRTKF/IC/40/19, y el texto del presidente sobre el Proyecto de Instrumento jurídico internacional relativo a la propiedad intelectual, los recursos genéticos y los conocimientos tradicionales asociados a los recursos genéticos,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w:t>
      </w:r>
      <w:r w:rsidR="005D48DF" w:rsidRPr="00BE7F8A">
        <w:rPr>
          <w:rFonts w:eastAsia="Times New Roman"/>
          <w:bCs/>
          <w:szCs w:val="22"/>
          <w:lang w:eastAsia="en-US"/>
        </w:rPr>
        <w:t xml:space="preserve"> </w:t>
      </w:r>
      <w:r w:rsidRPr="00BE7F8A">
        <w:rPr>
          <w:rFonts w:eastAsia="Times New Roman"/>
          <w:bCs/>
          <w:szCs w:val="22"/>
          <w:lang w:eastAsia="en-US"/>
        </w:rPr>
        <w:t xml:space="preserve">y los resultados de cualquier grupo o grupos de </w:t>
      </w:r>
      <w:r w:rsidR="00CF5C9F">
        <w:rPr>
          <w:rFonts w:eastAsia="Times New Roman"/>
          <w:bCs/>
          <w:szCs w:val="22"/>
          <w:lang w:eastAsia="en-US"/>
        </w:rPr>
        <w:t>especialistas</w:t>
      </w:r>
      <w:r w:rsidRPr="00BE7F8A">
        <w:rPr>
          <w:rFonts w:eastAsia="Times New Roman"/>
          <w:bCs/>
          <w:szCs w:val="22"/>
          <w:lang w:eastAsia="en-US"/>
        </w:rPr>
        <w:t xml:space="preserve"> establecidos por el Comité y las actividades conexas realizadas en el marco del Programa 4. </w:t>
      </w:r>
      <w:r w:rsidR="005A4678" w:rsidRPr="00BE7F8A">
        <w:rPr>
          <w:rFonts w:eastAsia="Times New Roman"/>
          <w:bCs/>
          <w:szCs w:val="22"/>
          <w:lang w:eastAsia="en-US"/>
        </w:rPr>
        <w:t>Se pide a la Secretaría que continúe actualizando los estudios y otro material relativo a herramientas y actividades en relación con bases de datos y regímenes vigentes de divulgación de los RR.GG. y los CC.TT. asociados, con miras a determinar las carencias, y que siga reuniendo y compilando información sobre los regímenes sui géneris nacionales y regionales de protección de la propiedad intelectual de los CC.TT. y las ECT, y poniendo dicha información a disposición por Internet.</w:t>
      </w:r>
      <w:r w:rsidR="005D48DF" w:rsidRPr="00BE7F8A">
        <w:rPr>
          <w:rFonts w:eastAsia="Times New Roman"/>
          <w:bCs/>
          <w:szCs w:val="22"/>
          <w:lang w:eastAsia="en-US"/>
        </w:rPr>
        <w:t xml:space="preserve"> </w:t>
      </w:r>
      <w:r w:rsidR="005A4678" w:rsidRPr="00BE7F8A">
        <w:rPr>
          <w:rFonts w:eastAsia="Times New Roman"/>
          <w:bCs/>
          <w:szCs w:val="22"/>
          <w:lang w:eastAsia="en-US"/>
        </w:rPr>
        <w:t>Ahora bien, los estudios y actividades adicionales no deberán retrasar los avances ni establecer condiciones previas con respecto a las negociaciones.</w:t>
      </w:r>
    </w:p>
    <w:p w:rsidR="00960D8C" w:rsidRDefault="00C97FC3" w:rsidP="006F0D58">
      <w:pPr>
        <w:numPr>
          <w:ilvl w:val="0"/>
          <w:numId w:val="7"/>
        </w:numPr>
        <w:spacing w:after="120" w:line="260" w:lineRule="atLeast"/>
        <w:ind w:left="567" w:hanging="567"/>
        <w:rPr>
          <w:rFonts w:eastAsia="Times New Roman"/>
          <w:bCs/>
          <w:szCs w:val="22"/>
          <w:lang w:eastAsia="en-US"/>
        </w:rPr>
      </w:pPr>
      <w:r w:rsidRPr="00BE7F8A">
        <w:rPr>
          <w:rFonts w:eastAsia="Times New Roman"/>
          <w:bCs/>
          <w:szCs w:val="22"/>
          <w:lang w:eastAsia="en-US"/>
        </w:rPr>
        <w:t xml:space="preserve">En 2020, el Comité deberá presentar a la Asamblea General de la OMPI un informe fáctico junto con los textos más recientes que haya sobre la labor emprendida hasta esa </w:t>
      </w:r>
      <w:r w:rsidRPr="00BE7F8A">
        <w:rPr>
          <w:rFonts w:eastAsia="Times New Roman"/>
          <w:bCs/>
          <w:szCs w:val="22"/>
          <w:lang w:eastAsia="en-US"/>
        </w:rPr>
        <w:lastRenderedPageBreak/>
        <w:t>fecha, con recomendaciones, y en 2021, se le pide que presente a la Asamblea General de la OMPI los resultados de su labor conforme al objetivo reflejado en el apartado a).</w:t>
      </w:r>
      <w:r w:rsidR="000F2FF8" w:rsidRPr="00BE7F8A">
        <w:rPr>
          <w:rFonts w:eastAsia="Times New Roman"/>
          <w:bCs/>
          <w:szCs w:val="22"/>
          <w:lang w:eastAsia="en-US"/>
        </w:rPr>
        <w:t xml:space="preserve"> </w:t>
      </w:r>
      <w:r w:rsidRPr="00BE7F8A">
        <w:rPr>
          <w:rFonts w:eastAsia="Times New Roman"/>
          <w:bCs/>
          <w:szCs w:val="22"/>
          <w:lang w:eastAsia="en-US"/>
        </w:rPr>
        <w:t>La Asamblea General de la OMPI reunida en 2021 ponderará los avances efectuados y, sobre la base de la madurez de los textos, incluidos los niveles de acuerdo sobre los objetivos, el alcance y la naturaleza del instrumento o instrumentos, decidirá si se convoca una conferencia diplomática y/o se prosiguen las negociaciones.</w:t>
      </w:r>
    </w:p>
    <w:p w:rsidR="005D48DF" w:rsidRDefault="00C97FC3" w:rsidP="006F0D58">
      <w:pPr>
        <w:numPr>
          <w:ilvl w:val="0"/>
          <w:numId w:val="7"/>
        </w:numPr>
        <w:spacing w:after="120" w:line="260" w:lineRule="atLeast"/>
        <w:ind w:left="567" w:hanging="567"/>
        <w:rPr>
          <w:rFonts w:eastAsia="Times New Roman"/>
          <w:bCs/>
          <w:szCs w:val="22"/>
          <w:lang w:eastAsia="en-US"/>
        </w:rPr>
      </w:pPr>
      <w:r w:rsidRPr="00960D8C">
        <w:rPr>
          <w:rFonts w:eastAsia="Times New Roman"/>
          <w:bCs/>
          <w:szCs w:val="22"/>
          <w:lang w:eastAsia="en-US"/>
        </w:rPr>
        <w:t xml:space="preserve">La Asamblea General pide a la Secretaría que siga prestando asistencia al Comité proporcionando a los Estados miembros los conocimientos especializados necesarios y financiando, del modo más eficaz posible, la participación de </w:t>
      </w:r>
      <w:r w:rsidR="00CF5C9F">
        <w:rPr>
          <w:rFonts w:eastAsia="Times New Roman"/>
          <w:bCs/>
          <w:szCs w:val="22"/>
          <w:lang w:eastAsia="en-US"/>
        </w:rPr>
        <w:t>especialistas</w:t>
      </w:r>
      <w:r w:rsidRPr="00960D8C">
        <w:rPr>
          <w:rFonts w:eastAsia="Times New Roman"/>
          <w:bCs/>
          <w:szCs w:val="22"/>
          <w:lang w:eastAsia="en-US"/>
        </w:rPr>
        <w:t xml:space="preserve"> de países en desarrollo y países menos adelantados, según la práctica habitual del CIG.</w:t>
      </w:r>
    </w:p>
    <w:p w:rsidR="006F0D58" w:rsidRPr="00960D8C" w:rsidRDefault="006F0D58" w:rsidP="006F0D58">
      <w:pPr>
        <w:spacing w:after="120" w:line="260" w:lineRule="atLeast"/>
        <w:ind w:left="567"/>
        <w:rPr>
          <w:rFonts w:eastAsia="Times New Roman"/>
          <w:bCs/>
          <w:szCs w:val="22"/>
          <w:lang w:eastAsia="en-US"/>
        </w:rPr>
      </w:pPr>
    </w:p>
    <w:p w:rsidR="005D48DF" w:rsidRPr="00BE7F8A" w:rsidRDefault="006F0D58" w:rsidP="00C97FC3">
      <w:pPr>
        <w:spacing w:after="120" w:line="260" w:lineRule="atLeast"/>
        <w:rPr>
          <w:rFonts w:eastAsia="Times New Roman"/>
          <w:b/>
          <w:bCs/>
          <w:szCs w:val="22"/>
          <w:lang w:eastAsia="en-US"/>
        </w:rPr>
      </w:pPr>
      <w:r w:rsidRPr="00BE7F8A">
        <w:rPr>
          <w:rFonts w:eastAsia="Times New Roman"/>
          <w:b/>
          <w:bCs/>
          <w:szCs w:val="22"/>
          <w:lang w:eastAsia="en-US"/>
        </w:rPr>
        <w:t>PROGRAMA DE TRABAJO: 6 SESIONES</w:t>
      </w:r>
    </w:p>
    <w:p w:rsidR="000F2FF8" w:rsidRPr="00BE7F8A" w:rsidRDefault="000F2FF8" w:rsidP="000F2FF8">
      <w:pPr>
        <w:spacing w:after="120" w:line="260" w:lineRule="atLeast"/>
        <w:rPr>
          <w:rFonts w:eastAsia="Times New Roman"/>
          <w:bCs/>
          <w:szCs w:val="22"/>
          <w:lang w:eastAsia="en-US"/>
        </w:rPr>
      </w:pPr>
    </w:p>
    <w:tbl>
      <w:tblPr>
        <w:tblW w:w="8993" w:type="dxa"/>
        <w:tblInd w:w="535" w:type="dxa"/>
        <w:tblCellMar>
          <w:top w:w="8" w:type="dxa"/>
          <w:right w:w="82" w:type="dxa"/>
        </w:tblCellMar>
        <w:tblLook w:val="04A0" w:firstRow="1" w:lastRow="0" w:firstColumn="1" w:lastColumn="0" w:noHBand="0" w:noVBand="1"/>
      </w:tblPr>
      <w:tblGrid>
        <w:gridCol w:w="2269"/>
        <w:gridCol w:w="6724"/>
      </w:tblGrid>
      <w:tr w:rsidR="005D48DF" w:rsidRPr="00BE7F8A" w:rsidTr="005B5005">
        <w:trPr>
          <w:trHeight w:val="391"/>
        </w:trPr>
        <w:tc>
          <w:tcPr>
            <w:tcW w:w="1741" w:type="dxa"/>
            <w:tcBorders>
              <w:top w:val="single" w:sz="4" w:space="0" w:color="000000"/>
              <w:left w:val="single" w:sz="4" w:space="0" w:color="000000"/>
              <w:bottom w:val="single" w:sz="4" w:space="0" w:color="000000"/>
              <w:right w:val="single" w:sz="4" w:space="0" w:color="000000"/>
            </w:tcBorders>
          </w:tcPr>
          <w:p w:rsidR="000F2FF8" w:rsidRPr="00BE7F8A" w:rsidRDefault="005D48DF" w:rsidP="006F0D58">
            <w:pPr>
              <w:rPr>
                <w:rFonts w:eastAsia="Times New Roman"/>
                <w:bCs/>
                <w:szCs w:val="22"/>
                <w:lang w:eastAsia="en-US"/>
              </w:rPr>
            </w:pPr>
            <w:r w:rsidRPr="00BE7F8A">
              <w:rPr>
                <w:rFonts w:eastAsia="Times New Roman"/>
                <w:b/>
                <w:bCs/>
                <w:szCs w:val="22"/>
                <w:lang w:eastAsia="en-US"/>
              </w:rPr>
              <w:t>Fechas indicativas</w:t>
            </w:r>
            <w:r w:rsidR="000F2FF8" w:rsidRPr="00BE7F8A">
              <w:rPr>
                <w:rFonts w:eastAsia="Times New Roman"/>
                <w:b/>
                <w:bCs/>
                <w:szCs w:val="22"/>
                <w:lang w:eastAsia="en-US"/>
              </w:rPr>
              <w:t xml:space="preserve"> </w:t>
            </w:r>
          </w:p>
        </w:tc>
        <w:tc>
          <w:tcPr>
            <w:tcW w:w="7252" w:type="dxa"/>
            <w:tcBorders>
              <w:top w:val="single" w:sz="4" w:space="0" w:color="000000"/>
              <w:left w:val="single" w:sz="4" w:space="0" w:color="000000"/>
              <w:bottom w:val="single" w:sz="4" w:space="0" w:color="000000"/>
              <w:right w:val="single" w:sz="4" w:space="0" w:color="000000"/>
            </w:tcBorders>
          </w:tcPr>
          <w:p w:rsidR="000F2FF8" w:rsidRPr="00BE7F8A" w:rsidRDefault="005D48DF" w:rsidP="006F0D58">
            <w:pPr>
              <w:rPr>
                <w:rFonts w:eastAsia="Times New Roman"/>
                <w:bCs/>
                <w:szCs w:val="22"/>
                <w:lang w:eastAsia="en-US"/>
              </w:rPr>
            </w:pPr>
            <w:r w:rsidRPr="00BE7F8A">
              <w:rPr>
                <w:rFonts w:eastAsia="Times New Roman"/>
                <w:b/>
                <w:bCs/>
                <w:szCs w:val="22"/>
                <w:lang w:eastAsia="en-US"/>
              </w:rPr>
              <w:t>Actividades</w:t>
            </w:r>
            <w:r w:rsidR="000F2FF8" w:rsidRPr="00BE7F8A">
              <w:rPr>
                <w:rFonts w:eastAsia="Times New Roman"/>
                <w:b/>
                <w:bCs/>
                <w:szCs w:val="22"/>
                <w:lang w:eastAsia="en-US"/>
              </w:rPr>
              <w:t xml:space="preserve"> </w:t>
            </w:r>
          </w:p>
        </w:tc>
      </w:tr>
      <w:tr w:rsidR="005D48DF" w:rsidRPr="00BE7F8A" w:rsidTr="005B5005">
        <w:trPr>
          <w:trHeight w:val="1500"/>
        </w:trPr>
        <w:tc>
          <w:tcPr>
            <w:tcW w:w="1741" w:type="dxa"/>
            <w:tcBorders>
              <w:top w:val="single" w:sz="4" w:space="0" w:color="000000"/>
              <w:left w:val="single" w:sz="4" w:space="0" w:color="000000"/>
              <w:bottom w:val="single" w:sz="4" w:space="0" w:color="000000"/>
              <w:right w:val="single" w:sz="4" w:space="0" w:color="000000"/>
            </w:tcBorders>
          </w:tcPr>
          <w:p w:rsidR="000F2FF8" w:rsidRPr="00BE7F8A" w:rsidRDefault="005D48DF" w:rsidP="006F0D58">
            <w:pPr>
              <w:rPr>
                <w:rFonts w:eastAsia="Times New Roman"/>
                <w:bCs/>
                <w:szCs w:val="22"/>
                <w:lang w:eastAsia="en-US"/>
              </w:rPr>
            </w:pPr>
            <w:r w:rsidRPr="00BE7F8A">
              <w:rPr>
                <w:rFonts w:eastAsia="Times New Roman"/>
                <w:bCs/>
                <w:szCs w:val="22"/>
                <w:lang w:eastAsia="en-US"/>
              </w:rPr>
              <w:t>Febrero/marzo de 2020</w:t>
            </w:r>
            <w:r w:rsidR="000F2FF8" w:rsidRPr="00BE7F8A">
              <w:rPr>
                <w:rFonts w:eastAsia="Times New Roman"/>
                <w:bCs/>
                <w:szCs w:val="22"/>
                <w:lang w:eastAsia="en-US"/>
              </w:rPr>
              <w:t xml:space="preserve"> </w:t>
            </w:r>
          </w:p>
        </w:tc>
        <w:tc>
          <w:tcPr>
            <w:tcW w:w="7252" w:type="dxa"/>
            <w:tcBorders>
              <w:top w:val="single" w:sz="4" w:space="0" w:color="000000"/>
              <w:left w:val="single" w:sz="4" w:space="0" w:color="000000"/>
              <w:bottom w:val="single" w:sz="4" w:space="0" w:color="000000"/>
              <w:right w:val="single" w:sz="4" w:space="0" w:color="000000"/>
            </w:tcBorders>
          </w:tcPr>
          <w:p w:rsidR="005D48DF" w:rsidRPr="00BE7F8A" w:rsidRDefault="005D48DF" w:rsidP="006F0D58">
            <w:pPr>
              <w:rPr>
                <w:rFonts w:eastAsia="Times New Roman"/>
                <w:bCs/>
                <w:szCs w:val="22"/>
                <w:lang w:eastAsia="en-US"/>
              </w:rPr>
            </w:pPr>
            <w:r w:rsidRPr="00BE7F8A">
              <w:rPr>
                <w:rFonts w:eastAsia="Times New Roman"/>
                <w:bCs/>
                <w:szCs w:val="22"/>
                <w:lang w:eastAsia="en-US"/>
              </w:rPr>
              <w:t>(41.ª sesión del CIG)</w:t>
            </w:r>
          </w:p>
          <w:p w:rsidR="005D48DF" w:rsidRPr="00BE7F8A" w:rsidRDefault="005D48DF" w:rsidP="006F0D58">
            <w:pPr>
              <w:rPr>
                <w:rFonts w:eastAsia="Times New Roman"/>
                <w:bCs/>
                <w:szCs w:val="22"/>
                <w:lang w:eastAsia="en-US"/>
              </w:rPr>
            </w:pPr>
            <w:r w:rsidRPr="00BE7F8A">
              <w:rPr>
                <w:rFonts w:eastAsia="Times New Roman"/>
                <w:bCs/>
                <w:szCs w:val="22"/>
                <w:lang w:eastAsia="en-US"/>
              </w:rPr>
              <w:t>Emprender negociaciones sobre los RR.GG. centrándose en el examen de las cuestiones no resueltas y la consideración de distintas opciones relativas a un proyecto de instrumento jurídico.</w:t>
            </w:r>
          </w:p>
          <w:p w:rsidR="00C97FC3" w:rsidRPr="00BE7F8A" w:rsidRDefault="00C97FC3" w:rsidP="006F0D58">
            <w:pPr>
              <w:rPr>
                <w:rFonts w:eastAsia="Times New Roman"/>
                <w:bCs/>
                <w:szCs w:val="22"/>
                <w:lang w:eastAsia="en-US"/>
              </w:rPr>
            </w:pPr>
          </w:p>
          <w:p w:rsidR="000F2FF8" w:rsidRPr="00BE7F8A" w:rsidRDefault="005D48DF" w:rsidP="006F0D58">
            <w:pPr>
              <w:rPr>
                <w:rFonts w:eastAsia="Times New Roman"/>
                <w:bCs/>
                <w:szCs w:val="22"/>
                <w:lang w:eastAsia="en-US"/>
              </w:rPr>
            </w:pPr>
            <w:r w:rsidRPr="00BE7F8A">
              <w:rPr>
                <w:rFonts w:eastAsia="Times New Roman"/>
                <w:bCs/>
                <w:szCs w:val="22"/>
                <w:lang w:eastAsia="en-US"/>
              </w:rPr>
              <w:t>Duración: 5 días.</w:t>
            </w:r>
          </w:p>
        </w:tc>
      </w:tr>
      <w:tr w:rsidR="005D48DF" w:rsidRPr="00BE7F8A" w:rsidTr="005B5005">
        <w:trPr>
          <w:trHeight w:val="1796"/>
        </w:trPr>
        <w:tc>
          <w:tcPr>
            <w:tcW w:w="1741" w:type="dxa"/>
            <w:tcBorders>
              <w:top w:val="single" w:sz="4" w:space="0" w:color="000000"/>
              <w:left w:val="single" w:sz="4" w:space="0" w:color="000000"/>
              <w:bottom w:val="single" w:sz="4" w:space="0" w:color="000000"/>
              <w:right w:val="single" w:sz="4" w:space="0" w:color="000000"/>
            </w:tcBorders>
          </w:tcPr>
          <w:p w:rsidR="000F2FF8" w:rsidRPr="00BE7F8A" w:rsidRDefault="005D48DF" w:rsidP="006F0D58">
            <w:pPr>
              <w:rPr>
                <w:rFonts w:eastAsia="Times New Roman"/>
                <w:bCs/>
                <w:szCs w:val="22"/>
                <w:lang w:eastAsia="en-US"/>
              </w:rPr>
            </w:pPr>
            <w:r w:rsidRPr="00BE7F8A">
              <w:rPr>
                <w:rFonts w:eastAsia="Times New Roman"/>
                <w:bCs/>
                <w:szCs w:val="22"/>
                <w:lang w:eastAsia="en-US"/>
              </w:rPr>
              <w:t>Mayo/junio de 2020</w:t>
            </w:r>
            <w:r w:rsidR="000F2FF8" w:rsidRPr="00BE7F8A">
              <w:rPr>
                <w:rFonts w:eastAsia="Times New Roman"/>
                <w:bCs/>
                <w:szCs w:val="22"/>
                <w:lang w:eastAsia="en-US"/>
              </w:rPr>
              <w:t xml:space="preserve"> </w:t>
            </w:r>
          </w:p>
        </w:tc>
        <w:tc>
          <w:tcPr>
            <w:tcW w:w="7252" w:type="dxa"/>
            <w:tcBorders>
              <w:top w:val="single" w:sz="4" w:space="0" w:color="000000"/>
              <w:left w:val="single" w:sz="4" w:space="0" w:color="000000"/>
              <w:bottom w:val="single" w:sz="4" w:space="0" w:color="000000"/>
              <w:right w:val="single" w:sz="4" w:space="0" w:color="000000"/>
            </w:tcBorders>
          </w:tcPr>
          <w:p w:rsidR="005D48DF" w:rsidRPr="00BE7F8A" w:rsidRDefault="005D48DF" w:rsidP="006F0D58">
            <w:pPr>
              <w:rPr>
                <w:rFonts w:eastAsia="Times New Roman"/>
                <w:bCs/>
                <w:szCs w:val="22"/>
                <w:lang w:eastAsia="en-US"/>
              </w:rPr>
            </w:pPr>
            <w:r w:rsidRPr="00BE7F8A">
              <w:rPr>
                <w:rFonts w:eastAsia="Times New Roman"/>
                <w:bCs/>
                <w:szCs w:val="22"/>
                <w:lang w:eastAsia="en-US"/>
              </w:rPr>
              <w:t>(42.ª sesión del CIG)</w:t>
            </w:r>
          </w:p>
          <w:p w:rsidR="005D48DF" w:rsidRPr="00BE7F8A" w:rsidRDefault="005D48DF" w:rsidP="006F0D58">
            <w:pPr>
              <w:rPr>
                <w:rFonts w:eastAsia="Times New Roman"/>
                <w:bCs/>
                <w:szCs w:val="22"/>
                <w:lang w:eastAsia="en-US"/>
              </w:rPr>
            </w:pPr>
            <w:r w:rsidRPr="00BE7F8A">
              <w:rPr>
                <w:rFonts w:eastAsia="Times New Roman"/>
                <w:bCs/>
                <w:szCs w:val="22"/>
                <w:lang w:eastAsia="en-US"/>
              </w:rPr>
              <w:t>Emprender negociaciones sobre los RR.GG. centrándose en el examen de las cuestiones no resueltas y la consideración de distintas opciones relativas a un proyecto de instrumento jurídico.</w:t>
            </w:r>
          </w:p>
          <w:p w:rsidR="00C97FC3" w:rsidRPr="00BE7F8A" w:rsidRDefault="00C97FC3" w:rsidP="006F0D58">
            <w:pPr>
              <w:rPr>
                <w:rFonts w:eastAsia="Times New Roman"/>
                <w:bCs/>
                <w:szCs w:val="22"/>
                <w:lang w:eastAsia="en-US"/>
              </w:rPr>
            </w:pPr>
          </w:p>
          <w:p w:rsidR="000F2FF8" w:rsidRPr="00BE7F8A" w:rsidRDefault="005D48DF" w:rsidP="006F0D58">
            <w:pPr>
              <w:rPr>
                <w:rFonts w:eastAsia="Times New Roman"/>
                <w:bCs/>
                <w:szCs w:val="22"/>
                <w:lang w:eastAsia="en-US"/>
              </w:rPr>
            </w:pPr>
            <w:r w:rsidRPr="00BE7F8A">
              <w:rPr>
                <w:rFonts w:eastAsia="Times New Roman"/>
                <w:bCs/>
                <w:szCs w:val="22"/>
                <w:lang w:eastAsia="en-US"/>
              </w:rPr>
              <w:t xml:space="preserve">Duración: 5 días, más, si así se decide, una reunión de un día de duración de un grupo de especialistas </w:t>
            </w:r>
            <w:r w:rsidRPr="00CF5C9F">
              <w:rPr>
                <w:rFonts w:eastAsia="Times New Roman"/>
                <w:bCs/>
                <w:i/>
                <w:szCs w:val="22"/>
                <w:lang w:eastAsia="en-US"/>
              </w:rPr>
              <w:t>ad hoc</w:t>
            </w:r>
            <w:r w:rsidRPr="00BE7F8A">
              <w:rPr>
                <w:rFonts w:eastAsia="Times New Roman"/>
                <w:bCs/>
                <w:szCs w:val="22"/>
                <w:lang w:eastAsia="en-US"/>
              </w:rPr>
              <w:t>.</w:t>
            </w:r>
          </w:p>
        </w:tc>
      </w:tr>
      <w:tr w:rsidR="005D48DF" w:rsidRPr="00BE7F8A" w:rsidTr="005B5005">
        <w:trPr>
          <w:trHeight w:val="1798"/>
        </w:trPr>
        <w:tc>
          <w:tcPr>
            <w:tcW w:w="1741" w:type="dxa"/>
            <w:tcBorders>
              <w:top w:val="single" w:sz="4" w:space="0" w:color="000000"/>
              <w:left w:val="single" w:sz="4" w:space="0" w:color="000000"/>
              <w:bottom w:val="single" w:sz="4" w:space="0" w:color="000000"/>
              <w:right w:val="single" w:sz="4" w:space="0" w:color="000000"/>
            </w:tcBorders>
          </w:tcPr>
          <w:p w:rsidR="000F2FF8" w:rsidRPr="00BE7F8A" w:rsidRDefault="005D48DF" w:rsidP="006F0D58">
            <w:pPr>
              <w:rPr>
                <w:rFonts w:eastAsia="Times New Roman"/>
                <w:bCs/>
                <w:szCs w:val="22"/>
                <w:lang w:eastAsia="en-US"/>
              </w:rPr>
            </w:pPr>
            <w:r w:rsidRPr="00BE7F8A">
              <w:rPr>
                <w:rFonts w:eastAsia="Times New Roman"/>
                <w:bCs/>
                <w:szCs w:val="22"/>
                <w:lang w:eastAsia="en-US"/>
              </w:rPr>
              <w:t>Septiembre de 2020</w:t>
            </w:r>
            <w:r w:rsidR="000F2FF8" w:rsidRPr="00BE7F8A">
              <w:rPr>
                <w:rFonts w:eastAsia="Times New Roman"/>
                <w:bCs/>
                <w:szCs w:val="22"/>
                <w:lang w:eastAsia="en-US"/>
              </w:rPr>
              <w:t xml:space="preserve"> </w:t>
            </w:r>
          </w:p>
        </w:tc>
        <w:tc>
          <w:tcPr>
            <w:tcW w:w="7252" w:type="dxa"/>
            <w:tcBorders>
              <w:top w:val="single" w:sz="4" w:space="0" w:color="000000"/>
              <w:left w:val="single" w:sz="4" w:space="0" w:color="000000"/>
              <w:bottom w:val="single" w:sz="4" w:space="0" w:color="000000"/>
              <w:right w:val="single" w:sz="4" w:space="0" w:color="000000"/>
            </w:tcBorders>
          </w:tcPr>
          <w:p w:rsidR="005D48DF" w:rsidRPr="00BE7F8A" w:rsidRDefault="005D48DF" w:rsidP="006F0D58">
            <w:pPr>
              <w:rPr>
                <w:rFonts w:eastAsia="Times New Roman"/>
                <w:bCs/>
                <w:szCs w:val="22"/>
                <w:lang w:eastAsia="en-US"/>
              </w:rPr>
            </w:pPr>
            <w:r w:rsidRPr="00BE7F8A">
              <w:rPr>
                <w:rFonts w:eastAsia="Times New Roman"/>
                <w:bCs/>
                <w:szCs w:val="22"/>
                <w:lang w:eastAsia="en-US"/>
              </w:rPr>
              <w:t>(43.ª sesión del CIG)</w:t>
            </w:r>
          </w:p>
          <w:p w:rsidR="005D48DF" w:rsidRPr="00BE7F8A" w:rsidRDefault="005D48DF" w:rsidP="006F0D58">
            <w:pPr>
              <w:rPr>
                <w:rFonts w:eastAsia="Times New Roman"/>
                <w:bCs/>
                <w:szCs w:val="22"/>
                <w:lang w:eastAsia="en-US"/>
              </w:rPr>
            </w:pPr>
            <w:r w:rsidRPr="00BE7F8A">
              <w:rPr>
                <w:rFonts w:eastAsia="Times New Roman"/>
                <w:bCs/>
                <w:szCs w:val="22"/>
                <w:lang w:eastAsia="en-US"/>
              </w:rPr>
              <w:t>Emprender negociaciones sobre los CC.TT. y/o las ECT centrándose en el examen de las cuestiones no resueltas y transversales, y la consideración de distintas opciones relativas a proyecto(s) de instrumento(s) jurídico(s).</w:t>
            </w:r>
          </w:p>
          <w:p w:rsidR="005D48DF" w:rsidRPr="00BE7F8A" w:rsidRDefault="005D48DF" w:rsidP="006F0D58">
            <w:pPr>
              <w:rPr>
                <w:rFonts w:eastAsia="Times New Roman"/>
                <w:bCs/>
                <w:szCs w:val="22"/>
                <w:lang w:eastAsia="en-US"/>
              </w:rPr>
            </w:pPr>
            <w:r w:rsidRPr="00BE7F8A">
              <w:rPr>
                <w:rFonts w:eastAsia="Times New Roman"/>
                <w:bCs/>
                <w:szCs w:val="22"/>
                <w:lang w:eastAsia="en-US"/>
              </w:rPr>
              <w:t>Recomendaciones posibles conforme al apartado e).</w:t>
            </w:r>
          </w:p>
          <w:p w:rsidR="00C97FC3" w:rsidRPr="00BE7F8A" w:rsidRDefault="00C97FC3" w:rsidP="006F0D58">
            <w:pPr>
              <w:rPr>
                <w:rFonts w:eastAsia="Times New Roman"/>
                <w:bCs/>
                <w:szCs w:val="22"/>
                <w:lang w:eastAsia="en-US"/>
              </w:rPr>
            </w:pPr>
          </w:p>
          <w:p w:rsidR="000F2FF8" w:rsidRPr="00BE7F8A" w:rsidRDefault="005D48DF" w:rsidP="006F0D58">
            <w:pPr>
              <w:rPr>
                <w:rFonts w:eastAsia="Times New Roman"/>
                <w:bCs/>
                <w:szCs w:val="22"/>
                <w:lang w:eastAsia="en-US"/>
              </w:rPr>
            </w:pPr>
            <w:r w:rsidRPr="00BE7F8A">
              <w:rPr>
                <w:rFonts w:eastAsia="Times New Roman"/>
                <w:bCs/>
                <w:szCs w:val="22"/>
                <w:lang w:eastAsia="en-US"/>
              </w:rPr>
              <w:t>Duración: 5 días.</w:t>
            </w:r>
            <w:r w:rsidR="000F2FF8" w:rsidRPr="00BE7F8A">
              <w:rPr>
                <w:rFonts w:eastAsia="Times New Roman"/>
                <w:bCs/>
                <w:szCs w:val="22"/>
                <w:lang w:eastAsia="en-US"/>
              </w:rPr>
              <w:t xml:space="preserve"> </w:t>
            </w:r>
          </w:p>
        </w:tc>
      </w:tr>
      <w:tr w:rsidR="005D48DF" w:rsidRPr="00BE7F8A" w:rsidTr="005B5005">
        <w:trPr>
          <w:trHeight w:val="562"/>
        </w:trPr>
        <w:tc>
          <w:tcPr>
            <w:tcW w:w="1741" w:type="dxa"/>
            <w:tcBorders>
              <w:top w:val="single" w:sz="4" w:space="0" w:color="000000"/>
              <w:left w:val="single" w:sz="4" w:space="0" w:color="000000"/>
              <w:bottom w:val="single" w:sz="4" w:space="0" w:color="000000"/>
              <w:right w:val="single" w:sz="4" w:space="0" w:color="000000"/>
            </w:tcBorders>
          </w:tcPr>
          <w:p w:rsidR="000F2FF8" w:rsidRPr="00BE7F8A" w:rsidRDefault="005D48DF" w:rsidP="006F0D58">
            <w:pPr>
              <w:rPr>
                <w:rFonts w:eastAsia="Times New Roman"/>
                <w:bCs/>
                <w:szCs w:val="22"/>
                <w:lang w:eastAsia="en-US"/>
              </w:rPr>
            </w:pPr>
            <w:r w:rsidRPr="00BE7F8A">
              <w:rPr>
                <w:rFonts w:eastAsia="Times New Roman"/>
                <w:bCs/>
                <w:szCs w:val="22"/>
                <w:lang w:eastAsia="en-US"/>
              </w:rPr>
              <w:t>Octubre de 2020</w:t>
            </w:r>
            <w:r w:rsidR="000F2FF8" w:rsidRPr="00BE7F8A">
              <w:rPr>
                <w:rFonts w:eastAsia="Times New Roman"/>
                <w:bCs/>
                <w:szCs w:val="22"/>
                <w:lang w:eastAsia="en-US"/>
              </w:rPr>
              <w:t xml:space="preserve"> </w:t>
            </w:r>
          </w:p>
        </w:tc>
        <w:tc>
          <w:tcPr>
            <w:tcW w:w="7252" w:type="dxa"/>
            <w:tcBorders>
              <w:top w:val="single" w:sz="4" w:space="0" w:color="000000"/>
              <w:left w:val="single" w:sz="4" w:space="0" w:color="000000"/>
              <w:bottom w:val="single" w:sz="4" w:space="0" w:color="000000"/>
              <w:right w:val="single" w:sz="4" w:space="0" w:color="000000"/>
            </w:tcBorders>
          </w:tcPr>
          <w:p w:rsidR="005D48DF" w:rsidRPr="00BE7F8A" w:rsidRDefault="005D48DF" w:rsidP="006F0D58">
            <w:pPr>
              <w:rPr>
                <w:rFonts w:eastAsia="Times New Roman"/>
                <w:bCs/>
                <w:szCs w:val="22"/>
                <w:lang w:eastAsia="en-US"/>
              </w:rPr>
            </w:pPr>
            <w:r w:rsidRPr="00BE7F8A">
              <w:rPr>
                <w:rFonts w:eastAsia="Times New Roman"/>
                <w:bCs/>
                <w:szCs w:val="22"/>
                <w:lang w:eastAsia="en-US"/>
              </w:rPr>
              <w:t>Asamblea General de la OMPI</w:t>
            </w:r>
          </w:p>
          <w:p w:rsidR="000F2FF8" w:rsidRPr="00BE7F8A" w:rsidRDefault="005D48DF" w:rsidP="006F0D58">
            <w:pPr>
              <w:rPr>
                <w:rFonts w:eastAsia="Times New Roman"/>
                <w:bCs/>
                <w:szCs w:val="22"/>
                <w:lang w:eastAsia="en-US"/>
              </w:rPr>
            </w:pPr>
            <w:r w:rsidRPr="00BE7F8A">
              <w:rPr>
                <w:rFonts w:eastAsia="Times New Roman"/>
                <w:bCs/>
                <w:szCs w:val="22"/>
                <w:lang w:eastAsia="en-US"/>
              </w:rPr>
              <w:t>Informe fáctico y examen de las recomendaciones.</w:t>
            </w:r>
            <w:r w:rsidR="000F2FF8" w:rsidRPr="00BE7F8A">
              <w:rPr>
                <w:rFonts w:eastAsia="Times New Roman"/>
                <w:bCs/>
                <w:szCs w:val="22"/>
                <w:lang w:eastAsia="en-US"/>
              </w:rPr>
              <w:t xml:space="preserve"> </w:t>
            </w:r>
          </w:p>
        </w:tc>
      </w:tr>
      <w:tr w:rsidR="005D48DF" w:rsidRPr="00BE7F8A" w:rsidTr="005B5005">
        <w:trPr>
          <w:trHeight w:val="1798"/>
        </w:trPr>
        <w:tc>
          <w:tcPr>
            <w:tcW w:w="1741" w:type="dxa"/>
            <w:tcBorders>
              <w:top w:val="single" w:sz="4" w:space="0" w:color="000000"/>
              <w:left w:val="single" w:sz="4" w:space="0" w:color="000000"/>
              <w:bottom w:val="single" w:sz="4" w:space="0" w:color="000000"/>
              <w:right w:val="single" w:sz="4" w:space="0" w:color="000000"/>
            </w:tcBorders>
          </w:tcPr>
          <w:p w:rsidR="000F2FF8" w:rsidRPr="00BE7F8A" w:rsidRDefault="005D48DF" w:rsidP="006F0D58">
            <w:pPr>
              <w:rPr>
                <w:rFonts w:eastAsia="Times New Roman"/>
                <w:bCs/>
                <w:szCs w:val="22"/>
                <w:lang w:eastAsia="en-US"/>
              </w:rPr>
            </w:pPr>
            <w:r w:rsidRPr="00BE7F8A">
              <w:rPr>
                <w:rFonts w:eastAsia="Times New Roman"/>
                <w:bCs/>
                <w:szCs w:val="22"/>
                <w:lang w:eastAsia="en-US"/>
              </w:rPr>
              <w:t>Noviembre/diciembre de 2020</w:t>
            </w:r>
            <w:r w:rsidR="000F2FF8" w:rsidRPr="00BE7F8A">
              <w:rPr>
                <w:rFonts w:eastAsia="Times New Roman"/>
                <w:bCs/>
                <w:szCs w:val="22"/>
                <w:lang w:eastAsia="en-US"/>
              </w:rPr>
              <w:t xml:space="preserve"> </w:t>
            </w:r>
          </w:p>
        </w:tc>
        <w:tc>
          <w:tcPr>
            <w:tcW w:w="7252" w:type="dxa"/>
            <w:tcBorders>
              <w:top w:val="single" w:sz="4" w:space="0" w:color="000000"/>
              <w:left w:val="single" w:sz="4" w:space="0" w:color="000000"/>
              <w:bottom w:val="single" w:sz="4" w:space="0" w:color="000000"/>
              <w:right w:val="single" w:sz="4" w:space="0" w:color="000000"/>
            </w:tcBorders>
          </w:tcPr>
          <w:p w:rsidR="005D48DF" w:rsidRPr="00BE7F8A" w:rsidRDefault="005D48DF" w:rsidP="006F0D58">
            <w:pPr>
              <w:rPr>
                <w:rFonts w:eastAsia="Times New Roman"/>
                <w:bCs/>
                <w:szCs w:val="22"/>
                <w:lang w:eastAsia="en-US"/>
              </w:rPr>
            </w:pPr>
            <w:r w:rsidRPr="00BE7F8A">
              <w:rPr>
                <w:rFonts w:eastAsia="Times New Roman"/>
                <w:bCs/>
                <w:szCs w:val="22"/>
                <w:lang w:eastAsia="en-US"/>
              </w:rPr>
              <w:t>(44.ª sesión del CIG)</w:t>
            </w:r>
          </w:p>
          <w:p w:rsidR="005D48DF" w:rsidRPr="00BE7F8A" w:rsidRDefault="005D48DF" w:rsidP="006F0D58">
            <w:pPr>
              <w:rPr>
                <w:rFonts w:eastAsia="Times New Roman"/>
                <w:bCs/>
                <w:szCs w:val="22"/>
                <w:lang w:eastAsia="en-US"/>
              </w:rPr>
            </w:pPr>
            <w:r w:rsidRPr="00BE7F8A">
              <w:rPr>
                <w:rFonts w:eastAsia="Times New Roman"/>
                <w:bCs/>
                <w:szCs w:val="22"/>
                <w:lang w:eastAsia="en-US"/>
              </w:rPr>
              <w:t>Emprender negociaciones sobre los CC.TT. y/o las ECT centrándose en el examen de las cuestiones no resueltas y transversales, y la consideración de distintas opciones relativas a proyecto(s) de instrumento(s) jurídico(s).</w:t>
            </w:r>
          </w:p>
          <w:p w:rsidR="00C97FC3" w:rsidRPr="00BE7F8A" w:rsidRDefault="00C97FC3" w:rsidP="006F0D58">
            <w:pPr>
              <w:rPr>
                <w:rFonts w:eastAsia="Times New Roman"/>
                <w:bCs/>
                <w:szCs w:val="22"/>
                <w:lang w:eastAsia="en-US"/>
              </w:rPr>
            </w:pPr>
          </w:p>
          <w:p w:rsidR="000F2FF8" w:rsidRPr="00BE7F8A" w:rsidRDefault="005D48DF" w:rsidP="006F0D58">
            <w:pPr>
              <w:rPr>
                <w:rFonts w:eastAsia="Times New Roman"/>
                <w:bCs/>
                <w:szCs w:val="22"/>
                <w:lang w:eastAsia="en-US"/>
              </w:rPr>
            </w:pPr>
            <w:r w:rsidRPr="00BE7F8A">
              <w:rPr>
                <w:rFonts w:eastAsia="Times New Roman"/>
                <w:bCs/>
                <w:szCs w:val="22"/>
                <w:lang w:eastAsia="en-US"/>
              </w:rPr>
              <w:t xml:space="preserve">Duración: 5 días, más, si así se decide, una reunión de un día de duración de un grupo de especialistas </w:t>
            </w:r>
            <w:r w:rsidRPr="00CF5C9F">
              <w:rPr>
                <w:rFonts w:eastAsia="Times New Roman"/>
                <w:bCs/>
                <w:i/>
                <w:szCs w:val="22"/>
                <w:lang w:eastAsia="en-US"/>
              </w:rPr>
              <w:t>ad hoc</w:t>
            </w:r>
            <w:r w:rsidR="000F2FF8" w:rsidRPr="00BE7F8A">
              <w:rPr>
                <w:rFonts w:eastAsia="Times New Roman"/>
                <w:bCs/>
                <w:szCs w:val="22"/>
                <w:lang w:eastAsia="en-US"/>
              </w:rPr>
              <w:t xml:space="preserve">. </w:t>
            </w:r>
          </w:p>
        </w:tc>
      </w:tr>
      <w:tr w:rsidR="005D48DF" w:rsidRPr="00BE7F8A" w:rsidTr="005B5005">
        <w:trPr>
          <w:trHeight w:val="1498"/>
        </w:trPr>
        <w:tc>
          <w:tcPr>
            <w:tcW w:w="1741" w:type="dxa"/>
            <w:tcBorders>
              <w:top w:val="single" w:sz="4" w:space="0" w:color="000000"/>
              <w:left w:val="single" w:sz="4" w:space="0" w:color="000000"/>
              <w:bottom w:val="single" w:sz="4" w:space="0" w:color="000000"/>
              <w:right w:val="single" w:sz="4" w:space="0" w:color="000000"/>
            </w:tcBorders>
          </w:tcPr>
          <w:p w:rsidR="000F2FF8" w:rsidRPr="00BE7F8A" w:rsidRDefault="005D48DF" w:rsidP="006F0D58">
            <w:pPr>
              <w:rPr>
                <w:rFonts w:eastAsia="Times New Roman"/>
                <w:bCs/>
                <w:szCs w:val="22"/>
                <w:lang w:eastAsia="en-US"/>
              </w:rPr>
            </w:pPr>
            <w:r w:rsidRPr="00BE7F8A">
              <w:rPr>
                <w:rFonts w:eastAsia="Times New Roman"/>
                <w:bCs/>
                <w:szCs w:val="22"/>
                <w:lang w:eastAsia="en-US"/>
              </w:rPr>
              <w:lastRenderedPageBreak/>
              <w:t>Marzo/abril de 2021</w:t>
            </w:r>
            <w:r w:rsidR="000F2FF8" w:rsidRPr="00BE7F8A">
              <w:rPr>
                <w:rFonts w:eastAsia="Times New Roman"/>
                <w:bCs/>
                <w:szCs w:val="22"/>
                <w:lang w:eastAsia="en-US"/>
              </w:rPr>
              <w:t xml:space="preserve"> </w:t>
            </w:r>
          </w:p>
        </w:tc>
        <w:tc>
          <w:tcPr>
            <w:tcW w:w="7252" w:type="dxa"/>
            <w:tcBorders>
              <w:top w:val="single" w:sz="4" w:space="0" w:color="000000"/>
              <w:left w:val="single" w:sz="4" w:space="0" w:color="000000"/>
              <w:bottom w:val="single" w:sz="4" w:space="0" w:color="000000"/>
              <w:right w:val="single" w:sz="4" w:space="0" w:color="000000"/>
            </w:tcBorders>
          </w:tcPr>
          <w:p w:rsidR="005D48DF" w:rsidRPr="00BE7F8A" w:rsidRDefault="005D48DF" w:rsidP="006F0D58">
            <w:pPr>
              <w:rPr>
                <w:rFonts w:eastAsia="Times New Roman"/>
                <w:bCs/>
                <w:szCs w:val="22"/>
                <w:lang w:eastAsia="en-US"/>
              </w:rPr>
            </w:pPr>
            <w:r w:rsidRPr="00BE7F8A">
              <w:rPr>
                <w:rFonts w:eastAsia="Times New Roman"/>
                <w:bCs/>
                <w:szCs w:val="22"/>
                <w:lang w:eastAsia="en-US"/>
              </w:rPr>
              <w:t>(45.ª sesión del CIG)</w:t>
            </w:r>
          </w:p>
          <w:p w:rsidR="005D48DF" w:rsidRPr="00BE7F8A" w:rsidRDefault="005D48DF" w:rsidP="006F0D58">
            <w:pPr>
              <w:rPr>
                <w:rFonts w:eastAsia="Times New Roman"/>
                <w:bCs/>
                <w:szCs w:val="22"/>
                <w:lang w:eastAsia="en-US"/>
              </w:rPr>
            </w:pPr>
            <w:r w:rsidRPr="00BE7F8A">
              <w:rPr>
                <w:rFonts w:eastAsia="Times New Roman"/>
                <w:bCs/>
                <w:szCs w:val="22"/>
                <w:lang w:eastAsia="en-US"/>
              </w:rPr>
              <w:t>Emprender negociaciones sobre los CC.TT. y/o las ECT centrándose en el examen de las cuestiones no resueltas y transversales, y la consideración de distintas opciones relativas a proyecto(s) de instrumento(s) jurídico(s).</w:t>
            </w:r>
          </w:p>
          <w:p w:rsidR="00C97FC3" w:rsidRPr="00BE7F8A" w:rsidRDefault="00C97FC3" w:rsidP="006F0D58">
            <w:pPr>
              <w:rPr>
                <w:rFonts w:eastAsia="Times New Roman"/>
                <w:bCs/>
                <w:szCs w:val="22"/>
                <w:lang w:eastAsia="en-US"/>
              </w:rPr>
            </w:pPr>
          </w:p>
          <w:p w:rsidR="000F2FF8" w:rsidRPr="00BE7F8A" w:rsidRDefault="005D48DF" w:rsidP="006F0D58">
            <w:pPr>
              <w:rPr>
                <w:rFonts w:eastAsia="Times New Roman"/>
                <w:bCs/>
                <w:szCs w:val="22"/>
                <w:lang w:eastAsia="en-US"/>
              </w:rPr>
            </w:pPr>
            <w:r w:rsidRPr="00BE7F8A">
              <w:rPr>
                <w:rFonts w:eastAsia="Times New Roman"/>
                <w:bCs/>
                <w:szCs w:val="22"/>
                <w:lang w:eastAsia="en-US"/>
              </w:rPr>
              <w:t xml:space="preserve">Duración: 5 días, más, si así se decide, una reunión de un día de duración de un grupo de especialistas </w:t>
            </w:r>
            <w:r w:rsidRPr="00CF5C9F">
              <w:rPr>
                <w:rFonts w:eastAsia="Times New Roman"/>
                <w:bCs/>
                <w:i/>
                <w:szCs w:val="22"/>
                <w:lang w:eastAsia="en-US"/>
              </w:rPr>
              <w:t>ad hoc</w:t>
            </w:r>
            <w:r w:rsidRPr="00BE7F8A">
              <w:rPr>
                <w:rFonts w:eastAsia="Times New Roman"/>
                <w:bCs/>
                <w:szCs w:val="22"/>
                <w:lang w:eastAsia="en-US"/>
              </w:rPr>
              <w:t>.</w:t>
            </w:r>
            <w:r w:rsidR="000F2FF8" w:rsidRPr="00BE7F8A">
              <w:rPr>
                <w:rFonts w:eastAsia="Times New Roman"/>
                <w:bCs/>
                <w:szCs w:val="22"/>
                <w:lang w:eastAsia="en-US"/>
              </w:rPr>
              <w:t xml:space="preserve"> </w:t>
            </w:r>
          </w:p>
        </w:tc>
      </w:tr>
      <w:tr w:rsidR="005D48DF" w:rsidRPr="00BE7F8A" w:rsidTr="005B5005">
        <w:trPr>
          <w:trHeight w:val="2095"/>
        </w:trPr>
        <w:tc>
          <w:tcPr>
            <w:tcW w:w="1741" w:type="dxa"/>
            <w:tcBorders>
              <w:top w:val="single" w:sz="4" w:space="0" w:color="000000"/>
              <w:left w:val="single" w:sz="4" w:space="0" w:color="000000"/>
              <w:bottom w:val="single" w:sz="4" w:space="0" w:color="000000"/>
              <w:right w:val="single" w:sz="4" w:space="0" w:color="000000"/>
            </w:tcBorders>
          </w:tcPr>
          <w:p w:rsidR="000F2FF8" w:rsidRPr="00BE7F8A" w:rsidRDefault="005D48DF" w:rsidP="006F0D58">
            <w:pPr>
              <w:rPr>
                <w:rFonts w:eastAsia="Times New Roman"/>
                <w:bCs/>
                <w:szCs w:val="22"/>
                <w:lang w:eastAsia="en-US"/>
              </w:rPr>
            </w:pPr>
            <w:r w:rsidRPr="00BE7F8A">
              <w:rPr>
                <w:rFonts w:eastAsia="Times New Roman"/>
                <w:bCs/>
                <w:szCs w:val="22"/>
                <w:lang w:eastAsia="en-US"/>
              </w:rPr>
              <w:t>Junio/julio de 2021</w:t>
            </w:r>
            <w:r w:rsidR="000F2FF8" w:rsidRPr="00BE7F8A">
              <w:rPr>
                <w:rFonts w:eastAsia="Times New Roman"/>
                <w:bCs/>
                <w:szCs w:val="22"/>
                <w:lang w:eastAsia="en-US"/>
              </w:rPr>
              <w:t xml:space="preserve"> </w:t>
            </w:r>
          </w:p>
        </w:tc>
        <w:tc>
          <w:tcPr>
            <w:tcW w:w="7252" w:type="dxa"/>
            <w:tcBorders>
              <w:top w:val="single" w:sz="4" w:space="0" w:color="000000"/>
              <w:left w:val="single" w:sz="4" w:space="0" w:color="000000"/>
              <w:bottom w:val="single" w:sz="4" w:space="0" w:color="000000"/>
              <w:right w:val="single" w:sz="4" w:space="0" w:color="000000"/>
            </w:tcBorders>
          </w:tcPr>
          <w:p w:rsidR="005D48DF" w:rsidRPr="00BE7F8A" w:rsidRDefault="005D48DF" w:rsidP="006F0D58">
            <w:pPr>
              <w:rPr>
                <w:rFonts w:eastAsia="Times New Roman"/>
                <w:bCs/>
                <w:szCs w:val="22"/>
                <w:lang w:eastAsia="en-US"/>
              </w:rPr>
            </w:pPr>
            <w:r w:rsidRPr="00BE7F8A">
              <w:rPr>
                <w:rFonts w:eastAsia="Times New Roman"/>
                <w:bCs/>
                <w:szCs w:val="22"/>
                <w:lang w:eastAsia="en-US"/>
              </w:rPr>
              <w:t>(46.ª sesión del CIG)</w:t>
            </w:r>
          </w:p>
          <w:p w:rsidR="005D48DF" w:rsidRPr="00BE7F8A" w:rsidRDefault="005D48DF" w:rsidP="006F0D58">
            <w:pPr>
              <w:rPr>
                <w:rFonts w:eastAsia="Times New Roman"/>
                <w:bCs/>
                <w:szCs w:val="22"/>
                <w:lang w:eastAsia="en-US"/>
              </w:rPr>
            </w:pPr>
            <w:r w:rsidRPr="00BE7F8A">
              <w:rPr>
                <w:rFonts w:eastAsia="Times New Roman"/>
                <w:bCs/>
                <w:szCs w:val="22"/>
                <w:lang w:eastAsia="en-US"/>
              </w:rPr>
              <w:t>Emprender negociaciones sobre los CC.TT. y/o las ECT centrándose en el examen de las cuestiones no resueltas y transversales, y la consideración de distintas opciones relativas a proyecto(s) de instrumento(s) jurídico(s).</w:t>
            </w:r>
          </w:p>
          <w:p w:rsidR="005D48DF" w:rsidRPr="00BE7F8A" w:rsidRDefault="005D48DF" w:rsidP="006F0D58">
            <w:pPr>
              <w:rPr>
                <w:rFonts w:eastAsia="Times New Roman"/>
                <w:bCs/>
                <w:szCs w:val="22"/>
                <w:lang w:eastAsia="en-US"/>
              </w:rPr>
            </w:pPr>
            <w:r w:rsidRPr="00BE7F8A">
              <w:rPr>
                <w:rFonts w:eastAsia="Times New Roman"/>
                <w:bCs/>
                <w:szCs w:val="22"/>
                <w:lang w:eastAsia="en-US"/>
              </w:rPr>
              <w:t>Sesión de evaluación sobre RR.GG./CC.TT./ECT y formulación de una recomendación.</w:t>
            </w:r>
          </w:p>
          <w:p w:rsidR="00C97FC3" w:rsidRPr="00BE7F8A" w:rsidRDefault="00C97FC3" w:rsidP="006F0D58">
            <w:pPr>
              <w:rPr>
                <w:rFonts w:eastAsia="Times New Roman"/>
                <w:bCs/>
                <w:szCs w:val="22"/>
                <w:lang w:eastAsia="en-US"/>
              </w:rPr>
            </w:pPr>
          </w:p>
          <w:p w:rsidR="000F2FF8" w:rsidRPr="00BE7F8A" w:rsidRDefault="005D48DF" w:rsidP="006F0D58">
            <w:pPr>
              <w:rPr>
                <w:rFonts w:eastAsia="Times New Roman"/>
                <w:bCs/>
                <w:szCs w:val="22"/>
                <w:lang w:eastAsia="en-US"/>
              </w:rPr>
            </w:pPr>
            <w:r w:rsidRPr="00BE7F8A">
              <w:rPr>
                <w:rFonts w:eastAsia="Times New Roman"/>
                <w:bCs/>
                <w:szCs w:val="22"/>
                <w:lang w:eastAsia="en-US"/>
              </w:rPr>
              <w:t>Duración: 5 días.</w:t>
            </w:r>
          </w:p>
        </w:tc>
      </w:tr>
      <w:tr w:rsidR="005D48DF" w:rsidRPr="00BE7F8A" w:rsidTr="005B5005">
        <w:trPr>
          <w:trHeight w:val="768"/>
        </w:trPr>
        <w:tc>
          <w:tcPr>
            <w:tcW w:w="1741" w:type="dxa"/>
            <w:tcBorders>
              <w:top w:val="single" w:sz="4" w:space="0" w:color="000000"/>
              <w:left w:val="single" w:sz="4" w:space="0" w:color="000000"/>
              <w:bottom w:val="single" w:sz="4" w:space="0" w:color="000000"/>
              <w:right w:val="single" w:sz="4" w:space="0" w:color="000000"/>
            </w:tcBorders>
          </w:tcPr>
          <w:p w:rsidR="000F2FF8" w:rsidRPr="00BE7F8A" w:rsidRDefault="005D48DF" w:rsidP="006F0D58">
            <w:pPr>
              <w:rPr>
                <w:rFonts w:eastAsia="Times New Roman"/>
                <w:bCs/>
                <w:szCs w:val="22"/>
                <w:lang w:eastAsia="en-US"/>
              </w:rPr>
            </w:pPr>
            <w:r w:rsidRPr="00BE7F8A">
              <w:rPr>
                <w:rFonts w:eastAsia="Times New Roman"/>
                <w:bCs/>
                <w:szCs w:val="22"/>
                <w:lang w:eastAsia="en-US"/>
              </w:rPr>
              <w:t>Octubre de 2021</w:t>
            </w:r>
            <w:r w:rsidR="000F2FF8" w:rsidRPr="00BE7F8A">
              <w:rPr>
                <w:rFonts w:eastAsia="Times New Roman"/>
                <w:bCs/>
                <w:szCs w:val="22"/>
                <w:lang w:eastAsia="en-US"/>
              </w:rPr>
              <w:t xml:space="preserve"> </w:t>
            </w:r>
          </w:p>
        </w:tc>
        <w:tc>
          <w:tcPr>
            <w:tcW w:w="7252" w:type="dxa"/>
            <w:tcBorders>
              <w:top w:val="single" w:sz="4" w:space="0" w:color="000000"/>
              <w:left w:val="single" w:sz="4" w:space="0" w:color="000000"/>
              <w:bottom w:val="single" w:sz="4" w:space="0" w:color="000000"/>
              <w:right w:val="single" w:sz="4" w:space="0" w:color="000000"/>
            </w:tcBorders>
          </w:tcPr>
          <w:p w:rsidR="000F2FF8" w:rsidRPr="00BE7F8A" w:rsidRDefault="005D48DF" w:rsidP="006F0D58">
            <w:pPr>
              <w:rPr>
                <w:rFonts w:eastAsia="Times New Roman"/>
                <w:bCs/>
                <w:szCs w:val="22"/>
                <w:lang w:eastAsia="en-US"/>
              </w:rPr>
            </w:pPr>
            <w:r w:rsidRPr="00BE7F8A">
              <w:rPr>
                <w:rFonts w:eastAsia="Times New Roman"/>
                <w:bCs/>
                <w:szCs w:val="22"/>
                <w:lang w:eastAsia="en-US"/>
              </w:rPr>
              <w:t>La Asamblea General de la OMPI ponderará los avances efectuados, examinará el texto o textos y adoptará la dec</w:t>
            </w:r>
            <w:r w:rsidR="00960D8C">
              <w:rPr>
                <w:rFonts w:eastAsia="Times New Roman"/>
                <w:bCs/>
                <w:szCs w:val="22"/>
                <w:lang w:eastAsia="en-US"/>
              </w:rPr>
              <w:t>isión o decisiones pertinentes.</w:t>
            </w:r>
          </w:p>
        </w:tc>
      </w:tr>
    </w:tbl>
    <w:p w:rsidR="00C97FC3" w:rsidRPr="00BE7F8A" w:rsidRDefault="00C97FC3" w:rsidP="00677E45">
      <w:pPr>
        <w:spacing w:after="120" w:line="260" w:lineRule="atLeast"/>
        <w:rPr>
          <w:rFonts w:eastAsia="Times New Roman"/>
          <w:bCs/>
          <w:szCs w:val="22"/>
          <w:lang w:eastAsia="en-US"/>
        </w:rPr>
      </w:pPr>
    </w:p>
    <w:p w:rsidR="00C97FC3" w:rsidRPr="00BE7F8A" w:rsidRDefault="00677E45" w:rsidP="00677E45">
      <w:pPr>
        <w:spacing w:after="120" w:line="260" w:lineRule="atLeast"/>
        <w:rPr>
          <w:rFonts w:eastAsia="Times New Roman"/>
          <w:bCs/>
          <w:szCs w:val="22"/>
          <w:lang w:eastAsia="en-US"/>
        </w:rPr>
      </w:pPr>
      <w:r w:rsidRPr="00BE7F8A">
        <w:rPr>
          <w:rFonts w:eastAsia="Times New Roman"/>
          <w:bCs/>
          <w:szCs w:val="22"/>
          <w:lang w:eastAsia="en-US"/>
        </w:rPr>
        <w:t xml:space="preserve">Recordando las decisiones de la Asamblea General de la OMPI de 2018 a este respecto, el Comité también recomendó que la Asamblea General de la OMPI de 2019 reconozca la importancia de la participación de los pueblos indígenas y las comunidades locales en la labor del Comité, tome nota de que el Fondo de la OMPI de Contribuciones Voluntarias para Comunidades Indígenas y Locales está </w:t>
      </w:r>
      <w:r w:rsidR="00640D43" w:rsidRPr="00BE7F8A">
        <w:rPr>
          <w:rFonts w:eastAsia="Times New Roman"/>
          <w:bCs/>
          <w:szCs w:val="22"/>
          <w:lang w:eastAsia="en-US"/>
        </w:rPr>
        <w:t>bajo mínimos</w:t>
      </w:r>
      <w:r w:rsidRPr="00BE7F8A">
        <w:rPr>
          <w:rFonts w:eastAsia="Times New Roman"/>
          <w:bCs/>
          <w:szCs w:val="22"/>
          <w:lang w:eastAsia="en-US"/>
        </w:rPr>
        <w:t>, aliente a los Estados miembr</w:t>
      </w:r>
      <w:r w:rsidR="008E74C9" w:rsidRPr="00BE7F8A">
        <w:rPr>
          <w:rFonts w:eastAsia="Times New Roman"/>
          <w:bCs/>
          <w:szCs w:val="22"/>
          <w:lang w:eastAsia="en-US"/>
        </w:rPr>
        <w:t xml:space="preserve">os a </w:t>
      </w:r>
      <w:r w:rsidR="00640D43" w:rsidRPr="00BE7F8A">
        <w:rPr>
          <w:rFonts w:eastAsia="Times New Roman"/>
          <w:bCs/>
          <w:szCs w:val="22"/>
          <w:lang w:eastAsia="en-US"/>
        </w:rPr>
        <w:t xml:space="preserve">ponderar la posibilidad de realizar aportaciones </w:t>
      </w:r>
      <w:r w:rsidR="008E74C9" w:rsidRPr="00BE7F8A">
        <w:rPr>
          <w:rFonts w:eastAsia="Times New Roman"/>
          <w:bCs/>
          <w:szCs w:val="22"/>
          <w:lang w:eastAsia="en-US"/>
        </w:rPr>
        <w:t>a dicho</w:t>
      </w:r>
      <w:r w:rsidRPr="00BE7F8A">
        <w:rPr>
          <w:rFonts w:eastAsia="Times New Roman"/>
          <w:bCs/>
          <w:szCs w:val="22"/>
          <w:lang w:eastAsia="en-US"/>
        </w:rPr>
        <w:t xml:space="preserve"> Fondo e invite a los Estados miembros </w:t>
      </w:r>
      <w:r w:rsidR="00640D43" w:rsidRPr="00BE7F8A">
        <w:rPr>
          <w:rFonts w:eastAsia="Times New Roman"/>
          <w:bCs/>
          <w:szCs w:val="22"/>
          <w:lang w:eastAsia="en-US"/>
        </w:rPr>
        <w:t>examinar otros posibles acuerdos de financiación</w:t>
      </w:r>
      <w:r w:rsidRPr="00BE7F8A">
        <w:rPr>
          <w:rFonts w:eastAsia="Times New Roman"/>
          <w:bCs/>
          <w:szCs w:val="22"/>
          <w:lang w:eastAsia="en-US"/>
        </w:rPr>
        <w:t>.</w:t>
      </w:r>
    </w:p>
    <w:p w:rsidR="00C97FC3" w:rsidRPr="00BE7F8A" w:rsidRDefault="00C97FC3" w:rsidP="004C498D">
      <w:pPr>
        <w:spacing w:after="120" w:line="260" w:lineRule="atLeast"/>
        <w:rPr>
          <w:rFonts w:eastAsia="Times New Roman"/>
          <w:bCs/>
          <w:szCs w:val="22"/>
          <w:lang w:eastAsia="en-US"/>
        </w:rPr>
      </w:pPr>
    </w:p>
    <w:p w:rsidR="00C97FC3" w:rsidRPr="00BE7F8A" w:rsidRDefault="00961DAA" w:rsidP="00961DAA">
      <w:pPr>
        <w:spacing w:after="120" w:line="260" w:lineRule="atLeast"/>
      </w:pPr>
      <w:r w:rsidRPr="00BE7F8A">
        <w:t>DECISIÓN SOBRE EL PUNTO 8 DEL ORDEN DEL DÍA:</w:t>
      </w:r>
    </w:p>
    <w:p w:rsidR="00C97FC3" w:rsidRPr="00BE7F8A" w:rsidRDefault="00D9517A" w:rsidP="00961DAA">
      <w:pPr>
        <w:spacing w:after="120" w:line="260" w:lineRule="atLeast"/>
      </w:pPr>
      <w:r w:rsidRPr="00BE7F8A">
        <w:t>CONTRIBUCIÓN DEL COMITÉ INTERGUBERNAMENTAL SOBRE PROPIEDAD INTELECTUAL Y RECURSOS GENÉTICOS, CONOCIMIENTOS TRADICIONALES Y FOLCLORE (CIG) A LA APLICACIÓN DE LAS RECOMENDACIONES DE LA AGENDA PARA EL DESARROLLO QUE LE INCUMBEN</w:t>
      </w:r>
    </w:p>
    <w:p w:rsidR="00C97FC3" w:rsidRPr="00BE7F8A" w:rsidRDefault="00961DAA" w:rsidP="00961DAA">
      <w:pPr>
        <w:spacing w:after="120" w:line="260" w:lineRule="atLeast"/>
        <w:rPr>
          <w:rFonts w:eastAsia="Times New Roman"/>
          <w:bCs/>
          <w:szCs w:val="22"/>
          <w:lang w:eastAsia="en-US"/>
        </w:rPr>
      </w:pPr>
      <w:r w:rsidRPr="00BE7F8A">
        <w:t>El Comité mantuvo un debate en torno a ese punto.</w:t>
      </w:r>
      <w:r w:rsidR="004C498D" w:rsidRPr="00BE7F8A">
        <w:t xml:space="preserve"> </w:t>
      </w:r>
      <w:r w:rsidR="00D9517A" w:rsidRPr="00BE7F8A">
        <w:t>D</w:t>
      </w:r>
      <w:r w:rsidRPr="00BE7F8A">
        <w:t xml:space="preserve">ecidió reflejar en su informe todas las </w:t>
      </w:r>
      <w:r w:rsidR="00D9517A" w:rsidRPr="00BE7F8A">
        <w:t>declaraciones</w:t>
      </w:r>
      <w:r w:rsidRPr="00BE7F8A">
        <w:t xml:space="preserve"> efectuadas sobre este punto para comunicarlas ulteriormente a la Asamblea General de la OMPI, que se reunirá del 30 </w:t>
      </w:r>
      <w:r w:rsidR="00D9517A" w:rsidRPr="00BE7F8A">
        <w:t xml:space="preserve">de septiembre </w:t>
      </w:r>
      <w:r w:rsidRPr="00BE7F8A">
        <w:t>al 9 de octubre de 2019, de conformidad con la decisión adoptada por la Asamblea General de la OMPI en 2010 en relación con el mecanismo de coordinación de la Agenda para el Desarrollo.</w:t>
      </w:r>
    </w:p>
    <w:p w:rsidR="00C97FC3" w:rsidRPr="00BE7F8A" w:rsidRDefault="00C97FC3" w:rsidP="004C498D">
      <w:pPr>
        <w:spacing w:after="120" w:line="260" w:lineRule="atLeast"/>
        <w:rPr>
          <w:rFonts w:eastAsia="Times New Roman"/>
          <w:bCs/>
          <w:szCs w:val="22"/>
          <w:lang w:eastAsia="en-US"/>
        </w:rPr>
      </w:pPr>
    </w:p>
    <w:p w:rsidR="00C97FC3" w:rsidRPr="00BE7F8A" w:rsidRDefault="00961DAA" w:rsidP="00D425E6">
      <w:pPr>
        <w:spacing w:after="120" w:line="260" w:lineRule="atLeast"/>
        <w:rPr>
          <w:rFonts w:eastAsia="Times New Roman"/>
          <w:szCs w:val="22"/>
        </w:rPr>
      </w:pPr>
      <w:r w:rsidRPr="00BE7F8A">
        <w:rPr>
          <w:rFonts w:eastAsia="Times New Roman"/>
          <w:szCs w:val="22"/>
        </w:rPr>
        <w:t>DECISIÓN SOBRE EL PUNTO 9 DEL ORDEN DEL DÍA:</w:t>
      </w:r>
    </w:p>
    <w:p w:rsidR="00C97FC3" w:rsidRPr="00BE7F8A" w:rsidRDefault="00D9517A" w:rsidP="00D425E6">
      <w:pPr>
        <w:spacing w:after="120" w:line="260" w:lineRule="atLeast"/>
        <w:rPr>
          <w:rFonts w:eastAsia="Times New Roman" w:cs="Tahoma"/>
          <w:szCs w:val="22"/>
        </w:rPr>
      </w:pPr>
      <w:r w:rsidRPr="00BE7F8A">
        <w:rPr>
          <w:rFonts w:eastAsia="Times New Roman" w:cs="Tahoma"/>
          <w:szCs w:val="22"/>
        </w:rPr>
        <w:t>OTROS ASUNTOS</w:t>
      </w:r>
    </w:p>
    <w:p w:rsidR="00C97FC3" w:rsidRPr="00BE7F8A" w:rsidRDefault="00961DAA" w:rsidP="00D425E6">
      <w:pPr>
        <w:spacing w:after="120" w:line="260" w:lineRule="atLeast"/>
        <w:rPr>
          <w:rFonts w:eastAsia="Times New Roman" w:cs="Tahoma"/>
          <w:szCs w:val="22"/>
        </w:rPr>
      </w:pPr>
      <w:r w:rsidRPr="00BE7F8A">
        <w:rPr>
          <w:rFonts w:eastAsia="Times New Roman" w:cs="Tahoma"/>
          <w:szCs w:val="22"/>
        </w:rPr>
        <w:t>No hubo debate sobre este punto del orden del día.</w:t>
      </w:r>
    </w:p>
    <w:p w:rsidR="00C97FC3" w:rsidRPr="00BE7F8A" w:rsidRDefault="00C97FC3" w:rsidP="004C498D">
      <w:pPr>
        <w:rPr>
          <w:szCs w:val="22"/>
        </w:rPr>
      </w:pPr>
    </w:p>
    <w:p w:rsidR="00C97FC3" w:rsidRPr="00BE7F8A" w:rsidRDefault="00961DAA" w:rsidP="006F0D58">
      <w:pPr>
        <w:keepNext/>
        <w:keepLines/>
        <w:spacing w:after="120" w:line="260" w:lineRule="atLeast"/>
        <w:rPr>
          <w:szCs w:val="22"/>
        </w:rPr>
      </w:pPr>
      <w:r w:rsidRPr="00BE7F8A">
        <w:rPr>
          <w:szCs w:val="22"/>
        </w:rPr>
        <w:lastRenderedPageBreak/>
        <w:t>DECISIÓN SOBRE EL PUNTO 10 DEL ORDEN DEL DÍA:</w:t>
      </w:r>
    </w:p>
    <w:p w:rsidR="00C97FC3" w:rsidRPr="00BE7F8A" w:rsidRDefault="00D9517A" w:rsidP="006F0D58">
      <w:pPr>
        <w:keepNext/>
        <w:keepLines/>
        <w:spacing w:after="120" w:line="260" w:lineRule="atLeast"/>
        <w:rPr>
          <w:szCs w:val="22"/>
        </w:rPr>
      </w:pPr>
      <w:r w:rsidRPr="00BE7F8A">
        <w:rPr>
          <w:szCs w:val="22"/>
        </w:rPr>
        <w:t>CLAUSURA DE LA SESIÓN</w:t>
      </w:r>
    </w:p>
    <w:p w:rsidR="00C97FC3" w:rsidRPr="00BE7F8A" w:rsidRDefault="00522B5A" w:rsidP="006F0D58">
      <w:pPr>
        <w:keepNext/>
        <w:keepLines/>
        <w:spacing w:after="120" w:line="260" w:lineRule="atLeast"/>
        <w:rPr>
          <w:szCs w:val="22"/>
        </w:rPr>
      </w:pPr>
      <w:r w:rsidRPr="00BE7F8A">
        <w:rPr>
          <w:szCs w:val="22"/>
        </w:rPr>
        <w:t>El 21 de junio de 2019, el Comité adoptó decisiones en relación con los puntos 2, 3, 4, 5, 6, 7 y 8 del orden del día. Acordó que se redacte y distribuya, a más tardar el 6 de septiembre de 2019, un proyecto de informe que contenga el texto concertado de dichas decisiones, así como todas las intervenciones realizadas en la sesión del Comité. Se invitará a los participantes en la sesión del Comité a presentar correcciones por escrito de sus intervenciones, según consten en el proyecto de informe, de modo que una versión final de dicho proyecto pueda distribuirse entre los participantes a los fines de su aprobación en la próxima sesión del Comité.</w:t>
      </w:r>
    </w:p>
    <w:p w:rsidR="00C97FC3" w:rsidRPr="00BE7F8A" w:rsidRDefault="00C97FC3" w:rsidP="004C498D"/>
    <w:p w:rsidR="00C97FC3" w:rsidRPr="00BE7F8A" w:rsidRDefault="00C97FC3" w:rsidP="004C498D"/>
    <w:p w:rsidR="00152CEA" w:rsidRPr="00BE7F8A" w:rsidRDefault="00961DAA" w:rsidP="00960D8C">
      <w:pPr>
        <w:pStyle w:val="Endofdocument-Annex"/>
        <w:rPr>
          <w:lang w:val="es-ES"/>
        </w:rPr>
      </w:pPr>
      <w:r w:rsidRPr="00BE7F8A">
        <w:rPr>
          <w:lang w:val="es-ES"/>
        </w:rPr>
        <w:t>[Fin del documento]</w:t>
      </w:r>
    </w:p>
    <w:sectPr w:rsidR="00152CEA" w:rsidRPr="00BE7F8A" w:rsidSect="004C498D">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51F" w:rsidRDefault="0021451F">
      <w:r>
        <w:separator/>
      </w:r>
    </w:p>
  </w:endnote>
  <w:endnote w:type="continuationSeparator" w:id="0">
    <w:p w:rsidR="0021451F" w:rsidRPr="009D30E6" w:rsidRDefault="0021451F" w:rsidP="007E663E">
      <w:pPr>
        <w:rPr>
          <w:sz w:val="17"/>
          <w:szCs w:val="17"/>
        </w:rPr>
      </w:pPr>
      <w:r w:rsidRPr="009D30E6">
        <w:rPr>
          <w:sz w:val="17"/>
          <w:szCs w:val="17"/>
        </w:rPr>
        <w:separator/>
      </w:r>
    </w:p>
    <w:p w:rsidR="0021451F" w:rsidRPr="007E663E" w:rsidRDefault="0021451F" w:rsidP="007E663E">
      <w:pPr>
        <w:spacing w:after="60"/>
        <w:rPr>
          <w:sz w:val="17"/>
          <w:szCs w:val="17"/>
        </w:rPr>
      </w:pPr>
      <w:r>
        <w:rPr>
          <w:sz w:val="17"/>
        </w:rPr>
        <w:t>[Continuación de la nota de la página anterior]</w:t>
      </w:r>
    </w:p>
  </w:endnote>
  <w:endnote w:type="continuationNotice" w:id="1">
    <w:p w:rsidR="0021451F" w:rsidRPr="007E663E" w:rsidRDefault="0021451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51F" w:rsidRDefault="0021451F">
      <w:r>
        <w:separator/>
      </w:r>
    </w:p>
  </w:footnote>
  <w:footnote w:type="continuationSeparator" w:id="0">
    <w:p w:rsidR="0021451F" w:rsidRPr="009D30E6" w:rsidRDefault="0021451F" w:rsidP="007E663E">
      <w:pPr>
        <w:rPr>
          <w:sz w:val="17"/>
          <w:szCs w:val="17"/>
        </w:rPr>
      </w:pPr>
      <w:r w:rsidRPr="009D30E6">
        <w:rPr>
          <w:sz w:val="17"/>
          <w:szCs w:val="17"/>
        </w:rPr>
        <w:separator/>
      </w:r>
    </w:p>
    <w:p w:rsidR="0021451F" w:rsidRPr="007E663E" w:rsidRDefault="0021451F" w:rsidP="007E663E">
      <w:pPr>
        <w:spacing w:after="60"/>
        <w:rPr>
          <w:sz w:val="17"/>
          <w:szCs w:val="17"/>
        </w:rPr>
      </w:pPr>
      <w:r>
        <w:rPr>
          <w:sz w:val="17"/>
        </w:rPr>
        <w:t>[Continuación de la nota de la página anterior]</w:t>
      </w:r>
    </w:p>
  </w:footnote>
  <w:footnote w:type="continuationNotice" w:id="1">
    <w:p w:rsidR="0021451F" w:rsidRPr="007E663E" w:rsidRDefault="0021451F" w:rsidP="007E663E">
      <w:pPr>
        <w:spacing w:before="60"/>
        <w:jc w:val="right"/>
        <w:rPr>
          <w:sz w:val="17"/>
          <w:szCs w:val="17"/>
        </w:rPr>
      </w:pPr>
      <w:r w:rsidRPr="007E663E">
        <w:rPr>
          <w:sz w:val="17"/>
          <w:szCs w:val="17"/>
        </w:rPr>
        <w:t>[Sigue la nota en la página siguiente]</w:t>
      </w:r>
    </w:p>
  </w:footnote>
  <w:footnote w:id="2">
    <w:p w:rsidR="000F2FF8" w:rsidRPr="00084F70" w:rsidRDefault="000F2FF8" w:rsidP="000F2FF8">
      <w:pPr>
        <w:pStyle w:val="FootnoteText"/>
      </w:pPr>
      <w:r w:rsidRPr="005913D3">
        <w:rPr>
          <w:rStyle w:val="FootnoteReference"/>
        </w:rPr>
        <w:footnoteRef/>
      </w:r>
      <w:r w:rsidRPr="00084F70">
        <w:t xml:space="preserve"> </w:t>
      </w:r>
      <w:r w:rsidRPr="005913D3">
        <w:rPr>
          <w:lang w:val="es-ES_tradnl"/>
        </w:rPr>
        <w:t>Entre las cuestiones esenciales figuran, entre otras, las definiciones, los beneficiarios, la materia objeto de protección, el alcance de la protección y qué CC.TT./ECT son objeto de protección en el plano internacional, incluido el examen de las excepciones y limitaciones y la relación con el dominio público.</w:t>
      </w:r>
      <w:r w:rsidRPr="00084F70">
        <w:t xml:space="preserve"> </w:t>
      </w:r>
    </w:p>
  </w:footnote>
  <w:footnote w:id="3">
    <w:p w:rsidR="00C97FC3" w:rsidRDefault="00C97FC3">
      <w:pPr>
        <w:pStyle w:val="FootnoteText"/>
      </w:pPr>
      <w:r>
        <w:rPr>
          <w:rStyle w:val="FootnoteReference"/>
        </w:rPr>
        <w:footnoteRef/>
      </w:r>
      <w:r>
        <w:t xml:space="preserve"> El grupo o grupos de </w:t>
      </w:r>
      <w:r w:rsidR="00CF5C9F">
        <w:t>especialistas</w:t>
      </w:r>
      <w:r>
        <w:t xml:space="preserve"> gozarán de una representación geográfica equilibrada, y se servirán de una metodología de trabajo eficaz. El grupo o grupos de </w:t>
      </w:r>
      <w:r w:rsidR="00CF5C9F">
        <w:t>especialistas</w:t>
      </w:r>
      <w:r>
        <w:t xml:space="preserve"> sesionará durante las semanas en las que sesione el CIG.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AE7F20" w:rsidP="00477D6B">
    <w:pPr>
      <w:jc w:val="right"/>
    </w:pPr>
  </w:p>
  <w:p w:rsidR="00AE7F20" w:rsidRDefault="00AE7F20" w:rsidP="00477D6B">
    <w:pPr>
      <w:jc w:val="right"/>
    </w:pPr>
    <w:r>
      <w:t xml:space="preserve">página </w:t>
    </w:r>
    <w:r>
      <w:fldChar w:fldCharType="begin"/>
    </w:r>
    <w:r>
      <w:instrText xml:space="preserve"> PAGE  \* MERGEFORMAT </w:instrText>
    </w:r>
    <w:r>
      <w:fldChar w:fldCharType="separate"/>
    </w:r>
    <w:r w:rsidR="00114F14">
      <w:rPr>
        <w:noProof/>
      </w:rPr>
      <w:t>7</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321042"/>
    <w:multiLevelType w:val="hybridMultilevel"/>
    <w:tmpl w:val="73B682D2"/>
    <w:lvl w:ilvl="0" w:tplc="04090017">
      <w:start w:val="1"/>
      <w:numFmt w:val="lowerLetter"/>
      <w:lvlText w:val="%1)"/>
      <w:lvlJc w:val="left"/>
      <w:pPr>
        <w:ind w:left="927"/>
      </w:pPr>
      <w:rPr>
        <w:b w:val="0"/>
        <w:i w:val="0"/>
        <w:strike w:val="0"/>
        <w:dstrike w:val="0"/>
        <w:color w:val="000000"/>
        <w:sz w:val="24"/>
        <w:szCs w:val="24"/>
        <w:u w:val="none" w:color="000000"/>
        <w:bdr w:val="none" w:sz="0" w:space="0" w:color="auto"/>
        <w:shd w:val="clear" w:color="auto" w:fill="auto"/>
        <w:vertAlign w:val="baseline"/>
      </w:rPr>
    </w:lvl>
    <w:lvl w:ilvl="1" w:tplc="4B209092">
      <w:start w:val="1"/>
      <w:numFmt w:val="lowerLetter"/>
      <w:lvlText w:val="%2"/>
      <w:lvlJc w:val="left"/>
      <w:pPr>
        <w:ind w:left="1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3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Development\Dev_Agenda|TextBase TMs\WorkspaceSTS\Outreach\POW Main|TextBase TMs\WorkspaceSTS\Brands, Designs &amp; DN\Hague|TextBase TMs\WorkspaceSTS\Brands, Designs &amp; DN\Trademarks|TextBase TMs\WorkspaceSTS\Patents &amp; Innovation\Patents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L Instruments|TextBase TMs\WorkspaceSTS\Brands, Designs &amp; DN\Lisbon|TextBase TMs\WorkspaceSTS\Brands, Designs &amp; DN\T Instruments|TextBase TMs\WorkspaceSTS\Copyright\C Instruments|TextBase TMs\WorkspaceSTS\Copyright\Copyright|TextBase TMs\WorkspaceSTS\GRTKF\G Instruments|TextBase TMs\WorkspaceSTS\GRTKF\GRTKF|TextBase TMs\WorkspaceSTS\Treaties &amp; Laws\WIPO Lex|TextBase TMs\WorkspaceSTS\UPOV\TGPs|TextBase TMs\WorkspaceSTS\UPOV\TGs|TextBase TMs\WorkspaceSTS\UPOV\TGs Template|TextBase TMs\WorkspaceSTS\UPOV\U Instruments|TextBase TMs\WorkspaceSTS\UPOV\UPOV Main|TextBase TMs\WorkspaceSTS\Ad-hoc\Auxiliar_Pool_STS|TextBase TMs\WorkspaceSTS\Ad-hoc\Auxiliar_Pool_STS_2|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4C498D"/>
    <w:rsid w:val="00010686"/>
    <w:rsid w:val="00052915"/>
    <w:rsid w:val="00084F70"/>
    <w:rsid w:val="000E3BB3"/>
    <w:rsid w:val="000F2FF8"/>
    <w:rsid w:val="000F5E56"/>
    <w:rsid w:val="00114F14"/>
    <w:rsid w:val="001362EE"/>
    <w:rsid w:val="00152CEA"/>
    <w:rsid w:val="001832A6"/>
    <w:rsid w:val="002071A4"/>
    <w:rsid w:val="0021451F"/>
    <w:rsid w:val="00241EBC"/>
    <w:rsid w:val="002634C4"/>
    <w:rsid w:val="002807C7"/>
    <w:rsid w:val="002C2E2F"/>
    <w:rsid w:val="002E0F47"/>
    <w:rsid w:val="002F4E68"/>
    <w:rsid w:val="00310826"/>
    <w:rsid w:val="00354647"/>
    <w:rsid w:val="00360D44"/>
    <w:rsid w:val="00377273"/>
    <w:rsid w:val="003845C1"/>
    <w:rsid w:val="00387287"/>
    <w:rsid w:val="003E48F1"/>
    <w:rsid w:val="003F347A"/>
    <w:rsid w:val="00423E3E"/>
    <w:rsid w:val="00427AF4"/>
    <w:rsid w:val="0045231F"/>
    <w:rsid w:val="004647DA"/>
    <w:rsid w:val="0046793F"/>
    <w:rsid w:val="00475830"/>
    <w:rsid w:val="00477808"/>
    <w:rsid w:val="00477D6B"/>
    <w:rsid w:val="00495CBB"/>
    <w:rsid w:val="004A4657"/>
    <w:rsid w:val="004A6C37"/>
    <w:rsid w:val="004C498D"/>
    <w:rsid w:val="004E297D"/>
    <w:rsid w:val="004E427F"/>
    <w:rsid w:val="00522B5A"/>
    <w:rsid w:val="00531B02"/>
    <w:rsid w:val="005332F0"/>
    <w:rsid w:val="0055013B"/>
    <w:rsid w:val="00571B99"/>
    <w:rsid w:val="005913D3"/>
    <w:rsid w:val="005A4678"/>
    <w:rsid w:val="005B06AD"/>
    <w:rsid w:val="005C6754"/>
    <w:rsid w:val="005D48DF"/>
    <w:rsid w:val="005E0765"/>
    <w:rsid w:val="00605827"/>
    <w:rsid w:val="00640B48"/>
    <w:rsid w:val="00640D43"/>
    <w:rsid w:val="00675021"/>
    <w:rsid w:val="00677E45"/>
    <w:rsid w:val="006A06C6"/>
    <w:rsid w:val="006F0D58"/>
    <w:rsid w:val="007224C8"/>
    <w:rsid w:val="00751064"/>
    <w:rsid w:val="00794BE2"/>
    <w:rsid w:val="007A5581"/>
    <w:rsid w:val="007B71FE"/>
    <w:rsid w:val="007D651D"/>
    <w:rsid w:val="007D781E"/>
    <w:rsid w:val="007E663E"/>
    <w:rsid w:val="00815082"/>
    <w:rsid w:val="0088395E"/>
    <w:rsid w:val="008B2CC1"/>
    <w:rsid w:val="008C44C1"/>
    <w:rsid w:val="008E1B84"/>
    <w:rsid w:val="008E6BD6"/>
    <w:rsid w:val="008E74C9"/>
    <w:rsid w:val="0090731E"/>
    <w:rsid w:val="00960D8C"/>
    <w:rsid w:val="00961DAA"/>
    <w:rsid w:val="00966A22"/>
    <w:rsid w:val="00972F03"/>
    <w:rsid w:val="009A0C8B"/>
    <w:rsid w:val="009A20CD"/>
    <w:rsid w:val="009B6241"/>
    <w:rsid w:val="00A00014"/>
    <w:rsid w:val="00A16FC0"/>
    <w:rsid w:val="00A32C9E"/>
    <w:rsid w:val="00AB613D"/>
    <w:rsid w:val="00AE7F20"/>
    <w:rsid w:val="00B534D5"/>
    <w:rsid w:val="00B57A61"/>
    <w:rsid w:val="00B65A0A"/>
    <w:rsid w:val="00B67CDC"/>
    <w:rsid w:val="00B72D36"/>
    <w:rsid w:val="00B97B84"/>
    <w:rsid w:val="00BC4164"/>
    <w:rsid w:val="00BD2DCC"/>
    <w:rsid w:val="00BE7F8A"/>
    <w:rsid w:val="00C64C77"/>
    <w:rsid w:val="00C90559"/>
    <w:rsid w:val="00C97FC3"/>
    <w:rsid w:val="00CA2251"/>
    <w:rsid w:val="00CF5C9F"/>
    <w:rsid w:val="00D16D09"/>
    <w:rsid w:val="00D24F5B"/>
    <w:rsid w:val="00D425E6"/>
    <w:rsid w:val="00D56C7C"/>
    <w:rsid w:val="00D71B4D"/>
    <w:rsid w:val="00D80AF2"/>
    <w:rsid w:val="00D90289"/>
    <w:rsid w:val="00D93D55"/>
    <w:rsid w:val="00D9517A"/>
    <w:rsid w:val="00DC4C60"/>
    <w:rsid w:val="00E0079A"/>
    <w:rsid w:val="00E444DA"/>
    <w:rsid w:val="00E45C84"/>
    <w:rsid w:val="00E504E5"/>
    <w:rsid w:val="00EB7A3E"/>
    <w:rsid w:val="00EC1AA7"/>
    <w:rsid w:val="00EC401A"/>
    <w:rsid w:val="00EF16E5"/>
    <w:rsid w:val="00EF530A"/>
    <w:rsid w:val="00EF6622"/>
    <w:rsid w:val="00EF78A9"/>
    <w:rsid w:val="00F55408"/>
    <w:rsid w:val="00F66152"/>
    <w:rsid w:val="00F80845"/>
    <w:rsid w:val="00F84474"/>
    <w:rsid w:val="00FA0F0D"/>
    <w:rsid w:val="00FD146C"/>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82BACD"/>
  <w15:docId w15:val="{4382D402-1114-4749-AF83-8D44C00B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Default">
    <w:name w:val="Default"/>
    <w:rsid w:val="004C498D"/>
    <w:pPr>
      <w:autoSpaceDE w:val="0"/>
      <w:autoSpaceDN w:val="0"/>
      <w:adjustRightInd w:val="0"/>
    </w:pPr>
    <w:rPr>
      <w:rFonts w:ascii="Arial" w:hAnsi="Arial" w:cs="Arial"/>
      <w:color w:val="000000"/>
      <w:sz w:val="24"/>
      <w:szCs w:val="24"/>
      <w:lang w:val="en-US"/>
    </w:rPr>
  </w:style>
  <w:style w:type="character" w:styleId="FootnoteReference">
    <w:name w:val="footnote reference"/>
    <w:basedOn w:val="DefaultParagraphFont"/>
    <w:uiPriority w:val="99"/>
    <w:semiHidden/>
    <w:unhideWhenUsed/>
    <w:rsid w:val="000F2FF8"/>
    <w:rPr>
      <w:vertAlign w:val="superscript"/>
    </w:rPr>
  </w:style>
  <w:style w:type="paragraph" w:styleId="ListParagraph">
    <w:name w:val="List Paragraph"/>
    <w:basedOn w:val="Normal"/>
    <w:uiPriority w:val="34"/>
    <w:qFormat/>
    <w:rsid w:val="00960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E4D0F-02B2-473B-B40F-A69A17BB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40 (S).dotm</Template>
  <TotalTime>3</TotalTime>
  <Pages>7</Pages>
  <Words>2361</Words>
  <Characters>13178</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WIPO/GRTKF/IC/40/</vt:lpstr>
    </vt:vector>
  </TitlesOfParts>
  <Company>WIPO</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dc:title>
  <dc:creator>MIGLIORE Liliana</dc:creator>
  <cp:keywords>FOR OFFICIAL USE ONLY</cp:keywords>
  <cp:lastModifiedBy>SANDOVAL Barbara</cp:lastModifiedBy>
  <cp:revision>5</cp:revision>
  <cp:lastPrinted>2019-07-04T09:38:00Z</cp:lastPrinted>
  <dcterms:created xsi:type="dcterms:W3CDTF">2019-07-04T10:14:00Z</dcterms:created>
  <dcterms:modified xsi:type="dcterms:W3CDTF">2019-07-05T15:15:00Z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