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940EA5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B567B3" w:rsidRDefault="00EC4E49" w:rsidP="00916EE2">
            <w:pPr>
              <w:rPr>
                <w:lang w:val="es-U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40EA5" w:rsidRDefault="00422B3B" w:rsidP="00916EE2">
            <w:pPr>
              <w:rPr>
                <w:lang w:val="es-ES"/>
              </w:rPr>
            </w:pPr>
            <w:r w:rsidRPr="00940EA5">
              <w:rPr>
                <w:noProof/>
                <w:lang w:eastAsia="en-US"/>
              </w:rPr>
              <w:drawing>
                <wp:inline distT="0" distB="0" distL="0" distR="0" wp14:anchorId="4A7D562A" wp14:editId="455F6472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40EA5" w:rsidRDefault="00422B3B" w:rsidP="00916EE2">
            <w:pPr>
              <w:jc w:val="right"/>
              <w:rPr>
                <w:lang w:val="es-ES"/>
              </w:rPr>
            </w:pPr>
            <w:r w:rsidRPr="00940EA5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8B2CC1" w:rsidRPr="00940EA5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40EA5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</w:p>
        </w:tc>
      </w:tr>
      <w:tr w:rsidR="008B2CC1" w:rsidRPr="00940EA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40EA5" w:rsidRDefault="008B2CC1" w:rsidP="00422B3B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940EA5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1647D5" w:rsidRPr="00940EA5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422B3B" w:rsidRPr="00940EA5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  <w:r w:rsidRPr="00940EA5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  <w:tr w:rsidR="008B2CC1" w:rsidRPr="00940EA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40EA5" w:rsidRDefault="00422B3B" w:rsidP="00422B3B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940EA5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940EA5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="001647D5" w:rsidRPr="00940EA5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Pr="00940EA5">
              <w:rPr>
                <w:rFonts w:ascii="Arial Black" w:hAnsi="Arial Black"/>
                <w:caps/>
                <w:sz w:val="15"/>
                <w:lang w:val="es-ES"/>
              </w:rPr>
              <w:t>22 de marzo de</w:t>
            </w:r>
            <w:r w:rsidR="00521F15" w:rsidRPr="00940EA5">
              <w:rPr>
                <w:rFonts w:ascii="Arial Black" w:hAnsi="Arial Black"/>
                <w:caps/>
                <w:sz w:val="15"/>
                <w:lang w:val="es-ES"/>
              </w:rPr>
              <w:t xml:space="preserve"> 2019</w:t>
            </w:r>
            <w:r w:rsidR="008B2CC1" w:rsidRPr="00940EA5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</w:tbl>
    <w:p w:rsidR="007056DB" w:rsidRPr="00940EA5" w:rsidRDefault="007056DB" w:rsidP="008B2CC1">
      <w:pPr>
        <w:rPr>
          <w:lang w:val="es-ES"/>
        </w:rPr>
      </w:pPr>
    </w:p>
    <w:p w:rsidR="007056DB" w:rsidRPr="00940EA5" w:rsidRDefault="007056DB" w:rsidP="008B2CC1">
      <w:pPr>
        <w:rPr>
          <w:lang w:val="es-ES"/>
        </w:rPr>
      </w:pPr>
    </w:p>
    <w:p w:rsidR="007056DB" w:rsidRPr="00940EA5" w:rsidRDefault="007056DB" w:rsidP="008B2CC1">
      <w:pPr>
        <w:rPr>
          <w:lang w:val="es-ES"/>
        </w:rPr>
      </w:pPr>
    </w:p>
    <w:p w:rsidR="007056DB" w:rsidRPr="00940EA5" w:rsidRDefault="007056DB" w:rsidP="008B2CC1">
      <w:pPr>
        <w:rPr>
          <w:lang w:val="es-ES"/>
        </w:rPr>
      </w:pPr>
    </w:p>
    <w:p w:rsidR="007056DB" w:rsidRPr="00940EA5" w:rsidRDefault="007056DB" w:rsidP="008B2CC1">
      <w:pPr>
        <w:rPr>
          <w:lang w:val="es-ES"/>
        </w:rPr>
      </w:pPr>
    </w:p>
    <w:p w:rsidR="007056DB" w:rsidRPr="00940EA5" w:rsidRDefault="007056DB" w:rsidP="007056DB">
      <w:pPr>
        <w:rPr>
          <w:b/>
          <w:sz w:val="28"/>
          <w:szCs w:val="28"/>
          <w:lang w:val="es-ES"/>
        </w:rPr>
      </w:pPr>
      <w:r w:rsidRPr="00940EA5">
        <w:rPr>
          <w:b/>
          <w:sz w:val="28"/>
          <w:szCs w:val="28"/>
          <w:lang w:val="es-ES"/>
        </w:rPr>
        <w:t>Comité Intergubernamental sobre Propiedad Intelectual y Recursos Genéticos, Conocimientos Tradicionales y Folclore</w:t>
      </w:r>
    </w:p>
    <w:p w:rsidR="007056DB" w:rsidRPr="00940EA5" w:rsidRDefault="007056DB" w:rsidP="003845C1">
      <w:pPr>
        <w:rPr>
          <w:lang w:val="es-ES"/>
        </w:rPr>
      </w:pPr>
    </w:p>
    <w:p w:rsidR="007056DB" w:rsidRPr="00940EA5" w:rsidRDefault="007056DB" w:rsidP="003845C1">
      <w:pPr>
        <w:rPr>
          <w:lang w:val="es-ES"/>
        </w:rPr>
      </w:pPr>
    </w:p>
    <w:p w:rsidR="007056DB" w:rsidRPr="00940EA5" w:rsidRDefault="007056DB" w:rsidP="007056DB">
      <w:pPr>
        <w:rPr>
          <w:b/>
          <w:sz w:val="24"/>
          <w:szCs w:val="24"/>
          <w:lang w:val="es-ES"/>
        </w:rPr>
      </w:pPr>
      <w:r w:rsidRPr="00940EA5">
        <w:rPr>
          <w:b/>
          <w:sz w:val="24"/>
          <w:szCs w:val="24"/>
          <w:lang w:val="es-ES"/>
        </w:rPr>
        <w:t>Trigésima novena sesión</w:t>
      </w:r>
    </w:p>
    <w:p w:rsidR="007056DB" w:rsidRPr="00940EA5" w:rsidRDefault="007056DB" w:rsidP="007056DB">
      <w:pPr>
        <w:rPr>
          <w:b/>
          <w:sz w:val="24"/>
          <w:szCs w:val="24"/>
          <w:lang w:val="es-ES"/>
        </w:rPr>
      </w:pPr>
      <w:r w:rsidRPr="00940EA5">
        <w:rPr>
          <w:b/>
          <w:sz w:val="24"/>
          <w:szCs w:val="24"/>
          <w:lang w:val="es-ES"/>
        </w:rPr>
        <w:t>Ginebra, 18 a 22 de marzo de 2019</w:t>
      </w:r>
    </w:p>
    <w:p w:rsidR="007056DB" w:rsidRPr="00940EA5" w:rsidRDefault="007056DB" w:rsidP="008B2CC1">
      <w:pPr>
        <w:rPr>
          <w:lang w:val="es-ES"/>
        </w:rPr>
      </w:pPr>
    </w:p>
    <w:p w:rsidR="007056DB" w:rsidRPr="00940EA5" w:rsidRDefault="007056DB" w:rsidP="008B2CC1">
      <w:pPr>
        <w:rPr>
          <w:lang w:val="es-ES"/>
        </w:rPr>
      </w:pPr>
    </w:p>
    <w:p w:rsidR="007056DB" w:rsidRPr="00940EA5" w:rsidRDefault="007056DB" w:rsidP="008B2CC1">
      <w:pPr>
        <w:rPr>
          <w:lang w:val="es-ES"/>
        </w:rPr>
      </w:pPr>
    </w:p>
    <w:p w:rsidR="007056DB" w:rsidRPr="00940EA5" w:rsidRDefault="007056DB" w:rsidP="007056DB">
      <w:pPr>
        <w:rPr>
          <w:caps/>
          <w:sz w:val="24"/>
          <w:lang w:val="es-ES"/>
        </w:rPr>
      </w:pPr>
      <w:bookmarkStart w:id="0" w:name="TitleOfDoc"/>
      <w:bookmarkEnd w:id="0"/>
      <w:r w:rsidRPr="00940EA5">
        <w:rPr>
          <w:caps/>
          <w:sz w:val="24"/>
          <w:lang w:val="es-ES"/>
        </w:rPr>
        <w:t>DECISIONES DE LA TRIGÉSIMA NOVENA SESIÓN DEL COMITÉ</w:t>
      </w:r>
    </w:p>
    <w:p w:rsidR="007056DB" w:rsidRPr="00940EA5" w:rsidRDefault="007056DB" w:rsidP="008B2CC1">
      <w:pPr>
        <w:rPr>
          <w:lang w:val="es-ES"/>
        </w:rPr>
      </w:pPr>
    </w:p>
    <w:p w:rsidR="007056DB" w:rsidRPr="00940EA5" w:rsidRDefault="002A7D9E" w:rsidP="007056DB">
      <w:pPr>
        <w:rPr>
          <w:i/>
          <w:lang w:val="es-ES"/>
        </w:rPr>
      </w:pPr>
      <w:bookmarkStart w:id="1" w:name="Prepared"/>
      <w:bookmarkEnd w:id="1"/>
      <w:r>
        <w:rPr>
          <w:i/>
          <w:lang w:val="es-ES"/>
        </w:rPr>
        <w:t>adoptadas por el Comité</w:t>
      </w:r>
    </w:p>
    <w:p w:rsidR="007056DB" w:rsidRPr="00940EA5" w:rsidRDefault="007056DB">
      <w:pPr>
        <w:rPr>
          <w:lang w:val="es-ES"/>
        </w:rPr>
      </w:pPr>
    </w:p>
    <w:p w:rsidR="007056DB" w:rsidRPr="00940EA5" w:rsidRDefault="007056DB">
      <w:pPr>
        <w:rPr>
          <w:lang w:val="es-ES"/>
        </w:rPr>
      </w:pPr>
    </w:p>
    <w:p w:rsidR="007056DB" w:rsidRPr="00940EA5" w:rsidRDefault="008A3814">
      <w:pPr>
        <w:rPr>
          <w:lang w:val="es-ES"/>
        </w:rPr>
      </w:pPr>
      <w:r w:rsidRPr="00940EA5">
        <w:rPr>
          <w:lang w:val="es-ES"/>
        </w:rPr>
        <w:br w:type="page"/>
      </w:r>
      <w:bookmarkStart w:id="2" w:name="_GoBack"/>
      <w:bookmarkEnd w:id="2"/>
    </w:p>
    <w:p w:rsidR="007056DB" w:rsidRPr="00940EA5" w:rsidRDefault="007056DB" w:rsidP="008A3814">
      <w:pPr>
        <w:spacing w:after="120" w:line="260" w:lineRule="atLeast"/>
        <w:rPr>
          <w:szCs w:val="22"/>
          <w:lang w:val="es-ES"/>
        </w:rPr>
      </w:pPr>
    </w:p>
    <w:p w:rsidR="007056DB" w:rsidRPr="00940EA5" w:rsidRDefault="007056DB" w:rsidP="007056DB">
      <w:pPr>
        <w:spacing w:after="120" w:line="260" w:lineRule="atLeast"/>
        <w:rPr>
          <w:szCs w:val="22"/>
          <w:lang w:val="es-ES"/>
        </w:rPr>
      </w:pPr>
      <w:r w:rsidRPr="00940EA5">
        <w:rPr>
          <w:szCs w:val="22"/>
          <w:lang w:val="es-ES"/>
        </w:rPr>
        <w:t>DECISIÓN SOBRE EL PUNTO 2 DEL ORDEN DEL DÍA:</w:t>
      </w:r>
    </w:p>
    <w:p w:rsidR="007056DB" w:rsidRPr="00940EA5" w:rsidRDefault="007056DB" w:rsidP="007056DB">
      <w:pPr>
        <w:spacing w:after="120" w:line="260" w:lineRule="atLeast"/>
        <w:rPr>
          <w:szCs w:val="22"/>
          <w:lang w:val="es-ES"/>
        </w:rPr>
      </w:pPr>
      <w:r w:rsidRPr="00940EA5">
        <w:rPr>
          <w:szCs w:val="22"/>
          <w:lang w:val="es-ES"/>
        </w:rPr>
        <w:t>APROBACIÓN DEL ORDEN DEL DÍA</w:t>
      </w:r>
    </w:p>
    <w:p w:rsidR="007056DB" w:rsidRPr="00940EA5" w:rsidRDefault="007056DB" w:rsidP="007056DB">
      <w:pPr>
        <w:spacing w:after="120" w:line="260" w:lineRule="atLeast"/>
        <w:rPr>
          <w:szCs w:val="22"/>
          <w:lang w:val="es-ES"/>
        </w:rPr>
      </w:pPr>
      <w:r w:rsidRPr="00940EA5">
        <w:rPr>
          <w:szCs w:val="22"/>
          <w:lang w:val="es-ES"/>
        </w:rPr>
        <w:t>El presidente sometió a aprobación el proyecto de orden del día, distribuido con la signatura WIPO/GRTKF/IC/39/1 Prov. 2, que fue aprobado.</w:t>
      </w:r>
      <w:r w:rsidR="0095154E" w:rsidRPr="00940EA5">
        <w:rPr>
          <w:szCs w:val="22"/>
          <w:lang w:val="es-ES"/>
        </w:rPr>
        <w:t xml:space="preserve"> </w:t>
      </w:r>
    </w:p>
    <w:p w:rsidR="007056DB" w:rsidRPr="00940EA5" w:rsidRDefault="007056DB" w:rsidP="008A3814">
      <w:pPr>
        <w:spacing w:after="120" w:line="260" w:lineRule="atLeast"/>
        <w:rPr>
          <w:szCs w:val="22"/>
          <w:lang w:val="es-ES"/>
        </w:rPr>
      </w:pPr>
    </w:p>
    <w:p w:rsidR="007056DB" w:rsidRPr="00940EA5" w:rsidRDefault="007056DB" w:rsidP="007056DB">
      <w:pPr>
        <w:spacing w:after="120" w:line="260" w:lineRule="atLeast"/>
        <w:rPr>
          <w:szCs w:val="22"/>
          <w:lang w:val="es-ES"/>
        </w:rPr>
      </w:pPr>
      <w:r w:rsidRPr="00940EA5">
        <w:rPr>
          <w:szCs w:val="22"/>
          <w:lang w:val="es-ES"/>
        </w:rPr>
        <w:t>DECISIÓN SOBRE EL PUNTO 3 DEL ORDEN DEL DÍA:</w:t>
      </w:r>
    </w:p>
    <w:p w:rsidR="007056DB" w:rsidRPr="00940EA5" w:rsidRDefault="007056DB" w:rsidP="007056DB">
      <w:pPr>
        <w:spacing w:after="120" w:line="260" w:lineRule="atLeast"/>
        <w:rPr>
          <w:szCs w:val="22"/>
          <w:lang w:val="es-ES"/>
        </w:rPr>
      </w:pPr>
      <w:r w:rsidRPr="00940EA5">
        <w:rPr>
          <w:szCs w:val="22"/>
          <w:lang w:val="es-ES"/>
        </w:rPr>
        <w:t>APROBACIÓN DEL INFORME DE LA TRIGÉSIMA OCTAVA SESIÓN</w:t>
      </w:r>
    </w:p>
    <w:p w:rsidR="007056DB" w:rsidRPr="00940EA5" w:rsidRDefault="003D6046" w:rsidP="003D6046">
      <w:pPr>
        <w:spacing w:after="120" w:line="260" w:lineRule="atLeast"/>
        <w:rPr>
          <w:szCs w:val="22"/>
          <w:lang w:val="es-ES"/>
        </w:rPr>
      </w:pPr>
      <w:r w:rsidRPr="00940EA5">
        <w:rPr>
          <w:szCs w:val="22"/>
          <w:lang w:val="es-ES"/>
        </w:rPr>
        <w:t>El presidente sometió a aprobación el proyecto de informe de la trigésima octava sesión del Comité (WIPO/GRTKF/IC/38/16 Prov. 2), que fue aprobado.</w:t>
      </w:r>
    </w:p>
    <w:p w:rsidR="007056DB" w:rsidRPr="00940EA5" w:rsidRDefault="007056DB" w:rsidP="008A3814">
      <w:pPr>
        <w:spacing w:after="120" w:line="260" w:lineRule="atLeast"/>
        <w:rPr>
          <w:szCs w:val="22"/>
          <w:lang w:val="es-ES"/>
        </w:rPr>
      </w:pPr>
    </w:p>
    <w:p w:rsidR="007056DB" w:rsidRPr="00940EA5" w:rsidRDefault="003D6046" w:rsidP="003D6046">
      <w:pPr>
        <w:spacing w:after="120" w:line="260" w:lineRule="atLeast"/>
        <w:rPr>
          <w:szCs w:val="22"/>
          <w:lang w:val="es-ES"/>
        </w:rPr>
      </w:pPr>
      <w:r w:rsidRPr="00940EA5">
        <w:rPr>
          <w:szCs w:val="22"/>
          <w:lang w:val="es-ES"/>
        </w:rPr>
        <w:t>DECISIÓN SOBRE EL PUNTO 4 DEL ORDEN DEL DÍA:</w:t>
      </w:r>
      <w:r w:rsidR="0095154E" w:rsidRPr="00940EA5">
        <w:rPr>
          <w:szCs w:val="22"/>
          <w:lang w:val="es-ES"/>
        </w:rPr>
        <w:t xml:space="preserve"> </w:t>
      </w:r>
    </w:p>
    <w:p w:rsidR="007056DB" w:rsidRPr="00940EA5" w:rsidRDefault="003D6046" w:rsidP="003D6046">
      <w:pPr>
        <w:spacing w:after="120" w:line="260" w:lineRule="atLeast"/>
        <w:rPr>
          <w:szCs w:val="22"/>
          <w:lang w:val="es-ES"/>
        </w:rPr>
      </w:pPr>
      <w:r w:rsidRPr="00940EA5">
        <w:rPr>
          <w:szCs w:val="22"/>
          <w:lang w:val="es-ES"/>
        </w:rPr>
        <w:t>ACREDITACIÓN DE DETERMINADAS ORGANIZACIONES</w:t>
      </w:r>
    </w:p>
    <w:p w:rsidR="007056DB" w:rsidRPr="00940EA5" w:rsidRDefault="003D6046" w:rsidP="003D6046">
      <w:pPr>
        <w:pStyle w:val="Default"/>
        <w:rPr>
          <w:sz w:val="22"/>
          <w:szCs w:val="22"/>
          <w:lang w:val="es-ES"/>
        </w:rPr>
      </w:pPr>
      <w:r w:rsidRPr="00940EA5">
        <w:rPr>
          <w:sz w:val="22"/>
          <w:szCs w:val="22"/>
          <w:lang w:val="es-ES"/>
        </w:rPr>
        <w:t xml:space="preserve">El Comité aprobó por unanimidad la acreditación de Te Rūnanga o Toa Rangatira Inc. en calidad de observador </w:t>
      </w:r>
      <w:r w:rsidRPr="00940EA5">
        <w:rPr>
          <w:i/>
          <w:sz w:val="22"/>
          <w:szCs w:val="22"/>
          <w:lang w:val="es-ES"/>
        </w:rPr>
        <w:t>ad hoc</w:t>
      </w:r>
      <w:r w:rsidRPr="00940EA5">
        <w:rPr>
          <w:sz w:val="22"/>
          <w:szCs w:val="22"/>
          <w:lang w:val="es-ES"/>
        </w:rPr>
        <w:t>.</w:t>
      </w:r>
      <w:r w:rsidR="0095154E" w:rsidRPr="00940EA5">
        <w:rPr>
          <w:sz w:val="22"/>
          <w:szCs w:val="22"/>
          <w:lang w:val="es-ES"/>
        </w:rPr>
        <w:t xml:space="preserve"> </w:t>
      </w:r>
    </w:p>
    <w:p w:rsidR="007056DB" w:rsidRPr="00940EA5" w:rsidRDefault="007056DB" w:rsidP="008A3814">
      <w:pPr>
        <w:spacing w:after="120" w:line="260" w:lineRule="atLeast"/>
        <w:rPr>
          <w:szCs w:val="22"/>
          <w:lang w:val="es-ES"/>
        </w:rPr>
      </w:pPr>
    </w:p>
    <w:p w:rsidR="007056DB" w:rsidRPr="00940EA5" w:rsidRDefault="003D6046" w:rsidP="003D6046">
      <w:pPr>
        <w:spacing w:after="120" w:line="260" w:lineRule="atLeast"/>
        <w:rPr>
          <w:szCs w:val="22"/>
          <w:lang w:val="es-ES"/>
        </w:rPr>
      </w:pPr>
      <w:r w:rsidRPr="00940EA5">
        <w:rPr>
          <w:szCs w:val="22"/>
          <w:lang w:val="es-ES"/>
        </w:rPr>
        <w:t>DECISIÓN SOBRE EL PUNTO 5 DEL ORDEN DEL DÍA:</w:t>
      </w:r>
    </w:p>
    <w:p w:rsidR="007056DB" w:rsidRPr="00940EA5" w:rsidRDefault="003D6046" w:rsidP="003D6046">
      <w:pPr>
        <w:spacing w:after="120" w:line="260" w:lineRule="atLeast"/>
        <w:rPr>
          <w:szCs w:val="22"/>
          <w:lang w:val="es-ES"/>
        </w:rPr>
      </w:pPr>
      <w:r w:rsidRPr="00940EA5">
        <w:rPr>
          <w:szCs w:val="22"/>
          <w:lang w:val="es-ES"/>
        </w:rPr>
        <w:t>PARTICIPACIÓN DE LAS COMUNIDADES INDÍGENAS Y LOCALES</w:t>
      </w:r>
    </w:p>
    <w:p w:rsidR="007056DB" w:rsidRPr="00940EA5" w:rsidRDefault="003D6046" w:rsidP="003D6046">
      <w:pPr>
        <w:spacing w:line="260" w:lineRule="atLeast"/>
        <w:rPr>
          <w:szCs w:val="22"/>
          <w:lang w:val="es-ES"/>
        </w:rPr>
      </w:pPr>
      <w:r w:rsidRPr="00940EA5">
        <w:rPr>
          <w:szCs w:val="22"/>
          <w:lang w:val="es-ES"/>
        </w:rPr>
        <w:t>El Comité tomó nota de los documentos WIPO/GRTKF/IC/39/3, WIPO/GRTKF/IC/39/INF/4 y WIPO/GRTKF/IC/39/INF/6.</w:t>
      </w:r>
    </w:p>
    <w:p w:rsidR="007056DB" w:rsidRPr="00940EA5" w:rsidRDefault="007056DB" w:rsidP="008A3814">
      <w:pPr>
        <w:spacing w:line="260" w:lineRule="atLeast"/>
        <w:rPr>
          <w:szCs w:val="22"/>
          <w:lang w:val="es-ES"/>
        </w:rPr>
      </w:pPr>
    </w:p>
    <w:p w:rsidR="007056DB" w:rsidRPr="00940EA5" w:rsidRDefault="003D6046" w:rsidP="003D6046">
      <w:pPr>
        <w:spacing w:line="260" w:lineRule="atLeast"/>
        <w:rPr>
          <w:szCs w:val="22"/>
          <w:lang w:val="es-ES"/>
        </w:rPr>
      </w:pPr>
      <w:r w:rsidRPr="00940EA5">
        <w:rPr>
          <w:szCs w:val="22"/>
          <w:lang w:val="es-ES"/>
        </w:rPr>
        <w:t>El Comité</w:t>
      </w:r>
      <w:r w:rsidR="009E2DB9">
        <w:rPr>
          <w:szCs w:val="22"/>
          <w:lang w:val="es-ES"/>
        </w:rPr>
        <w:t xml:space="preserve"> acogió con agrado el anuncio del</w:t>
      </w:r>
      <w:r w:rsidR="002A7D9E">
        <w:rPr>
          <w:szCs w:val="22"/>
          <w:lang w:val="es-ES"/>
        </w:rPr>
        <w:t xml:space="preserve"> Gobierno</w:t>
      </w:r>
      <w:r w:rsidR="009E2DB9">
        <w:rPr>
          <w:szCs w:val="22"/>
          <w:lang w:val="es-ES"/>
        </w:rPr>
        <w:t xml:space="preserve"> del Canadá de que aportará 25.000 dólares canadienses al Fondo de la OMPI de Contribuciones Voluntarias para las Comunidades Indígenas y Locales Acreditadas, e</w:t>
      </w:r>
      <w:r w:rsidRPr="00940EA5">
        <w:rPr>
          <w:szCs w:val="22"/>
          <w:lang w:val="es-ES"/>
        </w:rPr>
        <w:t xml:space="preserve"> instó encarecidamente a los miembros del Comité y a todas las entidades públicas y privadas interesadas a que contribuyan al Fondo.</w:t>
      </w:r>
    </w:p>
    <w:p w:rsidR="007056DB" w:rsidRPr="00940EA5" w:rsidRDefault="007056DB" w:rsidP="008A3814">
      <w:pPr>
        <w:spacing w:line="260" w:lineRule="atLeast"/>
        <w:rPr>
          <w:szCs w:val="22"/>
          <w:lang w:val="es-ES"/>
        </w:rPr>
      </w:pPr>
    </w:p>
    <w:p w:rsidR="007056DB" w:rsidRPr="00940EA5" w:rsidRDefault="003D6046" w:rsidP="003D6046">
      <w:pPr>
        <w:spacing w:line="260" w:lineRule="atLeast"/>
        <w:rPr>
          <w:szCs w:val="22"/>
          <w:lang w:val="es-ES"/>
        </w:rPr>
      </w:pPr>
      <w:r w:rsidRPr="00940EA5">
        <w:rPr>
          <w:szCs w:val="22"/>
          <w:lang w:val="es-ES"/>
        </w:rPr>
        <w:t>Tras recordar las decisiones adoptadas en el quincuagésimo período de sesiones de la Asamblea General de la OM</w:t>
      </w:r>
      <w:r w:rsidR="009E2DB9">
        <w:rPr>
          <w:szCs w:val="22"/>
          <w:lang w:val="es-ES"/>
        </w:rPr>
        <w:t>PI, el Comité instó asimismo a sus</w:t>
      </w:r>
      <w:r w:rsidRPr="00940EA5">
        <w:rPr>
          <w:szCs w:val="22"/>
          <w:lang w:val="es-ES"/>
        </w:rPr>
        <w:t xml:space="preserve"> miembros a que consideren otras modalidades de financiación.</w:t>
      </w:r>
      <w:r w:rsidR="0095154E" w:rsidRPr="00940EA5">
        <w:rPr>
          <w:szCs w:val="22"/>
          <w:lang w:val="es-ES"/>
        </w:rPr>
        <w:t xml:space="preserve"> </w:t>
      </w:r>
    </w:p>
    <w:p w:rsidR="007056DB" w:rsidRPr="00940EA5" w:rsidRDefault="007056DB" w:rsidP="008A3814">
      <w:pPr>
        <w:spacing w:line="260" w:lineRule="atLeast"/>
        <w:rPr>
          <w:szCs w:val="22"/>
          <w:lang w:val="es-ES"/>
        </w:rPr>
      </w:pPr>
    </w:p>
    <w:p w:rsidR="007056DB" w:rsidRPr="00940EA5" w:rsidRDefault="003D0203" w:rsidP="00940EA5">
      <w:pPr>
        <w:spacing w:line="260" w:lineRule="atLeast"/>
        <w:rPr>
          <w:szCs w:val="22"/>
          <w:lang w:val="es-ES"/>
        </w:rPr>
      </w:pPr>
      <w:r w:rsidRPr="00940EA5">
        <w:rPr>
          <w:szCs w:val="22"/>
          <w:lang w:val="es-ES"/>
        </w:rPr>
        <w:t xml:space="preserve">El presidente propuso a las ocho personas siguientes para que intervengan a título personal en la Junta Asesora, y el Comité las eligió por aclamación: </w:t>
      </w:r>
      <w:r w:rsidR="00940EA5">
        <w:rPr>
          <w:szCs w:val="22"/>
          <w:lang w:val="es-ES"/>
        </w:rPr>
        <w:t>Sr</w:t>
      </w:r>
      <w:r w:rsidR="00940EA5" w:rsidRPr="00940EA5">
        <w:rPr>
          <w:szCs w:val="22"/>
          <w:lang w:val="es-ES"/>
        </w:rPr>
        <w:t xml:space="preserve">. Martín Correa, </w:t>
      </w:r>
      <w:r w:rsidR="00940EA5">
        <w:rPr>
          <w:szCs w:val="22"/>
          <w:lang w:val="es-ES"/>
        </w:rPr>
        <w:t>consejero</w:t>
      </w:r>
      <w:r w:rsidR="00940EA5" w:rsidRPr="00940EA5">
        <w:rPr>
          <w:szCs w:val="22"/>
          <w:lang w:val="es-ES"/>
        </w:rPr>
        <w:t xml:space="preserve">, </w:t>
      </w:r>
      <w:r w:rsidR="00940EA5">
        <w:rPr>
          <w:szCs w:val="22"/>
          <w:lang w:val="es-ES"/>
        </w:rPr>
        <w:t>Misión Permanente de</w:t>
      </w:r>
      <w:r w:rsidR="009E2DB9">
        <w:rPr>
          <w:szCs w:val="22"/>
          <w:lang w:val="es-ES"/>
        </w:rPr>
        <w:t xml:space="preserve"> Chile; </w:t>
      </w:r>
      <w:r w:rsidR="00940EA5">
        <w:rPr>
          <w:szCs w:val="22"/>
          <w:lang w:val="es-ES"/>
        </w:rPr>
        <w:t>Sr</w:t>
      </w:r>
      <w:r w:rsidR="00940EA5" w:rsidRPr="00940EA5">
        <w:rPr>
          <w:szCs w:val="22"/>
          <w:lang w:val="es-ES"/>
        </w:rPr>
        <w:t xml:space="preserve">. Alexander Da Costa, </w:t>
      </w:r>
      <w:r w:rsidR="00940EA5">
        <w:rPr>
          <w:szCs w:val="22"/>
          <w:lang w:val="es-ES"/>
        </w:rPr>
        <w:t>ministro consejero y representante permanente adjunto</w:t>
      </w:r>
      <w:r w:rsidR="00940EA5" w:rsidRPr="00940EA5">
        <w:rPr>
          <w:szCs w:val="22"/>
          <w:lang w:val="es-ES"/>
        </w:rPr>
        <w:t xml:space="preserve">, </w:t>
      </w:r>
      <w:r w:rsidR="00940EA5">
        <w:rPr>
          <w:szCs w:val="22"/>
          <w:lang w:val="es-ES"/>
        </w:rPr>
        <w:t xml:space="preserve">Embajada de </w:t>
      </w:r>
      <w:r w:rsidR="00940EA5" w:rsidRPr="00940EA5">
        <w:rPr>
          <w:szCs w:val="22"/>
          <w:lang w:val="es-ES"/>
        </w:rPr>
        <w:t xml:space="preserve">Gambia </w:t>
      </w:r>
      <w:r w:rsidR="00940EA5">
        <w:rPr>
          <w:szCs w:val="22"/>
          <w:lang w:val="es-ES"/>
        </w:rPr>
        <w:t>en Suiza y Misión Permanente de</w:t>
      </w:r>
      <w:r w:rsidR="00940EA5" w:rsidRPr="00940EA5">
        <w:rPr>
          <w:szCs w:val="22"/>
          <w:lang w:val="es-ES"/>
        </w:rPr>
        <w:t xml:space="preserve"> </w:t>
      </w:r>
      <w:r w:rsidR="00F01E99">
        <w:rPr>
          <w:szCs w:val="22"/>
          <w:lang w:val="es-ES"/>
        </w:rPr>
        <w:t xml:space="preserve">Gambia; </w:t>
      </w:r>
      <w:r w:rsidR="00940EA5">
        <w:rPr>
          <w:szCs w:val="22"/>
          <w:lang w:val="es-ES"/>
        </w:rPr>
        <w:t>Sra</w:t>
      </w:r>
      <w:r w:rsidR="00940EA5" w:rsidRPr="00940EA5">
        <w:rPr>
          <w:szCs w:val="22"/>
          <w:lang w:val="es-ES"/>
        </w:rPr>
        <w:t xml:space="preserve">. Jessica Forero, </w:t>
      </w:r>
      <w:r w:rsidR="00940EA5">
        <w:rPr>
          <w:szCs w:val="22"/>
          <w:lang w:val="es-ES"/>
        </w:rPr>
        <w:t>representant</w:t>
      </w:r>
      <w:r w:rsidR="00940EA5" w:rsidRPr="00940EA5">
        <w:rPr>
          <w:szCs w:val="22"/>
          <w:lang w:val="es-ES"/>
        </w:rPr>
        <w:t>e, Comisión Jurídica para el Autodesarrollo de los Pueblos Originarios Andinos</w:t>
      </w:r>
      <w:r w:rsidR="00F01E99">
        <w:rPr>
          <w:szCs w:val="22"/>
          <w:lang w:val="es-ES"/>
        </w:rPr>
        <w:t xml:space="preserve"> (CAPAJ); </w:t>
      </w:r>
      <w:r w:rsidR="00940EA5">
        <w:rPr>
          <w:szCs w:val="22"/>
          <w:lang w:val="es-ES"/>
        </w:rPr>
        <w:t>Sr</w:t>
      </w:r>
      <w:r w:rsidR="00940EA5" w:rsidRPr="00940EA5">
        <w:rPr>
          <w:szCs w:val="22"/>
          <w:lang w:val="es-ES"/>
        </w:rPr>
        <w:t xml:space="preserve">. Jeremy Kolodziej, </w:t>
      </w:r>
      <w:r w:rsidR="00940EA5">
        <w:rPr>
          <w:szCs w:val="22"/>
          <w:lang w:val="es-ES"/>
        </w:rPr>
        <w:t>representante</w:t>
      </w:r>
      <w:r w:rsidR="00940EA5" w:rsidRPr="00940EA5">
        <w:rPr>
          <w:szCs w:val="22"/>
          <w:lang w:val="es-ES"/>
        </w:rPr>
        <w:t xml:space="preserve">, </w:t>
      </w:r>
      <w:r w:rsidR="00940EA5" w:rsidRPr="00940EA5">
        <w:rPr>
          <w:i/>
          <w:iCs/>
          <w:szCs w:val="22"/>
          <w:lang w:val="es-ES"/>
        </w:rPr>
        <w:t>Assembly of First Nations</w:t>
      </w:r>
      <w:r w:rsidR="00F01E99">
        <w:rPr>
          <w:szCs w:val="22"/>
          <w:lang w:val="es-ES"/>
        </w:rPr>
        <w:t xml:space="preserve">; </w:t>
      </w:r>
      <w:r w:rsidR="00940EA5">
        <w:rPr>
          <w:szCs w:val="22"/>
          <w:lang w:val="es-ES"/>
        </w:rPr>
        <w:t>Sra</w:t>
      </w:r>
      <w:r w:rsidR="00940EA5" w:rsidRPr="00940EA5">
        <w:rPr>
          <w:szCs w:val="22"/>
          <w:lang w:val="es-ES"/>
        </w:rPr>
        <w:t xml:space="preserve">. Geise Perrelet, </w:t>
      </w:r>
      <w:r w:rsidR="00940EA5">
        <w:rPr>
          <w:szCs w:val="22"/>
          <w:lang w:val="es-ES"/>
        </w:rPr>
        <w:t>representante</w:t>
      </w:r>
      <w:r w:rsidR="00940EA5" w:rsidRPr="00940EA5">
        <w:rPr>
          <w:szCs w:val="22"/>
          <w:lang w:val="es-ES"/>
        </w:rPr>
        <w:t xml:space="preserve">, </w:t>
      </w:r>
      <w:r w:rsidR="00940EA5">
        <w:rPr>
          <w:szCs w:val="22"/>
          <w:lang w:val="es-ES"/>
        </w:rPr>
        <w:t xml:space="preserve">Consejo Indio de Sudamérica </w:t>
      </w:r>
      <w:r w:rsidR="00940EA5" w:rsidRPr="00940EA5">
        <w:rPr>
          <w:szCs w:val="22"/>
          <w:lang w:val="es-ES"/>
        </w:rPr>
        <w:t xml:space="preserve">(CISA); </w:t>
      </w:r>
      <w:r w:rsidR="00940EA5">
        <w:rPr>
          <w:szCs w:val="22"/>
          <w:lang w:val="es-ES"/>
        </w:rPr>
        <w:t>Sra</w:t>
      </w:r>
      <w:r w:rsidR="00940EA5" w:rsidRPr="00940EA5">
        <w:rPr>
          <w:szCs w:val="22"/>
          <w:lang w:val="es-ES"/>
        </w:rPr>
        <w:t xml:space="preserve">. Shelley Rowe, </w:t>
      </w:r>
      <w:r w:rsidR="00940EA5">
        <w:rPr>
          <w:szCs w:val="22"/>
          <w:lang w:val="es-ES"/>
        </w:rPr>
        <w:t>j</w:t>
      </w:r>
      <w:r w:rsidR="00940EA5" w:rsidRPr="00940EA5">
        <w:rPr>
          <w:szCs w:val="22"/>
          <w:lang w:val="es-ES"/>
        </w:rPr>
        <w:t xml:space="preserve">efa </w:t>
      </w:r>
      <w:r w:rsidR="00940EA5">
        <w:rPr>
          <w:szCs w:val="22"/>
          <w:lang w:val="es-ES"/>
        </w:rPr>
        <w:t>p</w:t>
      </w:r>
      <w:r w:rsidR="00940EA5" w:rsidRPr="00940EA5">
        <w:rPr>
          <w:szCs w:val="22"/>
          <w:lang w:val="es-ES"/>
        </w:rPr>
        <w:t xml:space="preserve">rincipal de </w:t>
      </w:r>
      <w:r w:rsidR="00940EA5">
        <w:rPr>
          <w:szCs w:val="22"/>
          <w:lang w:val="es-ES"/>
        </w:rPr>
        <w:t>p</w:t>
      </w:r>
      <w:r w:rsidR="00940EA5" w:rsidRPr="00940EA5">
        <w:rPr>
          <w:szCs w:val="22"/>
          <w:lang w:val="es-ES"/>
        </w:rPr>
        <w:t xml:space="preserve">royecto, </w:t>
      </w:r>
      <w:r w:rsidR="00940EA5" w:rsidRPr="00940EA5">
        <w:rPr>
          <w:i/>
          <w:iCs/>
          <w:szCs w:val="22"/>
          <w:lang w:val="es-ES"/>
        </w:rPr>
        <w:t>Innovation, Science and Economic Development Canada</w:t>
      </w:r>
      <w:r w:rsidR="00940EA5">
        <w:rPr>
          <w:szCs w:val="22"/>
          <w:lang w:val="es-ES"/>
        </w:rPr>
        <w:t xml:space="preserve"> </w:t>
      </w:r>
      <w:r w:rsidR="00940EA5" w:rsidRPr="00940EA5">
        <w:rPr>
          <w:szCs w:val="22"/>
          <w:lang w:val="es-ES"/>
        </w:rPr>
        <w:t>(</w:t>
      </w:r>
      <w:r w:rsidR="00940EA5">
        <w:rPr>
          <w:szCs w:val="22"/>
          <w:lang w:val="es-ES"/>
        </w:rPr>
        <w:t>ISED) (Canadá)</w:t>
      </w:r>
      <w:r w:rsidR="00F01E99">
        <w:rPr>
          <w:szCs w:val="22"/>
          <w:lang w:val="es-ES"/>
        </w:rPr>
        <w:t xml:space="preserve">; </w:t>
      </w:r>
      <w:r w:rsidR="00940EA5">
        <w:rPr>
          <w:szCs w:val="22"/>
          <w:lang w:val="es-ES"/>
        </w:rPr>
        <w:t>Sr</w:t>
      </w:r>
      <w:r w:rsidR="00940EA5" w:rsidRPr="00940EA5">
        <w:rPr>
          <w:szCs w:val="22"/>
          <w:lang w:val="es-ES"/>
        </w:rPr>
        <w:t xml:space="preserve">. Gaziz Seitzhanov, </w:t>
      </w:r>
      <w:r w:rsidR="00940EA5">
        <w:rPr>
          <w:szCs w:val="22"/>
          <w:lang w:val="es-ES"/>
        </w:rPr>
        <w:t>tercer secretario</w:t>
      </w:r>
      <w:r w:rsidR="00940EA5" w:rsidRPr="00940EA5">
        <w:rPr>
          <w:szCs w:val="22"/>
          <w:lang w:val="es-ES"/>
        </w:rPr>
        <w:t xml:space="preserve">, </w:t>
      </w:r>
      <w:r w:rsidR="00940EA5">
        <w:rPr>
          <w:szCs w:val="22"/>
          <w:lang w:val="es-ES"/>
        </w:rPr>
        <w:t>Misión Permanente de</w:t>
      </w:r>
      <w:r w:rsidR="00940EA5" w:rsidRPr="00940EA5">
        <w:rPr>
          <w:szCs w:val="22"/>
          <w:lang w:val="es-ES"/>
        </w:rPr>
        <w:t xml:space="preserve"> </w:t>
      </w:r>
      <w:r w:rsidR="00940EA5">
        <w:rPr>
          <w:szCs w:val="22"/>
          <w:lang w:val="es-ES"/>
        </w:rPr>
        <w:t>Kazajstán,</w:t>
      </w:r>
      <w:r w:rsidR="00940EA5" w:rsidRPr="00940EA5">
        <w:rPr>
          <w:szCs w:val="22"/>
          <w:lang w:val="es-ES"/>
        </w:rPr>
        <w:t xml:space="preserve"> </w:t>
      </w:r>
      <w:r w:rsidR="00940EA5">
        <w:rPr>
          <w:szCs w:val="22"/>
          <w:lang w:val="es-ES"/>
        </w:rPr>
        <w:t>y</w:t>
      </w:r>
      <w:r w:rsidR="00940EA5" w:rsidRPr="00940EA5">
        <w:rPr>
          <w:szCs w:val="22"/>
          <w:lang w:val="es-ES"/>
        </w:rPr>
        <w:t xml:space="preserve"> </w:t>
      </w:r>
      <w:r w:rsidR="00940EA5">
        <w:rPr>
          <w:szCs w:val="22"/>
          <w:lang w:val="es-ES"/>
        </w:rPr>
        <w:t>Sra</w:t>
      </w:r>
      <w:r w:rsidR="00940EA5" w:rsidRPr="00940EA5">
        <w:rPr>
          <w:szCs w:val="22"/>
          <w:lang w:val="es-ES"/>
        </w:rPr>
        <w:t xml:space="preserve">. Navarat Tankamalas, </w:t>
      </w:r>
      <w:r w:rsidR="00940EA5">
        <w:rPr>
          <w:szCs w:val="22"/>
          <w:lang w:val="es-ES"/>
        </w:rPr>
        <w:t>ministra consejera</w:t>
      </w:r>
      <w:r w:rsidR="00940EA5" w:rsidRPr="00940EA5">
        <w:rPr>
          <w:szCs w:val="22"/>
          <w:lang w:val="es-ES"/>
        </w:rPr>
        <w:t xml:space="preserve">, </w:t>
      </w:r>
      <w:r w:rsidR="00940EA5">
        <w:rPr>
          <w:szCs w:val="22"/>
          <w:lang w:val="es-ES"/>
        </w:rPr>
        <w:t>Misión Permanente de</w:t>
      </w:r>
      <w:r w:rsidR="00940EA5" w:rsidRPr="00940EA5">
        <w:rPr>
          <w:szCs w:val="22"/>
          <w:lang w:val="es-ES"/>
        </w:rPr>
        <w:t xml:space="preserve"> Tailandia.</w:t>
      </w:r>
    </w:p>
    <w:p w:rsidR="007056DB" w:rsidRPr="00940EA5" w:rsidRDefault="007056DB" w:rsidP="008A3814">
      <w:pPr>
        <w:spacing w:line="260" w:lineRule="atLeast"/>
        <w:rPr>
          <w:szCs w:val="22"/>
          <w:lang w:val="es-ES"/>
        </w:rPr>
      </w:pPr>
    </w:p>
    <w:p w:rsidR="007056DB" w:rsidRPr="00940EA5" w:rsidRDefault="003D0203" w:rsidP="003D0203">
      <w:pPr>
        <w:spacing w:after="120" w:line="260" w:lineRule="atLeast"/>
        <w:rPr>
          <w:szCs w:val="22"/>
          <w:lang w:val="es-ES"/>
        </w:rPr>
      </w:pPr>
      <w:r w:rsidRPr="00940EA5">
        <w:rPr>
          <w:szCs w:val="22"/>
          <w:lang w:val="es-ES"/>
        </w:rPr>
        <w:t>El presidente del Comité nombró presidente de la Junta Asesora al Sr. Faizal Chery Sidharta, vicepresidente del Comité.</w:t>
      </w:r>
    </w:p>
    <w:p w:rsidR="007056DB" w:rsidRPr="00940EA5" w:rsidRDefault="007056DB" w:rsidP="008A3814">
      <w:pPr>
        <w:spacing w:after="120" w:line="260" w:lineRule="atLeast"/>
        <w:rPr>
          <w:szCs w:val="22"/>
          <w:lang w:val="es-ES"/>
        </w:rPr>
      </w:pPr>
    </w:p>
    <w:p w:rsidR="007056DB" w:rsidRPr="00940EA5" w:rsidRDefault="003D0203" w:rsidP="009E2DB9">
      <w:pPr>
        <w:keepNext/>
        <w:keepLines/>
        <w:spacing w:after="120" w:line="260" w:lineRule="atLeast"/>
        <w:rPr>
          <w:szCs w:val="22"/>
          <w:lang w:val="es-ES"/>
        </w:rPr>
      </w:pPr>
      <w:r w:rsidRPr="00940EA5">
        <w:rPr>
          <w:szCs w:val="22"/>
          <w:lang w:val="es-ES"/>
        </w:rPr>
        <w:lastRenderedPageBreak/>
        <w:t>DECISIÓN SOBRE EL PUNTO 6 DEL ORDEN DEL DÍA:</w:t>
      </w:r>
    </w:p>
    <w:p w:rsidR="007056DB" w:rsidRPr="00940EA5" w:rsidRDefault="00D5587C" w:rsidP="009E2DB9">
      <w:pPr>
        <w:keepNext/>
        <w:keepLines/>
        <w:spacing w:after="120" w:line="260" w:lineRule="atLeast"/>
        <w:rPr>
          <w:szCs w:val="22"/>
          <w:lang w:val="es-ES"/>
        </w:rPr>
      </w:pPr>
      <w:r w:rsidRPr="00940EA5">
        <w:rPr>
          <w:szCs w:val="22"/>
          <w:lang w:val="es-ES"/>
        </w:rPr>
        <w:t xml:space="preserve">INFORME RELATIVO AL GRUPO DE ESPECIALISTAS </w:t>
      </w:r>
      <w:r w:rsidRPr="00940EA5">
        <w:rPr>
          <w:i/>
          <w:szCs w:val="22"/>
          <w:lang w:val="es-ES"/>
        </w:rPr>
        <w:t>AD HOC</w:t>
      </w:r>
      <w:r w:rsidRPr="00940EA5">
        <w:rPr>
          <w:szCs w:val="22"/>
          <w:lang w:val="es-ES"/>
        </w:rPr>
        <w:t xml:space="preserve"> EN CONOCIMIENTOS TRADICIONALES Y EXPRESIONES CULTURALES TRADICIONALES</w:t>
      </w:r>
    </w:p>
    <w:p w:rsidR="007056DB" w:rsidRPr="00940EA5" w:rsidRDefault="001F6C46" w:rsidP="009E2DB9">
      <w:pPr>
        <w:keepNext/>
        <w:keepLines/>
        <w:spacing w:after="120" w:line="260" w:lineRule="atLeast"/>
        <w:rPr>
          <w:szCs w:val="22"/>
          <w:lang w:val="es-ES"/>
        </w:rPr>
      </w:pPr>
      <w:r w:rsidRPr="00940EA5">
        <w:rPr>
          <w:szCs w:val="22"/>
          <w:lang w:val="es-ES"/>
        </w:rPr>
        <w:t xml:space="preserve">El Comité tomó nota del informe oral presentado por los copresidentes del </w:t>
      </w:r>
      <w:r w:rsidR="009E2DB9" w:rsidRPr="00940EA5">
        <w:rPr>
          <w:szCs w:val="22"/>
          <w:lang w:val="es-ES"/>
        </w:rPr>
        <w:t xml:space="preserve">Grupo </w:t>
      </w:r>
      <w:r w:rsidRPr="00940EA5">
        <w:rPr>
          <w:szCs w:val="22"/>
          <w:lang w:val="es-ES"/>
        </w:rPr>
        <w:t xml:space="preserve">de </w:t>
      </w:r>
      <w:r w:rsidR="009E2DB9" w:rsidRPr="00940EA5">
        <w:rPr>
          <w:szCs w:val="22"/>
          <w:lang w:val="es-ES"/>
        </w:rPr>
        <w:t xml:space="preserve">Especialistas </w:t>
      </w:r>
      <w:r w:rsidRPr="00940EA5">
        <w:rPr>
          <w:i/>
          <w:szCs w:val="22"/>
          <w:lang w:val="es-ES"/>
        </w:rPr>
        <w:t xml:space="preserve">ad hoc </w:t>
      </w:r>
      <w:r w:rsidRPr="00940EA5">
        <w:rPr>
          <w:szCs w:val="22"/>
          <w:lang w:val="es-ES"/>
        </w:rPr>
        <w:t xml:space="preserve">en </w:t>
      </w:r>
      <w:r w:rsidR="009E2DB9" w:rsidRPr="00940EA5">
        <w:rPr>
          <w:szCs w:val="22"/>
          <w:lang w:val="es-ES"/>
        </w:rPr>
        <w:t xml:space="preserve">Conocimientos Tradicionales </w:t>
      </w:r>
      <w:r w:rsidRPr="00940EA5">
        <w:rPr>
          <w:szCs w:val="22"/>
          <w:lang w:val="es-ES"/>
        </w:rPr>
        <w:t xml:space="preserve">y </w:t>
      </w:r>
      <w:r w:rsidR="009E2DB9" w:rsidRPr="00940EA5">
        <w:rPr>
          <w:szCs w:val="22"/>
          <w:lang w:val="es-ES"/>
        </w:rPr>
        <w:t>Expresiones Culturales Tradicionales</w:t>
      </w:r>
      <w:r w:rsidRPr="00940EA5">
        <w:rPr>
          <w:szCs w:val="22"/>
          <w:lang w:val="es-ES"/>
        </w:rPr>
        <w:t xml:space="preserve">, la Sra. Sharon Le Gall (profesora titular de la Facultad de Derecho de la </w:t>
      </w:r>
      <w:r w:rsidRPr="00940EA5">
        <w:rPr>
          <w:i/>
          <w:szCs w:val="22"/>
          <w:lang w:val="es-ES"/>
        </w:rPr>
        <w:t>University of the West Indies</w:t>
      </w:r>
      <w:r w:rsidRPr="00940EA5">
        <w:rPr>
          <w:szCs w:val="22"/>
          <w:lang w:val="es-ES"/>
        </w:rPr>
        <w:t>, St. Augustine, Trinidad y Tabago) y el Sr. Chidi Oguamanam (profesor de Derecho de la Universidad de Ottawa, Canadá).</w:t>
      </w:r>
    </w:p>
    <w:p w:rsidR="007056DB" w:rsidRPr="00940EA5" w:rsidRDefault="007056DB" w:rsidP="008A3814">
      <w:pPr>
        <w:spacing w:after="120" w:line="260" w:lineRule="atLeast"/>
        <w:rPr>
          <w:szCs w:val="22"/>
          <w:lang w:val="es-ES"/>
        </w:rPr>
      </w:pPr>
    </w:p>
    <w:p w:rsidR="007056DB" w:rsidRPr="00940EA5" w:rsidRDefault="001F6C46" w:rsidP="001F6C46">
      <w:pPr>
        <w:spacing w:after="120" w:line="260" w:lineRule="atLeast"/>
        <w:rPr>
          <w:szCs w:val="22"/>
          <w:lang w:val="es-ES"/>
        </w:rPr>
      </w:pPr>
      <w:r w:rsidRPr="00940EA5">
        <w:rPr>
          <w:szCs w:val="22"/>
          <w:lang w:val="es-ES"/>
        </w:rPr>
        <w:t>DECISIÓN SOBRE EL PUNTO 7 DEL ORDEN DEL DÍA:</w:t>
      </w:r>
    </w:p>
    <w:p w:rsidR="007056DB" w:rsidRPr="00940EA5" w:rsidRDefault="001F6C46" w:rsidP="001F6C46">
      <w:pPr>
        <w:spacing w:after="120" w:line="260" w:lineRule="atLeast"/>
        <w:rPr>
          <w:szCs w:val="22"/>
          <w:lang w:val="es-ES"/>
        </w:rPr>
      </w:pPr>
      <w:r w:rsidRPr="00940EA5">
        <w:rPr>
          <w:szCs w:val="22"/>
          <w:lang w:val="es-ES"/>
        </w:rPr>
        <w:t>CONOCIMIENTOS TRADICIONALES/EXPRESIONES CULTURALES TRADICIONALES</w:t>
      </w:r>
    </w:p>
    <w:p w:rsidR="007056DB" w:rsidRPr="00940EA5" w:rsidRDefault="001F6C46" w:rsidP="00BE6B0D">
      <w:pPr>
        <w:spacing w:after="120" w:line="260" w:lineRule="atLeast"/>
        <w:rPr>
          <w:lang w:val="es-ES"/>
        </w:rPr>
      </w:pPr>
      <w:r w:rsidRPr="00940EA5">
        <w:rPr>
          <w:lang w:val="es-ES"/>
        </w:rPr>
        <w:t xml:space="preserve">El Comité elaboró, a partir del documento WIPO/GRTKF/IC/39/4, un nuevo texto titulado </w:t>
      </w:r>
      <w:r w:rsidR="00E31E59" w:rsidRPr="00940EA5">
        <w:rPr>
          <w:lang w:val="es-ES"/>
        </w:rPr>
        <w:t>“</w:t>
      </w:r>
      <w:r w:rsidRPr="00940EA5">
        <w:rPr>
          <w:lang w:val="es-ES"/>
        </w:rPr>
        <w:t>La protección de los conocimientos tradicionales: proyecto de artículos Rev. 2</w:t>
      </w:r>
      <w:r w:rsidR="00E31E59" w:rsidRPr="00940EA5">
        <w:rPr>
          <w:lang w:val="es-ES"/>
        </w:rPr>
        <w:t>”</w:t>
      </w:r>
      <w:r w:rsidRPr="00940EA5">
        <w:rPr>
          <w:lang w:val="es-ES"/>
        </w:rPr>
        <w:t xml:space="preserve"> y, a partir del documento WIPO/GRTKF/IC/39/5, un nuevo texto titulado </w:t>
      </w:r>
      <w:r w:rsidR="00E31E59" w:rsidRPr="00940EA5">
        <w:rPr>
          <w:lang w:val="es-ES"/>
        </w:rPr>
        <w:t>“</w:t>
      </w:r>
      <w:r w:rsidRPr="00940EA5">
        <w:rPr>
          <w:lang w:val="es-ES"/>
        </w:rPr>
        <w:t>La protección de las expresiones culturales tradicionales: proyecto de artículos Rev. 2</w:t>
      </w:r>
      <w:r w:rsidR="00E31E59" w:rsidRPr="00940EA5">
        <w:rPr>
          <w:lang w:val="es-ES"/>
        </w:rPr>
        <w:t>”</w:t>
      </w:r>
      <w:r w:rsidRPr="00940EA5">
        <w:rPr>
          <w:lang w:val="es-ES"/>
        </w:rPr>
        <w:t>.</w:t>
      </w:r>
      <w:r w:rsidR="0095154E" w:rsidRPr="00940EA5">
        <w:rPr>
          <w:lang w:val="es-ES"/>
        </w:rPr>
        <w:t xml:space="preserve"> </w:t>
      </w:r>
      <w:r w:rsidR="00BE6B0D" w:rsidRPr="00940EA5">
        <w:rPr>
          <w:lang w:val="es-ES"/>
        </w:rPr>
        <w:t>Decidió remitir dichos textos, en la forma en que consten al cierre de este punto del orden del día el 22 de marzo de 2019, a la cuadragésima sesión del Comité, de conformidad con el mandato del Comité para 2018</w:t>
      </w:r>
      <w:r w:rsidR="00BE6B0D" w:rsidRPr="00940EA5">
        <w:rPr>
          <w:rFonts w:ascii="Cambria Math" w:hAnsi="Cambria Math" w:cs="Cambria Math"/>
          <w:lang w:val="es-ES"/>
        </w:rPr>
        <w:t>‑</w:t>
      </w:r>
      <w:r w:rsidR="00BE6B0D" w:rsidRPr="00940EA5">
        <w:rPr>
          <w:lang w:val="es-ES"/>
        </w:rPr>
        <w:t>2019 y el programa de trabajo para 2019, como figuran en el documento WO/GA/49/21.</w:t>
      </w:r>
      <w:r w:rsidR="008A3814" w:rsidRPr="00940EA5">
        <w:rPr>
          <w:lang w:val="es-ES"/>
        </w:rPr>
        <w:t xml:space="preserve"> </w:t>
      </w:r>
    </w:p>
    <w:p w:rsidR="007056DB" w:rsidRPr="00940EA5" w:rsidRDefault="00BE6B0D" w:rsidP="00BE6B0D">
      <w:pPr>
        <w:spacing w:after="120" w:line="260" w:lineRule="atLeast"/>
        <w:rPr>
          <w:szCs w:val="22"/>
          <w:lang w:val="es-ES"/>
        </w:rPr>
      </w:pPr>
      <w:r w:rsidRPr="00940EA5">
        <w:rPr>
          <w:szCs w:val="22"/>
          <w:lang w:val="es-ES"/>
        </w:rPr>
        <w:t>El Comité tomó nota de los documentos que se mencionan a continuación, los cuales fueron objeto de debate: WIPO/GRTKF/IC/39/6, WIPO/GRTKF/IC/39/7, WIPO/GRTKF/IC/39/8, WIPO/GRTKF/IC/39/9, WIPO/GRTKF/IC/39/10, WIPO/GRTKF/IC/39/11, WIPO/GRTKF/IC/39/12, WIPO/GRTKF/IC/39/13, WIPO/GRTKF/IC/39/14, WIPO/GRTKF/IC/39/15, WIPO/GRTKF/IC/39/16, WIPO/GRTKF/IC/39/17 y WIPO/GRTKF/IC/39/INF/7.</w:t>
      </w:r>
    </w:p>
    <w:p w:rsidR="007056DB" w:rsidRPr="00940EA5" w:rsidRDefault="007056DB" w:rsidP="00360643">
      <w:pPr>
        <w:spacing w:after="120" w:line="260" w:lineRule="atLeast"/>
        <w:rPr>
          <w:rFonts w:eastAsia="Times New Roman"/>
          <w:bCs/>
          <w:szCs w:val="22"/>
          <w:lang w:val="es-ES" w:eastAsia="en-US"/>
        </w:rPr>
      </w:pPr>
    </w:p>
    <w:p w:rsidR="007056DB" w:rsidRPr="00940EA5" w:rsidRDefault="00BE6B0D" w:rsidP="00BE6B0D">
      <w:pPr>
        <w:spacing w:after="120" w:line="260" w:lineRule="atLeast"/>
        <w:rPr>
          <w:rFonts w:eastAsia="Times New Roman"/>
          <w:szCs w:val="22"/>
          <w:lang w:val="es-ES"/>
        </w:rPr>
      </w:pPr>
      <w:r w:rsidRPr="00940EA5">
        <w:rPr>
          <w:rFonts w:eastAsia="Times New Roman"/>
          <w:szCs w:val="22"/>
          <w:lang w:val="es-ES"/>
        </w:rPr>
        <w:t>DECISIÓN SOBRE EL PUNTO 8 DEL ORDEN DEL DÍA:</w:t>
      </w:r>
    </w:p>
    <w:p w:rsidR="007056DB" w:rsidRPr="00940EA5" w:rsidRDefault="00BE6B0D" w:rsidP="00BE6B0D">
      <w:pPr>
        <w:spacing w:after="120" w:line="260" w:lineRule="atLeast"/>
        <w:rPr>
          <w:rFonts w:eastAsia="Times New Roman" w:cs="Tahoma"/>
          <w:szCs w:val="22"/>
          <w:lang w:val="es-ES"/>
        </w:rPr>
      </w:pPr>
      <w:r w:rsidRPr="00940EA5">
        <w:rPr>
          <w:rFonts w:eastAsia="Times New Roman" w:cs="Tahoma"/>
          <w:szCs w:val="22"/>
          <w:lang w:val="es-ES"/>
        </w:rPr>
        <w:t>OTROS ASUNTOS</w:t>
      </w:r>
    </w:p>
    <w:p w:rsidR="007056DB" w:rsidRPr="00940EA5" w:rsidRDefault="00BE6B0D" w:rsidP="00BE6B0D">
      <w:pPr>
        <w:spacing w:after="120" w:line="260" w:lineRule="atLeast"/>
        <w:rPr>
          <w:rFonts w:eastAsia="Times New Roman" w:cs="Tahoma"/>
          <w:szCs w:val="22"/>
          <w:lang w:val="es-ES"/>
        </w:rPr>
      </w:pPr>
      <w:r w:rsidRPr="00940EA5">
        <w:rPr>
          <w:rFonts w:eastAsia="Times New Roman" w:cs="Tahoma"/>
          <w:szCs w:val="22"/>
          <w:lang w:val="es-ES"/>
        </w:rPr>
        <w:t>No hubo debate sobre este punto del orden del día.</w:t>
      </w:r>
    </w:p>
    <w:p w:rsidR="007056DB" w:rsidRPr="00940EA5" w:rsidRDefault="007056DB">
      <w:pPr>
        <w:rPr>
          <w:szCs w:val="22"/>
          <w:lang w:val="es-ES"/>
        </w:rPr>
      </w:pPr>
    </w:p>
    <w:p w:rsidR="007056DB" w:rsidRPr="00940EA5" w:rsidRDefault="00BE6B0D" w:rsidP="00BE6B0D">
      <w:pPr>
        <w:spacing w:after="120" w:line="260" w:lineRule="atLeast"/>
        <w:rPr>
          <w:szCs w:val="22"/>
          <w:lang w:val="es-ES"/>
        </w:rPr>
      </w:pPr>
      <w:r w:rsidRPr="00940EA5">
        <w:rPr>
          <w:szCs w:val="22"/>
          <w:lang w:val="es-ES"/>
        </w:rPr>
        <w:t>DECISIÓN SOBRE EL PUNTO 9 DEL ORDEN DEL DÍA:</w:t>
      </w:r>
    </w:p>
    <w:p w:rsidR="007056DB" w:rsidRPr="00940EA5" w:rsidRDefault="00BE6B0D" w:rsidP="00BE6B0D">
      <w:pPr>
        <w:spacing w:after="120" w:line="260" w:lineRule="atLeast"/>
        <w:rPr>
          <w:szCs w:val="22"/>
          <w:lang w:val="es-ES"/>
        </w:rPr>
      </w:pPr>
      <w:r w:rsidRPr="00940EA5">
        <w:rPr>
          <w:szCs w:val="22"/>
          <w:lang w:val="es-ES"/>
        </w:rPr>
        <w:t>CLAUSURA DE LA SESIÓN</w:t>
      </w:r>
    </w:p>
    <w:p w:rsidR="007056DB" w:rsidRPr="00940EA5" w:rsidRDefault="00E31E59" w:rsidP="00E31E59">
      <w:pPr>
        <w:spacing w:after="120" w:line="260" w:lineRule="atLeast"/>
        <w:rPr>
          <w:szCs w:val="22"/>
          <w:lang w:val="es-ES"/>
        </w:rPr>
      </w:pPr>
      <w:r w:rsidRPr="00940EA5">
        <w:rPr>
          <w:szCs w:val="22"/>
          <w:lang w:val="es-ES"/>
        </w:rPr>
        <w:t>El Comité adoptó decisiones en relación con los puntos 2, 3, 4, 5, 6 y 7 del orden del día el 22 de marzo de 2019.</w:t>
      </w:r>
      <w:r w:rsidR="0095154E" w:rsidRPr="00940EA5">
        <w:rPr>
          <w:szCs w:val="22"/>
          <w:lang w:val="es-ES"/>
        </w:rPr>
        <w:t xml:space="preserve"> </w:t>
      </w:r>
      <w:r w:rsidRPr="00940EA5">
        <w:rPr>
          <w:szCs w:val="22"/>
          <w:lang w:val="es-ES"/>
        </w:rPr>
        <w:t xml:space="preserve">Acordó que se redacte y distribuya, a más tardar el 17 de mayo de 2019, un proyecto de informe que contenga el texto </w:t>
      </w:r>
      <w:r w:rsidR="009E2DB9">
        <w:rPr>
          <w:szCs w:val="22"/>
          <w:lang w:val="es-ES"/>
        </w:rPr>
        <w:t>acordad</w:t>
      </w:r>
      <w:r w:rsidRPr="00940EA5">
        <w:rPr>
          <w:szCs w:val="22"/>
          <w:lang w:val="es-ES"/>
        </w:rPr>
        <w:t>o de dichas decisiones, así como todas las intervenciones realizadas en la sesión del Comité.</w:t>
      </w:r>
      <w:r w:rsidR="0095154E" w:rsidRPr="00940EA5">
        <w:rPr>
          <w:szCs w:val="22"/>
          <w:lang w:val="es-ES"/>
        </w:rPr>
        <w:t xml:space="preserve"> </w:t>
      </w:r>
      <w:r w:rsidRPr="00940EA5">
        <w:rPr>
          <w:szCs w:val="22"/>
          <w:lang w:val="es-ES"/>
        </w:rPr>
        <w:t xml:space="preserve">Se invitará a los participantes en la sesión del Comité a presentar correcciones por escrito </w:t>
      </w:r>
      <w:r w:rsidR="00EC204F">
        <w:rPr>
          <w:szCs w:val="22"/>
          <w:lang w:val="es-ES"/>
        </w:rPr>
        <w:t>a</w:t>
      </w:r>
      <w:r w:rsidRPr="00940EA5">
        <w:rPr>
          <w:szCs w:val="22"/>
          <w:lang w:val="es-ES"/>
        </w:rPr>
        <w:t xml:space="preserve"> sus intervenciones, según const</w:t>
      </w:r>
      <w:r w:rsidR="00EC204F">
        <w:rPr>
          <w:szCs w:val="22"/>
          <w:lang w:val="es-ES"/>
        </w:rPr>
        <w:t>e</w:t>
      </w:r>
      <w:r w:rsidRPr="00940EA5">
        <w:rPr>
          <w:szCs w:val="22"/>
          <w:lang w:val="es-ES"/>
        </w:rPr>
        <w:t>n en el proyecto de informe, de modo que pueda distribuirse a los participantes en el Comité una versión final de dicho proyecto a los fines de su aprobación en la cuadragésima sesión del Comité.</w:t>
      </w:r>
    </w:p>
    <w:p w:rsidR="007056DB" w:rsidRPr="00940EA5" w:rsidRDefault="007056DB" w:rsidP="00093D57">
      <w:pPr>
        <w:rPr>
          <w:lang w:val="es-ES"/>
        </w:rPr>
      </w:pPr>
    </w:p>
    <w:p w:rsidR="007056DB" w:rsidRPr="00940EA5" w:rsidRDefault="007056DB" w:rsidP="00093D57">
      <w:pPr>
        <w:rPr>
          <w:lang w:val="es-ES"/>
        </w:rPr>
      </w:pPr>
    </w:p>
    <w:p w:rsidR="007056DB" w:rsidRPr="00940EA5" w:rsidRDefault="00E31E59" w:rsidP="00E31E59">
      <w:pPr>
        <w:spacing w:after="120" w:line="260" w:lineRule="atLeast"/>
        <w:ind w:left="5043" w:firstLine="567"/>
        <w:rPr>
          <w:lang w:val="es-ES"/>
        </w:rPr>
      </w:pPr>
      <w:r w:rsidRPr="00940EA5">
        <w:rPr>
          <w:iCs/>
          <w:szCs w:val="22"/>
          <w:lang w:val="es-ES"/>
        </w:rPr>
        <w:t>[Fin del documento]</w:t>
      </w:r>
      <w:r w:rsidR="000B1421" w:rsidRPr="00940EA5">
        <w:rPr>
          <w:iCs/>
          <w:szCs w:val="22"/>
          <w:lang w:val="es-ES"/>
        </w:rPr>
        <w:t xml:space="preserve"> </w:t>
      </w:r>
    </w:p>
    <w:p w:rsidR="002928D3" w:rsidRPr="00940EA5" w:rsidRDefault="002928D3" w:rsidP="000B1421">
      <w:pPr>
        <w:spacing w:after="120" w:line="260" w:lineRule="atLeast"/>
        <w:ind w:left="5043" w:firstLine="567"/>
        <w:rPr>
          <w:lang w:val="es-ES"/>
        </w:rPr>
      </w:pPr>
    </w:p>
    <w:sectPr w:rsidR="002928D3" w:rsidRPr="00940EA5" w:rsidSect="00D4723C">
      <w:headerReference w:type="even" r:id="rId8"/>
      <w:headerReference w:type="default" r:id="rId9"/>
      <w:footerReference w:type="even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814" w:rsidRDefault="008A3814">
      <w:r>
        <w:separator/>
      </w:r>
    </w:p>
  </w:endnote>
  <w:endnote w:type="continuationSeparator" w:id="0">
    <w:p w:rsidR="008A3814" w:rsidRDefault="008A3814" w:rsidP="003B38C1">
      <w:r>
        <w:separator/>
      </w:r>
    </w:p>
    <w:p w:rsidR="008A3814" w:rsidRPr="003B38C1" w:rsidRDefault="008A381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A3814" w:rsidRPr="003B38C1" w:rsidRDefault="008A381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23C" w:rsidRDefault="00D4723C" w:rsidP="00D472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814" w:rsidRDefault="008A3814">
      <w:r>
        <w:separator/>
      </w:r>
    </w:p>
  </w:footnote>
  <w:footnote w:type="continuationSeparator" w:id="0">
    <w:p w:rsidR="008A3814" w:rsidRDefault="008A3814" w:rsidP="008B60B2">
      <w:r>
        <w:separator/>
      </w:r>
    </w:p>
    <w:p w:rsidR="008A3814" w:rsidRPr="00ED77FB" w:rsidRDefault="008A381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A3814" w:rsidRPr="00ED77FB" w:rsidRDefault="008A381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23C" w:rsidRDefault="00D4723C" w:rsidP="00D4723C">
    <w:pPr>
      <w:jc w:val="right"/>
    </w:pPr>
  </w:p>
  <w:p w:rsidR="00D4723C" w:rsidRDefault="00D4723C" w:rsidP="00D4723C">
    <w:pPr>
      <w:jc w:val="right"/>
    </w:pPr>
    <w:r w:rsidRPr="002A7D9E">
      <w:rPr>
        <w:lang w:val="es-419"/>
      </w:rPr>
      <w:t>página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B4C66">
      <w:rPr>
        <w:noProof/>
      </w:rPr>
      <w:t>2</w:t>
    </w:r>
    <w:r>
      <w:fldChar w:fldCharType="end"/>
    </w:r>
  </w:p>
  <w:p w:rsidR="00D4723C" w:rsidRDefault="00D4723C" w:rsidP="00D4723C">
    <w:pPr>
      <w:jc w:val="right"/>
    </w:pPr>
  </w:p>
  <w:p w:rsidR="00D4723C" w:rsidRDefault="00D4723C" w:rsidP="00D4723C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EC4E49" w:rsidP="00477D6B">
    <w:pPr>
      <w:jc w:val="right"/>
    </w:pPr>
  </w:p>
  <w:p w:rsidR="00EC4E49" w:rsidRDefault="00EC4E49" w:rsidP="00477D6B">
    <w:pPr>
      <w:jc w:val="right"/>
    </w:pPr>
    <w:r>
      <w:t>p</w:t>
    </w:r>
    <w:r w:rsidR="00045CE5">
      <w:t>ágina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B4C66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23C" w:rsidRDefault="00D472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xtBase TMs\WorkspaceSTS\GRTKF\GRTKF|TextBase TMs\WorkspaceSTS\GRTKF\G Instruments"/>
    <w:docVar w:name="TextBaseURL" w:val="empty"/>
    <w:docVar w:name="UILng" w:val="en"/>
  </w:docVars>
  <w:rsids>
    <w:rsidRoot w:val="008A3814"/>
    <w:rsid w:val="00043CAA"/>
    <w:rsid w:val="00045CE5"/>
    <w:rsid w:val="00056776"/>
    <w:rsid w:val="00072BA5"/>
    <w:rsid w:val="00075432"/>
    <w:rsid w:val="00093D57"/>
    <w:rsid w:val="000968ED"/>
    <w:rsid w:val="000B1421"/>
    <w:rsid w:val="000F5E56"/>
    <w:rsid w:val="001362EE"/>
    <w:rsid w:val="00145934"/>
    <w:rsid w:val="001647D5"/>
    <w:rsid w:val="001832A6"/>
    <w:rsid w:val="0018359A"/>
    <w:rsid w:val="001F6C46"/>
    <w:rsid w:val="0021217E"/>
    <w:rsid w:val="002634C4"/>
    <w:rsid w:val="002928D3"/>
    <w:rsid w:val="002A7D9E"/>
    <w:rsid w:val="002F1FE6"/>
    <w:rsid w:val="002F4E68"/>
    <w:rsid w:val="00312F7F"/>
    <w:rsid w:val="00360643"/>
    <w:rsid w:val="00361450"/>
    <w:rsid w:val="003636E7"/>
    <w:rsid w:val="003673CF"/>
    <w:rsid w:val="003828FE"/>
    <w:rsid w:val="003845C1"/>
    <w:rsid w:val="003A6F89"/>
    <w:rsid w:val="003B38C1"/>
    <w:rsid w:val="003B4C66"/>
    <w:rsid w:val="003D0203"/>
    <w:rsid w:val="003D6046"/>
    <w:rsid w:val="00422B3B"/>
    <w:rsid w:val="00423E3E"/>
    <w:rsid w:val="00427AF4"/>
    <w:rsid w:val="004647DA"/>
    <w:rsid w:val="00474062"/>
    <w:rsid w:val="00477D6B"/>
    <w:rsid w:val="004D2675"/>
    <w:rsid w:val="005019FF"/>
    <w:rsid w:val="00521F15"/>
    <w:rsid w:val="0053057A"/>
    <w:rsid w:val="00560A29"/>
    <w:rsid w:val="005C6649"/>
    <w:rsid w:val="00601490"/>
    <w:rsid w:val="00605827"/>
    <w:rsid w:val="00646050"/>
    <w:rsid w:val="006713CA"/>
    <w:rsid w:val="00676C5C"/>
    <w:rsid w:val="006F6CFA"/>
    <w:rsid w:val="007056DB"/>
    <w:rsid w:val="007434D7"/>
    <w:rsid w:val="0075555B"/>
    <w:rsid w:val="007D1613"/>
    <w:rsid w:val="007E4C0E"/>
    <w:rsid w:val="007F1A15"/>
    <w:rsid w:val="00820434"/>
    <w:rsid w:val="00836BD4"/>
    <w:rsid w:val="008A134B"/>
    <w:rsid w:val="008A3814"/>
    <w:rsid w:val="008A4A02"/>
    <w:rsid w:val="008B2CC1"/>
    <w:rsid w:val="008B60B2"/>
    <w:rsid w:val="008E5091"/>
    <w:rsid w:val="008F427E"/>
    <w:rsid w:val="0090731E"/>
    <w:rsid w:val="00916EE2"/>
    <w:rsid w:val="00940EA5"/>
    <w:rsid w:val="0095154E"/>
    <w:rsid w:val="00966A22"/>
    <w:rsid w:val="0096722F"/>
    <w:rsid w:val="00980843"/>
    <w:rsid w:val="009D7D2C"/>
    <w:rsid w:val="009E2791"/>
    <w:rsid w:val="009E2DB9"/>
    <w:rsid w:val="009E3F6F"/>
    <w:rsid w:val="009F499F"/>
    <w:rsid w:val="00A37342"/>
    <w:rsid w:val="00A42DAF"/>
    <w:rsid w:val="00A45BD8"/>
    <w:rsid w:val="00A7333A"/>
    <w:rsid w:val="00A869B7"/>
    <w:rsid w:val="00AC205C"/>
    <w:rsid w:val="00AF0A6B"/>
    <w:rsid w:val="00AF33E4"/>
    <w:rsid w:val="00B04884"/>
    <w:rsid w:val="00B05A69"/>
    <w:rsid w:val="00B43755"/>
    <w:rsid w:val="00B567B3"/>
    <w:rsid w:val="00B9734B"/>
    <w:rsid w:val="00BA0F89"/>
    <w:rsid w:val="00BA30E2"/>
    <w:rsid w:val="00BE6B0D"/>
    <w:rsid w:val="00C11BFE"/>
    <w:rsid w:val="00C5068F"/>
    <w:rsid w:val="00C86D74"/>
    <w:rsid w:val="00CD04F1"/>
    <w:rsid w:val="00D3798F"/>
    <w:rsid w:val="00D45252"/>
    <w:rsid w:val="00D4723C"/>
    <w:rsid w:val="00D5587C"/>
    <w:rsid w:val="00D71B4D"/>
    <w:rsid w:val="00D93D55"/>
    <w:rsid w:val="00E15015"/>
    <w:rsid w:val="00E31E59"/>
    <w:rsid w:val="00E335FE"/>
    <w:rsid w:val="00EA6C99"/>
    <w:rsid w:val="00EA7D6E"/>
    <w:rsid w:val="00EC204F"/>
    <w:rsid w:val="00EC4E49"/>
    <w:rsid w:val="00ED77FB"/>
    <w:rsid w:val="00EE45FA"/>
    <w:rsid w:val="00F0147B"/>
    <w:rsid w:val="00F01E99"/>
    <w:rsid w:val="00F56A7A"/>
    <w:rsid w:val="00F66152"/>
    <w:rsid w:val="00F7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5:docId w15:val="{2AA34C35-FF89-4A56-A1EC-3C920254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8F42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A733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7333A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%20GRTKF%20IC%203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WIPO GRTKF IC 38 (E)</Template>
  <TotalTime>18</TotalTime>
  <Pages>3</Pages>
  <Words>785</Words>
  <Characters>4452</Characters>
  <Application>Microsoft Office Word</Application>
  <DocSecurity>0</DocSecurity>
  <Lines>112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Decisions</vt:lpstr>
    </vt:vector>
  </TitlesOfParts>
  <Company>WIPO</Company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Decisions</dc:title>
  <dc:creator>JIAO Fei</dc:creator>
  <cp:keywords>FOR OFFICIAL USE ONLY</cp:keywords>
  <cp:lastModifiedBy>MORENO PALESTINI Maria Del Pilar</cp:lastModifiedBy>
  <cp:revision>5</cp:revision>
  <cp:lastPrinted>2019-08-30T09:03:00Z</cp:lastPrinted>
  <dcterms:created xsi:type="dcterms:W3CDTF">2019-03-25T07:32:00Z</dcterms:created>
  <dcterms:modified xsi:type="dcterms:W3CDTF">2019-08-30T09:03:00Z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9b0d5149-05b7-42ed-8768-00eed966d6f8</vt:lpwstr>
  </property>
  <property fmtid="{D5CDD505-2E9C-101B-9397-08002B2CF9AE}" pid="3" name="Classification">
    <vt:lpwstr>FOUO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