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4667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646674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46674" w:rsidRDefault="00CB67C9" w:rsidP="00916EE2">
            <w:pPr>
              <w:rPr>
                <w:lang w:val="es-ES"/>
              </w:rPr>
            </w:pPr>
            <w:r w:rsidRPr="00646674">
              <w:rPr>
                <w:noProof/>
                <w:color w:val="808080"/>
                <w:lang w:eastAsia="en-US"/>
              </w:rPr>
              <w:drawing>
                <wp:inline distT="0" distB="0" distL="0" distR="0" wp14:anchorId="08A5E853" wp14:editId="5FCE6BB4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46674" w:rsidRDefault="00CB67C9" w:rsidP="00916EE2">
            <w:pPr>
              <w:jc w:val="right"/>
              <w:rPr>
                <w:lang w:val="es-ES"/>
              </w:rPr>
            </w:pPr>
            <w:r w:rsidRPr="00646674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64667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46674" w:rsidRDefault="00A42DAF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64667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64667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0" w:name="Code"/>
            <w:bookmarkEnd w:id="0"/>
            <w:r w:rsidR="008B2CC1" w:rsidRPr="00646674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  <w:tr w:rsidR="008B2CC1" w:rsidRPr="0064667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46674" w:rsidRDefault="008B2CC1" w:rsidP="00CB67C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646674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64667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64667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CB67C9" w:rsidRPr="00646674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64667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46674" w:rsidRDefault="00CB67C9" w:rsidP="00CB67C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646674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646674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A42DAF" w:rsidRPr="0064667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64667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="00D45E1F" w:rsidRPr="00646674">
              <w:rPr>
                <w:rFonts w:ascii="Arial Black" w:hAnsi="Arial Black"/>
                <w:caps/>
                <w:sz w:val="15"/>
                <w:lang w:val="es-ES"/>
              </w:rPr>
              <w:t>23</w:t>
            </w:r>
            <w:r w:rsidRPr="00646674">
              <w:rPr>
                <w:rFonts w:ascii="Arial Black" w:hAnsi="Arial Black"/>
                <w:caps/>
                <w:sz w:val="15"/>
                <w:lang w:val="es-ES"/>
              </w:rPr>
              <w:t xml:space="preserve"> DE MARZO DE</w:t>
            </w:r>
            <w:r w:rsidR="00D45E1F" w:rsidRPr="00646674">
              <w:rPr>
                <w:rFonts w:ascii="Arial Black" w:hAnsi="Arial Black"/>
                <w:caps/>
                <w:sz w:val="15"/>
                <w:lang w:val="es-ES"/>
              </w:rPr>
              <w:t xml:space="preserve"> 2018</w:t>
            </w:r>
          </w:p>
        </w:tc>
      </w:tr>
    </w:tbl>
    <w:p w:rsidR="008B2CC1" w:rsidRPr="00646674" w:rsidRDefault="008B2CC1" w:rsidP="008B2CC1">
      <w:pPr>
        <w:rPr>
          <w:lang w:val="es-ES"/>
        </w:rPr>
      </w:pPr>
    </w:p>
    <w:p w:rsidR="008B2CC1" w:rsidRPr="00646674" w:rsidRDefault="008B2CC1" w:rsidP="008B2CC1">
      <w:pPr>
        <w:rPr>
          <w:lang w:val="es-ES"/>
        </w:rPr>
      </w:pPr>
    </w:p>
    <w:p w:rsidR="008B2CC1" w:rsidRPr="00646674" w:rsidRDefault="008B2CC1" w:rsidP="008B2CC1">
      <w:pPr>
        <w:rPr>
          <w:lang w:val="es-ES"/>
        </w:rPr>
      </w:pPr>
    </w:p>
    <w:p w:rsidR="008B2CC1" w:rsidRPr="00646674" w:rsidRDefault="008B2CC1" w:rsidP="008B2CC1">
      <w:pPr>
        <w:rPr>
          <w:lang w:val="es-ES"/>
        </w:rPr>
      </w:pPr>
    </w:p>
    <w:p w:rsidR="008B2CC1" w:rsidRPr="00646674" w:rsidRDefault="008B2CC1" w:rsidP="008B2CC1">
      <w:pPr>
        <w:rPr>
          <w:lang w:val="es-ES"/>
        </w:rPr>
      </w:pPr>
    </w:p>
    <w:p w:rsidR="008B2CC1" w:rsidRPr="00646674" w:rsidRDefault="00CB67C9" w:rsidP="008B2CC1">
      <w:pPr>
        <w:rPr>
          <w:b/>
          <w:sz w:val="28"/>
          <w:szCs w:val="28"/>
          <w:lang w:val="es-ES"/>
        </w:rPr>
      </w:pPr>
      <w:r w:rsidRPr="00646674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3845C1" w:rsidRPr="00646674" w:rsidRDefault="003845C1" w:rsidP="003845C1">
      <w:pPr>
        <w:rPr>
          <w:lang w:val="es-ES"/>
        </w:rPr>
      </w:pPr>
    </w:p>
    <w:p w:rsidR="003845C1" w:rsidRPr="00646674" w:rsidRDefault="003845C1" w:rsidP="003845C1">
      <w:pPr>
        <w:rPr>
          <w:lang w:val="es-ES"/>
        </w:rPr>
      </w:pPr>
    </w:p>
    <w:p w:rsidR="008B2CC1" w:rsidRPr="00646674" w:rsidRDefault="00CB67C9" w:rsidP="008B2CC1">
      <w:pPr>
        <w:rPr>
          <w:b/>
          <w:sz w:val="24"/>
          <w:szCs w:val="24"/>
          <w:lang w:val="es-ES"/>
        </w:rPr>
      </w:pPr>
      <w:r w:rsidRPr="00646674">
        <w:rPr>
          <w:b/>
          <w:sz w:val="24"/>
          <w:szCs w:val="24"/>
          <w:lang w:val="es-ES"/>
        </w:rPr>
        <w:t>Trigésima quinta sesión</w:t>
      </w:r>
    </w:p>
    <w:p w:rsidR="008B2CC1" w:rsidRPr="00646674" w:rsidRDefault="00CB67C9" w:rsidP="008B2CC1">
      <w:pPr>
        <w:rPr>
          <w:b/>
          <w:sz w:val="24"/>
          <w:szCs w:val="24"/>
          <w:lang w:val="es-ES"/>
        </w:rPr>
      </w:pPr>
      <w:r w:rsidRPr="00646674">
        <w:rPr>
          <w:b/>
          <w:sz w:val="24"/>
          <w:szCs w:val="24"/>
          <w:lang w:val="es-ES"/>
        </w:rPr>
        <w:t>Ginebra</w:t>
      </w:r>
      <w:r w:rsidR="005428C9" w:rsidRPr="00646674">
        <w:rPr>
          <w:b/>
          <w:sz w:val="24"/>
          <w:szCs w:val="24"/>
          <w:lang w:val="es-ES"/>
        </w:rPr>
        <w:t xml:space="preserve">, </w:t>
      </w:r>
      <w:r w:rsidR="00D45E1F" w:rsidRPr="00646674">
        <w:rPr>
          <w:b/>
          <w:sz w:val="24"/>
          <w:szCs w:val="24"/>
          <w:lang w:val="es-ES"/>
        </w:rPr>
        <w:t xml:space="preserve">19 </w:t>
      </w:r>
      <w:r w:rsidRPr="00646674">
        <w:rPr>
          <w:b/>
          <w:sz w:val="24"/>
          <w:szCs w:val="24"/>
          <w:lang w:val="es-ES"/>
        </w:rPr>
        <w:t>a</w:t>
      </w:r>
      <w:r w:rsidR="009E6A37" w:rsidRPr="00646674">
        <w:rPr>
          <w:b/>
          <w:sz w:val="24"/>
          <w:szCs w:val="24"/>
          <w:lang w:val="es-ES"/>
        </w:rPr>
        <w:t xml:space="preserve"> </w:t>
      </w:r>
      <w:r w:rsidR="00D45E1F" w:rsidRPr="00646674">
        <w:rPr>
          <w:b/>
          <w:sz w:val="24"/>
          <w:szCs w:val="24"/>
          <w:lang w:val="es-ES"/>
        </w:rPr>
        <w:t>23</w:t>
      </w:r>
      <w:r w:rsidRPr="00646674">
        <w:rPr>
          <w:b/>
          <w:sz w:val="24"/>
          <w:szCs w:val="24"/>
          <w:lang w:val="es-ES"/>
        </w:rPr>
        <w:t xml:space="preserve"> de marzo de</w:t>
      </w:r>
      <w:r w:rsidR="00D45E1F" w:rsidRPr="00646674">
        <w:rPr>
          <w:b/>
          <w:sz w:val="24"/>
          <w:szCs w:val="24"/>
          <w:lang w:val="es-ES"/>
        </w:rPr>
        <w:t xml:space="preserve"> 2018</w:t>
      </w:r>
    </w:p>
    <w:p w:rsidR="008B2CC1" w:rsidRPr="00646674" w:rsidRDefault="008B2CC1" w:rsidP="008B2CC1">
      <w:pPr>
        <w:rPr>
          <w:lang w:val="es-ES"/>
        </w:rPr>
      </w:pPr>
    </w:p>
    <w:p w:rsidR="008B2CC1" w:rsidRPr="00646674" w:rsidRDefault="008B2CC1" w:rsidP="008B2CC1">
      <w:pPr>
        <w:rPr>
          <w:lang w:val="es-ES"/>
        </w:rPr>
      </w:pPr>
    </w:p>
    <w:p w:rsidR="008B2CC1" w:rsidRPr="00646674" w:rsidRDefault="008B2CC1" w:rsidP="008B2CC1">
      <w:pPr>
        <w:rPr>
          <w:lang w:val="es-ES"/>
        </w:rPr>
      </w:pPr>
    </w:p>
    <w:p w:rsidR="004843B9" w:rsidRPr="00646674" w:rsidRDefault="004843B9" w:rsidP="004843B9">
      <w:pPr>
        <w:rPr>
          <w:caps/>
          <w:sz w:val="24"/>
          <w:lang w:val="es-ES"/>
        </w:rPr>
      </w:pPr>
      <w:bookmarkStart w:id="3" w:name="TitleOfDoc"/>
      <w:bookmarkEnd w:id="3"/>
      <w:r w:rsidRPr="00646674">
        <w:rPr>
          <w:caps/>
          <w:sz w:val="24"/>
          <w:lang w:val="es-ES"/>
        </w:rPr>
        <w:t>DECISIONES DE LA TRIGÉSIMA QUINTA SESIÓN DEL COMITÉ</w:t>
      </w:r>
    </w:p>
    <w:p w:rsidR="004843B9" w:rsidRPr="00646674" w:rsidRDefault="004843B9" w:rsidP="004843B9">
      <w:pPr>
        <w:rPr>
          <w:lang w:val="es-ES"/>
        </w:rPr>
      </w:pPr>
    </w:p>
    <w:p w:rsidR="004843B9" w:rsidRPr="00646674" w:rsidRDefault="006248A7" w:rsidP="004843B9">
      <w:pPr>
        <w:rPr>
          <w:i/>
          <w:lang w:val="es-ES"/>
        </w:rPr>
      </w:pPr>
      <w:bookmarkStart w:id="4" w:name="Prepared"/>
      <w:bookmarkStart w:id="5" w:name="_GoBack"/>
      <w:bookmarkEnd w:id="4"/>
      <w:r>
        <w:rPr>
          <w:i/>
          <w:lang w:val="es-ES"/>
        </w:rPr>
        <w:t>adoptadas por el Comité</w:t>
      </w:r>
      <w:bookmarkEnd w:id="5"/>
    </w:p>
    <w:p w:rsidR="00AC205C" w:rsidRPr="00646674" w:rsidRDefault="00AC205C">
      <w:pPr>
        <w:rPr>
          <w:lang w:val="es-ES"/>
        </w:rPr>
      </w:pPr>
    </w:p>
    <w:p w:rsidR="000F5E56" w:rsidRPr="00646674" w:rsidRDefault="000F5E56">
      <w:pPr>
        <w:rPr>
          <w:lang w:val="es-ES"/>
        </w:rPr>
      </w:pPr>
    </w:p>
    <w:p w:rsidR="004843B9" w:rsidRPr="00646674" w:rsidRDefault="005428C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lang w:val="es-ES"/>
        </w:rPr>
        <w:br w:type="page"/>
      </w:r>
      <w:r w:rsidR="004843B9" w:rsidRPr="00646674">
        <w:rPr>
          <w:lang w:val="es-ES"/>
        </w:rPr>
        <w:lastRenderedPageBreak/>
        <w:t>DECISIÓN SOBRE EL PUNTO 2 DEL ORDEN DEL DÍA:</w:t>
      </w: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ELECCIÓN DE LAS MESAS</w:t>
      </w: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A propuesta de la delegación de Suiza, en nombre del Grupo B, secundada por la delegación de Indonesia, en nombre del Grupo de Asia y el Pacífico</w:t>
      </w:r>
      <w:r w:rsidRPr="00646674">
        <w:rPr>
          <w:lang w:val="es-ES"/>
        </w:rPr>
        <w:t>, y la delegación del Ecuador, en nombre del Grupo de Países de América Latina y el Caribe (GRULAC)</w:t>
      </w:r>
      <w:r w:rsidRPr="00646674">
        <w:rPr>
          <w:szCs w:val="22"/>
          <w:lang w:val="es-ES"/>
        </w:rPr>
        <w:t>, el Comité eligió presidente al Sr. Ian Goss de Australia, unánimemente y por aclamación, para el bienio 2018/2019.  Para el mismo período, el Comité eligió vicepresidentes al Sr. Jukka Liedes de Finlandia, a propuesta de la delegación Suiza, en nombre del Grupo B, secundada por la delegación de Indonesia, en nombre del Grupo de Asia y el Pacífico</w:t>
      </w:r>
      <w:r w:rsidRPr="00646674">
        <w:rPr>
          <w:lang w:val="es-ES"/>
        </w:rPr>
        <w:t>, y la delegación del Ecuador, en nombre del GRULAC</w:t>
      </w:r>
      <w:r w:rsidRPr="00646674">
        <w:rPr>
          <w:szCs w:val="22"/>
          <w:lang w:val="es-ES"/>
        </w:rPr>
        <w:t xml:space="preserve">, y al Sr. </w:t>
      </w:r>
      <w:r w:rsidRPr="00646674">
        <w:rPr>
          <w:lang w:val="es-ES"/>
        </w:rPr>
        <w:t xml:space="preserve">Faizal Chery Sidharta de </w:t>
      </w:r>
      <w:r w:rsidRPr="00646674">
        <w:rPr>
          <w:szCs w:val="22"/>
          <w:lang w:val="es-ES"/>
        </w:rPr>
        <w:t xml:space="preserve">Indonesia, a propuesta de la delegación de Indonesia, en nombre del Grupo de Asia y el Pacífico, secundada por la delegación de Suiza, en nombre del Grupo B, y la delegación del </w:t>
      </w:r>
      <w:r w:rsidRPr="00646674">
        <w:rPr>
          <w:lang w:val="es-ES"/>
        </w:rPr>
        <w:t xml:space="preserve">Ecuador, </w:t>
      </w:r>
      <w:r w:rsidR="00EB5426" w:rsidRPr="00646674">
        <w:rPr>
          <w:lang w:val="es-ES"/>
        </w:rPr>
        <w:t>en nombre del </w:t>
      </w:r>
      <w:r w:rsidRPr="00646674">
        <w:rPr>
          <w:lang w:val="es-ES"/>
        </w:rPr>
        <w:t>GRULAC</w:t>
      </w:r>
      <w:r w:rsidRPr="00646674">
        <w:rPr>
          <w:szCs w:val="22"/>
          <w:lang w:val="es-ES"/>
        </w:rPr>
        <w:t>.</w:t>
      </w:r>
    </w:p>
    <w:p w:rsidR="004843B9" w:rsidRPr="00646674" w:rsidRDefault="004843B9" w:rsidP="004843B9">
      <w:pPr>
        <w:spacing w:after="120" w:line="260" w:lineRule="atLeast"/>
        <w:rPr>
          <w:lang w:val="es-ES"/>
        </w:rPr>
      </w:pP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DECISIÓN SOBRE EL PUNTO 3 DEL ORDEN DEL DÍA:</w:t>
      </w: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APROBACIÓN DEL ORDEN DEL DÍA</w:t>
      </w: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El presidente sometió a aprobación el proyecto de orden del día, distribuido con la signatura WIPO/GRTKF/IC/35/1 Prov. 2, que fue aprobado.</w:t>
      </w: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DECISIÓN SOBRE EL PUNTO 4 DEL ORDEN DEL DÍA:</w:t>
      </w: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APROBACIÓN DEL INFORME DE LA TRIGÉSIMA CUARTA SESIÓN</w:t>
      </w: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El presidente sometió a aprobación el proyecto de informe de la trigésima cuarta sesión del Comité (WIPO/GRTKF/IC/34/14 Prov. 3), que fue aprobado.</w:t>
      </w: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DECISIÓN SOBRE EL PUNTO 5 DEL ORDEN DEL DÍA:</w:t>
      </w: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ACREDITACIÓN DE DETERMINADAS ORGANIZACIONES</w:t>
      </w:r>
    </w:p>
    <w:p w:rsidR="004843B9" w:rsidRPr="00646674" w:rsidRDefault="00C1615C" w:rsidP="004843B9">
      <w:pPr>
        <w:spacing w:after="120" w:line="260" w:lineRule="atLeast"/>
        <w:rPr>
          <w:szCs w:val="22"/>
          <w:lang w:val="es-ES"/>
        </w:rPr>
      </w:pPr>
      <w:r>
        <w:rPr>
          <w:szCs w:val="22"/>
          <w:lang w:val="es-ES"/>
        </w:rPr>
        <w:t xml:space="preserve">El examen de este punto fue aplazado a la </w:t>
      </w:r>
      <w:r w:rsidR="00AC07F3">
        <w:rPr>
          <w:szCs w:val="22"/>
          <w:lang w:val="es-ES"/>
        </w:rPr>
        <w:t xml:space="preserve">trigésima sexta </w:t>
      </w:r>
      <w:r>
        <w:rPr>
          <w:szCs w:val="22"/>
          <w:lang w:val="es-ES"/>
        </w:rPr>
        <w:t>sesión</w:t>
      </w:r>
      <w:r w:rsidR="004843B9" w:rsidRPr="00646674">
        <w:rPr>
          <w:szCs w:val="22"/>
          <w:lang w:val="es-ES"/>
        </w:rPr>
        <w:t>.</w:t>
      </w:r>
    </w:p>
    <w:p w:rsidR="004843B9" w:rsidRPr="00646674" w:rsidRDefault="004843B9" w:rsidP="004843B9">
      <w:pPr>
        <w:spacing w:after="120" w:line="260" w:lineRule="atLeast"/>
        <w:rPr>
          <w:lang w:val="es-ES"/>
        </w:rPr>
      </w:pP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DECISIÓN SOBRE EL PUNTO 6 DEL ORDEN DEL DÍA:</w:t>
      </w: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PARTICIPACIÓN DE LAS COMUNIDADES INDÍGENAS Y LOCALES</w:t>
      </w:r>
    </w:p>
    <w:p w:rsidR="004843B9" w:rsidRPr="00646674" w:rsidRDefault="004843B9" w:rsidP="004843B9">
      <w:pPr>
        <w:spacing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El Comité tomó nota de los documentos WIPO/GRTKF/IC/35/3, WIPO/GRTKF/IC/35/INF/4 y WIPO/GRTKF/IC/35/INF/6.</w:t>
      </w:r>
    </w:p>
    <w:p w:rsidR="004843B9" w:rsidRPr="00646674" w:rsidRDefault="004843B9" w:rsidP="004843B9">
      <w:pPr>
        <w:spacing w:line="260" w:lineRule="atLeast"/>
        <w:rPr>
          <w:szCs w:val="22"/>
          <w:lang w:val="es-ES"/>
        </w:rPr>
      </w:pPr>
    </w:p>
    <w:p w:rsidR="004843B9" w:rsidRPr="00646674" w:rsidRDefault="004843B9" w:rsidP="004843B9">
      <w:pPr>
        <w:spacing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El Comité instó encarecidamente a los miembros del Comité, y a todas las entidades públicas y privadas interesadas, a que contribuyan al Fondo de la OMPI de Contribuciones Voluntarias para las Comunidades Indígenas y Locales Acreditadas.</w:t>
      </w:r>
    </w:p>
    <w:p w:rsidR="004843B9" w:rsidRPr="00646674" w:rsidRDefault="004843B9" w:rsidP="004843B9">
      <w:pPr>
        <w:spacing w:line="260" w:lineRule="atLeast"/>
        <w:rPr>
          <w:szCs w:val="22"/>
          <w:lang w:val="es-ES"/>
        </w:rPr>
      </w:pPr>
    </w:p>
    <w:p w:rsidR="004843B9" w:rsidRPr="00646674" w:rsidRDefault="004843B9" w:rsidP="004843B9">
      <w:pPr>
        <w:spacing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El presidente propuso a las ocho personas siguientes para que intervengan a título personal en la J</w:t>
      </w:r>
      <w:r w:rsidR="00D9154C">
        <w:rPr>
          <w:szCs w:val="22"/>
          <w:lang w:val="es-ES"/>
        </w:rPr>
        <w:t>unta</w:t>
      </w:r>
      <w:r w:rsidRPr="00646674">
        <w:rPr>
          <w:szCs w:val="22"/>
          <w:lang w:val="es-ES"/>
        </w:rPr>
        <w:t xml:space="preserve"> Asesora, y el Comité las eligió por aclamación:  Sra. Ali Aii Shatu, miembro de la </w:t>
      </w:r>
      <w:r w:rsidRPr="00646674">
        <w:rPr>
          <w:i/>
          <w:szCs w:val="22"/>
          <w:lang w:val="es-ES"/>
        </w:rPr>
        <w:t>Mbororo Social Cultural Development Association</w:t>
      </w:r>
      <w:r w:rsidRPr="00646674">
        <w:rPr>
          <w:szCs w:val="22"/>
          <w:lang w:val="es-ES"/>
        </w:rPr>
        <w:t xml:space="preserve"> (MBOSCUDA) (Camerún);  el S</w:t>
      </w:r>
      <w:r w:rsidRPr="00646674">
        <w:rPr>
          <w:lang w:val="es-ES"/>
        </w:rPr>
        <w:t xml:space="preserve">r. Nelson De </w:t>
      </w:r>
      <w:r w:rsidR="004B10CE" w:rsidRPr="00646674">
        <w:rPr>
          <w:lang w:val="es-ES"/>
        </w:rPr>
        <w:t>Le</w:t>
      </w:r>
      <w:r w:rsidR="00C771E7" w:rsidRPr="00646674">
        <w:rPr>
          <w:lang w:val="es-ES"/>
        </w:rPr>
        <w:t>ó</w:t>
      </w:r>
      <w:r w:rsidRPr="00646674">
        <w:rPr>
          <w:lang w:val="es-ES"/>
        </w:rPr>
        <w:t>n Kantule, representante, Asociación Kunas unidos por Napguana (KUNA) (Panamá);  la Sra. María del Pilar Escobar Bautista, consejera, Misión Permanente de México ante la Oficina de la</w:t>
      </w:r>
      <w:r w:rsidR="004B10CE" w:rsidRPr="00646674">
        <w:rPr>
          <w:lang w:val="es-ES"/>
        </w:rPr>
        <w:t>s Naciones Unidas</w:t>
      </w:r>
      <w:r w:rsidRPr="00646674">
        <w:rPr>
          <w:lang w:val="es-ES"/>
        </w:rPr>
        <w:t xml:space="preserve"> y otras organizaciones internacionales en Ginebra;  el S</w:t>
      </w:r>
      <w:r w:rsidR="004B10CE" w:rsidRPr="00646674">
        <w:rPr>
          <w:lang w:val="es-ES"/>
        </w:rPr>
        <w:t>r. Efren </w:t>
      </w:r>
      <w:r w:rsidRPr="00646674">
        <w:rPr>
          <w:lang w:val="es-ES"/>
        </w:rPr>
        <w:t xml:space="preserve">Jagdish Jogia, </w:t>
      </w:r>
      <w:r w:rsidR="004B10CE" w:rsidRPr="00646674">
        <w:rPr>
          <w:lang w:val="es-ES"/>
        </w:rPr>
        <w:t>consejero jurídico</w:t>
      </w:r>
      <w:r w:rsidRPr="00646674">
        <w:rPr>
          <w:lang w:val="es-ES"/>
        </w:rPr>
        <w:t xml:space="preserve"> superior de la Corona, Oficina del Fiscal General, Oficina del Primer Ministro (Tuvalu);  el Sr. Gaziz Seitzhanov, tercer secretario, Misión Permanente de Kazajstán;  la Sra. Grace Stripeikis, subdirectora, Sección </w:t>
      </w:r>
      <w:r w:rsidR="004B10CE" w:rsidRPr="00646674">
        <w:rPr>
          <w:lang w:val="es-ES"/>
        </w:rPr>
        <w:t xml:space="preserve">de Asuntos </w:t>
      </w:r>
      <w:r w:rsidRPr="00646674">
        <w:rPr>
          <w:lang w:val="es-ES"/>
        </w:rPr>
        <w:t>Internacional</w:t>
      </w:r>
      <w:r w:rsidR="004B10CE" w:rsidRPr="00646674">
        <w:rPr>
          <w:lang w:val="es-ES"/>
        </w:rPr>
        <w:t>es</w:t>
      </w:r>
      <w:r w:rsidRPr="00646674">
        <w:rPr>
          <w:lang w:val="es-ES"/>
        </w:rPr>
        <w:t xml:space="preserve"> de Propiedad Intelectual, Departamento de </w:t>
      </w:r>
      <w:r w:rsidR="004B10CE" w:rsidRPr="00646674">
        <w:rPr>
          <w:lang w:val="es-ES"/>
        </w:rPr>
        <w:t xml:space="preserve">Relaciones </w:t>
      </w:r>
      <w:r w:rsidRPr="00646674">
        <w:rPr>
          <w:lang w:val="es-ES"/>
        </w:rPr>
        <w:t xml:space="preserve">Exteriores y Comercio </w:t>
      </w:r>
      <w:r w:rsidRPr="00646674">
        <w:rPr>
          <w:lang w:val="es-ES"/>
        </w:rPr>
        <w:lastRenderedPageBreak/>
        <w:t xml:space="preserve">(Australia);  la Sra. Polina Shulbaeva, coordinadora, </w:t>
      </w:r>
      <w:r w:rsidRPr="00646674">
        <w:rPr>
          <w:i/>
          <w:lang w:val="es-ES"/>
        </w:rPr>
        <w:t>Centre for Support of Indigenous Peoples of the North/Russian Indigenous Training Centre</w:t>
      </w:r>
      <w:r w:rsidRPr="00646674">
        <w:rPr>
          <w:lang w:val="es-ES"/>
        </w:rPr>
        <w:t xml:space="preserve"> (CSIPN/RITC) (Federación de Rusia);  y el Sr. George Tebagana, segundo secretario, Misión Permanente de</w:t>
      </w:r>
      <w:r w:rsidR="004B10CE" w:rsidRPr="00646674">
        <w:rPr>
          <w:lang w:val="es-ES"/>
        </w:rPr>
        <w:t xml:space="preserve"> </w:t>
      </w:r>
      <w:r w:rsidRPr="00646674">
        <w:rPr>
          <w:lang w:val="es-ES"/>
        </w:rPr>
        <w:t>Uganda</w:t>
      </w:r>
      <w:r w:rsidRPr="00646674">
        <w:rPr>
          <w:szCs w:val="22"/>
          <w:lang w:val="es-ES"/>
        </w:rPr>
        <w:t>.</w:t>
      </w:r>
    </w:p>
    <w:p w:rsidR="004843B9" w:rsidRPr="00646674" w:rsidRDefault="004843B9" w:rsidP="004843B9">
      <w:pPr>
        <w:spacing w:line="260" w:lineRule="atLeast"/>
        <w:rPr>
          <w:szCs w:val="22"/>
          <w:lang w:val="es-ES"/>
        </w:rPr>
      </w:pP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El presidente del Comité nombró presidente de la Junta Asesora al Sr. </w:t>
      </w:r>
      <w:r w:rsidRPr="00646674">
        <w:rPr>
          <w:lang w:val="es-ES"/>
        </w:rPr>
        <w:t>Faizal Chery Sidharta</w:t>
      </w:r>
      <w:r w:rsidRPr="00646674">
        <w:rPr>
          <w:szCs w:val="22"/>
          <w:lang w:val="es-ES"/>
        </w:rPr>
        <w:t>, actual vicepresidente del Comité.</w:t>
      </w: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DECISIÓN SOBRE EL PUNTO 7 DEL ORDEN DEL DÍA:</w:t>
      </w: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RECURSOS GENÉTICOS</w:t>
      </w:r>
    </w:p>
    <w:p w:rsidR="004843B9" w:rsidRPr="00646674" w:rsidRDefault="0093789F" w:rsidP="004843B9">
      <w:pPr>
        <w:spacing w:after="120" w:line="260" w:lineRule="atLeast"/>
        <w:rPr>
          <w:rFonts w:eastAsia="Times New Roman"/>
          <w:szCs w:val="22"/>
          <w:lang w:val="es-ES" w:eastAsia="en-US"/>
        </w:rPr>
      </w:pPr>
      <w:r w:rsidRPr="00646674">
        <w:rPr>
          <w:rFonts w:eastAsia="Times New Roman"/>
          <w:szCs w:val="22"/>
          <w:lang w:val="es-ES" w:eastAsia="en-US"/>
        </w:rPr>
        <w:t xml:space="preserve">Sobre </w:t>
      </w:r>
      <w:r w:rsidR="004843B9" w:rsidRPr="00646674">
        <w:rPr>
          <w:rFonts w:eastAsia="Times New Roman"/>
          <w:szCs w:val="22"/>
          <w:lang w:val="es-ES" w:eastAsia="en-US"/>
        </w:rPr>
        <w:t>la base de</w:t>
      </w:r>
      <w:r w:rsidR="001A5322">
        <w:rPr>
          <w:rFonts w:eastAsia="Times New Roman"/>
          <w:szCs w:val="22"/>
          <w:lang w:val="es-ES" w:eastAsia="en-US"/>
        </w:rPr>
        <w:t xml:space="preserve">l documento WIPO/GRTKF/IC/35/4, </w:t>
      </w:r>
      <w:r w:rsidRPr="00646674">
        <w:rPr>
          <w:rFonts w:eastAsia="Times New Roman"/>
          <w:szCs w:val="22"/>
          <w:lang w:val="es-ES" w:eastAsia="en-US"/>
        </w:rPr>
        <w:t xml:space="preserve">el Comité elaboró </w:t>
      </w:r>
      <w:r w:rsidR="004843B9" w:rsidRPr="00646674">
        <w:rPr>
          <w:rFonts w:eastAsia="Times New Roman"/>
          <w:szCs w:val="22"/>
          <w:lang w:val="es-ES" w:eastAsia="en-US"/>
        </w:rPr>
        <w:t xml:space="preserve">otro texto, a saber, </w:t>
      </w:r>
      <w:r w:rsidRPr="00646674">
        <w:rPr>
          <w:rFonts w:eastAsia="Times New Roman"/>
          <w:szCs w:val="22"/>
          <w:lang w:val="es-ES" w:eastAsia="en-US"/>
        </w:rPr>
        <w:t>el</w:t>
      </w:r>
      <w:r w:rsidR="004843B9" w:rsidRPr="00646674">
        <w:rPr>
          <w:rFonts w:eastAsia="Times New Roman"/>
          <w:szCs w:val="22"/>
          <w:lang w:val="es-ES" w:eastAsia="en-US"/>
        </w:rPr>
        <w:t xml:space="preserve"> “Documento consolidado relativo a la propiedad intelectual y los recursos genéticos, Rev. 2”.  </w:t>
      </w:r>
      <w:r w:rsidR="006E5830" w:rsidRPr="00646674">
        <w:rPr>
          <w:rFonts w:eastAsia="Times New Roman"/>
          <w:szCs w:val="22"/>
          <w:lang w:val="es-ES" w:eastAsia="en-US"/>
        </w:rPr>
        <w:t>D</w:t>
      </w:r>
      <w:r w:rsidR="004843B9" w:rsidRPr="00646674">
        <w:rPr>
          <w:rFonts w:eastAsia="Times New Roman"/>
          <w:szCs w:val="22"/>
          <w:lang w:val="es-ES" w:eastAsia="en-US"/>
        </w:rPr>
        <w:t xml:space="preserve">ecidió que dicho texto, en la forma en que conste al cierre de </w:t>
      </w:r>
      <w:r w:rsidR="0040339F" w:rsidRPr="00646674">
        <w:rPr>
          <w:rFonts w:eastAsia="Times New Roman"/>
          <w:szCs w:val="22"/>
          <w:lang w:val="es-ES" w:eastAsia="en-US"/>
        </w:rPr>
        <w:t>este punto del orden del día el </w:t>
      </w:r>
      <w:r w:rsidR="004843B9" w:rsidRPr="00646674">
        <w:rPr>
          <w:rFonts w:eastAsia="Times New Roman"/>
          <w:szCs w:val="22"/>
          <w:lang w:val="es-ES" w:eastAsia="en-US"/>
        </w:rPr>
        <w:t xml:space="preserve">23 de marzo de 2018, se transmita a la trigésima sexta sesión del Comité, de conformidad con el mandato del Comité para 2018/2019 y el programa de trabajo para 2018 </w:t>
      </w:r>
      <w:r w:rsidR="0040339F" w:rsidRPr="00646674">
        <w:rPr>
          <w:rFonts w:eastAsia="Times New Roman"/>
          <w:szCs w:val="22"/>
          <w:lang w:val="es-ES" w:eastAsia="en-US"/>
        </w:rPr>
        <w:t>que figuran</w:t>
      </w:r>
      <w:r w:rsidR="004843B9" w:rsidRPr="00646674">
        <w:rPr>
          <w:rFonts w:eastAsia="Times New Roman"/>
          <w:szCs w:val="22"/>
          <w:lang w:val="es-ES" w:eastAsia="en-US"/>
        </w:rPr>
        <w:t xml:space="preserve"> en el documento WO/GA/49/21.</w:t>
      </w:r>
    </w:p>
    <w:p w:rsidR="004843B9" w:rsidRPr="00646674" w:rsidRDefault="004843B9" w:rsidP="004843B9">
      <w:pPr>
        <w:spacing w:after="120" w:line="260" w:lineRule="atLeast"/>
        <w:rPr>
          <w:rFonts w:eastAsia="Times New Roman"/>
          <w:szCs w:val="22"/>
          <w:lang w:val="es-ES" w:eastAsia="en-US"/>
        </w:rPr>
      </w:pPr>
      <w:r w:rsidRPr="00646674">
        <w:rPr>
          <w:rFonts w:eastAsia="Times New Roman"/>
          <w:szCs w:val="22"/>
          <w:lang w:val="es-ES" w:eastAsia="en-US"/>
        </w:rPr>
        <w:t>El Comité tomó nota de los documentos WIPO/GRTKF/IC/35/5, WIPO/GRTKF/IC/35/6, WIPO/GRTKF/IC/35/7, WIPO/GRTKF/IC/35/8, WIPO/GRTKF/IC/35/9, WIPO/GRTKF/IC/35/INF/7, WIPO/GRTKF/IC/35/INF/8 y WIPO/GRTKF/IC/35/INF/9 y mantuvo debates al respecto.</w:t>
      </w:r>
    </w:p>
    <w:p w:rsidR="004843B9" w:rsidRPr="00646674" w:rsidRDefault="004843B9" w:rsidP="004843B9">
      <w:pPr>
        <w:spacing w:after="120" w:line="260" w:lineRule="atLeast"/>
        <w:rPr>
          <w:rFonts w:eastAsia="Times New Roman"/>
          <w:szCs w:val="22"/>
          <w:lang w:val="es-ES"/>
        </w:rPr>
      </w:pPr>
    </w:p>
    <w:p w:rsidR="004843B9" w:rsidRPr="00646674" w:rsidRDefault="004843B9" w:rsidP="004843B9">
      <w:pPr>
        <w:spacing w:after="120" w:line="260" w:lineRule="atLeast"/>
        <w:rPr>
          <w:rFonts w:eastAsia="Times New Roman"/>
          <w:szCs w:val="22"/>
          <w:lang w:val="es-ES"/>
        </w:rPr>
      </w:pPr>
      <w:r w:rsidRPr="00646674">
        <w:rPr>
          <w:rFonts w:eastAsia="Times New Roman"/>
          <w:szCs w:val="22"/>
          <w:lang w:val="es-ES"/>
        </w:rPr>
        <w:t>DECISIÓN SOBRE EL PUNTO 8 DEL ORDEN DEL DÍA:</w:t>
      </w:r>
    </w:p>
    <w:p w:rsidR="004843B9" w:rsidRPr="00646674" w:rsidRDefault="004843B9" w:rsidP="004843B9">
      <w:pPr>
        <w:spacing w:after="120" w:line="260" w:lineRule="atLeast"/>
        <w:rPr>
          <w:rFonts w:eastAsia="Times New Roman" w:cs="Tahoma"/>
          <w:szCs w:val="22"/>
          <w:lang w:val="es-ES"/>
        </w:rPr>
      </w:pPr>
      <w:r w:rsidRPr="00646674">
        <w:rPr>
          <w:rFonts w:eastAsia="Times New Roman" w:cs="Tahoma"/>
          <w:szCs w:val="22"/>
          <w:lang w:val="es-ES"/>
        </w:rPr>
        <w:t xml:space="preserve">ESTABLECIMIENTO DE UNO O VARIOS GRUPOS DE EXPERTOS </w:t>
      </w:r>
      <w:r w:rsidRPr="00646674">
        <w:rPr>
          <w:rFonts w:eastAsia="Times New Roman" w:cs="Tahoma"/>
          <w:i/>
          <w:szCs w:val="22"/>
          <w:lang w:val="es-ES"/>
        </w:rPr>
        <w:t>AD HOC</w:t>
      </w:r>
    </w:p>
    <w:p w:rsidR="00C1615C" w:rsidRPr="009E4389" w:rsidRDefault="00C1615C" w:rsidP="004843B9">
      <w:pPr>
        <w:spacing w:after="120" w:line="260" w:lineRule="atLeast"/>
        <w:rPr>
          <w:rFonts w:eastAsia="Times New Roman" w:cs="Tahoma"/>
          <w:szCs w:val="22"/>
          <w:lang w:val="es-ES"/>
        </w:rPr>
      </w:pPr>
      <w:r>
        <w:rPr>
          <w:rFonts w:eastAsia="Times New Roman" w:cs="Tahoma"/>
          <w:szCs w:val="22"/>
          <w:lang w:val="es-ES"/>
        </w:rPr>
        <w:t>En el mandato del Comité Intergubernamental sobre Propiedad Intelectual y Recursos Genéticos, Conocimientos Tradicionales y Folclore (en adelante, el CIG o el Comité) para el bienio 2018/19 se dispone que el CIG “</w:t>
      </w:r>
      <w:r w:rsidRPr="00C1615C">
        <w:rPr>
          <w:rFonts w:eastAsia="Times New Roman" w:cs="Tahoma"/>
          <w:szCs w:val="22"/>
          <w:lang w:val="es-ES"/>
        </w:rPr>
        <w:t xml:space="preserve">podrá establecer uno o varios grupos </w:t>
      </w:r>
      <w:r w:rsidRPr="00C1615C">
        <w:rPr>
          <w:rFonts w:eastAsia="Times New Roman" w:cs="Tahoma"/>
          <w:i/>
          <w:szCs w:val="22"/>
          <w:lang w:val="es-ES"/>
        </w:rPr>
        <w:t>ad hoc</w:t>
      </w:r>
      <w:r w:rsidRPr="00C1615C">
        <w:rPr>
          <w:rFonts w:eastAsia="Times New Roman" w:cs="Tahoma"/>
          <w:szCs w:val="22"/>
          <w:lang w:val="es-ES"/>
        </w:rPr>
        <w:t xml:space="preserve"> de expertos a fin de abordar una cuestión jurídica, normativa o técnica específica</w:t>
      </w:r>
      <w:r>
        <w:rPr>
          <w:rFonts w:eastAsia="Times New Roman" w:cs="Tahoma"/>
          <w:szCs w:val="22"/>
          <w:lang w:val="es-ES"/>
        </w:rPr>
        <w:t>”</w:t>
      </w:r>
      <w:r w:rsidR="0064442A">
        <w:rPr>
          <w:rFonts w:eastAsia="Times New Roman" w:cs="Tahoma"/>
          <w:szCs w:val="22"/>
          <w:lang w:val="es-ES"/>
        </w:rPr>
        <w:t>, y que los “</w:t>
      </w:r>
      <w:r w:rsidR="0064442A" w:rsidRPr="0064442A">
        <w:rPr>
          <w:rFonts w:eastAsia="Times New Roman" w:cs="Tahoma"/>
          <w:szCs w:val="22"/>
          <w:lang w:val="es-ES"/>
        </w:rPr>
        <w:t>resultados de la labor de esos grupos será</w:t>
      </w:r>
      <w:r w:rsidR="00AC18D6">
        <w:rPr>
          <w:rFonts w:eastAsia="Times New Roman" w:cs="Tahoma"/>
          <w:szCs w:val="22"/>
          <w:lang w:val="es-ES"/>
        </w:rPr>
        <w:t>n</w:t>
      </w:r>
      <w:r w:rsidR="0064442A" w:rsidRPr="0064442A">
        <w:rPr>
          <w:rFonts w:eastAsia="Times New Roman" w:cs="Tahoma"/>
          <w:szCs w:val="22"/>
          <w:lang w:val="es-ES"/>
        </w:rPr>
        <w:t xml:space="preserve"> sometid</w:t>
      </w:r>
      <w:r w:rsidR="00AC18D6">
        <w:rPr>
          <w:rFonts w:eastAsia="Times New Roman" w:cs="Tahoma"/>
          <w:szCs w:val="22"/>
          <w:lang w:val="es-ES"/>
        </w:rPr>
        <w:t>os</w:t>
      </w:r>
      <w:r w:rsidR="0064442A" w:rsidRPr="0064442A">
        <w:rPr>
          <w:rFonts w:eastAsia="Times New Roman" w:cs="Tahoma"/>
          <w:szCs w:val="22"/>
          <w:lang w:val="es-ES"/>
        </w:rPr>
        <w:t xml:space="preserve"> a examen del Comité</w:t>
      </w:r>
      <w:r w:rsidR="0064442A">
        <w:rPr>
          <w:rFonts w:eastAsia="Times New Roman" w:cs="Tahoma"/>
          <w:szCs w:val="22"/>
          <w:lang w:val="es-ES"/>
        </w:rPr>
        <w:t xml:space="preserve">”.  En el mandato también se señala que </w:t>
      </w:r>
      <w:r w:rsidR="009E4389">
        <w:rPr>
          <w:rFonts w:eastAsia="Times New Roman" w:cs="Tahoma"/>
          <w:szCs w:val="22"/>
          <w:lang w:val="es-ES"/>
        </w:rPr>
        <w:t>los “</w:t>
      </w:r>
      <w:r w:rsidR="009E4389" w:rsidRPr="009E4389">
        <w:rPr>
          <w:lang w:val="es-ES"/>
        </w:rPr>
        <w:t>grupos de expertos gozarán de una representación geográfica equilibrada, y se servirán de una metodología de trabajo eficaz</w:t>
      </w:r>
      <w:r w:rsidR="009E4389">
        <w:rPr>
          <w:lang w:val="es-ES"/>
        </w:rPr>
        <w:t>”, y que “</w:t>
      </w:r>
      <w:r w:rsidR="009E4389" w:rsidRPr="009E4389">
        <w:rPr>
          <w:lang w:val="es-ES"/>
        </w:rPr>
        <w:t>trabajarán durante las semanas en las que sesione el CIG</w:t>
      </w:r>
      <w:r w:rsidR="009E4389">
        <w:rPr>
          <w:lang w:val="es-ES"/>
        </w:rPr>
        <w:t>”.</w:t>
      </w:r>
    </w:p>
    <w:p w:rsidR="004843B9" w:rsidRPr="00646674" w:rsidRDefault="009E4389" w:rsidP="004843B9">
      <w:pPr>
        <w:spacing w:after="120" w:line="260" w:lineRule="atLeast"/>
        <w:rPr>
          <w:rFonts w:eastAsia="Times New Roman" w:cs="Tahoma"/>
          <w:szCs w:val="22"/>
          <w:lang w:val="es-ES"/>
        </w:rPr>
      </w:pPr>
      <w:r>
        <w:rPr>
          <w:rFonts w:eastAsia="Times New Roman" w:cs="Tahoma"/>
          <w:szCs w:val="22"/>
          <w:lang w:val="es-ES"/>
        </w:rPr>
        <w:t>Con ese telón de fondo, e</w:t>
      </w:r>
      <w:r w:rsidR="00844545" w:rsidRPr="00646674">
        <w:rPr>
          <w:rFonts w:eastAsia="Times New Roman" w:cs="Tahoma"/>
          <w:szCs w:val="22"/>
          <w:lang w:val="es-ES"/>
        </w:rPr>
        <w:t xml:space="preserve">l Comité acordó que se organice un grupo de expertos </w:t>
      </w:r>
      <w:r w:rsidR="00844545" w:rsidRPr="00646674">
        <w:rPr>
          <w:rFonts w:eastAsia="Times New Roman" w:cs="Tahoma"/>
          <w:i/>
          <w:iCs/>
          <w:szCs w:val="22"/>
          <w:lang w:val="es-ES"/>
        </w:rPr>
        <w:t>ad hoc</w:t>
      </w:r>
      <w:r w:rsidR="00844545" w:rsidRPr="00646674">
        <w:rPr>
          <w:rFonts w:eastAsia="Times New Roman" w:cs="Tahoma"/>
          <w:szCs w:val="22"/>
          <w:lang w:val="es-ES"/>
        </w:rPr>
        <w:t xml:space="preserve"> sobre recursos genéticos, como sigue:</w:t>
      </w:r>
    </w:p>
    <w:p w:rsidR="00844545" w:rsidRPr="0051296C" w:rsidRDefault="00844545" w:rsidP="004843B9">
      <w:pPr>
        <w:spacing w:after="120" w:line="260" w:lineRule="atLeast"/>
        <w:rPr>
          <w:rFonts w:eastAsia="Times New Roman" w:cs="Tahoma"/>
          <w:i/>
          <w:szCs w:val="22"/>
          <w:u w:val="single"/>
          <w:lang w:val="es-ES"/>
        </w:rPr>
      </w:pPr>
      <w:r w:rsidRPr="0051296C">
        <w:rPr>
          <w:rFonts w:eastAsia="Times New Roman" w:cs="Tahoma"/>
          <w:i/>
          <w:szCs w:val="22"/>
          <w:u w:val="single"/>
          <w:lang w:val="es-ES"/>
        </w:rPr>
        <w:t>Mandato</w:t>
      </w:r>
    </w:p>
    <w:p w:rsidR="00844545" w:rsidRPr="00646674" w:rsidRDefault="00844545" w:rsidP="004843B9">
      <w:pPr>
        <w:spacing w:after="120" w:line="260" w:lineRule="atLeast"/>
        <w:rPr>
          <w:rFonts w:eastAsia="Times New Roman"/>
          <w:szCs w:val="22"/>
          <w:lang w:val="es-ES"/>
        </w:rPr>
      </w:pPr>
      <w:r w:rsidRPr="00646674">
        <w:rPr>
          <w:rFonts w:eastAsia="Times New Roman"/>
          <w:szCs w:val="22"/>
          <w:lang w:val="es-ES"/>
        </w:rPr>
        <w:t xml:space="preserve">La sesión plenaria del CIG es el órgano encargado de las negociaciones y de la toma de decisiones.  El grupo de expertos </w:t>
      </w:r>
      <w:r w:rsidRPr="00646674">
        <w:rPr>
          <w:rFonts w:eastAsia="Times New Roman"/>
          <w:i/>
          <w:iCs/>
          <w:szCs w:val="22"/>
          <w:lang w:val="es-ES"/>
        </w:rPr>
        <w:t>ad hoc</w:t>
      </w:r>
      <w:r w:rsidRPr="00646674">
        <w:rPr>
          <w:rFonts w:eastAsia="Times New Roman"/>
          <w:szCs w:val="22"/>
          <w:lang w:val="es-ES"/>
        </w:rPr>
        <w:t xml:space="preserve"> tiene por fin respaldar y facilitar las negociaciones del CIG.</w:t>
      </w:r>
    </w:p>
    <w:p w:rsidR="00844545" w:rsidRPr="00646674" w:rsidRDefault="00844545" w:rsidP="004843B9">
      <w:pPr>
        <w:spacing w:after="120" w:line="260" w:lineRule="atLeast"/>
        <w:rPr>
          <w:rFonts w:eastAsia="Times New Roman"/>
          <w:szCs w:val="22"/>
          <w:lang w:val="es-ES"/>
        </w:rPr>
      </w:pPr>
      <w:r w:rsidRPr="00646674">
        <w:rPr>
          <w:rFonts w:eastAsia="Times New Roman"/>
          <w:szCs w:val="22"/>
          <w:lang w:val="es-ES"/>
        </w:rPr>
        <w:t xml:space="preserve">El grupo de expertos </w:t>
      </w:r>
      <w:r w:rsidRPr="00646674">
        <w:rPr>
          <w:rFonts w:eastAsia="Times New Roman"/>
          <w:i/>
          <w:iCs/>
          <w:szCs w:val="22"/>
          <w:lang w:val="es-ES"/>
        </w:rPr>
        <w:t>ad hoc</w:t>
      </w:r>
      <w:r w:rsidRPr="00646674">
        <w:rPr>
          <w:rFonts w:eastAsia="Times New Roman"/>
          <w:szCs w:val="22"/>
          <w:lang w:val="es-ES"/>
        </w:rPr>
        <w:t xml:space="preserve"> proporcionará asesoramiento y realizará análisis </w:t>
      </w:r>
      <w:r w:rsidR="00CC0520">
        <w:rPr>
          <w:rFonts w:eastAsia="Times New Roman"/>
          <w:szCs w:val="22"/>
          <w:lang w:val="es-ES"/>
        </w:rPr>
        <w:t xml:space="preserve">sobre cuestiones </w:t>
      </w:r>
      <w:r w:rsidRPr="00646674">
        <w:rPr>
          <w:rFonts w:eastAsia="Times New Roman"/>
          <w:szCs w:val="22"/>
          <w:lang w:val="es-ES"/>
        </w:rPr>
        <w:t>jurídic</w:t>
      </w:r>
      <w:r w:rsidR="00CC0520">
        <w:rPr>
          <w:rFonts w:eastAsia="Times New Roman"/>
          <w:szCs w:val="22"/>
          <w:lang w:val="es-ES"/>
        </w:rPr>
        <w:t>a</w:t>
      </w:r>
      <w:r w:rsidRPr="00646674">
        <w:rPr>
          <w:rFonts w:eastAsia="Times New Roman"/>
          <w:szCs w:val="22"/>
          <w:lang w:val="es-ES"/>
        </w:rPr>
        <w:t>s, de política y técnic</w:t>
      </w:r>
      <w:r w:rsidR="00CC0520">
        <w:rPr>
          <w:rFonts w:eastAsia="Times New Roman"/>
          <w:szCs w:val="22"/>
          <w:lang w:val="es-ES"/>
        </w:rPr>
        <w:t>a</w:t>
      </w:r>
      <w:r w:rsidRPr="00646674">
        <w:rPr>
          <w:rFonts w:eastAsia="Times New Roman"/>
          <w:szCs w:val="22"/>
          <w:lang w:val="es-ES"/>
        </w:rPr>
        <w:t xml:space="preserve">s, </w:t>
      </w:r>
      <w:r w:rsidR="002545EB">
        <w:rPr>
          <w:rFonts w:eastAsia="Times New Roman"/>
          <w:szCs w:val="22"/>
          <w:lang w:val="es-ES"/>
        </w:rPr>
        <w:t>como las</w:t>
      </w:r>
      <w:r w:rsidRPr="00646674">
        <w:rPr>
          <w:rFonts w:eastAsia="Times New Roman"/>
          <w:szCs w:val="22"/>
          <w:lang w:val="es-ES"/>
        </w:rPr>
        <w:t xml:space="preserve"> señaladas en la lista indicativa de cuestiones que figura en el </w:t>
      </w:r>
      <w:r w:rsidR="002545EB" w:rsidRPr="00646674">
        <w:rPr>
          <w:rFonts w:eastAsia="Times New Roman"/>
          <w:szCs w:val="22"/>
          <w:lang w:val="es-ES"/>
        </w:rPr>
        <w:t>Anexo</w:t>
      </w:r>
      <w:r w:rsidRPr="00646674">
        <w:rPr>
          <w:rFonts w:eastAsia="Times New Roman"/>
          <w:szCs w:val="22"/>
          <w:lang w:val="es-ES"/>
        </w:rPr>
        <w:t>.</w:t>
      </w:r>
      <w:r w:rsidR="002545EB">
        <w:rPr>
          <w:rFonts w:eastAsia="Times New Roman"/>
          <w:szCs w:val="22"/>
          <w:lang w:val="es-ES"/>
        </w:rPr>
        <w:t xml:space="preserve">  Los Estados miembros, por intermedio de los coordinadores regionales, serán invitados a sugerir cuestiones específicas para su examen por el grupo de expertos </w:t>
      </w:r>
      <w:r w:rsidR="002545EB" w:rsidRPr="002545EB">
        <w:rPr>
          <w:rFonts w:eastAsia="Times New Roman"/>
          <w:i/>
          <w:szCs w:val="22"/>
          <w:lang w:val="es-ES"/>
        </w:rPr>
        <w:t>ad hoc</w:t>
      </w:r>
      <w:r w:rsidR="002545EB">
        <w:rPr>
          <w:rFonts w:eastAsia="Times New Roman"/>
          <w:szCs w:val="22"/>
          <w:lang w:val="es-ES"/>
        </w:rPr>
        <w:t>.  E</w:t>
      </w:r>
      <w:r w:rsidRPr="00646674">
        <w:rPr>
          <w:rFonts w:eastAsia="Times New Roman"/>
          <w:szCs w:val="22"/>
          <w:lang w:val="es-ES"/>
        </w:rPr>
        <w:t xml:space="preserve">l presidente del CIG </w:t>
      </w:r>
      <w:r w:rsidR="00BE1475" w:rsidRPr="00646674">
        <w:rPr>
          <w:rFonts w:eastAsia="Times New Roman"/>
          <w:szCs w:val="22"/>
          <w:lang w:val="es-ES"/>
        </w:rPr>
        <w:t>y l</w:t>
      </w:r>
      <w:r w:rsidR="002545EB">
        <w:rPr>
          <w:rFonts w:eastAsia="Times New Roman"/>
          <w:szCs w:val="22"/>
          <w:lang w:val="es-ES"/>
        </w:rPr>
        <w:t>os</w:t>
      </w:r>
      <w:r w:rsidR="00BE1475" w:rsidRPr="00646674">
        <w:rPr>
          <w:rFonts w:eastAsia="Times New Roman"/>
          <w:szCs w:val="22"/>
          <w:lang w:val="es-ES"/>
        </w:rPr>
        <w:t xml:space="preserve"> </w:t>
      </w:r>
      <w:r w:rsidR="002545EB">
        <w:rPr>
          <w:rFonts w:eastAsia="Times New Roman"/>
          <w:szCs w:val="22"/>
          <w:lang w:val="es-ES"/>
        </w:rPr>
        <w:t>vice</w:t>
      </w:r>
      <w:r w:rsidR="00BE1475" w:rsidRPr="00646674">
        <w:rPr>
          <w:rFonts w:eastAsia="Times New Roman"/>
          <w:szCs w:val="22"/>
          <w:lang w:val="es-ES"/>
        </w:rPr>
        <w:t>presidente</w:t>
      </w:r>
      <w:r w:rsidR="002545EB">
        <w:rPr>
          <w:rFonts w:eastAsia="Times New Roman"/>
          <w:szCs w:val="22"/>
          <w:lang w:val="es-ES"/>
        </w:rPr>
        <w:t>s conformarán la lista de cuestiones específicas a partir de las sugerencias de los Estados miembros.  La lista debe ser equilibrada y lo más abreviada y centrada como sea posible.  La presidencia del CIG</w:t>
      </w:r>
      <w:r w:rsidR="00157C59">
        <w:rPr>
          <w:rFonts w:eastAsia="Times New Roman"/>
          <w:szCs w:val="22"/>
          <w:lang w:val="es-ES"/>
        </w:rPr>
        <w:t xml:space="preserve"> proporcionará el borrador de la lista a los coordinadores regionales para observaciones, y a los expertos, con anterioridad a la reunión del grupo</w:t>
      </w:r>
      <w:r w:rsidR="00BE1475" w:rsidRPr="00646674">
        <w:rPr>
          <w:rFonts w:eastAsia="Times New Roman"/>
          <w:szCs w:val="22"/>
          <w:lang w:val="es-ES"/>
        </w:rPr>
        <w:t>.</w:t>
      </w:r>
    </w:p>
    <w:p w:rsidR="00BE1475" w:rsidRPr="00646674" w:rsidRDefault="00BE1475" w:rsidP="00844545">
      <w:pPr>
        <w:spacing w:after="120" w:line="260" w:lineRule="atLeast"/>
        <w:rPr>
          <w:rFonts w:eastAsia="Times New Roman"/>
          <w:szCs w:val="22"/>
          <w:lang w:val="es-ES"/>
        </w:rPr>
      </w:pPr>
      <w:r w:rsidRPr="00646674">
        <w:rPr>
          <w:rFonts w:eastAsia="Times New Roman"/>
          <w:szCs w:val="22"/>
          <w:lang w:val="es-ES"/>
        </w:rPr>
        <w:t xml:space="preserve">El grupo de expertos </w:t>
      </w:r>
      <w:r w:rsidR="00844545" w:rsidRPr="00646674">
        <w:rPr>
          <w:rFonts w:eastAsia="Times New Roman"/>
          <w:i/>
          <w:szCs w:val="22"/>
          <w:lang w:val="es-ES"/>
        </w:rPr>
        <w:t>ad hoc</w:t>
      </w:r>
      <w:r w:rsidR="00844545" w:rsidRPr="00646674">
        <w:rPr>
          <w:rFonts w:eastAsia="Times New Roman"/>
          <w:szCs w:val="22"/>
          <w:lang w:val="es-ES"/>
        </w:rPr>
        <w:t xml:space="preserve"> </w:t>
      </w:r>
      <w:r w:rsidRPr="00646674">
        <w:rPr>
          <w:rFonts w:eastAsia="Times New Roman"/>
          <w:szCs w:val="22"/>
          <w:lang w:val="es-ES"/>
        </w:rPr>
        <w:t xml:space="preserve">informará a la </w:t>
      </w:r>
      <w:r w:rsidR="008634F0" w:rsidRPr="00646674">
        <w:rPr>
          <w:rFonts w:eastAsia="Times New Roman"/>
          <w:szCs w:val="22"/>
          <w:lang w:val="es-ES"/>
        </w:rPr>
        <w:t>sesión plenaria del CIG en su 36.ª sesión acerca de los resultados de su labor.</w:t>
      </w:r>
    </w:p>
    <w:p w:rsidR="008634F0" w:rsidRPr="00646674" w:rsidRDefault="008634F0" w:rsidP="00844545">
      <w:pPr>
        <w:spacing w:after="120" w:line="260" w:lineRule="atLeast"/>
        <w:rPr>
          <w:rFonts w:eastAsia="Times New Roman"/>
          <w:szCs w:val="22"/>
          <w:lang w:val="es-ES"/>
        </w:rPr>
      </w:pPr>
      <w:r w:rsidRPr="00646674">
        <w:rPr>
          <w:rFonts w:eastAsia="Times New Roman"/>
          <w:szCs w:val="22"/>
          <w:lang w:val="es-ES"/>
        </w:rPr>
        <w:lastRenderedPageBreak/>
        <w:t xml:space="preserve">En el orden del día de la 36.ª sesión del CIG se incluirá dicho informe del grupo de expertos </w:t>
      </w:r>
      <w:r w:rsidR="008536D2">
        <w:rPr>
          <w:rFonts w:eastAsia="Times New Roman"/>
          <w:i/>
          <w:iCs/>
          <w:szCs w:val="22"/>
          <w:lang w:val="es-ES"/>
        </w:rPr>
        <w:t>ad </w:t>
      </w:r>
      <w:r w:rsidRPr="00646674">
        <w:rPr>
          <w:rFonts w:eastAsia="Times New Roman"/>
          <w:i/>
          <w:iCs/>
          <w:szCs w:val="22"/>
          <w:lang w:val="es-ES"/>
        </w:rPr>
        <w:t>hoc</w:t>
      </w:r>
      <w:r w:rsidR="0051296C">
        <w:rPr>
          <w:rFonts w:eastAsia="Times New Roman"/>
          <w:szCs w:val="22"/>
          <w:lang w:val="es-ES"/>
        </w:rPr>
        <w:t xml:space="preserve">, </w:t>
      </w:r>
      <w:r w:rsidRPr="00646674">
        <w:rPr>
          <w:rFonts w:eastAsia="Times New Roman"/>
          <w:szCs w:val="22"/>
          <w:lang w:val="es-ES"/>
        </w:rPr>
        <w:t>que será presentado por el presidente o los copresidentes de dicho grupo de expertos</w:t>
      </w:r>
      <w:r w:rsidR="00157C59">
        <w:rPr>
          <w:rFonts w:eastAsia="Times New Roman"/>
          <w:szCs w:val="22"/>
          <w:lang w:val="es-ES"/>
        </w:rPr>
        <w:t>, y que constará en el informe de la 36.ª sesión del CIG</w:t>
      </w:r>
      <w:r w:rsidRPr="00646674">
        <w:rPr>
          <w:rFonts w:eastAsia="Times New Roman"/>
          <w:szCs w:val="22"/>
          <w:lang w:val="es-ES"/>
        </w:rPr>
        <w:t>.</w:t>
      </w:r>
    </w:p>
    <w:p w:rsidR="008634F0" w:rsidRPr="00646674" w:rsidRDefault="008634F0" w:rsidP="008634F0">
      <w:pPr>
        <w:spacing w:after="120" w:line="260" w:lineRule="atLeast"/>
        <w:rPr>
          <w:rFonts w:eastAsia="Times New Roman" w:cs="Tahoma"/>
          <w:i/>
          <w:szCs w:val="22"/>
          <w:u w:val="single"/>
          <w:lang w:val="es-ES"/>
        </w:rPr>
      </w:pPr>
      <w:r w:rsidRPr="00646674">
        <w:rPr>
          <w:rFonts w:eastAsia="Times New Roman" w:cs="Tahoma"/>
          <w:i/>
          <w:szCs w:val="22"/>
          <w:u w:val="single"/>
          <w:lang w:val="es-ES"/>
        </w:rPr>
        <w:t>Composición</w:t>
      </w:r>
    </w:p>
    <w:p w:rsidR="008634F0" w:rsidRPr="00646674" w:rsidRDefault="008634F0" w:rsidP="008634F0">
      <w:pPr>
        <w:spacing w:after="120" w:line="260" w:lineRule="atLeast"/>
        <w:rPr>
          <w:rFonts w:eastAsia="Times New Roman" w:cs="Tahoma"/>
          <w:szCs w:val="22"/>
          <w:lang w:val="es-ES"/>
        </w:rPr>
      </w:pPr>
      <w:r w:rsidRPr="00646674">
        <w:rPr>
          <w:rFonts w:eastAsia="Times New Roman" w:cs="Tahoma"/>
          <w:szCs w:val="22"/>
          <w:lang w:val="es-ES"/>
        </w:rPr>
        <w:t xml:space="preserve">Cada grupo regional estará representado por cuatro expertos como máximo.  </w:t>
      </w:r>
      <w:r w:rsidR="00157C59">
        <w:rPr>
          <w:rFonts w:eastAsia="Times New Roman" w:cs="Tahoma"/>
          <w:szCs w:val="22"/>
          <w:lang w:val="es-ES"/>
        </w:rPr>
        <w:t>Se invitará a la Unión Europea (UE) y a los Países de Ideas Afines</w:t>
      </w:r>
      <w:r w:rsidR="002A6DDC">
        <w:rPr>
          <w:rFonts w:eastAsia="Times New Roman" w:cs="Tahoma"/>
          <w:szCs w:val="22"/>
          <w:lang w:val="es-ES"/>
        </w:rPr>
        <w:t xml:space="preserve"> </w:t>
      </w:r>
      <w:r w:rsidR="00157C59">
        <w:rPr>
          <w:rFonts w:eastAsia="Times New Roman" w:cs="Tahoma"/>
          <w:szCs w:val="22"/>
          <w:lang w:val="es-ES"/>
        </w:rPr>
        <w:t xml:space="preserve">a que designen dos expertos, sin necesidad de financiación adicional.  </w:t>
      </w:r>
      <w:r w:rsidR="00FB34B6" w:rsidRPr="00646674">
        <w:rPr>
          <w:rFonts w:eastAsia="Times New Roman" w:cs="Tahoma"/>
          <w:szCs w:val="22"/>
          <w:lang w:val="es-ES"/>
        </w:rPr>
        <w:t xml:space="preserve">Se invitará al Grupo Oficioso de Representantes Indígenas a que </w:t>
      </w:r>
      <w:r w:rsidR="00D34461">
        <w:rPr>
          <w:rFonts w:eastAsia="Times New Roman" w:cs="Tahoma"/>
          <w:szCs w:val="22"/>
          <w:lang w:val="es-ES"/>
        </w:rPr>
        <w:t>designe</w:t>
      </w:r>
      <w:r w:rsidR="00FB34B6" w:rsidRPr="00646674">
        <w:rPr>
          <w:rFonts w:eastAsia="Times New Roman" w:cs="Tahoma"/>
          <w:szCs w:val="22"/>
          <w:lang w:val="es-ES"/>
        </w:rPr>
        <w:t xml:space="preserve"> dos expertos indígenas para su participación.  Los expertos, que preferiblemente deberán ser especialistas en la materia, participarán a título personal.</w:t>
      </w:r>
    </w:p>
    <w:p w:rsidR="00FB34B6" w:rsidRPr="00646674" w:rsidRDefault="00FB34B6" w:rsidP="008634F0">
      <w:pPr>
        <w:spacing w:after="120" w:line="260" w:lineRule="atLeast"/>
        <w:rPr>
          <w:rFonts w:eastAsia="Times New Roman" w:cs="Tahoma"/>
          <w:szCs w:val="22"/>
          <w:lang w:val="es-ES"/>
        </w:rPr>
      </w:pPr>
      <w:r w:rsidRPr="00646674">
        <w:rPr>
          <w:rFonts w:eastAsia="Times New Roman" w:cs="Tahoma"/>
          <w:szCs w:val="22"/>
          <w:lang w:val="es-ES"/>
        </w:rPr>
        <w:t xml:space="preserve">La Secretaría invitará a los </w:t>
      </w:r>
      <w:r w:rsidR="00D34461">
        <w:rPr>
          <w:rFonts w:eastAsia="Times New Roman" w:cs="Tahoma"/>
          <w:szCs w:val="22"/>
          <w:lang w:val="es-ES"/>
        </w:rPr>
        <w:t>g</w:t>
      </w:r>
      <w:r w:rsidRPr="00646674">
        <w:rPr>
          <w:rFonts w:eastAsia="Times New Roman" w:cs="Tahoma"/>
          <w:szCs w:val="22"/>
          <w:lang w:val="es-ES"/>
        </w:rPr>
        <w:t xml:space="preserve">rupos </w:t>
      </w:r>
      <w:r w:rsidR="00D34461">
        <w:rPr>
          <w:rFonts w:eastAsia="Times New Roman" w:cs="Tahoma"/>
          <w:szCs w:val="22"/>
          <w:lang w:val="es-ES"/>
        </w:rPr>
        <w:t>r</w:t>
      </w:r>
      <w:r w:rsidRPr="00646674">
        <w:rPr>
          <w:rFonts w:eastAsia="Times New Roman" w:cs="Tahoma"/>
          <w:szCs w:val="22"/>
          <w:lang w:val="es-ES"/>
        </w:rPr>
        <w:t>egionales</w:t>
      </w:r>
      <w:r w:rsidR="00D34461">
        <w:rPr>
          <w:rFonts w:eastAsia="Times New Roman" w:cs="Tahoma"/>
          <w:szCs w:val="22"/>
          <w:lang w:val="es-ES"/>
        </w:rPr>
        <w:t>, a la UE, los Países de Ideas Afines</w:t>
      </w:r>
      <w:r w:rsidRPr="00646674">
        <w:rPr>
          <w:rFonts w:eastAsia="Times New Roman" w:cs="Tahoma"/>
          <w:szCs w:val="22"/>
          <w:lang w:val="es-ES"/>
        </w:rPr>
        <w:t xml:space="preserve"> y al Grupo Oficioso de Representantes Indígenas a que </w:t>
      </w:r>
      <w:r w:rsidR="00D34461">
        <w:rPr>
          <w:rFonts w:eastAsia="Times New Roman" w:cs="Tahoma"/>
          <w:szCs w:val="22"/>
          <w:lang w:val="es-ES"/>
        </w:rPr>
        <w:t>design</w:t>
      </w:r>
      <w:r w:rsidRPr="00646674">
        <w:rPr>
          <w:rFonts w:eastAsia="Times New Roman" w:cs="Tahoma"/>
          <w:szCs w:val="22"/>
          <w:lang w:val="es-ES"/>
        </w:rPr>
        <w:t>en sus expertos antes de</w:t>
      </w:r>
      <w:r w:rsidR="00D34461">
        <w:rPr>
          <w:rFonts w:eastAsia="Times New Roman" w:cs="Tahoma"/>
          <w:szCs w:val="22"/>
          <w:lang w:val="es-ES"/>
        </w:rPr>
        <w:t xml:space="preserve"> la fecha que se comunique ulteriormente</w:t>
      </w:r>
      <w:r w:rsidRPr="00646674">
        <w:rPr>
          <w:rFonts w:eastAsia="Times New Roman" w:cs="Tahoma"/>
          <w:szCs w:val="22"/>
          <w:lang w:val="es-ES"/>
        </w:rPr>
        <w:t>, de modo que se puedan efectuar los preparativos necesarios.</w:t>
      </w:r>
    </w:p>
    <w:p w:rsidR="00FB34B6" w:rsidRPr="00646674" w:rsidRDefault="00FB34B6" w:rsidP="008634F0">
      <w:pPr>
        <w:spacing w:after="120" w:line="260" w:lineRule="atLeast"/>
        <w:rPr>
          <w:rFonts w:eastAsia="Times New Roman" w:cs="Tahoma"/>
          <w:szCs w:val="22"/>
          <w:lang w:val="es-ES"/>
        </w:rPr>
      </w:pPr>
      <w:r w:rsidRPr="00646674">
        <w:rPr>
          <w:rFonts w:eastAsia="Times New Roman" w:cs="Tahoma"/>
          <w:szCs w:val="22"/>
          <w:lang w:val="es-ES"/>
        </w:rPr>
        <w:t xml:space="preserve">La Secretaría estará autorizada a invitar hasta tres expertos del mundo universitario, la sociedad civil y el sector privado, para que participen en el grupo de expertos </w:t>
      </w:r>
      <w:r w:rsidRPr="00646674">
        <w:rPr>
          <w:rFonts w:eastAsia="Times New Roman" w:cs="Tahoma"/>
          <w:i/>
          <w:iCs/>
          <w:szCs w:val="22"/>
          <w:lang w:val="es-ES"/>
        </w:rPr>
        <w:t>ad hoc</w:t>
      </w:r>
      <w:r w:rsidRPr="00646674">
        <w:rPr>
          <w:rFonts w:eastAsia="Times New Roman" w:cs="Tahoma"/>
          <w:szCs w:val="22"/>
          <w:lang w:val="es-ES"/>
        </w:rPr>
        <w:t>, por ejemplo, presentando ponencias y respondiendo a preguntas técnicas.  Esos expertos también participarán a título personal.</w:t>
      </w:r>
    </w:p>
    <w:p w:rsidR="00844545" w:rsidRPr="00646674" w:rsidRDefault="00DE45E2" w:rsidP="004843B9">
      <w:pPr>
        <w:spacing w:after="120" w:line="260" w:lineRule="atLeast"/>
        <w:rPr>
          <w:rFonts w:eastAsia="Times New Roman"/>
          <w:szCs w:val="22"/>
          <w:lang w:val="es-ES"/>
        </w:rPr>
      </w:pPr>
      <w:r w:rsidRPr="00646674">
        <w:rPr>
          <w:rFonts w:eastAsia="Times New Roman"/>
          <w:szCs w:val="22"/>
          <w:lang w:val="es-ES"/>
        </w:rPr>
        <w:t xml:space="preserve">Se invitará al presidente y a los vicepresidentes del CIG a </w:t>
      </w:r>
      <w:r w:rsidR="00FB34B6" w:rsidRPr="00646674">
        <w:rPr>
          <w:rFonts w:eastAsia="Times New Roman"/>
          <w:szCs w:val="22"/>
          <w:lang w:val="es-ES"/>
        </w:rPr>
        <w:t xml:space="preserve">asistir a la reunión del grupo de expertos </w:t>
      </w:r>
      <w:r w:rsidR="00FB34B6" w:rsidRPr="00646674">
        <w:rPr>
          <w:rFonts w:eastAsia="Times New Roman"/>
          <w:i/>
          <w:iCs/>
          <w:szCs w:val="22"/>
          <w:lang w:val="es-ES"/>
        </w:rPr>
        <w:t>ad hoc</w:t>
      </w:r>
      <w:r w:rsidR="00FB34B6" w:rsidRPr="00646674">
        <w:rPr>
          <w:rFonts w:eastAsia="Times New Roman"/>
          <w:szCs w:val="22"/>
          <w:lang w:val="es-ES"/>
        </w:rPr>
        <w:t>.</w:t>
      </w:r>
    </w:p>
    <w:p w:rsidR="00FB34B6" w:rsidRPr="00646674" w:rsidRDefault="00FB34B6" w:rsidP="00FB34B6">
      <w:pPr>
        <w:spacing w:after="120" w:line="260" w:lineRule="atLeast"/>
        <w:rPr>
          <w:rFonts w:eastAsia="Times New Roman"/>
          <w:i/>
          <w:szCs w:val="22"/>
          <w:u w:val="single"/>
          <w:lang w:val="es-ES"/>
        </w:rPr>
      </w:pPr>
      <w:r w:rsidRPr="00646674">
        <w:rPr>
          <w:rFonts w:eastAsia="Times New Roman"/>
          <w:i/>
          <w:szCs w:val="22"/>
          <w:u w:val="single"/>
          <w:lang w:val="es-ES"/>
        </w:rPr>
        <w:t xml:space="preserve">Fecha y lugar </w:t>
      </w:r>
    </w:p>
    <w:p w:rsidR="00C2178D" w:rsidRPr="00646674" w:rsidRDefault="00C2178D" w:rsidP="00C2178D">
      <w:pPr>
        <w:spacing w:after="120" w:line="260" w:lineRule="atLeast"/>
        <w:rPr>
          <w:rFonts w:eastAsia="Times New Roman"/>
          <w:szCs w:val="22"/>
          <w:lang w:val="es-ES"/>
        </w:rPr>
      </w:pPr>
      <w:r w:rsidRPr="00646674">
        <w:rPr>
          <w:rFonts w:eastAsia="Times New Roman"/>
          <w:szCs w:val="22"/>
          <w:lang w:val="es-ES"/>
        </w:rPr>
        <w:t xml:space="preserve">El grupo de expertos </w:t>
      </w:r>
      <w:r w:rsidRPr="00646674">
        <w:rPr>
          <w:rFonts w:eastAsia="Times New Roman"/>
          <w:i/>
          <w:iCs/>
          <w:szCs w:val="22"/>
          <w:lang w:val="es-ES"/>
        </w:rPr>
        <w:t>ad hoc</w:t>
      </w:r>
      <w:r w:rsidRPr="00646674">
        <w:rPr>
          <w:rFonts w:eastAsia="Times New Roman"/>
          <w:szCs w:val="22"/>
          <w:lang w:val="es-ES"/>
        </w:rPr>
        <w:t xml:space="preserve"> sobre los recursos genéticos se reunirá </w:t>
      </w:r>
      <w:r w:rsidR="00646674" w:rsidRPr="00646674">
        <w:rPr>
          <w:rFonts w:eastAsia="Times New Roman"/>
          <w:szCs w:val="22"/>
          <w:lang w:val="es-ES"/>
        </w:rPr>
        <w:t xml:space="preserve">el </w:t>
      </w:r>
      <w:r w:rsidRPr="00646674">
        <w:rPr>
          <w:rFonts w:eastAsia="Times New Roman"/>
          <w:szCs w:val="22"/>
          <w:lang w:val="es-ES"/>
        </w:rPr>
        <w:t>domingo 24 de junio</w:t>
      </w:r>
      <w:r w:rsidR="00B814F3">
        <w:rPr>
          <w:rFonts w:eastAsia="Times New Roman"/>
          <w:szCs w:val="22"/>
          <w:lang w:val="es-ES"/>
        </w:rPr>
        <w:t xml:space="preserve"> de </w:t>
      </w:r>
      <w:r w:rsidR="00646674" w:rsidRPr="00646674">
        <w:rPr>
          <w:rFonts w:eastAsia="Times New Roman"/>
          <w:szCs w:val="22"/>
          <w:lang w:val="es-ES"/>
        </w:rPr>
        <w:t>2018</w:t>
      </w:r>
      <w:r w:rsidRPr="00646674">
        <w:rPr>
          <w:rFonts w:eastAsia="Times New Roman"/>
          <w:szCs w:val="22"/>
          <w:lang w:val="es-ES"/>
        </w:rPr>
        <w:t>, en la Sede de la OMPI en Ginebra, en la Sala NB 0.107, de 09h00 a 17h00.</w:t>
      </w:r>
      <w:r w:rsidR="002A6DDC">
        <w:rPr>
          <w:rFonts w:eastAsia="Times New Roman"/>
          <w:szCs w:val="22"/>
          <w:lang w:val="es-ES"/>
        </w:rPr>
        <w:t xml:space="preserve"> </w:t>
      </w:r>
    </w:p>
    <w:p w:rsidR="00FB34B6" w:rsidRPr="00646674" w:rsidRDefault="00FB34B6" w:rsidP="00FB34B6">
      <w:pPr>
        <w:spacing w:after="120" w:line="260" w:lineRule="atLeast"/>
        <w:rPr>
          <w:rFonts w:eastAsia="Times New Roman"/>
          <w:i/>
          <w:szCs w:val="22"/>
          <w:u w:val="single"/>
          <w:lang w:val="es-ES"/>
        </w:rPr>
      </w:pPr>
      <w:r w:rsidRPr="00646674">
        <w:rPr>
          <w:rFonts w:eastAsia="Times New Roman"/>
          <w:i/>
          <w:szCs w:val="22"/>
          <w:u w:val="single"/>
          <w:lang w:val="es-ES"/>
        </w:rPr>
        <w:t>Financiación</w:t>
      </w:r>
    </w:p>
    <w:p w:rsidR="00646674" w:rsidRPr="00646674" w:rsidRDefault="00646674" w:rsidP="00646674">
      <w:pPr>
        <w:spacing w:after="120" w:line="260" w:lineRule="atLeast"/>
        <w:rPr>
          <w:rFonts w:eastAsia="Times New Roman"/>
          <w:szCs w:val="22"/>
          <w:lang w:val="es-ES"/>
        </w:rPr>
      </w:pPr>
      <w:r w:rsidRPr="00646674">
        <w:rPr>
          <w:rFonts w:eastAsia="Times New Roman"/>
          <w:szCs w:val="22"/>
          <w:lang w:val="es-ES"/>
        </w:rPr>
        <w:t xml:space="preserve">Con arreglo a la fórmula de financiación acordada para el proceso del CIG, se financiará la participación en la 36.ª del CIG de </w:t>
      </w:r>
      <w:r>
        <w:rPr>
          <w:rFonts w:eastAsia="Times New Roman"/>
          <w:szCs w:val="22"/>
          <w:lang w:val="es-ES"/>
        </w:rPr>
        <w:t xml:space="preserve">un participante de </w:t>
      </w:r>
      <w:r w:rsidRPr="00646674">
        <w:rPr>
          <w:rFonts w:eastAsia="Times New Roman"/>
          <w:szCs w:val="22"/>
          <w:lang w:val="es-ES"/>
        </w:rPr>
        <w:t xml:space="preserve">cada uno de los 36 países (siete países de cada región y China).  Se invitará a los coordinadores regionales, como de costumbre, a proporcionar los nombres de los países que han de </w:t>
      </w:r>
      <w:r>
        <w:rPr>
          <w:rFonts w:eastAsia="Times New Roman"/>
          <w:szCs w:val="22"/>
          <w:lang w:val="es-ES"/>
        </w:rPr>
        <w:t>recibir financiación</w:t>
      </w:r>
      <w:r w:rsidRPr="00646674">
        <w:rPr>
          <w:rFonts w:eastAsia="Times New Roman"/>
          <w:szCs w:val="22"/>
          <w:lang w:val="es-ES"/>
        </w:rPr>
        <w:t>.  Posteriormente, se invitará a los países que reciban financiac</w:t>
      </w:r>
      <w:r>
        <w:rPr>
          <w:rFonts w:eastAsia="Times New Roman"/>
          <w:szCs w:val="22"/>
          <w:lang w:val="es-ES"/>
        </w:rPr>
        <w:t>i</w:t>
      </w:r>
      <w:r w:rsidRPr="00646674">
        <w:rPr>
          <w:rFonts w:eastAsia="Times New Roman"/>
          <w:szCs w:val="22"/>
          <w:lang w:val="es-ES"/>
        </w:rPr>
        <w:t xml:space="preserve">ón a designar </w:t>
      </w:r>
      <w:r>
        <w:rPr>
          <w:rFonts w:eastAsia="Times New Roman"/>
          <w:szCs w:val="22"/>
          <w:lang w:val="es-ES"/>
        </w:rPr>
        <w:t xml:space="preserve">a </w:t>
      </w:r>
      <w:r w:rsidR="00C6519A">
        <w:rPr>
          <w:rFonts w:eastAsia="Times New Roman"/>
          <w:szCs w:val="22"/>
          <w:lang w:val="es-ES"/>
        </w:rPr>
        <w:t>los expertos que</w:t>
      </w:r>
      <w:r w:rsidR="00C06A0D">
        <w:rPr>
          <w:rFonts w:eastAsia="Times New Roman"/>
          <w:szCs w:val="22"/>
          <w:lang w:val="es-ES"/>
        </w:rPr>
        <w:t xml:space="preserve"> </w:t>
      </w:r>
      <w:r w:rsidR="00C6519A">
        <w:rPr>
          <w:rFonts w:eastAsia="Times New Roman"/>
          <w:szCs w:val="22"/>
          <w:lang w:val="es-ES"/>
        </w:rPr>
        <w:t xml:space="preserve">han de </w:t>
      </w:r>
      <w:r>
        <w:rPr>
          <w:rFonts w:eastAsia="Times New Roman"/>
          <w:szCs w:val="22"/>
          <w:lang w:val="es-ES"/>
        </w:rPr>
        <w:t xml:space="preserve">recibir financiación para participar </w:t>
      </w:r>
      <w:r w:rsidRPr="00646674">
        <w:rPr>
          <w:rFonts w:eastAsia="Times New Roman"/>
          <w:szCs w:val="22"/>
          <w:lang w:val="es-ES"/>
        </w:rPr>
        <w:t>en el CIG.</w:t>
      </w:r>
    </w:p>
    <w:p w:rsidR="00646674" w:rsidRPr="00646674" w:rsidRDefault="00C06A0D" w:rsidP="00646674">
      <w:pPr>
        <w:spacing w:after="120" w:line="260" w:lineRule="atLeast"/>
        <w:rPr>
          <w:rFonts w:eastAsia="Times New Roman" w:cs="Tahoma"/>
          <w:szCs w:val="22"/>
          <w:lang w:val="es-ES"/>
        </w:rPr>
      </w:pPr>
      <w:r>
        <w:rPr>
          <w:rFonts w:eastAsia="Times New Roman" w:cs="Tahoma"/>
          <w:szCs w:val="22"/>
          <w:lang w:val="es-ES"/>
        </w:rPr>
        <w:t xml:space="preserve">La OMPI proporcionará a </w:t>
      </w:r>
      <w:r w:rsidR="00646674" w:rsidRPr="00646674">
        <w:rPr>
          <w:rFonts w:eastAsia="Times New Roman" w:cs="Tahoma"/>
          <w:szCs w:val="22"/>
          <w:lang w:val="es-ES"/>
        </w:rPr>
        <w:t>los expertos de c</w:t>
      </w:r>
      <w:r>
        <w:rPr>
          <w:rFonts w:eastAsia="Times New Roman" w:cs="Tahoma"/>
          <w:szCs w:val="22"/>
          <w:lang w:val="es-ES"/>
        </w:rPr>
        <w:t>ada grupo regional que participe</w:t>
      </w:r>
      <w:r w:rsidR="00646674" w:rsidRPr="00646674">
        <w:rPr>
          <w:rFonts w:eastAsia="Times New Roman" w:cs="Tahoma"/>
          <w:szCs w:val="22"/>
          <w:lang w:val="es-ES"/>
        </w:rPr>
        <w:t xml:space="preserve">n en el grupo de expertos </w:t>
      </w:r>
      <w:r w:rsidR="00646674" w:rsidRPr="00C06A0D">
        <w:rPr>
          <w:rFonts w:eastAsia="Times New Roman" w:cs="Tahoma"/>
          <w:i/>
          <w:iCs/>
          <w:szCs w:val="22"/>
          <w:lang w:val="es-ES"/>
        </w:rPr>
        <w:t>ad hoc</w:t>
      </w:r>
      <w:r w:rsidR="00646674" w:rsidRPr="00646674">
        <w:rPr>
          <w:rFonts w:eastAsia="Times New Roman" w:cs="Tahoma"/>
          <w:szCs w:val="22"/>
          <w:lang w:val="es-ES"/>
        </w:rPr>
        <w:t xml:space="preserve"> </w:t>
      </w:r>
      <w:r w:rsidR="002C4FB4">
        <w:rPr>
          <w:rFonts w:eastAsia="Times New Roman" w:cs="Tahoma"/>
          <w:szCs w:val="22"/>
          <w:lang w:val="es-ES"/>
        </w:rPr>
        <w:t>y que reciban</w:t>
      </w:r>
      <w:r>
        <w:rPr>
          <w:rFonts w:eastAsia="Times New Roman" w:cs="Tahoma"/>
          <w:szCs w:val="22"/>
          <w:lang w:val="es-ES"/>
        </w:rPr>
        <w:t xml:space="preserve"> financiación para participar en el CIG </w:t>
      </w:r>
      <w:r w:rsidR="002C4FB4">
        <w:rPr>
          <w:rFonts w:eastAsia="Times New Roman" w:cs="Tahoma"/>
          <w:szCs w:val="22"/>
          <w:lang w:val="es-ES"/>
        </w:rPr>
        <w:t xml:space="preserve">una dieta adicional conforme al baremo </w:t>
      </w:r>
      <w:r w:rsidR="00646674" w:rsidRPr="00646674">
        <w:rPr>
          <w:rFonts w:eastAsia="Times New Roman" w:cs="Tahoma"/>
          <w:szCs w:val="22"/>
          <w:lang w:val="es-ES"/>
        </w:rPr>
        <w:t>habitual de</w:t>
      </w:r>
      <w:r w:rsidR="002C4FB4">
        <w:rPr>
          <w:rFonts w:eastAsia="Times New Roman" w:cs="Tahoma"/>
          <w:szCs w:val="22"/>
          <w:lang w:val="es-ES"/>
        </w:rPr>
        <w:t>l</w:t>
      </w:r>
      <w:r w:rsidR="00646674" w:rsidRPr="00646674">
        <w:rPr>
          <w:rFonts w:eastAsia="Times New Roman" w:cs="Tahoma"/>
          <w:szCs w:val="22"/>
          <w:lang w:val="es-ES"/>
        </w:rPr>
        <w:t xml:space="preserve"> CIG. La OMPI no cubrirá los gastos de otros expertos u otros gastos adicionales. </w:t>
      </w:r>
    </w:p>
    <w:p w:rsidR="00646674" w:rsidRPr="00646674" w:rsidRDefault="002C4FB4" w:rsidP="00646674">
      <w:pPr>
        <w:spacing w:after="120" w:line="260" w:lineRule="atLeast"/>
        <w:rPr>
          <w:rFonts w:eastAsia="Times New Roman" w:cs="Tahoma"/>
          <w:szCs w:val="22"/>
          <w:lang w:val="es-ES"/>
        </w:rPr>
      </w:pPr>
      <w:r>
        <w:rPr>
          <w:rFonts w:eastAsia="Times New Roman" w:cs="Tahoma"/>
          <w:szCs w:val="22"/>
          <w:lang w:val="es-ES"/>
        </w:rPr>
        <w:t>Esta disposición en materia de</w:t>
      </w:r>
      <w:r w:rsidR="00646674" w:rsidRPr="00646674">
        <w:rPr>
          <w:rFonts w:eastAsia="Times New Roman" w:cs="Tahoma"/>
          <w:szCs w:val="22"/>
          <w:lang w:val="es-ES"/>
        </w:rPr>
        <w:t xml:space="preserve"> financiación para participar en </w:t>
      </w:r>
      <w:r>
        <w:rPr>
          <w:rFonts w:eastAsia="Times New Roman" w:cs="Tahoma"/>
          <w:szCs w:val="22"/>
          <w:lang w:val="es-ES"/>
        </w:rPr>
        <w:t>el grupo</w:t>
      </w:r>
      <w:r w:rsidR="00646674" w:rsidRPr="00646674">
        <w:rPr>
          <w:rFonts w:eastAsia="Times New Roman" w:cs="Tahoma"/>
          <w:szCs w:val="22"/>
          <w:lang w:val="es-ES"/>
        </w:rPr>
        <w:t xml:space="preserve"> de trabajo </w:t>
      </w:r>
      <w:r w:rsidRPr="002C4FB4">
        <w:rPr>
          <w:rFonts w:eastAsia="Times New Roman" w:cs="Tahoma"/>
          <w:i/>
          <w:iCs/>
          <w:szCs w:val="22"/>
          <w:lang w:val="es-ES"/>
        </w:rPr>
        <w:t>ad hoc</w:t>
      </w:r>
      <w:r>
        <w:rPr>
          <w:rFonts w:eastAsia="Times New Roman" w:cs="Tahoma"/>
          <w:szCs w:val="22"/>
          <w:lang w:val="es-ES"/>
        </w:rPr>
        <w:t xml:space="preserve"> </w:t>
      </w:r>
      <w:r w:rsidR="00646674" w:rsidRPr="00646674">
        <w:rPr>
          <w:rFonts w:eastAsia="Times New Roman" w:cs="Tahoma"/>
          <w:szCs w:val="22"/>
          <w:lang w:val="es-ES"/>
        </w:rPr>
        <w:t>no sentará precedente para ninguna otra reunión de la OMPI.</w:t>
      </w:r>
    </w:p>
    <w:p w:rsidR="00646674" w:rsidRPr="00646674" w:rsidRDefault="00646674" w:rsidP="00646674">
      <w:pPr>
        <w:spacing w:after="120" w:line="260" w:lineRule="atLeast"/>
        <w:rPr>
          <w:rFonts w:eastAsia="Times New Roman" w:cs="Tahoma"/>
          <w:szCs w:val="22"/>
          <w:lang w:val="es-ES"/>
        </w:rPr>
      </w:pPr>
      <w:r w:rsidRPr="00646674">
        <w:rPr>
          <w:rFonts w:eastAsia="Times New Roman" w:cs="Tahoma"/>
          <w:szCs w:val="22"/>
          <w:lang w:val="es-ES"/>
        </w:rPr>
        <w:t xml:space="preserve">Si los expertos indígenas </w:t>
      </w:r>
      <w:r w:rsidR="002C4FB4">
        <w:rPr>
          <w:rFonts w:eastAsia="Times New Roman" w:cs="Tahoma"/>
          <w:szCs w:val="22"/>
          <w:lang w:val="es-ES"/>
        </w:rPr>
        <w:t xml:space="preserve">que han de </w:t>
      </w:r>
      <w:r w:rsidRPr="00646674">
        <w:rPr>
          <w:rFonts w:eastAsia="Times New Roman" w:cs="Tahoma"/>
          <w:szCs w:val="22"/>
          <w:lang w:val="es-ES"/>
        </w:rPr>
        <w:t xml:space="preserve">participar en el grupo de expertos </w:t>
      </w:r>
      <w:r w:rsidRPr="002C4FB4">
        <w:rPr>
          <w:rFonts w:eastAsia="Times New Roman" w:cs="Tahoma"/>
          <w:i/>
          <w:iCs/>
          <w:szCs w:val="22"/>
          <w:lang w:val="es-ES"/>
        </w:rPr>
        <w:t>ad hoc</w:t>
      </w:r>
      <w:r w:rsidR="002C4FB4">
        <w:rPr>
          <w:rFonts w:eastAsia="Times New Roman" w:cs="Tahoma"/>
          <w:szCs w:val="22"/>
          <w:lang w:val="es-ES"/>
        </w:rPr>
        <w:t xml:space="preserve"> son financiado</w:t>
      </w:r>
      <w:r w:rsidRPr="00646674">
        <w:rPr>
          <w:rFonts w:eastAsia="Times New Roman" w:cs="Tahoma"/>
          <w:szCs w:val="22"/>
          <w:lang w:val="es-ES"/>
        </w:rPr>
        <w:t xml:space="preserve">s </w:t>
      </w:r>
      <w:r w:rsidR="002C4FB4">
        <w:rPr>
          <w:rFonts w:eastAsia="Times New Roman" w:cs="Tahoma"/>
          <w:szCs w:val="22"/>
          <w:lang w:val="es-ES"/>
        </w:rPr>
        <w:t xml:space="preserve">con cargo al </w:t>
      </w:r>
      <w:r w:rsidRPr="00646674">
        <w:rPr>
          <w:rFonts w:eastAsia="Times New Roman" w:cs="Tahoma"/>
          <w:szCs w:val="22"/>
          <w:lang w:val="es-ES"/>
        </w:rPr>
        <w:t xml:space="preserve">Fondo de Contribuciones Voluntarias, según decisión de la Junta Asesora o son los integrantes de la Mesa Redonda de las comunidades indígenas en la </w:t>
      </w:r>
      <w:r w:rsidR="002C4FB4">
        <w:rPr>
          <w:rFonts w:eastAsia="Times New Roman" w:cs="Tahoma"/>
          <w:szCs w:val="22"/>
          <w:lang w:val="es-ES"/>
        </w:rPr>
        <w:t xml:space="preserve">36.ª </w:t>
      </w:r>
      <w:r w:rsidRPr="00646674">
        <w:rPr>
          <w:rFonts w:eastAsia="Times New Roman" w:cs="Tahoma"/>
          <w:szCs w:val="22"/>
          <w:lang w:val="es-ES"/>
        </w:rPr>
        <w:t xml:space="preserve">sesión del CIG, la OMPI proporcionará dietas </w:t>
      </w:r>
      <w:r w:rsidR="002C4FB4">
        <w:rPr>
          <w:rFonts w:eastAsia="Times New Roman" w:cs="Tahoma"/>
          <w:szCs w:val="22"/>
          <w:lang w:val="es-ES"/>
        </w:rPr>
        <w:t xml:space="preserve">conforme al baremo </w:t>
      </w:r>
      <w:r w:rsidRPr="00646674">
        <w:rPr>
          <w:rFonts w:eastAsia="Times New Roman" w:cs="Tahoma"/>
          <w:szCs w:val="22"/>
          <w:lang w:val="es-ES"/>
        </w:rPr>
        <w:t xml:space="preserve">habitual del CIG.  La OMPI no cubrirá los gastos de </w:t>
      </w:r>
      <w:r w:rsidR="00D34461">
        <w:rPr>
          <w:rFonts w:eastAsia="Times New Roman" w:cs="Tahoma"/>
          <w:szCs w:val="22"/>
          <w:lang w:val="es-ES"/>
        </w:rPr>
        <w:t>otr</w:t>
      </w:r>
      <w:r w:rsidRPr="00646674">
        <w:rPr>
          <w:rFonts w:eastAsia="Times New Roman" w:cs="Tahoma"/>
          <w:szCs w:val="22"/>
          <w:lang w:val="es-ES"/>
        </w:rPr>
        <w:t xml:space="preserve">os expertos indígenas o </w:t>
      </w:r>
      <w:r w:rsidR="0051296C">
        <w:rPr>
          <w:rFonts w:eastAsia="Times New Roman" w:cs="Tahoma"/>
          <w:szCs w:val="22"/>
          <w:lang w:val="es-ES"/>
        </w:rPr>
        <w:t>todo</w:t>
      </w:r>
      <w:r w:rsidRPr="00646674">
        <w:rPr>
          <w:rFonts w:eastAsia="Times New Roman" w:cs="Tahoma"/>
          <w:szCs w:val="22"/>
          <w:lang w:val="es-ES"/>
        </w:rPr>
        <w:t xml:space="preserve"> </w:t>
      </w:r>
      <w:r w:rsidR="0051296C">
        <w:rPr>
          <w:rFonts w:eastAsia="Times New Roman" w:cs="Tahoma"/>
          <w:szCs w:val="22"/>
          <w:lang w:val="es-ES"/>
        </w:rPr>
        <w:t>gasto adicional</w:t>
      </w:r>
      <w:r w:rsidRPr="00646674">
        <w:rPr>
          <w:rFonts w:eastAsia="Times New Roman" w:cs="Tahoma"/>
          <w:szCs w:val="22"/>
          <w:lang w:val="es-ES"/>
        </w:rPr>
        <w:t xml:space="preserve">. </w:t>
      </w:r>
    </w:p>
    <w:p w:rsidR="00FB34B6" w:rsidRPr="00646674" w:rsidRDefault="00FB34B6" w:rsidP="00FB34B6">
      <w:pPr>
        <w:spacing w:after="120" w:line="260" w:lineRule="atLeast"/>
        <w:rPr>
          <w:rFonts w:eastAsia="Times New Roman"/>
          <w:i/>
          <w:szCs w:val="22"/>
          <w:u w:val="single"/>
          <w:lang w:val="es-ES"/>
        </w:rPr>
      </w:pPr>
      <w:r w:rsidRPr="00646674">
        <w:rPr>
          <w:rFonts w:eastAsia="Times New Roman"/>
          <w:i/>
          <w:szCs w:val="22"/>
          <w:u w:val="single"/>
          <w:lang w:val="es-ES"/>
        </w:rPr>
        <w:t>Idiomas</w:t>
      </w:r>
    </w:p>
    <w:p w:rsidR="00C81B66" w:rsidRPr="00B814F3" w:rsidRDefault="00C81B66" w:rsidP="00C81B66">
      <w:pPr>
        <w:spacing w:after="120" w:line="260" w:lineRule="atLeast"/>
        <w:rPr>
          <w:rFonts w:eastAsia="Times New Roman" w:cs="Tahoma"/>
          <w:szCs w:val="22"/>
          <w:lang w:val="es-ES"/>
        </w:rPr>
      </w:pPr>
      <w:r w:rsidRPr="00EC181D">
        <w:rPr>
          <w:rFonts w:eastAsia="Times New Roman" w:cs="Tahoma"/>
          <w:szCs w:val="22"/>
          <w:lang w:val="es-ES_tradnl"/>
        </w:rPr>
        <w:t xml:space="preserve">Los idiomas de trabajo del grupo de expertos </w:t>
      </w:r>
      <w:r w:rsidRPr="00C81B66">
        <w:rPr>
          <w:rFonts w:eastAsia="Times New Roman" w:cs="Tahoma"/>
          <w:i/>
          <w:iCs/>
          <w:szCs w:val="22"/>
          <w:lang w:val="es-ES_tradnl"/>
        </w:rPr>
        <w:t>ad hoc</w:t>
      </w:r>
      <w:r w:rsidRPr="00EC181D">
        <w:rPr>
          <w:rFonts w:eastAsia="Times New Roman" w:cs="Tahoma"/>
          <w:szCs w:val="22"/>
          <w:lang w:val="es-ES_tradnl"/>
        </w:rPr>
        <w:t xml:space="preserve"> serán el </w:t>
      </w:r>
      <w:r>
        <w:rPr>
          <w:rFonts w:eastAsia="Times New Roman" w:cs="Tahoma"/>
          <w:szCs w:val="22"/>
          <w:lang w:val="es-ES_tradnl"/>
        </w:rPr>
        <w:t>e</w:t>
      </w:r>
      <w:r w:rsidRPr="00EC181D">
        <w:rPr>
          <w:rFonts w:eastAsia="Times New Roman" w:cs="Tahoma"/>
          <w:szCs w:val="22"/>
          <w:lang w:val="es-ES_tradnl"/>
        </w:rPr>
        <w:t xml:space="preserve">spañol, el </w:t>
      </w:r>
      <w:r>
        <w:rPr>
          <w:rFonts w:eastAsia="Times New Roman" w:cs="Tahoma"/>
          <w:szCs w:val="22"/>
          <w:lang w:val="es-ES_tradnl"/>
        </w:rPr>
        <w:t>f</w:t>
      </w:r>
      <w:r w:rsidRPr="00EC181D">
        <w:rPr>
          <w:rFonts w:eastAsia="Times New Roman" w:cs="Tahoma"/>
          <w:szCs w:val="22"/>
          <w:lang w:val="es-ES_tradnl"/>
        </w:rPr>
        <w:t xml:space="preserve">rancés y el </w:t>
      </w:r>
      <w:r>
        <w:rPr>
          <w:rFonts w:eastAsia="Times New Roman" w:cs="Tahoma"/>
          <w:szCs w:val="22"/>
          <w:lang w:val="es-ES_tradnl"/>
        </w:rPr>
        <w:t>i</w:t>
      </w:r>
      <w:r w:rsidRPr="00EC181D">
        <w:rPr>
          <w:rFonts w:eastAsia="Times New Roman" w:cs="Tahoma"/>
          <w:szCs w:val="22"/>
          <w:lang w:val="es-ES_tradnl"/>
        </w:rPr>
        <w:t>nglés.</w:t>
      </w:r>
      <w:r w:rsidRPr="00B814F3">
        <w:rPr>
          <w:rFonts w:eastAsia="Times New Roman" w:cs="Tahoma"/>
          <w:szCs w:val="22"/>
          <w:lang w:val="es-ES"/>
        </w:rPr>
        <w:t xml:space="preserve"> </w:t>
      </w:r>
    </w:p>
    <w:p w:rsidR="00FB34B6" w:rsidRPr="00646674" w:rsidRDefault="00FB34B6" w:rsidP="00FB34B6">
      <w:pPr>
        <w:spacing w:after="120" w:line="260" w:lineRule="atLeast"/>
        <w:rPr>
          <w:rFonts w:eastAsia="Times New Roman"/>
          <w:i/>
          <w:szCs w:val="22"/>
          <w:u w:val="single"/>
          <w:lang w:val="es-ES"/>
        </w:rPr>
      </w:pPr>
      <w:r w:rsidRPr="00646674">
        <w:rPr>
          <w:rFonts w:eastAsia="Times New Roman"/>
          <w:i/>
          <w:iCs/>
          <w:szCs w:val="22"/>
          <w:u w:val="single"/>
          <w:lang w:val="es-ES"/>
        </w:rPr>
        <w:t xml:space="preserve">Presidente o copresidentes del grupo de expertos </w:t>
      </w:r>
      <w:r w:rsidRPr="00646674">
        <w:rPr>
          <w:rFonts w:eastAsia="Times New Roman"/>
          <w:szCs w:val="22"/>
          <w:u w:val="single"/>
          <w:lang w:val="es-ES"/>
        </w:rPr>
        <w:t>ad hoc</w:t>
      </w:r>
      <w:r w:rsidRPr="00646674">
        <w:rPr>
          <w:rFonts w:eastAsia="Times New Roman"/>
          <w:i/>
          <w:szCs w:val="22"/>
          <w:u w:val="single"/>
          <w:lang w:val="es-ES"/>
        </w:rPr>
        <w:t xml:space="preserve"> </w:t>
      </w:r>
    </w:p>
    <w:p w:rsidR="00C81B66" w:rsidRPr="00646674" w:rsidRDefault="00D34461" w:rsidP="00FB34B6">
      <w:pPr>
        <w:spacing w:after="120" w:line="260" w:lineRule="atLeast"/>
        <w:rPr>
          <w:rFonts w:eastAsia="Times New Roman"/>
          <w:szCs w:val="22"/>
          <w:lang w:val="es-ES"/>
        </w:rPr>
      </w:pPr>
      <w:r>
        <w:rPr>
          <w:rFonts w:eastAsia="Times New Roman"/>
          <w:szCs w:val="22"/>
          <w:lang w:val="es-ES"/>
        </w:rPr>
        <w:t>La presidencia</w:t>
      </w:r>
      <w:r w:rsidR="00C81B66">
        <w:rPr>
          <w:rFonts w:eastAsia="Times New Roman"/>
          <w:szCs w:val="22"/>
          <w:lang w:val="es-ES"/>
        </w:rPr>
        <w:t xml:space="preserve"> del CIG determinará el presidente o copresidentes de entre los expertos participantes</w:t>
      </w:r>
      <w:r>
        <w:rPr>
          <w:rFonts w:eastAsia="Times New Roman"/>
          <w:szCs w:val="22"/>
          <w:lang w:val="es-ES"/>
        </w:rPr>
        <w:t xml:space="preserve"> con anterioridad a la reunión del grupo de expertos </w:t>
      </w:r>
      <w:r w:rsidRPr="00D34461">
        <w:rPr>
          <w:rFonts w:eastAsia="Times New Roman"/>
          <w:i/>
          <w:szCs w:val="22"/>
          <w:lang w:val="es-ES"/>
        </w:rPr>
        <w:t>ad hoc</w:t>
      </w:r>
      <w:r>
        <w:rPr>
          <w:rFonts w:eastAsia="Times New Roman"/>
          <w:szCs w:val="22"/>
          <w:lang w:val="es-ES"/>
        </w:rPr>
        <w:t>, de forma de que dispongan de tiempo para prepararse</w:t>
      </w:r>
      <w:r w:rsidR="00C81B66">
        <w:rPr>
          <w:rFonts w:eastAsia="Times New Roman"/>
          <w:szCs w:val="22"/>
          <w:lang w:val="es-ES"/>
        </w:rPr>
        <w:t>.</w:t>
      </w:r>
    </w:p>
    <w:p w:rsidR="00FB34B6" w:rsidRPr="00646674" w:rsidRDefault="00001843" w:rsidP="00D34461">
      <w:pPr>
        <w:keepNext/>
        <w:keepLines/>
        <w:spacing w:after="120" w:line="260" w:lineRule="atLeast"/>
        <w:rPr>
          <w:rFonts w:eastAsia="Times New Roman"/>
          <w:i/>
          <w:szCs w:val="22"/>
          <w:u w:val="single"/>
          <w:lang w:val="es-ES"/>
        </w:rPr>
      </w:pPr>
      <w:r>
        <w:rPr>
          <w:rFonts w:eastAsia="Times New Roman"/>
          <w:i/>
          <w:szCs w:val="22"/>
          <w:u w:val="single"/>
          <w:lang w:val="es-ES"/>
        </w:rPr>
        <w:lastRenderedPageBreak/>
        <w:t xml:space="preserve">Carácter oficioso </w:t>
      </w:r>
    </w:p>
    <w:p w:rsidR="00001843" w:rsidRPr="00B814F3" w:rsidRDefault="00001843" w:rsidP="00D34461">
      <w:pPr>
        <w:keepNext/>
        <w:keepLines/>
        <w:spacing w:after="120" w:line="260" w:lineRule="atLeast"/>
        <w:rPr>
          <w:rFonts w:eastAsia="Times New Roman"/>
          <w:szCs w:val="22"/>
          <w:lang w:val="es-ES"/>
        </w:rPr>
      </w:pPr>
      <w:r>
        <w:rPr>
          <w:rFonts w:eastAsia="Times New Roman"/>
          <w:szCs w:val="22"/>
          <w:lang w:val="es-ES_tradnl"/>
        </w:rPr>
        <w:t xml:space="preserve">La reunión del </w:t>
      </w:r>
      <w:r w:rsidRPr="00001843">
        <w:rPr>
          <w:rFonts w:eastAsia="Times New Roman"/>
          <w:szCs w:val="22"/>
          <w:lang w:val="es-ES_tradnl"/>
        </w:rPr>
        <w:t xml:space="preserve">grupo de expertos </w:t>
      </w:r>
      <w:r w:rsidRPr="00001843">
        <w:rPr>
          <w:rFonts w:eastAsia="Times New Roman"/>
          <w:i/>
          <w:iCs/>
          <w:szCs w:val="22"/>
          <w:lang w:val="es-ES_tradnl"/>
        </w:rPr>
        <w:t>ad hoc</w:t>
      </w:r>
      <w:r>
        <w:rPr>
          <w:rFonts w:eastAsia="Times New Roman"/>
          <w:szCs w:val="22"/>
          <w:lang w:val="es-ES_tradnl"/>
        </w:rPr>
        <w:t xml:space="preserve"> no se</w:t>
      </w:r>
      <w:r w:rsidR="002A6DDC">
        <w:rPr>
          <w:rFonts w:eastAsia="Times New Roman"/>
          <w:szCs w:val="22"/>
          <w:lang w:val="es-ES_tradnl"/>
        </w:rPr>
        <w:t xml:space="preserve">rá </w:t>
      </w:r>
      <w:r>
        <w:rPr>
          <w:rFonts w:eastAsia="Times New Roman"/>
          <w:szCs w:val="22"/>
          <w:lang w:val="es-ES_tradnl"/>
        </w:rPr>
        <w:t>difundi</w:t>
      </w:r>
      <w:r w:rsidR="002A6DDC">
        <w:rPr>
          <w:rFonts w:eastAsia="Times New Roman"/>
          <w:szCs w:val="22"/>
          <w:lang w:val="es-ES_tradnl"/>
        </w:rPr>
        <w:t>da</w:t>
      </w:r>
      <w:r w:rsidRPr="00001843">
        <w:rPr>
          <w:rFonts w:eastAsia="Times New Roman"/>
          <w:szCs w:val="22"/>
          <w:lang w:val="es-ES_tradnl"/>
        </w:rPr>
        <w:t xml:space="preserve"> por </w:t>
      </w:r>
      <w:r>
        <w:rPr>
          <w:rFonts w:eastAsia="Times New Roman"/>
          <w:szCs w:val="22"/>
          <w:lang w:val="es-ES_tradnl"/>
        </w:rPr>
        <w:t>I</w:t>
      </w:r>
      <w:r w:rsidRPr="00001843">
        <w:rPr>
          <w:rFonts w:eastAsia="Times New Roman"/>
          <w:szCs w:val="22"/>
          <w:lang w:val="es-ES_tradnl"/>
        </w:rPr>
        <w:t xml:space="preserve">nternet, </w:t>
      </w:r>
      <w:r>
        <w:rPr>
          <w:rFonts w:eastAsia="Times New Roman"/>
          <w:szCs w:val="22"/>
          <w:lang w:val="es-ES_tradnl"/>
        </w:rPr>
        <w:t xml:space="preserve">ni se informará </w:t>
      </w:r>
      <w:r w:rsidR="002A6DDC">
        <w:rPr>
          <w:rFonts w:eastAsia="Times New Roman"/>
          <w:szCs w:val="22"/>
          <w:lang w:val="es-ES_tradnl"/>
        </w:rPr>
        <w:t>d</w:t>
      </w:r>
      <w:r>
        <w:rPr>
          <w:rFonts w:eastAsia="Times New Roman"/>
          <w:szCs w:val="22"/>
          <w:lang w:val="es-ES_tradnl"/>
        </w:rPr>
        <w:t>e</w:t>
      </w:r>
      <w:r w:rsidR="002A6DDC">
        <w:rPr>
          <w:rFonts w:eastAsia="Times New Roman"/>
          <w:szCs w:val="22"/>
          <w:lang w:val="es-ES_tradnl"/>
        </w:rPr>
        <w:t xml:space="preserve"> </w:t>
      </w:r>
      <w:r>
        <w:rPr>
          <w:rFonts w:eastAsia="Times New Roman"/>
          <w:szCs w:val="22"/>
          <w:lang w:val="es-ES_tradnl"/>
        </w:rPr>
        <w:t>el</w:t>
      </w:r>
      <w:r w:rsidRPr="00001843">
        <w:rPr>
          <w:rFonts w:eastAsia="Times New Roman"/>
          <w:szCs w:val="22"/>
          <w:lang w:val="es-ES_tradnl"/>
        </w:rPr>
        <w:t xml:space="preserve">la </w:t>
      </w:r>
      <w:r>
        <w:rPr>
          <w:rFonts w:eastAsia="Times New Roman"/>
          <w:szCs w:val="22"/>
          <w:lang w:val="es-ES_tradnl"/>
        </w:rPr>
        <w:t xml:space="preserve">de la </w:t>
      </w:r>
      <w:r w:rsidRPr="00001843">
        <w:rPr>
          <w:rFonts w:eastAsia="Times New Roman"/>
          <w:szCs w:val="22"/>
          <w:lang w:val="es-ES_tradnl"/>
        </w:rPr>
        <w:t xml:space="preserve">misma manera </w:t>
      </w:r>
      <w:r>
        <w:rPr>
          <w:rFonts w:eastAsia="Times New Roman"/>
          <w:szCs w:val="22"/>
          <w:lang w:val="es-ES_tradnl"/>
        </w:rPr>
        <w:t>que</w:t>
      </w:r>
      <w:r w:rsidR="00E502CF">
        <w:rPr>
          <w:rFonts w:eastAsia="Times New Roman"/>
          <w:szCs w:val="22"/>
          <w:lang w:val="es-ES_tradnl"/>
        </w:rPr>
        <w:t xml:space="preserve"> de</w:t>
      </w:r>
      <w:r>
        <w:rPr>
          <w:rFonts w:eastAsia="Times New Roman"/>
          <w:szCs w:val="22"/>
          <w:lang w:val="es-ES_tradnl"/>
        </w:rPr>
        <w:t xml:space="preserve"> </w:t>
      </w:r>
      <w:r w:rsidRPr="00001843">
        <w:rPr>
          <w:rFonts w:eastAsia="Times New Roman"/>
          <w:szCs w:val="22"/>
          <w:lang w:val="es-ES_tradnl"/>
        </w:rPr>
        <w:t>la sesión plenaria del CIG.</w:t>
      </w:r>
      <w:r w:rsidRPr="00B814F3">
        <w:rPr>
          <w:rFonts w:eastAsia="Times New Roman"/>
          <w:szCs w:val="22"/>
          <w:lang w:val="es-ES"/>
        </w:rPr>
        <w:t xml:space="preserve"> </w:t>
      </w:r>
    </w:p>
    <w:p w:rsidR="00001843" w:rsidRDefault="00001843" w:rsidP="00FB34B6">
      <w:pPr>
        <w:spacing w:after="120" w:line="260" w:lineRule="atLeast"/>
        <w:rPr>
          <w:rFonts w:eastAsia="Times New Roman"/>
          <w:szCs w:val="22"/>
          <w:lang w:val="es-ES_tradnl"/>
        </w:rPr>
      </w:pPr>
      <w:r>
        <w:rPr>
          <w:rFonts w:eastAsia="Times New Roman"/>
          <w:szCs w:val="22"/>
          <w:lang w:val="es-ES_tradnl"/>
        </w:rPr>
        <w:t xml:space="preserve">Se pedirá a todos los participantes que respeten el </w:t>
      </w:r>
      <w:r w:rsidRPr="00001843">
        <w:rPr>
          <w:rFonts w:eastAsia="Times New Roman"/>
          <w:szCs w:val="22"/>
          <w:lang w:val="es-ES_tradnl"/>
        </w:rPr>
        <w:t>carácter oficioso de</w:t>
      </w:r>
      <w:r>
        <w:rPr>
          <w:rFonts w:eastAsia="Times New Roman"/>
          <w:szCs w:val="22"/>
          <w:lang w:val="es-ES_tradnl"/>
        </w:rPr>
        <w:t xml:space="preserve">l grupo de expertos </w:t>
      </w:r>
      <w:r w:rsidR="00CC5572">
        <w:rPr>
          <w:rFonts w:eastAsia="Times New Roman"/>
          <w:i/>
          <w:iCs/>
          <w:szCs w:val="22"/>
          <w:lang w:val="es-ES_tradnl"/>
        </w:rPr>
        <w:t>ad </w:t>
      </w:r>
      <w:r w:rsidRPr="00001843">
        <w:rPr>
          <w:rFonts w:eastAsia="Times New Roman"/>
          <w:i/>
          <w:iCs/>
          <w:szCs w:val="22"/>
          <w:lang w:val="es-ES_tradnl"/>
        </w:rPr>
        <w:t>hoc</w:t>
      </w:r>
      <w:r>
        <w:rPr>
          <w:rFonts w:eastAsia="Times New Roman"/>
          <w:szCs w:val="22"/>
          <w:lang w:val="es-ES_tradnl"/>
        </w:rPr>
        <w:t xml:space="preserve"> y que no difundan </w:t>
      </w:r>
      <w:r w:rsidRPr="00001843">
        <w:rPr>
          <w:rFonts w:eastAsia="Times New Roman"/>
          <w:szCs w:val="22"/>
          <w:lang w:val="es-ES_tradnl"/>
        </w:rPr>
        <w:t xml:space="preserve">públicamente el contenido o la índole de sus debates, ya sea en el momento o posteriormente, </w:t>
      </w:r>
      <w:r>
        <w:rPr>
          <w:rFonts w:eastAsia="Times New Roman"/>
          <w:szCs w:val="22"/>
          <w:lang w:val="es-ES_tradnl"/>
        </w:rPr>
        <w:t xml:space="preserve">independientemente de que </w:t>
      </w:r>
      <w:r w:rsidRPr="00001843">
        <w:rPr>
          <w:rFonts w:eastAsia="Times New Roman"/>
          <w:szCs w:val="22"/>
          <w:lang w:val="es-ES_tradnl"/>
        </w:rPr>
        <w:t xml:space="preserve">lo hagan con carácter general o citando a </w:t>
      </w:r>
      <w:r>
        <w:rPr>
          <w:rFonts w:eastAsia="Times New Roman"/>
          <w:szCs w:val="22"/>
          <w:lang w:val="es-ES_tradnl"/>
        </w:rPr>
        <w:t>expertos concreto</w:t>
      </w:r>
      <w:r w:rsidRPr="00001843">
        <w:rPr>
          <w:rFonts w:eastAsia="Times New Roman"/>
          <w:szCs w:val="22"/>
          <w:lang w:val="es-ES_tradnl"/>
        </w:rPr>
        <w:t>s.</w:t>
      </w:r>
      <w:r>
        <w:rPr>
          <w:rFonts w:eastAsia="Times New Roman"/>
          <w:szCs w:val="22"/>
          <w:lang w:val="es-ES_tradnl"/>
        </w:rPr>
        <w:t xml:space="preserve">  </w:t>
      </w:r>
      <w:r w:rsidRPr="00001843">
        <w:rPr>
          <w:rFonts w:eastAsia="Times New Roman"/>
          <w:szCs w:val="22"/>
          <w:lang w:val="es-ES_tradnl"/>
        </w:rPr>
        <w:t>Se restringirá cualquier difusión mediante tuits, p</w:t>
      </w:r>
      <w:r>
        <w:rPr>
          <w:rFonts w:eastAsia="Times New Roman"/>
          <w:szCs w:val="22"/>
          <w:lang w:val="es-ES_tradnl"/>
        </w:rPr>
        <w:t>ublicaciones en blogs, noticias y</w:t>
      </w:r>
      <w:r w:rsidRPr="00001843">
        <w:rPr>
          <w:rFonts w:eastAsia="Times New Roman"/>
          <w:szCs w:val="22"/>
          <w:lang w:val="es-ES_tradnl"/>
        </w:rPr>
        <w:t xml:space="preserve"> listas de correo</w:t>
      </w:r>
    </w:p>
    <w:p w:rsidR="00FB34B6" w:rsidRPr="00646674" w:rsidRDefault="00FB34B6" w:rsidP="00FB34B6">
      <w:pPr>
        <w:spacing w:after="120" w:line="260" w:lineRule="atLeast"/>
        <w:rPr>
          <w:rFonts w:eastAsia="Times New Roman"/>
          <w:i/>
          <w:szCs w:val="22"/>
          <w:u w:val="single"/>
          <w:lang w:val="es-ES"/>
        </w:rPr>
      </w:pPr>
      <w:r w:rsidRPr="00646674">
        <w:rPr>
          <w:rFonts w:eastAsia="Times New Roman"/>
          <w:i/>
          <w:szCs w:val="22"/>
          <w:u w:val="single"/>
          <w:lang w:val="es-ES"/>
        </w:rPr>
        <w:t>Se</w:t>
      </w:r>
      <w:r w:rsidR="00C06A0D">
        <w:rPr>
          <w:rFonts w:eastAsia="Times New Roman"/>
          <w:i/>
          <w:szCs w:val="22"/>
          <w:u w:val="single"/>
          <w:lang w:val="es-ES"/>
        </w:rPr>
        <w:t>rvicios de secretaría</w:t>
      </w:r>
      <w:r w:rsidRPr="00646674">
        <w:rPr>
          <w:rFonts w:eastAsia="Times New Roman"/>
          <w:i/>
          <w:szCs w:val="22"/>
          <w:u w:val="single"/>
          <w:lang w:val="es-ES"/>
        </w:rPr>
        <w:t xml:space="preserve"> </w:t>
      </w:r>
    </w:p>
    <w:p w:rsidR="00844545" w:rsidRPr="00646674" w:rsidRDefault="00001843" w:rsidP="004843B9">
      <w:pPr>
        <w:spacing w:after="120" w:line="260" w:lineRule="atLeast"/>
        <w:rPr>
          <w:rFonts w:eastAsia="Times New Roman"/>
          <w:szCs w:val="22"/>
          <w:lang w:val="es-ES"/>
        </w:rPr>
      </w:pPr>
      <w:r>
        <w:rPr>
          <w:rFonts w:eastAsia="Times New Roman"/>
          <w:szCs w:val="22"/>
          <w:lang w:val="es-ES"/>
        </w:rPr>
        <w:t>La Secretaría de la OMPI facilitará el desarrollo de la reunión y proporcionará servicios de secretaría.</w:t>
      </w:r>
    </w:p>
    <w:p w:rsidR="00FB34B6" w:rsidRPr="00646674" w:rsidRDefault="00FB34B6" w:rsidP="004843B9">
      <w:pPr>
        <w:spacing w:after="120" w:line="260" w:lineRule="atLeast"/>
        <w:rPr>
          <w:rFonts w:eastAsia="Times New Roman"/>
          <w:szCs w:val="22"/>
          <w:lang w:val="es-ES"/>
        </w:rPr>
      </w:pPr>
    </w:p>
    <w:p w:rsidR="004843B9" w:rsidRPr="00646674" w:rsidRDefault="004843B9" w:rsidP="004843B9">
      <w:pPr>
        <w:spacing w:after="120" w:line="260" w:lineRule="atLeast"/>
        <w:rPr>
          <w:rFonts w:eastAsia="Times New Roman"/>
          <w:szCs w:val="22"/>
          <w:lang w:val="es-ES"/>
        </w:rPr>
      </w:pPr>
      <w:r w:rsidRPr="00646674">
        <w:rPr>
          <w:rFonts w:eastAsia="Times New Roman"/>
          <w:szCs w:val="22"/>
          <w:lang w:val="es-ES"/>
        </w:rPr>
        <w:t>DECISIÓN SOBRE EL PUNTO 9 DEL ORDEN DEL DÍA:</w:t>
      </w:r>
    </w:p>
    <w:p w:rsidR="004843B9" w:rsidRPr="00646674" w:rsidRDefault="004843B9" w:rsidP="004843B9">
      <w:pPr>
        <w:spacing w:after="120" w:line="260" w:lineRule="atLeast"/>
        <w:rPr>
          <w:rFonts w:eastAsia="Times New Roman" w:cs="Tahoma"/>
          <w:szCs w:val="22"/>
          <w:lang w:val="es-ES"/>
        </w:rPr>
      </w:pPr>
      <w:r w:rsidRPr="00646674">
        <w:rPr>
          <w:rFonts w:eastAsia="Times New Roman" w:cs="Tahoma"/>
          <w:szCs w:val="22"/>
          <w:lang w:val="es-ES"/>
        </w:rPr>
        <w:t>OTROS ASUNTOS</w:t>
      </w:r>
    </w:p>
    <w:p w:rsidR="004843B9" w:rsidRPr="00646674" w:rsidRDefault="004843B9" w:rsidP="004843B9">
      <w:pPr>
        <w:spacing w:after="120" w:line="260" w:lineRule="atLeast"/>
        <w:rPr>
          <w:rFonts w:eastAsia="Times New Roman" w:cs="Tahoma"/>
          <w:szCs w:val="22"/>
          <w:lang w:val="es-ES"/>
        </w:rPr>
      </w:pPr>
      <w:r w:rsidRPr="00646674">
        <w:rPr>
          <w:rFonts w:eastAsia="Times New Roman" w:cs="Tahoma"/>
          <w:szCs w:val="22"/>
          <w:lang w:val="es-ES"/>
        </w:rPr>
        <w:t>No hubo debate sobre este punto del orden del día.</w:t>
      </w:r>
    </w:p>
    <w:p w:rsidR="004843B9" w:rsidRPr="00646674" w:rsidRDefault="004843B9" w:rsidP="004843B9">
      <w:pPr>
        <w:spacing w:after="120" w:line="260" w:lineRule="atLeast"/>
        <w:rPr>
          <w:rFonts w:eastAsia="Times New Roman" w:cs="Tahoma"/>
          <w:szCs w:val="22"/>
          <w:lang w:val="es-ES"/>
        </w:rPr>
      </w:pP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DECISIÓN SOBRE EL PUNTO 10 DEL ORDEN DEL DÍA:</w:t>
      </w: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>CLAUSURA DE LA SESIÓN</w:t>
      </w: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  <w:r w:rsidRPr="00646674">
        <w:rPr>
          <w:szCs w:val="22"/>
          <w:lang w:val="es-ES"/>
        </w:rPr>
        <w:t xml:space="preserve">El 23 de marzo de 2018, el Comité adoptó decisiones en relación </w:t>
      </w:r>
      <w:r w:rsidR="00884382" w:rsidRPr="00646674">
        <w:rPr>
          <w:szCs w:val="22"/>
          <w:lang w:val="es-ES"/>
        </w:rPr>
        <w:t>con los puntos 2, 3, 4, 5, 6, 7</w:t>
      </w:r>
      <w:r w:rsidRPr="00646674">
        <w:rPr>
          <w:szCs w:val="22"/>
          <w:lang w:val="es-ES"/>
        </w:rPr>
        <w:t xml:space="preserve"> y</w:t>
      </w:r>
      <w:r w:rsidR="00884382" w:rsidRPr="00646674">
        <w:rPr>
          <w:szCs w:val="22"/>
          <w:lang w:val="es-ES"/>
        </w:rPr>
        <w:t> </w:t>
      </w:r>
      <w:r w:rsidRPr="00646674">
        <w:rPr>
          <w:szCs w:val="22"/>
          <w:lang w:val="es-ES"/>
        </w:rPr>
        <w:t>8 del orden del día.  Acordó que se redacte y distribuya, a</w:t>
      </w:r>
      <w:r w:rsidR="00884382" w:rsidRPr="00646674">
        <w:rPr>
          <w:szCs w:val="22"/>
          <w:lang w:val="es-ES"/>
        </w:rPr>
        <w:t xml:space="preserve"> más tardar e</w:t>
      </w:r>
      <w:r w:rsidRPr="00646674">
        <w:rPr>
          <w:szCs w:val="22"/>
          <w:lang w:val="es-ES"/>
        </w:rPr>
        <w:t xml:space="preserve">l 18 de mayo de 2018, un proyecto de informe que contenga el texto concertado de dichas decisiones, así como todas las intervenciones realizadas en la sesión del Comité.  Se invitará a los participantes en la sesión del Comité a presentar correcciones por escrito de sus intervenciones, según constan en el proyecto de informe, de modo que pueda distribuirse a los participantes en el Comité </w:t>
      </w:r>
      <w:r w:rsidR="00884382" w:rsidRPr="00646674">
        <w:rPr>
          <w:szCs w:val="22"/>
          <w:lang w:val="es-ES"/>
        </w:rPr>
        <w:t xml:space="preserve">una versión final de dicho proyecto </w:t>
      </w:r>
      <w:r w:rsidRPr="00646674">
        <w:rPr>
          <w:szCs w:val="22"/>
          <w:lang w:val="es-ES"/>
        </w:rPr>
        <w:t>a los fines de su aprobación en la siguiente sesión del Comité.</w:t>
      </w: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</w:p>
    <w:p w:rsidR="004843B9" w:rsidRPr="00646674" w:rsidRDefault="004843B9" w:rsidP="004843B9">
      <w:pPr>
        <w:spacing w:after="120" w:line="260" w:lineRule="atLeast"/>
        <w:rPr>
          <w:szCs w:val="22"/>
          <w:lang w:val="es-ES"/>
        </w:rPr>
      </w:pPr>
    </w:p>
    <w:p w:rsidR="00EA016E" w:rsidRPr="00646674" w:rsidRDefault="004843B9" w:rsidP="004843B9">
      <w:pPr>
        <w:spacing w:after="120" w:line="260" w:lineRule="atLeast"/>
        <w:ind w:left="5043" w:firstLine="567"/>
        <w:rPr>
          <w:szCs w:val="22"/>
          <w:lang w:val="es-ES"/>
        </w:rPr>
      </w:pPr>
      <w:r w:rsidRPr="00646674">
        <w:rPr>
          <w:szCs w:val="22"/>
          <w:lang w:val="es-ES"/>
        </w:rPr>
        <w:t>[</w:t>
      </w:r>
      <w:r w:rsidR="00844545" w:rsidRPr="00646674">
        <w:rPr>
          <w:szCs w:val="22"/>
          <w:lang w:val="es-ES"/>
        </w:rPr>
        <w:t>Sigue el Anexo</w:t>
      </w:r>
      <w:r w:rsidRPr="00646674">
        <w:rPr>
          <w:szCs w:val="22"/>
          <w:lang w:val="es-ES"/>
        </w:rPr>
        <w:t>]</w:t>
      </w:r>
    </w:p>
    <w:p w:rsidR="005428C9" w:rsidRPr="00646674" w:rsidRDefault="005428C9" w:rsidP="00CA7746">
      <w:pPr>
        <w:spacing w:after="120" w:line="260" w:lineRule="atLeast"/>
        <w:jc w:val="both"/>
        <w:rPr>
          <w:iCs/>
          <w:szCs w:val="22"/>
          <w:lang w:val="es-ES"/>
        </w:rPr>
      </w:pPr>
    </w:p>
    <w:p w:rsidR="00B814F3" w:rsidRDefault="00B814F3">
      <w:pPr>
        <w:spacing w:after="120" w:line="260" w:lineRule="atLeast"/>
        <w:jc w:val="both"/>
        <w:rPr>
          <w:iCs/>
          <w:szCs w:val="22"/>
          <w:lang w:val="es-ES"/>
        </w:rPr>
        <w:sectPr w:rsidR="00B814F3" w:rsidSect="005428C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814F3" w:rsidRPr="005E5B28" w:rsidRDefault="00B814F3" w:rsidP="00B814F3">
      <w:pPr>
        <w:jc w:val="center"/>
        <w:rPr>
          <w:b/>
          <w:lang w:val="es-ES"/>
        </w:rPr>
      </w:pPr>
      <w:r w:rsidRPr="005E5B28">
        <w:rPr>
          <w:b/>
          <w:lang w:val="es-ES"/>
        </w:rPr>
        <w:lastRenderedPageBreak/>
        <w:t>ANEXO</w:t>
      </w:r>
    </w:p>
    <w:p w:rsidR="00B814F3" w:rsidRPr="005E5B28" w:rsidRDefault="00B814F3" w:rsidP="00B814F3">
      <w:pPr>
        <w:jc w:val="center"/>
        <w:rPr>
          <w:b/>
          <w:lang w:val="es-ES"/>
        </w:rPr>
      </w:pPr>
    </w:p>
    <w:p w:rsidR="00B814F3" w:rsidRPr="005E5B28" w:rsidRDefault="00B814F3" w:rsidP="00B814F3">
      <w:pPr>
        <w:jc w:val="center"/>
        <w:rPr>
          <w:b/>
          <w:lang w:val="es-ES"/>
        </w:rPr>
      </w:pPr>
      <w:r w:rsidRPr="005E5B28">
        <w:rPr>
          <w:b/>
          <w:lang w:val="es-ES"/>
        </w:rPr>
        <w:t xml:space="preserve">Lista </w:t>
      </w:r>
      <w:r>
        <w:rPr>
          <w:b/>
          <w:lang w:val="es-ES"/>
        </w:rPr>
        <w:t>indicativa</w:t>
      </w:r>
      <w:r w:rsidRPr="005E5B28">
        <w:rPr>
          <w:b/>
          <w:lang w:val="es-ES"/>
        </w:rPr>
        <w:t xml:space="preserve"> de cuestiones</w:t>
      </w:r>
      <w:r>
        <w:rPr>
          <w:b/>
          <w:lang w:val="es-ES"/>
        </w:rPr>
        <w:t xml:space="preserve"> específicas</w:t>
      </w:r>
    </w:p>
    <w:p w:rsidR="00B814F3" w:rsidRPr="005E5B28" w:rsidRDefault="00B814F3" w:rsidP="00B814F3">
      <w:pPr>
        <w:jc w:val="center"/>
        <w:rPr>
          <w:b/>
          <w:lang w:val="es-ES"/>
        </w:rPr>
      </w:pPr>
    </w:p>
    <w:p w:rsidR="00B814F3" w:rsidRPr="005E5B28" w:rsidRDefault="00B814F3" w:rsidP="00B814F3">
      <w:pPr>
        <w:pStyle w:val="ListParagraph"/>
        <w:numPr>
          <w:ilvl w:val="0"/>
          <w:numId w:val="11"/>
        </w:numPr>
        <w:spacing w:after="200" w:line="276" w:lineRule="auto"/>
        <w:ind w:left="567" w:hanging="567"/>
        <w:contextualSpacing/>
        <w:rPr>
          <w:lang w:val="es-ES"/>
        </w:rPr>
      </w:pPr>
      <w:r w:rsidRPr="005E5B28">
        <w:rPr>
          <w:lang w:val="es-ES"/>
        </w:rPr>
        <w:t>Lista de términos relativos al texto dispositivo</w:t>
      </w:r>
    </w:p>
    <w:p w:rsidR="00B814F3" w:rsidRPr="005E5B28" w:rsidRDefault="00B814F3" w:rsidP="00B814F3">
      <w:pPr>
        <w:pStyle w:val="ListParagraph"/>
        <w:numPr>
          <w:ilvl w:val="1"/>
          <w:numId w:val="11"/>
        </w:numPr>
        <w:spacing w:after="200" w:line="276" w:lineRule="auto"/>
        <w:ind w:left="1701" w:hanging="567"/>
        <w:contextualSpacing/>
        <w:rPr>
          <w:lang w:val="es-ES"/>
        </w:rPr>
      </w:pPr>
      <w:r w:rsidRPr="005E5B28">
        <w:rPr>
          <w:lang w:val="es-ES"/>
        </w:rPr>
        <w:t>Conocimientos tradicionales asociados a los recursos genéticos</w:t>
      </w:r>
    </w:p>
    <w:p w:rsidR="00B814F3" w:rsidRPr="005E5B28" w:rsidRDefault="00B814F3" w:rsidP="00B814F3">
      <w:pPr>
        <w:pStyle w:val="ListParagraph"/>
        <w:numPr>
          <w:ilvl w:val="1"/>
          <w:numId w:val="11"/>
        </w:numPr>
        <w:spacing w:after="200" w:line="276" w:lineRule="auto"/>
        <w:ind w:left="1701" w:hanging="567"/>
        <w:contextualSpacing/>
        <w:rPr>
          <w:lang w:val="es-ES"/>
        </w:rPr>
      </w:pPr>
      <w:r w:rsidRPr="005E5B28">
        <w:rPr>
          <w:lang w:val="es-ES"/>
        </w:rPr>
        <w:t>País de origen</w:t>
      </w:r>
    </w:p>
    <w:p w:rsidR="00B814F3" w:rsidRPr="005E5B28" w:rsidRDefault="00B814F3" w:rsidP="00B814F3">
      <w:pPr>
        <w:pStyle w:val="ListParagraph"/>
        <w:numPr>
          <w:ilvl w:val="1"/>
          <w:numId w:val="11"/>
        </w:numPr>
        <w:spacing w:after="200" w:line="276" w:lineRule="auto"/>
        <w:ind w:left="1701" w:hanging="567"/>
        <w:contextualSpacing/>
        <w:rPr>
          <w:lang w:val="es-ES"/>
        </w:rPr>
      </w:pPr>
      <w:r w:rsidRPr="005E5B28">
        <w:rPr>
          <w:lang w:val="es-ES"/>
        </w:rPr>
        <w:t>País proveedor</w:t>
      </w:r>
    </w:p>
    <w:p w:rsidR="00B814F3" w:rsidRPr="005E5B28" w:rsidRDefault="00B814F3" w:rsidP="00B814F3">
      <w:pPr>
        <w:pStyle w:val="ListParagraph"/>
        <w:numPr>
          <w:ilvl w:val="1"/>
          <w:numId w:val="11"/>
        </w:numPr>
        <w:spacing w:after="200" w:line="276" w:lineRule="auto"/>
        <w:ind w:left="1701" w:hanging="567"/>
        <w:contextualSpacing/>
        <w:rPr>
          <w:lang w:val="es-ES"/>
        </w:rPr>
      </w:pPr>
      <w:r w:rsidRPr="005E5B28">
        <w:rPr>
          <w:lang w:val="es-ES"/>
        </w:rPr>
        <w:t>País que aporta recursos genéticos</w:t>
      </w:r>
    </w:p>
    <w:p w:rsidR="00B814F3" w:rsidRPr="005E5B28" w:rsidRDefault="00B814F3" w:rsidP="00B814F3">
      <w:pPr>
        <w:pStyle w:val="ListParagraph"/>
        <w:numPr>
          <w:ilvl w:val="1"/>
          <w:numId w:val="11"/>
        </w:numPr>
        <w:spacing w:after="200" w:line="276" w:lineRule="auto"/>
        <w:ind w:left="1701" w:hanging="567"/>
        <w:contextualSpacing/>
        <w:rPr>
          <w:lang w:val="es-ES"/>
        </w:rPr>
      </w:pPr>
      <w:r w:rsidRPr="005E5B28">
        <w:rPr>
          <w:lang w:val="es-ES"/>
        </w:rPr>
        <w:t>Invención basada directamente en</w:t>
      </w:r>
    </w:p>
    <w:p w:rsidR="00B814F3" w:rsidRPr="005E5B28" w:rsidRDefault="00B814F3" w:rsidP="00B814F3">
      <w:pPr>
        <w:pStyle w:val="ListParagraph"/>
        <w:numPr>
          <w:ilvl w:val="1"/>
          <w:numId w:val="11"/>
        </w:numPr>
        <w:spacing w:after="200" w:line="276" w:lineRule="auto"/>
        <w:ind w:left="1701" w:hanging="567"/>
        <w:contextualSpacing/>
        <w:rPr>
          <w:lang w:val="es-ES"/>
        </w:rPr>
      </w:pPr>
      <w:r w:rsidRPr="005E5B28">
        <w:rPr>
          <w:lang w:val="es-ES"/>
        </w:rPr>
        <w:t xml:space="preserve">Recursos genéticos /materiales </w:t>
      </w:r>
      <w:r w:rsidRPr="007D1E53">
        <w:rPr>
          <w:lang w:val="es-ES"/>
        </w:rPr>
        <w:t>genéticos/derivado</w:t>
      </w:r>
    </w:p>
    <w:p w:rsidR="00B814F3" w:rsidRPr="005E5B28" w:rsidRDefault="00B814F3" w:rsidP="00B814F3">
      <w:pPr>
        <w:pStyle w:val="ListParagraph"/>
        <w:numPr>
          <w:ilvl w:val="1"/>
          <w:numId w:val="11"/>
        </w:numPr>
        <w:spacing w:after="200" w:line="276" w:lineRule="auto"/>
        <w:ind w:left="1701" w:hanging="567"/>
        <w:contextualSpacing/>
        <w:rPr>
          <w:lang w:val="es-ES"/>
        </w:rPr>
      </w:pPr>
      <w:r w:rsidRPr="005E5B28">
        <w:rPr>
          <w:lang w:val="es-ES"/>
        </w:rPr>
        <w:t>Fuente</w:t>
      </w:r>
    </w:p>
    <w:p w:rsidR="00B814F3" w:rsidRPr="005E5B28" w:rsidRDefault="00B814F3" w:rsidP="00B814F3">
      <w:pPr>
        <w:pStyle w:val="ListParagraph"/>
        <w:numPr>
          <w:ilvl w:val="1"/>
          <w:numId w:val="11"/>
        </w:numPr>
        <w:spacing w:after="200" w:line="276" w:lineRule="auto"/>
        <w:ind w:left="1701" w:hanging="567"/>
        <w:contextualSpacing/>
        <w:rPr>
          <w:lang w:val="es-ES"/>
        </w:rPr>
      </w:pPr>
      <w:r w:rsidRPr="005E5B28">
        <w:rPr>
          <w:lang w:val="es-ES"/>
        </w:rPr>
        <w:t>Utilización</w:t>
      </w:r>
    </w:p>
    <w:p w:rsidR="00B814F3" w:rsidRPr="005E5B28" w:rsidRDefault="00B814F3" w:rsidP="00B814F3">
      <w:pPr>
        <w:pStyle w:val="ListParagraph"/>
        <w:ind w:left="1080"/>
        <w:rPr>
          <w:lang w:val="es-ES"/>
        </w:rPr>
      </w:pPr>
    </w:p>
    <w:p w:rsidR="00B814F3" w:rsidRPr="005E5B28" w:rsidRDefault="00B814F3" w:rsidP="00B814F3">
      <w:pPr>
        <w:pStyle w:val="ListParagraph"/>
        <w:numPr>
          <w:ilvl w:val="0"/>
          <w:numId w:val="11"/>
        </w:numPr>
        <w:spacing w:after="200" w:line="276" w:lineRule="auto"/>
        <w:ind w:left="567" w:hanging="567"/>
        <w:contextualSpacing/>
        <w:rPr>
          <w:lang w:val="es-ES"/>
        </w:rPr>
      </w:pPr>
      <w:r w:rsidRPr="005E5B28">
        <w:rPr>
          <w:lang w:val="es-ES"/>
        </w:rPr>
        <w:t>Materia</w:t>
      </w:r>
    </w:p>
    <w:p w:rsidR="00B814F3" w:rsidRPr="005E5B28" w:rsidRDefault="00B814F3" w:rsidP="00B814F3">
      <w:pPr>
        <w:pStyle w:val="ListParagraph"/>
        <w:numPr>
          <w:ilvl w:val="1"/>
          <w:numId w:val="11"/>
        </w:numPr>
        <w:spacing w:after="200" w:line="276" w:lineRule="auto"/>
        <w:ind w:left="1701" w:hanging="567"/>
        <w:contextualSpacing/>
        <w:rPr>
          <w:lang w:val="es-ES"/>
        </w:rPr>
      </w:pPr>
      <w:r w:rsidRPr="005E5B28">
        <w:rPr>
          <w:lang w:val="es-ES"/>
        </w:rPr>
        <w:t>El instrumento debe aplicarse a:</w:t>
      </w:r>
    </w:p>
    <w:p w:rsidR="00B814F3" w:rsidRPr="005E5B28" w:rsidRDefault="00B814F3" w:rsidP="00B814F3">
      <w:pPr>
        <w:pStyle w:val="ListParagraph"/>
        <w:numPr>
          <w:ilvl w:val="2"/>
          <w:numId w:val="11"/>
        </w:numPr>
        <w:spacing w:after="200" w:line="276" w:lineRule="auto"/>
        <w:ind w:left="2835" w:hanging="567"/>
        <w:contextualSpacing/>
        <w:rPr>
          <w:lang w:val="es-ES"/>
        </w:rPr>
      </w:pPr>
      <w:r>
        <w:rPr>
          <w:lang w:val="es-ES"/>
        </w:rPr>
        <w:t>t</w:t>
      </w:r>
      <w:r w:rsidRPr="005E5B28">
        <w:rPr>
          <w:lang w:val="es-ES"/>
        </w:rPr>
        <w:t>odo derecho de propiedad intelectual o solo a los derechos de patente</w:t>
      </w:r>
    </w:p>
    <w:p w:rsidR="00B814F3" w:rsidRPr="005E5B28" w:rsidRDefault="00B814F3" w:rsidP="00B814F3">
      <w:pPr>
        <w:pStyle w:val="ListParagraph"/>
        <w:numPr>
          <w:ilvl w:val="1"/>
          <w:numId w:val="11"/>
        </w:numPr>
        <w:spacing w:after="200" w:line="276" w:lineRule="auto"/>
        <w:ind w:left="1701" w:hanging="567"/>
        <w:contextualSpacing/>
        <w:rPr>
          <w:lang w:val="es-ES"/>
        </w:rPr>
      </w:pPr>
      <w:r w:rsidRPr="005E5B28">
        <w:rPr>
          <w:lang w:val="es-ES"/>
        </w:rPr>
        <w:t>Además de los recursos genéticos:</w:t>
      </w:r>
    </w:p>
    <w:p w:rsidR="00B814F3" w:rsidRPr="005E5B28" w:rsidRDefault="00B814F3" w:rsidP="00B814F3">
      <w:pPr>
        <w:pStyle w:val="ListParagraph"/>
        <w:numPr>
          <w:ilvl w:val="2"/>
          <w:numId w:val="11"/>
        </w:numPr>
        <w:spacing w:after="200" w:line="276" w:lineRule="auto"/>
        <w:ind w:left="2835" w:hanging="567"/>
        <w:contextualSpacing/>
        <w:rPr>
          <w:lang w:val="es-ES"/>
        </w:rPr>
      </w:pPr>
      <w:r>
        <w:rPr>
          <w:lang w:val="es-ES"/>
        </w:rPr>
        <w:t>d</w:t>
      </w:r>
      <w:r w:rsidRPr="005E5B28">
        <w:rPr>
          <w:lang w:val="es-ES"/>
        </w:rPr>
        <w:t>erivados</w:t>
      </w:r>
    </w:p>
    <w:p w:rsidR="00B814F3" w:rsidRPr="005E5B28" w:rsidRDefault="00B814F3" w:rsidP="00B814F3">
      <w:pPr>
        <w:pStyle w:val="ListParagraph"/>
        <w:numPr>
          <w:ilvl w:val="2"/>
          <w:numId w:val="11"/>
        </w:numPr>
        <w:spacing w:after="200" w:line="276" w:lineRule="auto"/>
        <w:ind w:left="2835" w:hanging="567"/>
        <w:contextualSpacing/>
        <w:rPr>
          <w:lang w:val="es-ES"/>
        </w:rPr>
      </w:pPr>
      <w:r>
        <w:rPr>
          <w:lang w:val="es-ES"/>
        </w:rPr>
        <w:t>c</w:t>
      </w:r>
      <w:r w:rsidRPr="005E5B28">
        <w:rPr>
          <w:lang w:val="es-ES"/>
        </w:rPr>
        <w:t>onocimientos tradicionales asociados a los recursos genéticos</w:t>
      </w:r>
    </w:p>
    <w:p w:rsidR="00B814F3" w:rsidRPr="005E5B28" w:rsidRDefault="00B814F3" w:rsidP="00B814F3">
      <w:pPr>
        <w:pStyle w:val="ListParagraph"/>
        <w:ind w:left="1800"/>
        <w:rPr>
          <w:lang w:val="es-ES"/>
        </w:rPr>
      </w:pPr>
    </w:p>
    <w:p w:rsidR="00B814F3" w:rsidRPr="005E5B28" w:rsidRDefault="00B814F3" w:rsidP="00B814F3">
      <w:pPr>
        <w:pStyle w:val="ListParagraph"/>
        <w:numPr>
          <w:ilvl w:val="0"/>
          <w:numId w:val="11"/>
        </w:numPr>
        <w:spacing w:after="200" w:line="276" w:lineRule="auto"/>
        <w:ind w:left="567" w:hanging="567"/>
        <w:contextualSpacing/>
        <w:rPr>
          <w:lang w:val="es-ES"/>
        </w:rPr>
      </w:pPr>
      <w:r w:rsidRPr="005E5B28">
        <w:rPr>
          <w:lang w:val="es-ES"/>
        </w:rPr>
        <w:t>Divulgación</w:t>
      </w:r>
    </w:p>
    <w:p w:rsidR="00B814F3" w:rsidRPr="005E5B28" w:rsidRDefault="00B814F3" w:rsidP="00B814F3">
      <w:pPr>
        <w:pStyle w:val="ListParagraph"/>
        <w:numPr>
          <w:ilvl w:val="1"/>
          <w:numId w:val="11"/>
        </w:numPr>
        <w:spacing w:after="200" w:line="276" w:lineRule="auto"/>
        <w:ind w:left="1701" w:hanging="567"/>
        <w:contextualSpacing/>
        <w:rPr>
          <w:lang w:val="es-ES"/>
        </w:rPr>
      </w:pPr>
      <w:r w:rsidRPr="005E5B28">
        <w:rPr>
          <w:lang w:val="es-ES"/>
        </w:rPr>
        <w:t>Motivo</w:t>
      </w:r>
    </w:p>
    <w:p w:rsidR="00B814F3" w:rsidRPr="005E5B28" w:rsidRDefault="00B814F3" w:rsidP="00B814F3">
      <w:pPr>
        <w:pStyle w:val="ListParagraph"/>
        <w:numPr>
          <w:ilvl w:val="1"/>
          <w:numId w:val="11"/>
        </w:numPr>
        <w:spacing w:after="200" w:line="276" w:lineRule="auto"/>
        <w:ind w:left="1701" w:hanging="567"/>
        <w:contextualSpacing/>
        <w:rPr>
          <w:lang w:val="es-ES"/>
        </w:rPr>
      </w:pPr>
      <w:r w:rsidRPr="005E5B28">
        <w:rPr>
          <w:lang w:val="es-ES"/>
        </w:rPr>
        <w:t>Contenido de la divulgación</w:t>
      </w:r>
    </w:p>
    <w:p w:rsidR="00B814F3" w:rsidRPr="005E5B28" w:rsidRDefault="00B814F3" w:rsidP="00B814F3">
      <w:pPr>
        <w:pStyle w:val="ListParagraph"/>
        <w:numPr>
          <w:ilvl w:val="1"/>
          <w:numId w:val="11"/>
        </w:numPr>
        <w:spacing w:after="200" w:line="276" w:lineRule="auto"/>
        <w:ind w:left="1701" w:hanging="567"/>
        <w:contextualSpacing/>
        <w:rPr>
          <w:lang w:val="es-ES"/>
        </w:rPr>
      </w:pPr>
      <w:r w:rsidRPr="005E5B28">
        <w:rPr>
          <w:lang w:val="es-ES"/>
        </w:rPr>
        <w:t>Excepciones y limitaciones</w:t>
      </w:r>
    </w:p>
    <w:p w:rsidR="00B814F3" w:rsidRPr="005E5B28" w:rsidRDefault="00B814F3" w:rsidP="00B814F3">
      <w:pPr>
        <w:pStyle w:val="ListParagraph"/>
        <w:numPr>
          <w:ilvl w:val="1"/>
          <w:numId w:val="11"/>
        </w:numPr>
        <w:spacing w:after="200" w:line="276" w:lineRule="auto"/>
        <w:ind w:left="1701" w:hanging="567"/>
        <w:contextualSpacing/>
        <w:rPr>
          <w:lang w:val="es-ES"/>
        </w:rPr>
      </w:pPr>
      <w:r w:rsidRPr="005E5B28">
        <w:rPr>
          <w:lang w:val="es-ES"/>
        </w:rPr>
        <w:t>Consecuencias del incumplimiento</w:t>
      </w:r>
    </w:p>
    <w:p w:rsidR="00B814F3" w:rsidRPr="005E5B28" w:rsidRDefault="00B814F3" w:rsidP="00B814F3">
      <w:pPr>
        <w:pStyle w:val="ListParagraph"/>
        <w:ind w:left="1080"/>
        <w:rPr>
          <w:lang w:val="es-ES"/>
        </w:rPr>
      </w:pPr>
    </w:p>
    <w:p w:rsidR="00B814F3" w:rsidRPr="005E5B28" w:rsidRDefault="00B814F3" w:rsidP="00B814F3">
      <w:pPr>
        <w:pStyle w:val="ListParagraph"/>
        <w:numPr>
          <w:ilvl w:val="0"/>
          <w:numId w:val="11"/>
        </w:numPr>
        <w:spacing w:after="200" w:line="276" w:lineRule="auto"/>
        <w:ind w:left="567" w:hanging="567"/>
        <w:contextualSpacing/>
        <w:rPr>
          <w:lang w:val="es-ES"/>
        </w:rPr>
      </w:pPr>
      <w:r w:rsidRPr="005E5B28">
        <w:rPr>
          <w:lang w:val="es-ES"/>
        </w:rPr>
        <w:t xml:space="preserve">Medidas de diligencia </w:t>
      </w:r>
      <w:r>
        <w:rPr>
          <w:lang w:val="es-ES"/>
        </w:rPr>
        <w:t>debida</w:t>
      </w:r>
      <w:r w:rsidRPr="005E5B28">
        <w:rPr>
          <w:lang w:val="es-ES"/>
        </w:rPr>
        <w:t>/Bases de datos</w:t>
      </w:r>
    </w:p>
    <w:p w:rsidR="00B814F3" w:rsidRPr="005E5B28" w:rsidRDefault="00B814F3" w:rsidP="003F46AF">
      <w:pPr>
        <w:rPr>
          <w:iCs/>
          <w:szCs w:val="22"/>
          <w:lang w:val="es-ES"/>
        </w:rPr>
      </w:pPr>
    </w:p>
    <w:p w:rsidR="00B814F3" w:rsidRDefault="00B814F3" w:rsidP="003F46AF">
      <w:pPr>
        <w:rPr>
          <w:iCs/>
          <w:szCs w:val="22"/>
          <w:lang w:val="es-ES"/>
        </w:rPr>
      </w:pPr>
    </w:p>
    <w:p w:rsidR="003F46AF" w:rsidRPr="005E5B28" w:rsidRDefault="003F46AF" w:rsidP="003F46AF">
      <w:pPr>
        <w:rPr>
          <w:iCs/>
          <w:szCs w:val="22"/>
          <w:lang w:val="es-ES"/>
        </w:rPr>
      </w:pPr>
    </w:p>
    <w:p w:rsidR="008634F0" w:rsidRPr="003F46AF" w:rsidRDefault="00B814F3" w:rsidP="003F46AF">
      <w:pPr>
        <w:pStyle w:val="Endofdocument-Annex"/>
        <w:rPr>
          <w:lang w:val="es-ES"/>
        </w:rPr>
      </w:pPr>
      <w:r w:rsidRPr="005E5B28">
        <w:rPr>
          <w:lang w:val="es-ES"/>
        </w:rPr>
        <w:t>[Fin del Anexo y del documento]</w:t>
      </w:r>
    </w:p>
    <w:sectPr w:rsidR="008634F0" w:rsidRPr="003F46AF" w:rsidSect="005428C9"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666" w:rsidRDefault="00E47666">
      <w:r>
        <w:separator/>
      </w:r>
    </w:p>
  </w:endnote>
  <w:endnote w:type="continuationSeparator" w:id="0">
    <w:p w:rsidR="00E47666" w:rsidRDefault="00E47666" w:rsidP="003B38C1">
      <w:r>
        <w:separator/>
      </w:r>
    </w:p>
    <w:p w:rsidR="00E47666" w:rsidRPr="003B38C1" w:rsidRDefault="00E4766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47666" w:rsidRPr="003B38C1" w:rsidRDefault="00E4766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666" w:rsidRDefault="00E47666">
      <w:r>
        <w:separator/>
      </w:r>
    </w:p>
  </w:footnote>
  <w:footnote w:type="continuationSeparator" w:id="0">
    <w:p w:rsidR="00E47666" w:rsidRDefault="00E47666" w:rsidP="008B60B2">
      <w:r>
        <w:separator/>
      </w:r>
    </w:p>
    <w:p w:rsidR="00E47666" w:rsidRPr="00ED77FB" w:rsidRDefault="00E4766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47666" w:rsidRPr="00ED77FB" w:rsidRDefault="00E4766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862" w:rsidRDefault="00EB5426">
    <w:pPr>
      <w:pStyle w:val="Header"/>
      <w:jc w:val="right"/>
    </w:pPr>
    <w:r w:rsidRPr="00EB5426">
      <w:rPr>
        <w:lang w:val="es-ES"/>
      </w:rPr>
      <w:t>página</w:t>
    </w:r>
    <w:r w:rsidR="00482862">
      <w:t xml:space="preserve"> </w:t>
    </w:r>
    <w:r w:rsidR="00482862">
      <w:fldChar w:fldCharType="begin"/>
    </w:r>
    <w:r w:rsidR="00482862">
      <w:instrText xml:space="preserve"> PAGE   \* MERGEFORMAT </w:instrText>
    </w:r>
    <w:r w:rsidR="00482862">
      <w:fldChar w:fldCharType="separate"/>
    </w:r>
    <w:r w:rsidR="00097464">
      <w:rPr>
        <w:noProof/>
      </w:rPr>
      <w:t>2</w:t>
    </w:r>
    <w:r w:rsidR="00482862">
      <w:rPr>
        <w:noProof/>
      </w:rPr>
      <w:fldChar w:fldCharType="end"/>
    </w:r>
  </w:p>
  <w:p w:rsidR="00CD2250" w:rsidRDefault="00CD225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4F3" w:rsidRDefault="00B814F3" w:rsidP="00B814F3">
    <w:pPr>
      <w:pStyle w:val="Header"/>
      <w:jc w:val="right"/>
    </w:pPr>
    <w:r w:rsidRPr="00D34461">
      <w:rPr>
        <w:lang w:val="es-ES"/>
      </w:rPr>
      <w:t>ANEXO</w:t>
    </w:r>
  </w:p>
  <w:p w:rsidR="00B814F3" w:rsidRDefault="00B814F3" w:rsidP="00B814F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3BE01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82B0027"/>
    <w:multiLevelType w:val="hybridMultilevel"/>
    <w:tmpl w:val="F404CC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3ACE795C">
      <w:start w:val="1"/>
      <w:numFmt w:val="lowerRoman"/>
      <w:lvlText w:val="%3)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C3BAB"/>
    <w:multiLevelType w:val="hybridMultilevel"/>
    <w:tmpl w:val="AC02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Fechas|Sesiones|Términos útiles|WIPOLDTERM"/>
    <w:docVar w:name="TermBaseURL" w:val="empty"/>
    <w:docVar w:name="TextBases" w:val="LanguageDivision\TextBase TMs\WorkspaceSTS\Ad-hoc\Auxiliar_Pool_STS|LanguageDivision\TextBase TMs\WorkspaceSTS\Ad-hoc\GII Country Briefs Temporary|LanguageDivision\TextBase TMs\WorkspaceSTS\Administration &amp; Finance\Current Budget|LanguageDivision\TextBase TMs\WorkspaceSTS\Administration &amp; Finance\FAB Instruments|LanguageDivision\TextBase TMs\WorkspaceSTS\Administration &amp; Finance\FAB Main|LanguageDivision\TextBase TMs\WorkspaceSTS\Administration &amp; Finance\FStatements|LanguageDivision\TextBase TMs\WorkspaceSTS\Administration &amp; Finance\UN Staff Rules|LanguageDivision\TextBase TMs\WorkspaceSTS\Administration &amp; Finance\WIPO Staff Rules|LanguageDivision\TextBase TMs\WorkspaceSTS\Brands, Designs &amp; DN\Arb_Med_Center|LanguageDivision\TextBase TMs\WorkspaceSTS\Brands, Designs &amp; DN\H Instruments|LanguageDivision\TextBase TMs\WorkspaceSTS\Brands, Designs &amp; DN\Hague|LanguageDivision\TextBase TMs\WorkspaceSTS\Brands, Designs &amp; DN\L Instruments|LanguageDivision\TextBase TMs\WorkspaceSTS\Brands, Designs &amp; DN\Lisbon|LanguageDivision\TextBase TMs\WorkspaceSTS\Brands, Designs &amp; DN\T Instruments|LanguageDivision\TextBase TMs\WorkspaceSTS\Brands, Designs &amp; DN\Trademarks|LanguageDivision\TextBase TMs\WorkspaceSTS\Copyright\C Instruments|LanguageDivision\TextBase TMs\WorkspaceSTS\Copyright\Copyright|LanguageDivision\TextBase TMs\WorkspaceSTS\Development\Dev_Agenda|LanguageDivision\TextBase TMs\WorkspaceSTS\GRTKF\G Instruments|LanguageDivision\TextBase TMs\WorkspaceSTS\GRTKF\GRTKF|LanguageDivision\TextBase TMs\WorkspaceSTS\Outreach\Economist|LanguageDivision\TextBase TMs\WorkspaceSTS\Outreach\IP Advantage|LanguageDivision\TextBase TMs\WorkspaceSTS\Outreach\POW Main|LanguageDivision\TextBase TMs\WorkspaceSTS\Patents &amp; Innovation\P Instruments|LanguageDivision\TextBase TMs\WorkspaceSTS\Patents &amp; Innovation\Patents Main|LanguageDivision\TextBase TMs\WorkspaceSTS\Treaties &amp; Laws\WIPO Lex|LanguageDivision\TextBase TMs\WorkspaceSTS\UPOV\TGPs|LanguageDivision\TextBase TMs\WorkspaceSTS\UPOV\TGs|LanguageDivision\TextBase TMs\WorkspaceSTS\UPOV\TGs Template|LanguageDivision\TextBase TMs\WorkspaceSTS\UPOV\U Instruments|LanguageDivision\TextBase TMs\WorkspaceSTS\UPOV\UPOV Main|LanguageDivision\TextBase TMs\WorkspaceSTS\XLegacy\LegacySTS|LanguageDivision\TextBase TMs\WorkspaceSTS\Ad-hoc\Glos EN-FR-ES"/>
    <w:docVar w:name="TextBaseURL" w:val="empty"/>
    <w:docVar w:name="UILng" w:val="en"/>
  </w:docVars>
  <w:rsids>
    <w:rsidRoot w:val="005428C9"/>
    <w:rsid w:val="00001843"/>
    <w:rsid w:val="00001932"/>
    <w:rsid w:val="00001BEF"/>
    <w:rsid w:val="00005DC2"/>
    <w:rsid w:val="00020B0B"/>
    <w:rsid w:val="00025798"/>
    <w:rsid w:val="00031FD3"/>
    <w:rsid w:val="00034F1B"/>
    <w:rsid w:val="000350CA"/>
    <w:rsid w:val="000362A5"/>
    <w:rsid w:val="00043CAA"/>
    <w:rsid w:val="00047DF0"/>
    <w:rsid w:val="0005374D"/>
    <w:rsid w:val="000565C4"/>
    <w:rsid w:val="00062057"/>
    <w:rsid w:val="00065E90"/>
    <w:rsid w:val="00071A99"/>
    <w:rsid w:val="00073BBA"/>
    <w:rsid w:val="00073E67"/>
    <w:rsid w:val="00075432"/>
    <w:rsid w:val="00077F64"/>
    <w:rsid w:val="00080964"/>
    <w:rsid w:val="00082E60"/>
    <w:rsid w:val="0008488C"/>
    <w:rsid w:val="0008523C"/>
    <w:rsid w:val="000921DC"/>
    <w:rsid w:val="00095BB5"/>
    <w:rsid w:val="000968ED"/>
    <w:rsid w:val="00097464"/>
    <w:rsid w:val="000A107C"/>
    <w:rsid w:val="000A1944"/>
    <w:rsid w:val="000A60FB"/>
    <w:rsid w:val="000B007D"/>
    <w:rsid w:val="000B214E"/>
    <w:rsid w:val="000B2978"/>
    <w:rsid w:val="000D1B54"/>
    <w:rsid w:val="000D3909"/>
    <w:rsid w:val="000E39B1"/>
    <w:rsid w:val="000F5E56"/>
    <w:rsid w:val="0010308B"/>
    <w:rsid w:val="00121780"/>
    <w:rsid w:val="0012386A"/>
    <w:rsid w:val="0013083C"/>
    <w:rsid w:val="001362EE"/>
    <w:rsid w:val="001442D3"/>
    <w:rsid w:val="00146DA5"/>
    <w:rsid w:val="001470CC"/>
    <w:rsid w:val="0015134A"/>
    <w:rsid w:val="00151441"/>
    <w:rsid w:val="00152411"/>
    <w:rsid w:val="00154FB1"/>
    <w:rsid w:val="00157C59"/>
    <w:rsid w:val="00163E57"/>
    <w:rsid w:val="001709F8"/>
    <w:rsid w:val="0017247F"/>
    <w:rsid w:val="00181D8F"/>
    <w:rsid w:val="001832A6"/>
    <w:rsid w:val="001876C3"/>
    <w:rsid w:val="001A07C7"/>
    <w:rsid w:val="001A3A17"/>
    <w:rsid w:val="001A5322"/>
    <w:rsid w:val="001A5E48"/>
    <w:rsid w:val="001B7EA2"/>
    <w:rsid w:val="001C2F18"/>
    <w:rsid w:val="001C455B"/>
    <w:rsid w:val="001D5E3A"/>
    <w:rsid w:val="001D770C"/>
    <w:rsid w:val="001D7C80"/>
    <w:rsid w:val="001E1F6E"/>
    <w:rsid w:val="001E6FC1"/>
    <w:rsid w:val="001F1EC2"/>
    <w:rsid w:val="001F795E"/>
    <w:rsid w:val="00202976"/>
    <w:rsid w:val="0020336C"/>
    <w:rsid w:val="00206D37"/>
    <w:rsid w:val="00207E92"/>
    <w:rsid w:val="002134B9"/>
    <w:rsid w:val="00214A3C"/>
    <w:rsid w:val="00216048"/>
    <w:rsid w:val="00231B6C"/>
    <w:rsid w:val="00240A58"/>
    <w:rsid w:val="00252AB2"/>
    <w:rsid w:val="002545EB"/>
    <w:rsid w:val="0025530F"/>
    <w:rsid w:val="00255D22"/>
    <w:rsid w:val="002564D5"/>
    <w:rsid w:val="00256FAF"/>
    <w:rsid w:val="00262AA8"/>
    <w:rsid w:val="002634C4"/>
    <w:rsid w:val="002638FD"/>
    <w:rsid w:val="00264F7E"/>
    <w:rsid w:val="002814AB"/>
    <w:rsid w:val="002824FB"/>
    <w:rsid w:val="00287BFD"/>
    <w:rsid w:val="00291B10"/>
    <w:rsid w:val="002928D3"/>
    <w:rsid w:val="002953D8"/>
    <w:rsid w:val="00295DD3"/>
    <w:rsid w:val="0029778A"/>
    <w:rsid w:val="002A43DB"/>
    <w:rsid w:val="002A6DDC"/>
    <w:rsid w:val="002B3B55"/>
    <w:rsid w:val="002C0313"/>
    <w:rsid w:val="002C2355"/>
    <w:rsid w:val="002C3382"/>
    <w:rsid w:val="002C4FB4"/>
    <w:rsid w:val="002C5548"/>
    <w:rsid w:val="002C62CF"/>
    <w:rsid w:val="002D2033"/>
    <w:rsid w:val="002D404E"/>
    <w:rsid w:val="002D5DFF"/>
    <w:rsid w:val="002F0DB8"/>
    <w:rsid w:val="002F1FE6"/>
    <w:rsid w:val="002F4E68"/>
    <w:rsid w:val="002F5463"/>
    <w:rsid w:val="002F799C"/>
    <w:rsid w:val="002F7DFF"/>
    <w:rsid w:val="003126FA"/>
    <w:rsid w:val="00312F7F"/>
    <w:rsid w:val="0031723F"/>
    <w:rsid w:val="003306CE"/>
    <w:rsid w:val="003333F0"/>
    <w:rsid w:val="00337195"/>
    <w:rsid w:val="00346218"/>
    <w:rsid w:val="00350495"/>
    <w:rsid w:val="00352782"/>
    <w:rsid w:val="003558D6"/>
    <w:rsid w:val="00361450"/>
    <w:rsid w:val="00363F6D"/>
    <w:rsid w:val="003651B6"/>
    <w:rsid w:val="003673CF"/>
    <w:rsid w:val="00373C09"/>
    <w:rsid w:val="00373EA5"/>
    <w:rsid w:val="00374100"/>
    <w:rsid w:val="00381777"/>
    <w:rsid w:val="003845C1"/>
    <w:rsid w:val="003A6F89"/>
    <w:rsid w:val="003B3135"/>
    <w:rsid w:val="003B38C1"/>
    <w:rsid w:val="003C6B19"/>
    <w:rsid w:val="003D144A"/>
    <w:rsid w:val="003D4844"/>
    <w:rsid w:val="003E1392"/>
    <w:rsid w:val="003E2A86"/>
    <w:rsid w:val="003E5833"/>
    <w:rsid w:val="003E5B9D"/>
    <w:rsid w:val="003F46AF"/>
    <w:rsid w:val="003F613B"/>
    <w:rsid w:val="00401142"/>
    <w:rsid w:val="0040339F"/>
    <w:rsid w:val="00403790"/>
    <w:rsid w:val="0041001F"/>
    <w:rsid w:val="00410621"/>
    <w:rsid w:val="00413D67"/>
    <w:rsid w:val="004177C5"/>
    <w:rsid w:val="004202B6"/>
    <w:rsid w:val="004235E1"/>
    <w:rsid w:val="00423E3E"/>
    <w:rsid w:val="004245AC"/>
    <w:rsid w:val="00427AF4"/>
    <w:rsid w:val="0043552C"/>
    <w:rsid w:val="004375EF"/>
    <w:rsid w:val="00445410"/>
    <w:rsid w:val="00450B59"/>
    <w:rsid w:val="00461D05"/>
    <w:rsid w:val="004647DA"/>
    <w:rsid w:val="00474062"/>
    <w:rsid w:val="00476942"/>
    <w:rsid w:val="00476B28"/>
    <w:rsid w:val="00477D6B"/>
    <w:rsid w:val="00482862"/>
    <w:rsid w:val="004843B9"/>
    <w:rsid w:val="00484901"/>
    <w:rsid w:val="0049441E"/>
    <w:rsid w:val="00497B02"/>
    <w:rsid w:val="004A1E14"/>
    <w:rsid w:val="004B02C3"/>
    <w:rsid w:val="004B10CE"/>
    <w:rsid w:val="004C3CE5"/>
    <w:rsid w:val="004C4279"/>
    <w:rsid w:val="004C4411"/>
    <w:rsid w:val="004C47FC"/>
    <w:rsid w:val="004C594C"/>
    <w:rsid w:val="004C5DA2"/>
    <w:rsid w:val="004D129B"/>
    <w:rsid w:val="004F6DF5"/>
    <w:rsid w:val="005019FF"/>
    <w:rsid w:val="005045E7"/>
    <w:rsid w:val="005056A1"/>
    <w:rsid w:val="00511661"/>
    <w:rsid w:val="00511974"/>
    <w:rsid w:val="00511D7E"/>
    <w:rsid w:val="0051296C"/>
    <w:rsid w:val="00513B37"/>
    <w:rsid w:val="00517162"/>
    <w:rsid w:val="00517365"/>
    <w:rsid w:val="0051793A"/>
    <w:rsid w:val="00520987"/>
    <w:rsid w:val="00525CD1"/>
    <w:rsid w:val="0052645E"/>
    <w:rsid w:val="00530547"/>
    <w:rsid w:val="0053057A"/>
    <w:rsid w:val="005342A9"/>
    <w:rsid w:val="0053669E"/>
    <w:rsid w:val="005367E7"/>
    <w:rsid w:val="005371E6"/>
    <w:rsid w:val="005375DC"/>
    <w:rsid w:val="005428C9"/>
    <w:rsid w:val="00545480"/>
    <w:rsid w:val="005454CD"/>
    <w:rsid w:val="005456CF"/>
    <w:rsid w:val="00560A29"/>
    <w:rsid w:val="00562183"/>
    <w:rsid w:val="00572C50"/>
    <w:rsid w:val="00582097"/>
    <w:rsid w:val="00583C53"/>
    <w:rsid w:val="00585336"/>
    <w:rsid w:val="00597848"/>
    <w:rsid w:val="005A172D"/>
    <w:rsid w:val="005B0853"/>
    <w:rsid w:val="005B11F1"/>
    <w:rsid w:val="005B3C7A"/>
    <w:rsid w:val="005B50D4"/>
    <w:rsid w:val="005B7568"/>
    <w:rsid w:val="005C6649"/>
    <w:rsid w:val="005D0849"/>
    <w:rsid w:val="005E2009"/>
    <w:rsid w:val="005E4C5C"/>
    <w:rsid w:val="005E799A"/>
    <w:rsid w:val="005F2CF5"/>
    <w:rsid w:val="00603028"/>
    <w:rsid w:val="00605827"/>
    <w:rsid w:val="00610221"/>
    <w:rsid w:val="00611867"/>
    <w:rsid w:val="00611987"/>
    <w:rsid w:val="00613C99"/>
    <w:rsid w:val="00616F75"/>
    <w:rsid w:val="00620560"/>
    <w:rsid w:val="00622E8E"/>
    <w:rsid w:val="006248A7"/>
    <w:rsid w:val="0062784B"/>
    <w:rsid w:val="00640082"/>
    <w:rsid w:val="0064442A"/>
    <w:rsid w:val="00646050"/>
    <w:rsid w:val="00646181"/>
    <w:rsid w:val="00646674"/>
    <w:rsid w:val="00651B39"/>
    <w:rsid w:val="00656733"/>
    <w:rsid w:val="00656E99"/>
    <w:rsid w:val="006601F4"/>
    <w:rsid w:val="00661DD3"/>
    <w:rsid w:val="006644FF"/>
    <w:rsid w:val="006713CA"/>
    <w:rsid w:val="006726DF"/>
    <w:rsid w:val="006766A7"/>
    <w:rsid w:val="00676C5C"/>
    <w:rsid w:val="006861AD"/>
    <w:rsid w:val="0069066E"/>
    <w:rsid w:val="006A5A26"/>
    <w:rsid w:val="006B5AB0"/>
    <w:rsid w:val="006B77F9"/>
    <w:rsid w:val="006B7929"/>
    <w:rsid w:val="006B7B68"/>
    <w:rsid w:val="006C285E"/>
    <w:rsid w:val="006C6AAD"/>
    <w:rsid w:val="006C6D91"/>
    <w:rsid w:val="006D081C"/>
    <w:rsid w:val="006D3AD2"/>
    <w:rsid w:val="006D5F74"/>
    <w:rsid w:val="006E3C70"/>
    <w:rsid w:val="006E5830"/>
    <w:rsid w:val="006E60F6"/>
    <w:rsid w:val="006F52FF"/>
    <w:rsid w:val="006F7496"/>
    <w:rsid w:val="00703430"/>
    <w:rsid w:val="00707D36"/>
    <w:rsid w:val="00713832"/>
    <w:rsid w:val="00716C2E"/>
    <w:rsid w:val="00717B47"/>
    <w:rsid w:val="007257DE"/>
    <w:rsid w:val="00731B01"/>
    <w:rsid w:val="00736C15"/>
    <w:rsid w:val="007448CF"/>
    <w:rsid w:val="00754813"/>
    <w:rsid w:val="00761013"/>
    <w:rsid w:val="0076116D"/>
    <w:rsid w:val="007652D3"/>
    <w:rsid w:val="00767182"/>
    <w:rsid w:val="0077451F"/>
    <w:rsid w:val="00777278"/>
    <w:rsid w:val="00777C94"/>
    <w:rsid w:val="00784A13"/>
    <w:rsid w:val="00785D7F"/>
    <w:rsid w:val="007907BE"/>
    <w:rsid w:val="00791AC0"/>
    <w:rsid w:val="007A0F4B"/>
    <w:rsid w:val="007A1190"/>
    <w:rsid w:val="007A23EF"/>
    <w:rsid w:val="007A4161"/>
    <w:rsid w:val="007A56BA"/>
    <w:rsid w:val="007B0983"/>
    <w:rsid w:val="007B13D7"/>
    <w:rsid w:val="007C261B"/>
    <w:rsid w:val="007C3BCD"/>
    <w:rsid w:val="007D1613"/>
    <w:rsid w:val="007D271A"/>
    <w:rsid w:val="007D4F65"/>
    <w:rsid w:val="007E152B"/>
    <w:rsid w:val="007E3DB7"/>
    <w:rsid w:val="007E3DEA"/>
    <w:rsid w:val="007F1E05"/>
    <w:rsid w:val="007F2974"/>
    <w:rsid w:val="00805D47"/>
    <w:rsid w:val="00812ACF"/>
    <w:rsid w:val="00824C70"/>
    <w:rsid w:val="0083577D"/>
    <w:rsid w:val="00836C9F"/>
    <w:rsid w:val="0084019D"/>
    <w:rsid w:val="00840EAF"/>
    <w:rsid w:val="00844545"/>
    <w:rsid w:val="00845876"/>
    <w:rsid w:val="00850AB4"/>
    <w:rsid w:val="008536D2"/>
    <w:rsid w:val="00853E4C"/>
    <w:rsid w:val="008558CD"/>
    <w:rsid w:val="008634F0"/>
    <w:rsid w:val="008671C7"/>
    <w:rsid w:val="008753B7"/>
    <w:rsid w:val="008754C4"/>
    <w:rsid w:val="00884382"/>
    <w:rsid w:val="008843F7"/>
    <w:rsid w:val="00891C8C"/>
    <w:rsid w:val="00893D03"/>
    <w:rsid w:val="008A6397"/>
    <w:rsid w:val="008A74D8"/>
    <w:rsid w:val="008B2CC1"/>
    <w:rsid w:val="008B58C5"/>
    <w:rsid w:val="008B60B2"/>
    <w:rsid w:val="008B7FB6"/>
    <w:rsid w:val="008C2F88"/>
    <w:rsid w:val="008D2E95"/>
    <w:rsid w:val="008D6B5A"/>
    <w:rsid w:val="008E053C"/>
    <w:rsid w:val="008E65FB"/>
    <w:rsid w:val="008F030D"/>
    <w:rsid w:val="009040E2"/>
    <w:rsid w:val="0090731E"/>
    <w:rsid w:val="009074EA"/>
    <w:rsid w:val="00910004"/>
    <w:rsid w:val="0091074A"/>
    <w:rsid w:val="00912D7E"/>
    <w:rsid w:val="00916EE2"/>
    <w:rsid w:val="0092199F"/>
    <w:rsid w:val="00924CB0"/>
    <w:rsid w:val="00927CAE"/>
    <w:rsid w:val="00931A71"/>
    <w:rsid w:val="00932736"/>
    <w:rsid w:val="00932A5B"/>
    <w:rsid w:val="0093789F"/>
    <w:rsid w:val="009516EA"/>
    <w:rsid w:val="009604A8"/>
    <w:rsid w:val="00966890"/>
    <w:rsid w:val="00966A22"/>
    <w:rsid w:val="0096722F"/>
    <w:rsid w:val="00980843"/>
    <w:rsid w:val="00985AE3"/>
    <w:rsid w:val="00986C5A"/>
    <w:rsid w:val="0099041D"/>
    <w:rsid w:val="009929DE"/>
    <w:rsid w:val="00992B8B"/>
    <w:rsid w:val="00992D0C"/>
    <w:rsid w:val="0099438E"/>
    <w:rsid w:val="009944AB"/>
    <w:rsid w:val="00994B55"/>
    <w:rsid w:val="009959AF"/>
    <w:rsid w:val="009A56D4"/>
    <w:rsid w:val="009A5997"/>
    <w:rsid w:val="009A6282"/>
    <w:rsid w:val="009B6C8C"/>
    <w:rsid w:val="009C53E2"/>
    <w:rsid w:val="009C63E7"/>
    <w:rsid w:val="009D2695"/>
    <w:rsid w:val="009D2AA7"/>
    <w:rsid w:val="009D47F6"/>
    <w:rsid w:val="009E2373"/>
    <w:rsid w:val="009E2791"/>
    <w:rsid w:val="009E3BA4"/>
    <w:rsid w:val="009E3F6F"/>
    <w:rsid w:val="009E4389"/>
    <w:rsid w:val="009E659F"/>
    <w:rsid w:val="009E6A37"/>
    <w:rsid w:val="009F0025"/>
    <w:rsid w:val="009F3043"/>
    <w:rsid w:val="009F499F"/>
    <w:rsid w:val="009F4CC2"/>
    <w:rsid w:val="00A0009C"/>
    <w:rsid w:val="00A0168C"/>
    <w:rsid w:val="00A01897"/>
    <w:rsid w:val="00A02910"/>
    <w:rsid w:val="00A12500"/>
    <w:rsid w:val="00A13EE3"/>
    <w:rsid w:val="00A1732B"/>
    <w:rsid w:val="00A177D3"/>
    <w:rsid w:val="00A21927"/>
    <w:rsid w:val="00A23D8A"/>
    <w:rsid w:val="00A42D74"/>
    <w:rsid w:val="00A42DAF"/>
    <w:rsid w:val="00A430D9"/>
    <w:rsid w:val="00A45BD8"/>
    <w:rsid w:val="00A5375D"/>
    <w:rsid w:val="00A57769"/>
    <w:rsid w:val="00A57F96"/>
    <w:rsid w:val="00A71AAA"/>
    <w:rsid w:val="00A732C6"/>
    <w:rsid w:val="00A73D1B"/>
    <w:rsid w:val="00A74A6B"/>
    <w:rsid w:val="00A77E14"/>
    <w:rsid w:val="00A81870"/>
    <w:rsid w:val="00A84CB3"/>
    <w:rsid w:val="00A869B7"/>
    <w:rsid w:val="00A87BB8"/>
    <w:rsid w:val="00A90C28"/>
    <w:rsid w:val="00A923B9"/>
    <w:rsid w:val="00A93823"/>
    <w:rsid w:val="00A97B48"/>
    <w:rsid w:val="00AB12FB"/>
    <w:rsid w:val="00AB5611"/>
    <w:rsid w:val="00AC068F"/>
    <w:rsid w:val="00AC07C0"/>
    <w:rsid w:val="00AC07F3"/>
    <w:rsid w:val="00AC1225"/>
    <w:rsid w:val="00AC18D6"/>
    <w:rsid w:val="00AC1B2E"/>
    <w:rsid w:val="00AC205C"/>
    <w:rsid w:val="00AC2965"/>
    <w:rsid w:val="00AD0492"/>
    <w:rsid w:val="00AD4BEE"/>
    <w:rsid w:val="00AD5B1F"/>
    <w:rsid w:val="00AE75B1"/>
    <w:rsid w:val="00AF0A2B"/>
    <w:rsid w:val="00AF0A6B"/>
    <w:rsid w:val="00AF5B08"/>
    <w:rsid w:val="00AF656F"/>
    <w:rsid w:val="00AF7468"/>
    <w:rsid w:val="00B05A69"/>
    <w:rsid w:val="00B22ECE"/>
    <w:rsid w:val="00B248D7"/>
    <w:rsid w:val="00B352AA"/>
    <w:rsid w:val="00B4161B"/>
    <w:rsid w:val="00B4750F"/>
    <w:rsid w:val="00B5215E"/>
    <w:rsid w:val="00B5262E"/>
    <w:rsid w:val="00B66E59"/>
    <w:rsid w:val="00B66E89"/>
    <w:rsid w:val="00B814F3"/>
    <w:rsid w:val="00B8455C"/>
    <w:rsid w:val="00B85E2E"/>
    <w:rsid w:val="00B860C6"/>
    <w:rsid w:val="00B87F6E"/>
    <w:rsid w:val="00B87FAD"/>
    <w:rsid w:val="00B9430B"/>
    <w:rsid w:val="00B94C3E"/>
    <w:rsid w:val="00B94DD1"/>
    <w:rsid w:val="00B9734B"/>
    <w:rsid w:val="00BA664E"/>
    <w:rsid w:val="00BB17C8"/>
    <w:rsid w:val="00BC11D9"/>
    <w:rsid w:val="00BC3598"/>
    <w:rsid w:val="00BE1475"/>
    <w:rsid w:val="00BE6033"/>
    <w:rsid w:val="00BE79B1"/>
    <w:rsid w:val="00BF15C7"/>
    <w:rsid w:val="00BF2338"/>
    <w:rsid w:val="00BF522C"/>
    <w:rsid w:val="00C015C1"/>
    <w:rsid w:val="00C06A0D"/>
    <w:rsid w:val="00C073D1"/>
    <w:rsid w:val="00C11BFE"/>
    <w:rsid w:val="00C1615C"/>
    <w:rsid w:val="00C172FF"/>
    <w:rsid w:val="00C2178D"/>
    <w:rsid w:val="00C234BB"/>
    <w:rsid w:val="00C24327"/>
    <w:rsid w:val="00C277B0"/>
    <w:rsid w:val="00C278C7"/>
    <w:rsid w:val="00C36834"/>
    <w:rsid w:val="00C3725B"/>
    <w:rsid w:val="00C5604A"/>
    <w:rsid w:val="00C62DA1"/>
    <w:rsid w:val="00C65076"/>
    <w:rsid w:val="00C6519A"/>
    <w:rsid w:val="00C7075A"/>
    <w:rsid w:val="00C73B54"/>
    <w:rsid w:val="00C759E1"/>
    <w:rsid w:val="00C75B46"/>
    <w:rsid w:val="00C76E73"/>
    <w:rsid w:val="00C771E7"/>
    <w:rsid w:val="00C818F2"/>
    <w:rsid w:val="00C81B66"/>
    <w:rsid w:val="00C907E8"/>
    <w:rsid w:val="00C90F37"/>
    <w:rsid w:val="00C93098"/>
    <w:rsid w:val="00C9761E"/>
    <w:rsid w:val="00CA04EB"/>
    <w:rsid w:val="00CA053D"/>
    <w:rsid w:val="00CA4785"/>
    <w:rsid w:val="00CA7149"/>
    <w:rsid w:val="00CA7746"/>
    <w:rsid w:val="00CB03EB"/>
    <w:rsid w:val="00CB05E0"/>
    <w:rsid w:val="00CB550F"/>
    <w:rsid w:val="00CB67C9"/>
    <w:rsid w:val="00CC0520"/>
    <w:rsid w:val="00CC0A5A"/>
    <w:rsid w:val="00CC162F"/>
    <w:rsid w:val="00CC4E81"/>
    <w:rsid w:val="00CC5572"/>
    <w:rsid w:val="00CD1800"/>
    <w:rsid w:val="00CD2228"/>
    <w:rsid w:val="00CD2250"/>
    <w:rsid w:val="00CD3B25"/>
    <w:rsid w:val="00CD728A"/>
    <w:rsid w:val="00CE05A6"/>
    <w:rsid w:val="00D012AD"/>
    <w:rsid w:val="00D06510"/>
    <w:rsid w:val="00D107D4"/>
    <w:rsid w:val="00D11513"/>
    <w:rsid w:val="00D12F49"/>
    <w:rsid w:val="00D168C6"/>
    <w:rsid w:val="00D337A7"/>
    <w:rsid w:val="00D34461"/>
    <w:rsid w:val="00D360F6"/>
    <w:rsid w:val="00D4215C"/>
    <w:rsid w:val="00D44E92"/>
    <w:rsid w:val="00D45252"/>
    <w:rsid w:val="00D45E1F"/>
    <w:rsid w:val="00D50FFC"/>
    <w:rsid w:val="00D5795C"/>
    <w:rsid w:val="00D629A8"/>
    <w:rsid w:val="00D6405C"/>
    <w:rsid w:val="00D71B4D"/>
    <w:rsid w:val="00D71E80"/>
    <w:rsid w:val="00D721E6"/>
    <w:rsid w:val="00D73B96"/>
    <w:rsid w:val="00D762E1"/>
    <w:rsid w:val="00D85698"/>
    <w:rsid w:val="00D9154C"/>
    <w:rsid w:val="00D91B6D"/>
    <w:rsid w:val="00D93D55"/>
    <w:rsid w:val="00D944C6"/>
    <w:rsid w:val="00D967DA"/>
    <w:rsid w:val="00DB0C7F"/>
    <w:rsid w:val="00DC35AB"/>
    <w:rsid w:val="00DC46BA"/>
    <w:rsid w:val="00DC76D0"/>
    <w:rsid w:val="00DD1829"/>
    <w:rsid w:val="00DD4024"/>
    <w:rsid w:val="00DD64A4"/>
    <w:rsid w:val="00DE45E2"/>
    <w:rsid w:val="00DE65E4"/>
    <w:rsid w:val="00DE6A3B"/>
    <w:rsid w:val="00E00F56"/>
    <w:rsid w:val="00E15BDB"/>
    <w:rsid w:val="00E17970"/>
    <w:rsid w:val="00E200A2"/>
    <w:rsid w:val="00E2611A"/>
    <w:rsid w:val="00E30BEF"/>
    <w:rsid w:val="00E335FE"/>
    <w:rsid w:val="00E35FA5"/>
    <w:rsid w:val="00E40D96"/>
    <w:rsid w:val="00E43669"/>
    <w:rsid w:val="00E47666"/>
    <w:rsid w:val="00E502CF"/>
    <w:rsid w:val="00E51DA6"/>
    <w:rsid w:val="00E543EE"/>
    <w:rsid w:val="00E65B9B"/>
    <w:rsid w:val="00E90323"/>
    <w:rsid w:val="00E91D11"/>
    <w:rsid w:val="00EA016E"/>
    <w:rsid w:val="00EA1CEF"/>
    <w:rsid w:val="00EB0034"/>
    <w:rsid w:val="00EB5426"/>
    <w:rsid w:val="00EC4E49"/>
    <w:rsid w:val="00EC5340"/>
    <w:rsid w:val="00ED3330"/>
    <w:rsid w:val="00ED77FB"/>
    <w:rsid w:val="00EE021F"/>
    <w:rsid w:val="00EE45FA"/>
    <w:rsid w:val="00EE4D2D"/>
    <w:rsid w:val="00EF4BBD"/>
    <w:rsid w:val="00EF5F08"/>
    <w:rsid w:val="00F01DED"/>
    <w:rsid w:val="00F03A64"/>
    <w:rsid w:val="00F1492B"/>
    <w:rsid w:val="00F16585"/>
    <w:rsid w:val="00F22343"/>
    <w:rsid w:val="00F230F1"/>
    <w:rsid w:val="00F2335C"/>
    <w:rsid w:val="00F25AB5"/>
    <w:rsid w:val="00F3092E"/>
    <w:rsid w:val="00F311CD"/>
    <w:rsid w:val="00F32FDB"/>
    <w:rsid w:val="00F33D45"/>
    <w:rsid w:val="00F343A0"/>
    <w:rsid w:val="00F3602C"/>
    <w:rsid w:val="00F47246"/>
    <w:rsid w:val="00F50008"/>
    <w:rsid w:val="00F538D9"/>
    <w:rsid w:val="00F640E1"/>
    <w:rsid w:val="00F66152"/>
    <w:rsid w:val="00F70171"/>
    <w:rsid w:val="00F70CF7"/>
    <w:rsid w:val="00F76A1B"/>
    <w:rsid w:val="00F77A10"/>
    <w:rsid w:val="00F826ED"/>
    <w:rsid w:val="00F9034C"/>
    <w:rsid w:val="00F97667"/>
    <w:rsid w:val="00FA4164"/>
    <w:rsid w:val="00FA7368"/>
    <w:rsid w:val="00FB0A2C"/>
    <w:rsid w:val="00FB34B6"/>
    <w:rsid w:val="00FB3F63"/>
    <w:rsid w:val="00FB511D"/>
    <w:rsid w:val="00FC12E3"/>
    <w:rsid w:val="00FD05E3"/>
    <w:rsid w:val="00FD4FAB"/>
    <w:rsid w:val="00FD576E"/>
    <w:rsid w:val="00FD6AA5"/>
    <w:rsid w:val="00FE1763"/>
    <w:rsid w:val="00FE33BA"/>
    <w:rsid w:val="00FE46F6"/>
    <w:rsid w:val="00FE5DB0"/>
    <w:rsid w:val="00FE5F59"/>
    <w:rsid w:val="00FF06B1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LightList-Accent51">
    <w:name w:val="Light List - Accent 5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D5F74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9B6C8C"/>
    <w:pPr>
      <w:ind w:left="720"/>
      <w:contextualSpacing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52645E"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LightList-Accent51">
    <w:name w:val="Light List - Accent 5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D5F74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9B6C8C"/>
    <w:pPr>
      <w:ind w:left="720"/>
      <w:contextualSpacing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52645E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46B38-3B12-4A8D-AC67-208AE93A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1937</Words>
  <Characters>10093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 Oluwatobiloba</dc:creator>
  <cp:lastModifiedBy>MORENO PALESTINI Maria Del Pilar</cp:lastModifiedBy>
  <cp:revision>37</cp:revision>
  <cp:lastPrinted>2018-03-26T15:39:00Z</cp:lastPrinted>
  <dcterms:created xsi:type="dcterms:W3CDTF">2018-03-20T10:33:00Z</dcterms:created>
  <dcterms:modified xsi:type="dcterms:W3CDTF">2018-03-26T15:41:00Z</dcterms:modified>
</cp:coreProperties>
</file>