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6A034F" w:rsidTr="00361450">
        <w:tc>
          <w:tcPr>
            <w:tcW w:w="4513" w:type="dxa"/>
            <w:tcBorders>
              <w:bottom w:val="single" w:sz="4" w:space="0" w:color="auto"/>
            </w:tcBorders>
            <w:tcMar>
              <w:bottom w:w="170" w:type="dxa"/>
            </w:tcMar>
          </w:tcPr>
          <w:p w:rsidR="00EC4E49" w:rsidRPr="006A034F"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6A034F" w:rsidRDefault="00A11425" w:rsidP="00485C67">
            <w:pPr>
              <w:rPr>
                <w:lang w:val="es-ES"/>
              </w:rPr>
            </w:pPr>
            <w:r w:rsidRPr="006A034F">
              <w:rPr>
                <w:noProof/>
                <w:lang w:eastAsia="en-US"/>
              </w:rPr>
              <w:drawing>
                <wp:inline distT="0" distB="0" distL="0" distR="0" wp14:anchorId="4A4FB43F" wp14:editId="6EC2A79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A034F" w:rsidRDefault="00A11425" w:rsidP="00916EE2">
            <w:pPr>
              <w:jc w:val="right"/>
              <w:rPr>
                <w:lang w:val="es-ES"/>
              </w:rPr>
            </w:pPr>
            <w:r w:rsidRPr="006A034F">
              <w:rPr>
                <w:b/>
                <w:sz w:val="40"/>
                <w:szCs w:val="40"/>
                <w:lang w:val="es-ES"/>
              </w:rPr>
              <w:t>S</w:t>
            </w:r>
          </w:p>
        </w:tc>
      </w:tr>
      <w:tr w:rsidR="0014698C" w:rsidRPr="006A034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A034F" w:rsidRDefault="00231FD1" w:rsidP="00167DDA">
            <w:pPr>
              <w:jc w:val="right"/>
              <w:rPr>
                <w:rFonts w:ascii="Arial Black" w:hAnsi="Arial Black"/>
                <w:caps/>
                <w:sz w:val="15"/>
                <w:lang w:val="es-ES"/>
              </w:rPr>
            </w:pPr>
            <w:bookmarkStart w:id="1" w:name="Code"/>
            <w:bookmarkEnd w:id="1"/>
            <w:r w:rsidRPr="006A034F">
              <w:rPr>
                <w:rFonts w:ascii="Arial Black" w:hAnsi="Arial Black"/>
                <w:caps/>
                <w:sz w:val="15"/>
                <w:lang w:val="es-ES"/>
              </w:rPr>
              <w:t>WIPO/GRTKF/IC/3</w:t>
            </w:r>
            <w:r w:rsidR="00167DDA">
              <w:rPr>
                <w:rFonts w:ascii="Arial Black" w:hAnsi="Arial Black"/>
                <w:caps/>
                <w:sz w:val="15"/>
                <w:lang w:val="es-ES"/>
              </w:rPr>
              <w:t>2</w:t>
            </w:r>
            <w:r w:rsidR="00FB1F55" w:rsidRPr="006A034F">
              <w:rPr>
                <w:rFonts w:ascii="Arial Black" w:hAnsi="Arial Black"/>
                <w:caps/>
                <w:sz w:val="15"/>
                <w:lang w:val="es-ES"/>
              </w:rPr>
              <w:t>/</w:t>
            </w:r>
            <w:r w:rsidR="00F54DCF" w:rsidRPr="006A034F">
              <w:rPr>
                <w:rFonts w:ascii="Arial Black" w:hAnsi="Arial Black"/>
                <w:caps/>
                <w:sz w:val="15"/>
                <w:lang w:val="es-ES"/>
              </w:rPr>
              <w:t>3</w:t>
            </w:r>
          </w:p>
        </w:tc>
      </w:tr>
      <w:tr w:rsidR="0014698C" w:rsidRPr="006A034F" w:rsidTr="00916EE2">
        <w:trPr>
          <w:trHeight w:hRule="exact" w:val="170"/>
        </w:trPr>
        <w:tc>
          <w:tcPr>
            <w:tcW w:w="9356" w:type="dxa"/>
            <w:gridSpan w:val="3"/>
            <w:noWrap/>
            <w:tcMar>
              <w:left w:w="0" w:type="dxa"/>
              <w:right w:w="0" w:type="dxa"/>
            </w:tcMar>
            <w:vAlign w:val="bottom"/>
          </w:tcPr>
          <w:p w:rsidR="008B2CC1" w:rsidRPr="006A034F" w:rsidRDefault="008B2CC1" w:rsidP="00B4005E">
            <w:pPr>
              <w:jc w:val="right"/>
              <w:rPr>
                <w:rFonts w:ascii="Arial Black" w:hAnsi="Arial Black"/>
                <w:caps/>
                <w:sz w:val="15"/>
                <w:lang w:val="es-ES"/>
              </w:rPr>
            </w:pPr>
            <w:r w:rsidRPr="006A034F">
              <w:rPr>
                <w:rFonts w:ascii="Arial Black" w:hAnsi="Arial Black"/>
                <w:caps/>
                <w:sz w:val="15"/>
                <w:lang w:val="es-ES"/>
              </w:rPr>
              <w:t>ORIGINAL:</w:t>
            </w:r>
            <w:r w:rsidR="00A42DAF" w:rsidRPr="006A034F">
              <w:rPr>
                <w:rFonts w:ascii="Arial Black" w:hAnsi="Arial Black"/>
                <w:caps/>
                <w:sz w:val="15"/>
                <w:lang w:val="es-ES"/>
              </w:rPr>
              <w:t xml:space="preserve"> </w:t>
            </w:r>
            <w:r w:rsidRPr="006A034F">
              <w:rPr>
                <w:rFonts w:ascii="Arial Black" w:hAnsi="Arial Black"/>
                <w:caps/>
                <w:sz w:val="15"/>
                <w:lang w:val="es-ES"/>
              </w:rPr>
              <w:t xml:space="preserve"> </w:t>
            </w:r>
            <w:bookmarkStart w:id="2" w:name="Original"/>
            <w:bookmarkEnd w:id="2"/>
            <w:r w:rsidR="00A11425" w:rsidRPr="006A034F">
              <w:rPr>
                <w:rFonts w:ascii="Arial Black" w:hAnsi="Arial Black"/>
                <w:caps/>
                <w:sz w:val="15"/>
                <w:lang w:val="es-ES"/>
              </w:rPr>
              <w:t>INGLÉS</w:t>
            </w:r>
          </w:p>
        </w:tc>
      </w:tr>
      <w:tr w:rsidR="0014698C" w:rsidRPr="006A034F" w:rsidTr="00916EE2">
        <w:trPr>
          <w:trHeight w:hRule="exact" w:val="198"/>
        </w:trPr>
        <w:tc>
          <w:tcPr>
            <w:tcW w:w="9356" w:type="dxa"/>
            <w:gridSpan w:val="3"/>
            <w:tcMar>
              <w:left w:w="0" w:type="dxa"/>
              <w:right w:w="0" w:type="dxa"/>
            </w:tcMar>
            <w:vAlign w:val="bottom"/>
          </w:tcPr>
          <w:p w:rsidR="008B2CC1" w:rsidRPr="006A034F" w:rsidRDefault="00A11425" w:rsidP="00AC0110">
            <w:pPr>
              <w:jc w:val="right"/>
              <w:rPr>
                <w:rFonts w:ascii="Arial Black" w:hAnsi="Arial Black"/>
                <w:caps/>
                <w:sz w:val="15"/>
                <w:lang w:val="es-ES"/>
              </w:rPr>
            </w:pPr>
            <w:r w:rsidRPr="006A034F">
              <w:rPr>
                <w:rFonts w:ascii="Arial Black" w:hAnsi="Arial Black"/>
                <w:caps/>
                <w:sz w:val="15"/>
                <w:lang w:val="es-ES"/>
              </w:rPr>
              <w:t>FECHA</w:t>
            </w:r>
            <w:r w:rsidR="008B2CC1" w:rsidRPr="006A034F">
              <w:rPr>
                <w:rFonts w:ascii="Arial Black" w:hAnsi="Arial Black"/>
                <w:caps/>
                <w:sz w:val="15"/>
                <w:lang w:val="es-ES"/>
              </w:rPr>
              <w:t>:</w:t>
            </w:r>
            <w:r w:rsidR="004E4447" w:rsidRPr="006A034F">
              <w:rPr>
                <w:rFonts w:ascii="Arial Black" w:hAnsi="Arial Black"/>
                <w:caps/>
                <w:sz w:val="15"/>
                <w:lang w:val="es-ES"/>
              </w:rPr>
              <w:t xml:space="preserve">  </w:t>
            </w:r>
            <w:bookmarkStart w:id="3" w:name="Date"/>
            <w:bookmarkEnd w:id="3"/>
            <w:r w:rsidR="00F54DCF" w:rsidRPr="006A034F">
              <w:rPr>
                <w:rFonts w:ascii="Arial Black" w:hAnsi="Arial Black"/>
                <w:caps/>
                <w:sz w:val="15"/>
                <w:lang w:val="es-ES"/>
              </w:rPr>
              <w:t>2</w:t>
            </w:r>
            <w:r w:rsidR="00AC0110">
              <w:rPr>
                <w:rFonts w:ascii="Arial Black" w:hAnsi="Arial Black"/>
                <w:caps/>
                <w:sz w:val="15"/>
                <w:lang w:val="es-ES"/>
              </w:rPr>
              <w:t>7 de octubre</w:t>
            </w:r>
            <w:r w:rsidRPr="006A034F">
              <w:rPr>
                <w:rFonts w:ascii="Arial Black" w:hAnsi="Arial Black"/>
                <w:caps/>
                <w:sz w:val="15"/>
                <w:lang w:val="es-ES"/>
              </w:rPr>
              <w:t xml:space="preserve"> D</w:t>
            </w:r>
            <w:r w:rsidR="000B054C" w:rsidRPr="006A034F">
              <w:rPr>
                <w:rFonts w:ascii="Arial Black" w:hAnsi="Arial Black"/>
                <w:caps/>
                <w:sz w:val="15"/>
                <w:lang w:val="es-ES"/>
              </w:rPr>
              <w:t>E 2</w:t>
            </w:r>
            <w:r w:rsidR="007157D1" w:rsidRPr="006A034F">
              <w:rPr>
                <w:rFonts w:ascii="Arial Black" w:hAnsi="Arial Black"/>
                <w:caps/>
                <w:sz w:val="15"/>
                <w:lang w:val="es-ES"/>
              </w:rPr>
              <w:t>01</w:t>
            </w:r>
            <w:r w:rsidR="006936CA" w:rsidRPr="006A034F">
              <w:rPr>
                <w:rFonts w:ascii="Arial Black" w:hAnsi="Arial Black"/>
                <w:caps/>
                <w:sz w:val="15"/>
                <w:lang w:val="es-ES"/>
              </w:rPr>
              <w:t>6</w:t>
            </w:r>
          </w:p>
        </w:tc>
      </w:tr>
    </w:tbl>
    <w:p w:rsidR="00AF565C" w:rsidRPr="006A034F" w:rsidRDefault="00AF565C" w:rsidP="00BE77C3">
      <w:pPr>
        <w:rPr>
          <w:lang w:val="es-ES"/>
        </w:rPr>
      </w:pPr>
    </w:p>
    <w:p w:rsidR="00AF565C" w:rsidRPr="006A034F" w:rsidRDefault="00AF565C" w:rsidP="008B2CC1">
      <w:pPr>
        <w:rPr>
          <w:lang w:val="es-ES"/>
        </w:rPr>
      </w:pPr>
    </w:p>
    <w:p w:rsidR="00AF565C" w:rsidRPr="006A034F" w:rsidRDefault="00AF565C" w:rsidP="008B2CC1">
      <w:pPr>
        <w:rPr>
          <w:lang w:val="es-ES"/>
        </w:rPr>
      </w:pPr>
    </w:p>
    <w:p w:rsidR="00AF565C" w:rsidRPr="006A034F" w:rsidRDefault="00AF565C" w:rsidP="008B2CC1">
      <w:pPr>
        <w:rPr>
          <w:lang w:val="es-ES"/>
        </w:rPr>
      </w:pPr>
    </w:p>
    <w:p w:rsidR="00AF565C" w:rsidRPr="006A034F" w:rsidRDefault="00AF565C" w:rsidP="00AF565C">
      <w:pPr>
        <w:rPr>
          <w:b/>
          <w:sz w:val="28"/>
          <w:szCs w:val="28"/>
          <w:lang w:val="es-ES"/>
        </w:rPr>
      </w:pPr>
      <w:r w:rsidRPr="006A034F">
        <w:rPr>
          <w:b/>
          <w:sz w:val="28"/>
          <w:szCs w:val="28"/>
          <w:lang w:val="es-ES"/>
        </w:rPr>
        <w:t>Comité Intergubernamental sobre Propiedad Intelectual y Recursos Genéticos, Conocimientos Tradicionales y Folclore</w:t>
      </w:r>
    </w:p>
    <w:p w:rsidR="00AF565C" w:rsidRPr="006A034F" w:rsidRDefault="00AF565C" w:rsidP="003845C1">
      <w:pPr>
        <w:rPr>
          <w:lang w:val="es-ES"/>
        </w:rPr>
      </w:pPr>
    </w:p>
    <w:p w:rsidR="00AF565C" w:rsidRPr="006A034F" w:rsidRDefault="00AF565C" w:rsidP="003845C1">
      <w:pPr>
        <w:rPr>
          <w:lang w:val="es-ES"/>
        </w:rPr>
      </w:pPr>
    </w:p>
    <w:p w:rsidR="00AF565C" w:rsidRPr="006A034F" w:rsidRDefault="00231FD1" w:rsidP="00AF565C">
      <w:pPr>
        <w:rPr>
          <w:b/>
          <w:sz w:val="24"/>
          <w:szCs w:val="24"/>
          <w:lang w:val="es-ES"/>
        </w:rPr>
      </w:pPr>
      <w:r w:rsidRPr="006A034F">
        <w:rPr>
          <w:b/>
          <w:sz w:val="24"/>
          <w:szCs w:val="24"/>
          <w:lang w:val="es-ES"/>
        </w:rPr>
        <w:t xml:space="preserve">Trigésima </w:t>
      </w:r>
      <w:r w:rsidR="00167DDA">
        <w:rPr>
          <w:b/>
          <w:sz w:val="24"/>
          <w:szCs w:val="24"/>
          <w:lang w:val="es-ES"/>
        </w:rPr>
        <w:t>segunda</w:t>
      </w:r>
      <w:r w:rsidR="000D3583" w:rsidRPr="006A034F">
        <w:rPr>
          <w:b/>
          <w:sz w:val="24"/>
          <w:szCs w:val="24"/>
          <w:lang w:val="es-ES"/>
        </w:rPr>
        <w:t xml:space="preserve"> </w:t>
      </w:r>
      <w:r w:rsidR="00AF565C" w:rsidRPr="006A034F">
        <w:rPr>
          <w:b/>
          <w:sz w:val="24"/>
          <w:szCs w:val="24"/>
          <w:lang w:val="es-ES"/>
        </w:rPr>
        <w:t>sesión</w:t>
      </w:r>
    </w:p>
    <w:p w:rsidR="00AF565C" w:rsidRPr="006A034F" w:rsidRDefault="00B30BEE" w:rsidP="00AF565C">
      <w:pPr>
        <w:rPr>
          <w:b/>
          <w:sz w:val="24"/>
          <w:szCs w:val="24"/>
          <w:lang w:val="es-ES"/>
        </w:rPr>
      </w:pPr>
      <w:r w:rsidRPr="006A034F">
        <w:rPr>
          <w:b/>
          <w:sz w:val="24"/>
          <w:szCs w:val="24"/>
          <w:lang w:val="es-ES"/>
        </w:rPr>
        <w:t xml:space="preserve">Ginebra, </w:t>
      </w:r>
      <w:r w:rsidR="00AC0110">
        <w:rPr>
          <w:b/>
          <w:sz w:val="24"/>
          <w:szCs w:val="24"/>
          <w:lang w:val="es-ES"/>
        </w:rPr>
        <w:t>28 de noviembre a 2 de diciembre</w:t>
      </w:r>
      <w:r w:rsidR="000B054C" w:rsidRPr="006A034F">
        <w:rPr>
          <w:b/>
          <w:sz w:val="24"/>
          <w:szCs w:val="24"/>
          <w:lang w:val="es-ES"/>
        </w:rPr>
        <w:t> 2</w:t>
      </w:r>
      <w:r w:rsidR="00AF565C" w:rsidRPr="006A034F">
        <w:rPr>
          <w:b/>
          <w:sz w:val="24"/>
          <w:szCs w:val="24"/>
          <w:lang w:val="es-ES"/>
        </w:rPr>
        <w:t>016</w:t>
      </w:r>
    </w:p>
    <w:p w:rsidR="00AF565C" w:rsidRPr="006A034F" w:rsidRDefault="00AF565C" w:rsidP="008B2CC1">
      <w:pPr>
        <w:rPr>
          <w:lang w:val="es-ES"/>
        </w:rPr>
      </w:pPr>
    </w:p>
    <w:p w:rsidR="00AF565C" w:rsidRPr="006A034F" w:rsidRDefault="00AF565C" w:rsidP="008B2CC1">
      <w:pPr>
        <w:rPr>
          <w:lang w:val="es-ES"/>
        </w:rPr>
      </w:pPr>
    </w:p>
    <w:p w:rsidR="00AF565C" w:rsidRPr="006A034F" w:rsidRDefault="00AF565C" w:rsidP="008B2CC1">
      <w:pPr>
        <w:rPr>
          <w:lang w:val="es-ES"/>
        </w:rPr>
      </w:pPr>
    </w:p>
    <w:p w:rsidR="00F54DCF" w:rsidRPr="006A034F" w:rsidRDefault="00E62F14" w:rsidP="00E62F14">
      <w:pPr>
        <w:spacing w:line="240" w:lineRule="atLeast"/>
        <w:rPr>
          <w:rFonts w:eastAsia="Times New Roman"/>
          <w:caps/>
          <w:sz w:val="24"/>
          <w:szCs w:val="24"/>
          <w:lang w:val="es-ES"/>
        </w:rPr>
      </w:pPr>
      <w:r w:rsidRPr="006A034F">
        <w:rPr>
          <w:rFonts w:eastAsia="Times New Roman"/>
          <w:caps/>
          <w:sz w:val="24"/>
          <w:szCs w:val="24"/>
          <w:lang w:val="es-ES"/>
        </w:rPr>
        <w:t>participación de las comunidades indígenas y locales</w:t>
      </w:r>
      <w:r w:rsidR="00F54DCF" w:rsidRPr="006A034F">
        <w:rPr>
          <w:rFonts w:eastAsia="Times New Roman"/>
          <w:caps/>
          <w:sz w:val="24"/>
          <w:szCs w:val="24"/>
          <w:lang w:val="es-ES"/>
        </w:rPr>
        <w:t xml:space="preserve">: </w:t>
      </w:r>
      <w:r w:rsidR="00F54DCF" w:rsidRPr="006A034F">
        <w:rPr>
          <w:rFonts w:eastAsia="Times New Roman"/>
          <w:caps/>
          <w:sz w:val="24"/>
          <w:szCs w:val="24"/>
          <w:lang w:val="es-ES"/>
        </w:rPr>
        <w:br/>
      </w:r>
      <w:r w:rsidRPr="006A034F">
        <w:rPr>
          <w:rFonts w:eastAsia="Times New Roman"/>
          <w:caps/>
          <w:sz w:val="24"/>
          <w:szCs w:val="24"/>
          <w:lang w:val="es-ES"/>
        </w:rPr>
        <w:t>fondo de contribuciones voluntarias</w:t>
      </w:r>
    </w:p>
    <w:p w:rsidR="00F54DCF" w:rsidRPr="006A034F" w:rsidRDefault="00F54DCF" w:rsidP="00F54DCF">
      <w:pPr>
        <w:rPr>
          <w:lang w:val="es-ES"/>
        </w:rPr>
      </w:pPr>
    </w:p>
    <w:p w:rsidR="00F54DCF" w:rsidRPr="006A034F" w:rsidRDefault="00F54DCF" w:rsidP="00E62F14">
      <w:pPr>
        <w:rPr>
          <w:i/>
          <w:lang w:val="es-ES"/>
        </w:rPr>
      </w:pPr>
      <w:bookmarkStart w:id="4" w:name="Prepared"/>
      <w:bookmarkEnd w:id="4"/>
      <w:r w:rsidRPr="006A034F">
        <w:rPr>
          <w:i/>
          <w:lang w:val="es-ES"/>
        </w:rPr>
        <w:t>Document</w:t>
      </w:r>
      <w:r w:rsidR="00E62F14" w:rsidRPr="006A034F">
        <w:rPr>
          <w:i/>
          <w:lang w:val="es-ES"/>
        </w:rPr>
        <w:t>o</w:t>
      </w:r>
      <w:r w:rsidRPr="006A034F">
        <w:rPr>
          <w:i/>
          <w:lang w:val="es-ES"/>
        </w:rPr>
        <w:t xml:space="preserve"> </w:t>
      </w:r>
      <w:r w:rsidR="00E62F14" w:rsidRPr="006A034F">
        <w:rPr>
          <w:i/>
          <w:lang w:val="es-ES"/>
        </w:rPr>
        <w:t>preparado por la Secretaría</w:t>
      </w:r>
    </w:p>
    <w:p w:rsidR="00F54DCF" w:rsidRPr="006A034F" w:rsidRDefault="00F54DCF" w:rsidP="00F54DCF">
      <w:pPr>
        <w:rPr>
          <w:lang w:val="es-ES"/>
        </w:rPr>
      </w:pPr>
    </w:p>
    <w:p w:rsidR="00F54DCF" w:rsidRPr="006A034F" w:rsidRDefault="00F54DCF" w:rsidP="00F54DCF">
      <w:pPr>
        <w:rPr>
          <w:lang w:val="es-ES"/>
        </w:rPr>
      </w:pPr>
    </w:p>
    <w:p w:rsidR="00F54DCF" w:rsidRPr="006A034F" w:rsidRDefault="00F54DCF" w:rsidP="00F54DCF">
      <w:pPr>
        <w:rPr>
          <w:lang w:val="es-ES"/>
        </w:rPr>
      </w:pPr>
    </w:p>
    <w:p w:rsidR="00F54DCF" w:rsidRPr="006A034F" w:rsidRDefault="00F54DCF" w:rsidP="00F54DCF">
      <w:pPr>
        <w:rPr>
          <w:lang w:val="es-ES"/>
        </w:rPr>
      </w:pPr>
    </w:p>
    <w:p w:rsidR="00F54DCF" w:rsidRPr="006A034F" w:rsidRDefault="00E62F14" w:rsidP="00F54DCF">
      <w:pPr>
        <w:keepNext/>
        <w:outlineLvl w:val="1"/>
        <w:rPr>
          <w:bCs/>
          <w:iCs/>
          <w:caps/>
          <w:szCs w:val="28"/>
          <w:lang w:val="es-ES"/>
        </w:rPr>
      </w:pPr>
      <w:r w:rsidRPr="006A034F">
        <w:rPr>
          <w:bCs/>
          <w:iCs/>
          <w:caps/>
          <w:szCs w:val="28"/>
          <w:lang w:val="es-ES"/>
        </w:rPr>
        <w:t>necesidad de reponer reservas del fondo de contribuciones voluntarias</w:t>
      </w:r>
    </w:p>
    <w:p w:rsidR="00F54DCF" w:rsidRPr="006A034F" w:rsidRDefault="00F54DCF" w:rsidP="00F54DCF">
      <w:pPr>
        <w:rPr>
          <w:sz w:val="20"/>
          <w:lang w:val="es-ES"/>
        </w:rPr>
      </w:pPr>
    </w:p>
    <w:p w:rsidR="00F54DCF" w:rsidRPr="006A034F" w:rsidRDefault="00E62F14" w:rsidP="00E62F14">
      <w:pPr>
        <w:pStyle w:val="ListParagraph"/>
        <w:numPr>
          <w:ilvl w:val="0"/>
          <w:numId w:val="16"/>
        </w:numPr>
        <w:ind w:left="0" w:firstLine="0"/>
        <w:contextualSpacing/>
        <w:rPr>
          <w:lang w:val="es-ES"/>
        </w:rPr>
      </w:pPr>
      <w:r w:rsidRPr="006A034F">
        <w:rPr>
          <w:lang w:val="es-ES"/>
        </w:rPr>
        <w:t>El</w:t>
      </w:r>
      <w:r w:rsidR="00F54DCF" w:rsidRPr="006A034F">
        <w:rPr>
          <w:lang w:val="es-ES"/>
        </w:rPr>
        <w:t xml:space="preserve"> </w:t>
      </w:r>
      <w:r w:rsidRPr="006A034F">
        <w:rPr>
          <w:lang w:val="es-ES"/>
        </w:rPr>
        <w:t>importe disponible en la cuenta del Fondo de la OMPI de Contribuciones Voluntarias para las Comunidades Indígenas y Locales Ac</w:t>
      </w:r>
      <w:r w:rsidR="00AC0110">
        <w:rPr>
          <w:lang w:val="es-ES"/>
        </w:rPr>
        <w:t>reditadas (“el Fondo”) era de 66</w:t>
      </w:r>
      <w:r w:rsidRPr="006A034F">
        <w:rPr>
          <w:lang w:val="es-ES"/>
        </w:rPr>
        <w:t>3,20 francos suizos al 2</w:t>
      </w:r>
      <w:r w:rsidR="00AC0110">
        <w:rPr>
          <w:lang w:val="es-ES"/>
        </w:rPr>
        <w:t>7 de octubre</w:t>
      </w:r>
      <w:r w:rsidRPr="006A034F">
        <w:rPr>
          <w:lang w:val="es-ES"/>
        </w:rPr>
        <w:t xml:space="preserve"> de 2016. De no engrosarse con nuevas contribuciones voluntarias aportadas a tiempo, no podrá sufragarse a cargo del Fondo ningún gasto recomendado por la Junta Asesora del Fondo con miras a la trigésima </w:t>
      </w:r>
      <w:r w:rsidR="00AC0110">
        <w:rPr>
          <w:lang w:val="es-ES"/>
        </w:rPr>
        <w:t xml:space="preserve">segunda </w:t>
      </w:r>
      <w:r w:rsidRPr="006A034F">
        <w:rPr>
          <w:lang w:val="es-ES"/>
        </w:rPr>
        <w:t>sesión del Comité Intergubernamental sobre Propiedad Intelectual y Recursos Genéticos, Conocimientos Tradicionales y Folclore (el Comité) (véase el documento WIPO/GRTKF/IC/3</w:t>
      </w:r>
      <w:r w:rsidR="00AC0110">
        <w:rPr>
          <w:lang w:val="es-ES"/>
        </w:rPr>
        <w:t>1</w:t>
      </w:r>
      <w:r w:rsidRPr="006A034F">
        <w:rPr>
          <w:lang w:val="es-ES"/>
        </w:rPr>
        <w:t>/INF/6) y siguientes</w:t>
      </w:r>
      <w:r w:rsidR="00F54DCF" w:rsidRPr="006A034F">
        <w:rPr>
          <w:lang w:val="es-ES"/>
        </w:rPr>
        <w:t>.</w:t>
      </w:r>
    </w:p>
    <w:p w:rsidR="00F54DCF" w:rsidRPr="006A034F" w:rsidRDefault="00F54DCF" w:rsidP="00F54DCF">
      <w:pPr>
        <w:pStyle w:val="ListParagraph"/>
        <w:ind w:left="0"/>
        <w:rPr>
          <w:lang w:val="es-ES"/>
        </w:rPr>
      </w:pPr>
    </w:p>
    <w:p w:rsidR="00F54DCF" w:rsidRPr="006A034F" w:rsidRDefault="00E62F14" w:rsidP="00F54DCF">
      <w:pPr>
        <w:pStyle w:val="ListParagraph"/>
        <w:numPr>
          <w:ilvl w:val="0"/>
          <w:numId w:val="16"/>
        </w:numPr>
        <w:ind w:left="0" w:firstLine="0"/>
        <w:contextualSpacing/>
        <w:rPr>
          <w:lang w:val="es-ES"/>
        </w:rPr>
      </w:pPr>
      <w:r w:rsidRPr="006A034F">
        <w:rPr>
          <w:lang w:val="es-ES"/>
        </w:rPr>
        <w:t>En la página http://www.wipo.int/tk/es/igc/participation.html se ofrece información detallada de tipo práctico sobre el Fondo, su funcionamiento y el procedimiento de solicitud, así como sus normas (que constan también en el Anexo I del presente documento)</w:t>
      </w:r>
      <w:r w:rsidR="00F54DCF" w:rsidRPr="006A034F">
        <w:rPr>
          <w:lang w:val="es-ES"/>
        </w:rPr>
        <w:t xml:space="preserve">. </w:t>
      </w:r>
    </w:p>
    <w:p w:rsidR="00F54DCF" w:rsidRPr="006A034F" w:rsidRDefault="00F54DCF" w:rsidP="00B43E02">
      <w:pPr>
        <w:rPr>
          <w:lang w:val="es-ES"/>
        </w:rPr>
      </w:pPr>
    </w:p>
    <w:p w:rsidR="00F54DCF" w:rsidRPr="006A034F" w:rsidRDefault="00E62F14" w:rsidP="00E62F14">
      <w:pPr>
        <w:pStyle w:val="ListParagraph"/>
        <w:numPr>
          <w:ilvl w:val="0"/>
          <w:numId w:val="16"/>
        </w:numPr>
        <w:ind w:left="0" w:firstLine="0"/>
        <w:contextualSpacing/>
        <w:rPr>
          <w:lang w:val="es-ES"/>
        </w:rPr>
      </w:pPr>
      <w:r w:rsidRPr="006A034F">
        <w:rPr>
          <w:lang w:val="es-ES"/>
        </w:rPr>
        <w:t xml:space="preserve">Con arreglo a las normas vigentes, la ayuda que se puede conceder mediante el Fondo depende exclusivamente de las contribuciones voluntarias realizadas por los donantes.  Cabe recordar que el 20 de junio de 2013, el Gobierno de Australia, por segunda vez, y el Gobierno de Nueva Zelandia efectuaron una contribución al Fondo (véase el documento WIPO/GRTKF/IC/29/INF/4).  Estas han sido las contribuciones más recientes que ha recibido el Fondo. </w:t>
      </w:r>
      <w:r w:rsidR="00AC0110">
        <w:rPr>
          <w:lang w:val="es-ES"/>
        </w:rPr>
        <w:t xml:space="preserve"> Ulteriormente, en </w:t>
      </w:r>
      <w:r w:rsidRPr="006A034F">
        <w:rPr>
          <w:lang w:val="es-ES"/>
        </w:rPr>
        <w:t xml:space="preserve">la </w:t>
      </w:r>
      <w:r w:rsidR="00AC0110">
        <w:rPr>
          <w:lang w:val="es-ES"/>
        </w:rPr>
        <w:t>trigésima</w:t>
      </w:r>
      <w:r w:rsidRPr="006A034F">
        <w:rPr>
          <w:lang w:val="es-ES"/>
        </w:rPr>
        <w:t xml:space="preserve"> </w:t>
      </w:r>
      <w:r w:rsidR="00AC0110">
        <w:rPr>
          <w:lang w:val="es-ES"/>
        </w:rPr>
        <w:t xml:space="preserve">primera </w:t>
      </w:r>
      <w:r w:rsidRPr="006A034F">
        <w:rPr>
          <w:lang w:val="es-ES"/>
        </w:rPr>
        <w:t xml:space="preserve">sesión del Comité, </w:t>
      </w:r>
      <w:r w:rsidR="00AC0110">
        <w:rPr>
          <w:lang w:val="es-ES"/>
        </w:rPr>
        <w:t xml:space="preserve">el presidente del Comité informó al Comité de que la Oficina de Patentes y Marcas de </w:t>
      </w:r>
      <w:r w:rsidRPr="006A034F">
        <w:rPr>
          <w:lang w:val="es-ES"/>
        </w:rPr>
        <w:t xml:space="preserve">los Estados Unidos de América </w:t>
      </w:r>
      <w:r w:rsidR="00AC0110">
        <w:rPr>
          <w:lang w:val="es-ES"/>
        </w:rPr>
        <w:t>concedió financiación directamente a los cuatro candidatos recomendados por la Junta Asesora del Fondo para respaldar su participación en la trigésima primera sesión del Comité</w:t>
      </w:r>
      <w:r w:rsidR="00B43E02" w:rsidRPr="006A034F">
        <w:rPr>
          <w:lang w:val="es-ES"/>
        </w:rPr>
        <w:t>.</w:t>
      </w:r>
    </w:p>
    <w:p w:rsidR="00F54DCF" w:rsidRPr="006A034F" w:rsidRDefault="00F54DCF" w:rsidP="00B43E02">
      <w:pPr>
        <w:rPr>
          <w:lang w:val="es-ES"/>
        </w:rPr>
      </w:pPr>
    </w:p>
    <w:p w:rsidR="00F54DCF" w:rsidRPr="006A034F" w:rsidRDefault="00AC0110" w:rsidP="00F54DCF">
      <w:pPr>
        <w:pStyle w:val="ListParagraph"/>
        <w:keepNext/>
        <w:keepLines/>
        <w:numPr>
          <w:ilvl w:val="0"/>
          <w:numId w:val="16"/>
        </w:numPr>
        <w:ind w:left="0" w:firstLine="0"/>
        <w:contextualSpacing/>
        <w:rPr>
          <w:lang w:val="es-ES"/>
        </w:rPr>
      </w:pPr>
      <w:r>
        <w:rPr>
          <w:lang w:val="es-ES"/>
        </w:rPr>
        <w:t>El</w:t>
      </w:r>
      <w:r w:rsidR="00C33C66" w:rsidRPr="006A034F">
        <w:rPr>
          <w:lang w:val="es-ES"/>
        </w:rPr>
        <w:t xml:space="preserve"> </w:t>
      </w:r>
      <w:r>
        <w:rPr>
          <w:lang w:val="es-ES"/>
        </w:rPr>
        <w:t>director general</w:t>
      </w:r>
      <w:r w:rsidR="00C33C66" w:rsidRPr="006A034F">
        <w:rPr>
          <w:lang w:val="es-ES"/>
        </w:rPr>
        <w:t xml:space="preserve"> de la OMPI y </w:t>
      </w:r>
      <w:r>
        <w:rPr>
          <w:lang w:val="es-ES"/>
        </w:rPr>
        <w:t xml:space="preserve">los presidentes </w:t>
      </w:r>
      <w:r w:rsidR="00C33C66" w:rsidRPr="006A034F">
        <w:rPr>
          <w:lang w:val="es-ES"/>
        </w:rPr>
        <w:t xml:space="preserve">del Comité </w:t>
      </w:r>
      <w:r w:rsidR="00104AEB">
        <w:rPr>
          <w:lang w:val="es-ES"/>
        </w:rPr>
        <w:t>d</w:t>
      </w:r>
      <w:r w:rsidR="00104AEB" w:rsidRPr="006A034F">
        <w:rPr>
          <w:lang w:val="es-ES"/>
        </w:rPr>
        <w:t>urante los bienios 2012/2013</w:t>
      </w:r>
      <w:r w:rsidR="00104AEB">
        <w:rPr>
          <w:lang w:val="es-ES"/>
        </w:rPr>
        <w:t xml:space="preserve">, 2014/2015 y 2016/2017 </w:t>
      </w:r>
      <w:r w:rsidR="00C33C66" w:rsidRPr="006A034F">
        <w:rPr>
          <w:lang w:val="es-ES"/>
        </w:rPr>
        <w:t>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  A ese respecto, se ha enviado un documento explicativo de las razones para la iniciativa de captación de fondos a todos los Estados miembros y fundaciones.  En el Anexo II se adjunta una copia actualizada de dicho documento</w:t>
      </w:r>
      <w:r w:rsidR="00B43E02" w:rsidRPr="006A034F">
        <w:rPr>
          <w:lang w:val="es-ES"/>
        </w:rPr>
        <w:t>.</w:t>
      </w:r>
    </w:p>
    <w:p w:rsidR="00F54DCF" w:rsidRPr="006A034F" w:rsidRDefault="00F54DCF" w:rsidP="00B43E02">
      <w:pPr>
        <w:rPr>
          <w:lang w:val="es-ES"/>
        </w:rPr>
      </w:pPr>
    </w:p>
    <w:p w:rsidR="00F54DCF" w:rsidRPr="006A034F" w:rsidRDefault="00C33C66" w:rsidP="00B43E02">
      <w:pPr>
        <w:pStyle w:val="ListParagraph"/>
        <w:numPr>
          <w:ilvl w:val="0"/>
          <w:numId w:val="16"/>
        </w:numPr>
        <w:ind w:left="0" w:firstLine="0"/>
        <w:contextualSpacing/>
        <w:rPr>
          <w:u w:val="single"/>
          <w:lang w:val="es-ES"/>
        </w:rPr>
      </w:pPr>
      <w:r w:rsidRPr="006A034F">
        <w:rPr>
          <w:lang w:val="es-ES"/>
        </w:rPr>
        <w:t xml:space="preserve">Se recuerda que, ante la situación financiera del Fondo, el </w:t>
      </w:r>
      <w:r w:rsidR="00AC0110">
        <w:rPr>
          <w:lang w:val="es-ES"/>
        </w:rPr>
        <w:t>presidente</w:t>
      </w:r>
      <w:r w:rsidRPr="006A034F">
        <w:rPr>
          <w:lang w:val="es-ES"/>
        </w:rPr>
        <w:t xml:space="preserve"> del Comité invitó al Comité, en sus sesiones vigesimoséptima y vigesimoctava, a reflexionar sobre nuevas formas de engrosar el Fondo (véase el documento WIPO/GRTKF/IC/29/3). </w:t>
      </w:r>
      <w:r w:rsidR="00104AEB">
        <w:rPr>
          <w:lang w:val="es-ES"/>
        </w:rPr>
        <w:t xml:space="preserve"> </w:t>
      </w:r>
      <w:r w:rsidRPr="006A034F">
        <w:rPr>
          <w:lang w:val="es-ES"/>
        </w:rPr>
        <w:t>En su informe, la Junta Asesora del Fondo, recordando la</w:t>
      </w:r>
      <w:r w:rsidR="00104AEB">
        <w:rPr>
          <w:lang w:val="es-ES"/>
        </w:rPr>
        <w:t>s</w:t>
      </w:r>
      <w:r w:rsidRPr="006A034F">
        <w:rPr>
          <w:lang w:val="es-ES"/>
        </w:rPr>
        <w:t xml:space="preserve"> recomendaci</w:t>
      </w:r>
      <w:r w:rsidR="00104AEB">
        <w:rPr>
          <w:lang w:val="es-ES"/>
        </w:rPr>
        <w:t>ones</w:t>
      </w:r>
      <w:r w:rsidRPr="006A034F">
        <w:rPr>
          <w:lang w:val="es-ES"/>
        </w:rPr>
        <w:t xml:space="preserve"> que hizo en su</w:t>
      </w:r>
      <w:r w:rsidR="00104AEB">
        <w:rPr>
          <w:lang w:val="es-ES"/>
        </w:rPr>
        <w:t>s dos reunio</w:t>
      </w:r>
      <w:r w:rsidRPr="006A034F">
        <w:rPr>
          <w:lang w:val="es-ES"/>
        </w:rPr>
        <w:t>n</w:t>
      </w:r>
      <w:r w:rsidR="00104AEB">
        <w:rPr>
          <w:lang w:val="es-ES"/>
        </w:rPr>
        <w:t>es</w:t>
      </w:r>
      <w:r w:rsidRPr="006A034F">
        <w:rPr>
          <w:lang w:val="es-ES"/>
        </w:rPr>
        <w:t xml:space="preserve"> anterior</w:t>
      </w:r>
      <w:r w:rsidR="00104AEB">
        <w:rPr>
          <w:lang w:val="es-ES"/>
        </w:rPr>
        <w:t>es</w:t>
      </w:r>
      <w:r w:rsidRPr="006A034F">
        <w:rPr>
          <w:lang w:val="es-ES"/>
        </w:rPr>
        <w:t>, “tomó nota de que desde la vigesimoséptima sesión del Comité, el Fondo no ha podido ofrecer financiación a ningún ca</w:t>
      </w:r>
      <w:r w:rsidR="00104AEB">
        <w:rPr>
          <w:lang w:val="es-ES"/>
        </w:rPr>
        <w:t>ndidato recomendado y recomienda</w:t>
      </w:r>
      <w:r w:rsidRPr="006A034F">
        <w:rPr>
          <w:lang w:val="es-ES"/>
        </w:rPr>
        <w:t xml:space="preserve"> que el Comité tome medidas a ese respecto (véase el Anexo del documento </w:t>
      </w:r>
      <w:r w:rsidR="00104AEB">
        <w:rPr>
          <w:lang w:val="es-ES"/>
        </w:rPr>
        <w:t>WIPO/GRTKF/IC/31</w:t>
      </w:r>
      <w:r w:rsidRPr="006A034F">
        <w:rPr>
          <w:lang w:val="es-ES"/>
        </w:rPr>
        <w:t>/INF/6)</w:t>
      </w:r>
      <w:r w:rsidR="00F54DCF" w:rsidRPr="006A034F">
        <w:rPr>
          <w:lang w:val="es-ES"/>
        </w:rPr>
        <w:t>.</w:t>
      </w:r>
    </w:p>
    <w:p w:rsidR="00F54DCF" w:rsidRPr="006A034F" w:rsidRDefault="00F54DCF" w:rsidP="00B43E02">
      <w:pPr>
        <w:rPr>
          <w:lang w:val="es-ES"/>
        </w:rPr>
      </w:pPr>
    </w:p>
    <w:p w:rsidR="00F54DCF" w:rsidRPr="006A034F" w:rsidRDefault="00C33C66" w:rsidP="00B43E02">
      <w:pPr>
        <w:pStyle w:val="ListParagraph"/>
        <w:numPr>
          <w:ilvl w:val="0"/>
          <w:numId w:val="16"/>
        </w:numPr>
        <w:ind w:left="0" w:firstLine="0"/>
        <w:contextualSpacing/>
        <w:rPr>
          <w:lang w:val="es-ES"/>
        </w:rPr>
      </w:pPr>
      <w:r w:rsidRPr="006A034F">
        <w:rPr>
          <w:lang w:val="es-ES"/>
        </w:rPr>
        <w:t>De conformidad con el reglamento del Fondo, se proporcionará más información actualizada en la nota informativa (WIPO/GRTKF/IC/3</w:t>
      </w:r>
      <w:r w:rsidR="00104AEB">
        <w:rPr>
          <w:lang w:val="es-ES"/>
        </w:rPr>
        <w:t>2</w:t>
      </w:r>
      <w:r w:rsidRPr="006A034F">
        <w:rPr>
          <w:lang w:val="es-ES"/>
        </w:rPr>
        <w:t>/INF/4) que se comunicará al Comité antes de la presente sesión.  En esa nota informativa se expondrán, entre otras cuestiones, las contribuciones efectuadas y prometidas hasta la fecha de la nota, el importe disponible en el Fondo, el nombre de los contribuyentes, el nombre del candidato que recibió financiación en las sesiones trigésima</w:t>
      </w:r>
      <w:r w:rsidR="00104AEB">
        <w:rPr>
          <w:lang w:val="es-ES"/>
        </w:rPr>
        <w:t xml:space="preserve"> primera</w:t>
      </w:r>
      <w:r w:rsidRPr="006A034F">
        <w:rPr>
          <w:lang w:val="es-ES"/>
        </w:rPr>
        <w:t xml:space="preserve"> y trigésima </w:t>
      </w:r>
      <w:r w:rsidR="00104AEB">
        <w:rPr>
          <w:lang w:val="es-ES"/>
        </w:rPr>
        <w:t xml:space="preserve">segunda </w:t>
      </w:r>
      <w:r w:rsidRPr="006A034F">
        <w:rPr>
          <w:lang w:val="es-ES"/>
        </w:rPr>
        <w:t>(en su caso) y, por último, el nombre de los candidatos que han solicitado financiación para participar en la próxima sesión del Comité</w:t>
      </w:r>
      <w:r w:rsidR="00F54DCF" w:rsidRPr="006A034F">
        <w:rPr>
          <w:lang w:val="es-ES"/>
        </w:rPr>
        <w:t>.</w:t>
      </w:r>
    </w:p>
    <w:p w:rsidR="00F54DCF" w:rsidRPr="006A034F" w:rsidRDefault="00F54DCF" w:rsidP="00B43E02">
      <w:pPr>
        <w:rPr>
          <w:sz w:val="20"/>
          <w:lang w:val="es-ES"/>
        </w:rPr>
      </w:pPr>
    </w:p>
    <w:p w:rsidR="00F54DCF" w:rsidRPr="006A034F" w:rsidRDefault="00C33C66" w:rsidP="00F54DCF">
      <w:pPr>
        <w:keepNext/>
        <w:outlineLvl w:val="1"/>
        <w:rPr>
          <w:bCs/>
          <w:iCs/>
          <w:caps/>
          <w:szCs w:val="28"/>
          <w:lang w:val="es-ES"/>
        </w:rPr>
      </w:pPr>
      <w:r w:rsidRPr="006A034F">
        <w:rPr>
          <w:bCs/>
          <w:iCs/>
          <w:caps/>
          <w:szCs w:val="28"/>
          <w:lang w:val="es-ES"/>
        </w:rPr>
        <w:t>NOMBRAMIENTO DE LA JUNTA ASESORA</w:t>
      </w:r>
    </w:p>
    <w:p w:rsidR="00F54DCF" w:rsidRPr="006A034F" w:rsidRDefault="00F54DCF" w:rsidP="00F54DCF">
      <w:pPr>
        <w:keepNext/>
        <w:rPr>
          <w:sz w:val="20"/>
          <w:lang w:val="es-ES"/>
        </w:rPr>
      </w:pPr>
    </w:p>
    <w:p w:rsidR="00F54DCF" w:rsidRPr="006A034F" w:rsidRDefault="00C33C66" w:rsidP="00F54DCF">
      <w:pPr>
        <w:pStyle w:val="ListParagraph"/>
        <w:numPr>
          <w:ilvl w:val="0"/>
          <w:numId w:val="16"/>
        </w:numPr>
        <w:ind w:left="0" w:firstLine="0"/>
        <w:contextualSpacing/>
        <w:rPr>
          <w:lang w:val="es-ES"/>
        </w:rPr>
      </w:pPr>
      <w:r w:rsidRPr="006A034F">
        <w:rPr>
          <w:lang w:val="es-ES"/>
        </w:rPr>
        <w:t xml:space="preserve">En la decisión en que se exponen los objetivos y el funcionamiento del Fondo se establece que “[a]l margen del miembro designado ex officio, los miembros de la Junta Asesora serán elegidos por el Comité en el segundo día de cada una de sus sesiones, previa propuesta del </w:t>
      </w:r>
      <w:r w:rsidR="00AC0110">
        <w:rPr>
          <w:lang w:val="es-ES"/>
        </w:rPr>
        <w:t>presidente</w:t>
      </w:r>
      <w:r w:rsidRPr="006A034F">
        <w:rPr>
          <w:lang w:val="es-ES"/>
        </w:rPr>
        <w:t>, y tras consultar con los Estados miembros y sus grupos regionales y, respectivamente, con los representantes de los observadores acreditados.  El mandato de dichos miembros, a excepción del miembro designado ex officio, finalizará al comienzo de la siguiente sesión del Comité” (artículo 8)</w:t>
      </w:r>
      <w:r w:rsidR="00F54DCF" w:rsidRPr="006A034F">
        <w:rPr>
          <w:lang w:val="es-ES"/>
        </w:rPr>
        <w:t xml:space="preserve">. </w:t>
      </w:r>
    </w:p>
    <w:p w:rsidR="00F54DCF" w:rsidRPr="006A034F" w:rsidRDefault="00F54DCF" w:rsidP="00F54DCF">
      <w:pPr>
        <w:pStyle w:val="ListParagraph"/>
        <w:ind w:left="0"/>
        <w:rPr>
          <w:lang w:val="es-ES"/>
        </w:rPr>
      </w:pPr>
    </w:p>
    <w:p w:rsidR="00F54DCF" w:rsidRPr="006A034F" w:rsidRDefault="00C33C66" w:rsidP="00F54DCF">
      <w:pPr>
        <w:pStyle w:val="ListParagraph"/>
        <w:numPr>
          <w:ilvl w:val="0"/>
          <w:numId w:val="16"/>
        </w:numPr>
        <w:ind w:left="0" w:firstLine="0"/>
        <w:contextualSpacing/>
        <w:rPr>
          <w:lang w:val="es-ES"/>
        </w:rPr>
      </w:pPr>
      <w:r w:rsidRPr="006A034F">
        <w:rPr>
          <w:lang w:val="es-ES"/>
        </w:rPr>
        <w:t xml:space="preserve">En la trigésima </w:t>
      </w:r>
      <w:r w:rsidR="00104AEB">
        <w:rPr>
          <w:lang w:val="es-ES"/>
        </w:rPr>
        <w:t xml:space="preserve">primera </w:t>
      </w:r>
      <w:r w:rsidRPr="006A034F">
        <w:rPr>
          <w:lang w:val="es-ES"/>
        </w:rPr>
        <w:t xml:space="preserve">sesión, el </w:t>
      </w:r>
      <w:r w:rsidR="00AC0110">
        <w:rPr>
          <w:lang w:val="es-ES"/>
        </w:rPr>
        <w:t>presidente</w:t>
      </w:r>
      <w:r w:rsidRPr="006A034F">
        <w:rPr>
          <w:lang w:val="es-ES"/>
        </w:rPr>
        <w:t xml:space="preserve"> propuso a las </w:t>
      </w:r>
      <w:r w:rsidR="00104AEB">
        <w:rPr>
          <w:lang w:val="es-ES"/>
        </w:rPr>
        <w:t xml:space="preserve">ocho </w:t>
      </w:r>
      <w:r w:rsidRPr="006A034F">
        <w:rPr>
          <w:lang w:val="es-ES"/>
        </w:rPr>
        <w:t>personas siguientes para que intervinieran a título personal en la Junta Asesora, y el Comité las eligió por aclamación</w:t>
      </w:r>
      <w:r w:rsidR="00F54DCF" w:rsidRPr="006A034F">
        <w:rPr>
          <w:lang w:val="es-ES"/>
        </w:rPr>
        <w:t>:</w:t>
      </w:r>
    </w:p>
    <w:p w:rsidR="00F54DCF" w:rsidRPr="006A034F" w:rsidRDefault="00F54DCF" w:rsidP="00F54DCF">
      <w:pPr>
        <w:rPr>
          <w:sz w:val="20"/>
          <w:lang w:val="es-ES"/>
        </w:rPr>
      </w:pPr>
    </w:p>
    <w:p w:rsidR="00F54DCF" w:rsidRPr="006A034F" w:rsidRDefault="00F54DCF" w:rsidP="00F2293F">
      <w:pPr>
        <w:ind w:left="1100" w:hanging="550"/>
        <w:rPr>
          <w:lang w:val="es-ES"/>
        </w:rPr>
      </w:pPr>
      <w:r w:rsidRPr="006A034F">
        <w:rPr>
          <w:lang w:val="es-ES"/>
        </w:rPr>
        <w:t>i)</w:t>
      </w:r>
      <w:r w:rsidRPr="006A034F">
        <w:rPr>
          <w:lang w:val="es-ES"/>
        </w:rPr>
        <w:tab/>
      </w:r>
      <w:r w:rsidR="00C33C66" w:rsidRPr="006A034F">
        <w:rPr>
          <w:lang w:val="es-ES"/>
        </w:rPr>
        <w:t>en calidad de miembros de las delegaciones de los Estados miembros de la OMPI</w:t>
      </w:r>
      <w:r w:rsidRPr="006A034F">
        <w:rPr>
          <w:lang w:val="es-ES"/>
        </w:rPr>
        <w:t>:</w:t>
      </w:r>
      <w:r w:rsidRPr="006A034F">
        <w:rPr>
          <w:lang w:val="es-ES"/>
        </w:rPr>
        <w:br/>
      </w:r>
      <w:r w:rsidR="00C33C66" w:rsidRPr="006A034F">
        <w:rPr>
          <w:lang w:val="es-ES"/>
        </w:rPr>
        <w:t xml:space="preserve">Sr. Parviz EMOMOV, </w:t>
      </w:r>
      <w:r w:rsidR="00104AEB">
        <w:rPr>
          <w:lang w:val="es-ES"/>
        </w:rPr>
        <w:t>s</w:t>
      </w:r>
      <w:r w:rsidR="00C33C66" w:rsidRPr="006A034F">
        <w:rPr>
          <w:lang w:val="es-ES"/>
        </w:rPr>
        <w:t xml:space="preserve">egundo </w:t>
      </w:r>
      <w:r w:rsidR="00104AEB">
        <w:rPr>
          <w:lang w:val="es-ES"/>
        </w:rPr>
        <w:t>s</w:t>
      </w:r>
      <w:r w:rsidR="00C33C66" w:rsidRPr="006A034F">
        <w:rPr>
          <w:lang w:val="es-ES"/>
        </w:rPr>
        <w:t>ecretario, Misión Permanente de Tayikistán en Ginebra</w:t>
      </w:r>
      <w:r w:rsidRPr="006A034F">
        <w:rPr>
          <w:lang w:val="es-ES"/>
        </w:rPr>
        <w:t xml:space="preserve">;  </w:t>
      </w:r>
      <w:r w:rsidR="00C33C66" w:rsidRPr="006A034F">
        <w:rPr>
          <w:lang w:val="es-ES"/>
        </w:rPr>
        <w:t>Sra</w:t>
      </w:r>
      <w:r w:rsidRPr="006A034F">
        <w:rPr>
          <w:lang w:val="es-ES"/>
        </w:rPr>
        <w:t xml:space="preserve">. Ema HAO’ULI, </w:t>
      </w:r>
      <w:r w:rsidR="00104AEB">
        <w:rPr>
          <w:lang w:val="es-ES"/>
        </w:rPr>
        <w:t>a</w:t>
      </w:r>
      <w:r w:rsidR="00C33C66" w:rsidRPr="006A034F">
        <w:rPr>
          <w:lang w:val="es-ES"/>
        </w:rPr>
        <w:t xml:space="preserve">sesora de </w:t>
      </w:r>
      <w:r w:rsidR="00104AEB">
        <w:rPr>
          <w:lang w:val="es-ES"/>
        </w:rPr>
        <w:t>p</w:t>
      </w:r>
      <w:r w:rsidR="00C33C66" w:rsidRPr="006A034F">
        <w:rPr>
          <w:lang w:val="es-ES"/>
        </w:rPr>
        <w:t>olíticas</w:t>
      </w:r>
      <w:r w:rsidRPr="006A034F">
        <w:rPr>
          <w:lang w:val="es-ES"/>
        </w:rPr>
        <w:t xml:space="preserve">, </w:t>
      </w:r>
      <w:r w:rsidR="00C33C66" w:rsidRPr="006A034F">
        <w:rPr>
          <w:lang w:val="es-ES"/>
        </w:rPr>
        <w:t>Departamento de Derecho Empresarial</w:t>
      </w:r>
      <w:r w:rsidRPr="006A034F">
        <w:rPr>
          <w:lang w:val="es-ES"/>
        </w:rPr>
        <w:t>, Minist</w:t>
      </w:r>
      <w:r w:rsidR="00F2293F" w:rsidRPr="006A034F">
        <w:rPr>
          <w:lang w:val="es-ES"/>
        </w:rPr>
        <w:t>erio de Empresas, Innovación y Empleo de Nueva Ze</w:t>
      </w:r>
      <w:r w:rsidRPr="006A034F">
        <w:rPr>
          <w:lang w:val="es-ES"/>
        </w:rPr>
        <w:t>land</w:t>
      </w:r>
      <w:r w:rsidR="00F2293F" w:rsidRPr="006A034F">
        <w:rPr>
          <w:lang w:val="es-ES"/>
        </w:rPr>
        <w:t>ia</w:t>
      </w:r>
      <w:r w:rsidRPr="006A034F">
        <w:rPr>
          <w:lang w:val="es-ES"/>
        </w:rPr>
        <w:t xml:space="preserve">;  </w:t>
      </w:r>
      <w:r w:rsidR="00104AEB">
        <w:rPr>
          <w:lang w:val="es-ES"/>
        </w:rPr>
        <w:t>Sr. Kumou MAKONGA, primer secretario, Misión Permanente de Côte d’Ivoire, en Ginebra;  Sra. Ñusta MALDONADO, tercera secretaria, Misión Permanente del Ecuador en Ginebra;  y Sra. Priscilla Ann YAP, segunda secretaria, Misión Permanente de Malasia en Ginebra</w:t>
      </w:r>
      <w:r w:rsidRPr="006A034F">
        <w:rPr>
          <w:lang w:val="es-ES"/>
        </w:rPr>
        <w:t>;</w:t>
      </w:r>
    </w:p>
    <w:p w:rsidR="00F54DCF" w:rsidRPr="006A034F" w:rsidRDefault="00F54DCF" w:rsidP="00F54DCF">
      <w:pPr>
        <w:ind w:left="550" w:hanging="566"/>
        <w:rPr>
          <w:sz w:val="20"/>
          <w:lang w:val="es-ES"/>
        </w:rPr>
      </w:pPr>
    </w:p>
    <w:p w:rsidR="00F54DCF" w:rsidRPr="006A034F" w:rsidRDefault="00F54DCF" w:rsidP="00F2293F">
      <w:pPr>
        <w:ind w:left="1100" w:hanging="550"/>
        <w:rPr>
          <w:lang w:val="es-ES"/>
        </w:rPr>
      </w:pPr>
      <w:r w:rsidRPr="006A034F">
        <w:rPr>
          <w:lang w:val="es-ES"/>
        </w:rPr>
        <w:t>ii)</w:t>
      </w:r>
      <w:r w:rsidRPr="006A034F">
        <w:rPr>
          <w:lang w:val="es-ES"/>
        </w:rPr>
        <w:tab/>
      </w:r>
      <w:r w:rsidR="00F2293F" w:rsidRPr="006A034F">
        <w:rPr>
          <w:lang w:val="es-ES"/>
        </w:rPr>
        <w:t>en calidad de miembros de observadores acreditados, representantes de las comunidades indígenas y locales o de otros titulares o custodios consuetudinarios de conocimientos tradicionales o de expresiones culturales tradicionales</w:t>
      </w:r>
      <w:r w:rsidRPr="006A034F">
        <w:rPr>
          <w:lang w:val="es-ES"/>
        </w:rPr>
        <w:t xml:space="preserve">:  </w:t>
      </w:r>
      <w:r w:rsidRPr="006A034F">
        <w:rPr>
          <w:lang w:val="es-ES"/>
        </w:rPr>
        <w:br/>
      </w:r>
      <w:r w:rsidR="00F2293F" w:rsidRPr="006A034F">
        <w:rPr>
          <w:lang w:val="es-ES"/>
        </w:rPr>
        <w:t>S</w:t>
      </w:r>
      <w:r w:rsidRPr="006A034F">
        <w:rPr>
          <w:lang w:val="es-ES"/>
        </w:rPr>
        <w:t>r.</w:t>
      </w:r>
      <w:r w:rsidR="00104AEB" w:rsidRPr="00D01A8D">
        <w:rPr>
          <w:lang w:val="es-ES"/>
        </w:rPr>
        <w:t xml:space="preserve"> Babagana ABUBAKAR, representante, </w:t>
      </w:r>
      <w:r w:rsidR="00104AEB" w:rsidRPr="00D01A8D">
        <w:rPr>
          <w:i/>
          <w:lang w:val="es-ES"/>
        </w:rPr>
        <w:t>Kanuri Development Association</w:t>
      </w:r>
      <w:r w:rsidR="00104AEB" w:rsidRPr="00D01A8D">
        <w:rPr>
          <w:lang w:val="es-ES"/>
        </w:rPr>
        <w:t xml:space="preserve">, Nigeria;  Sra. </w:t>
      </w:r>
      <w:r w:rsidR="00563C2B" w:rsidRPr="00D01A8D">
        <w:rPr>
          <w:lang w:val="es-ES"/>
        </w:rPr>
        <w:t xml:space="preserve">Lucia Fernanda INACIO BELFORT SALES, representante, </w:t>
      </w:r>
      <w:r w:rsidR="00563C2B" w:rsidRPr="00D01A8D">
        <w:rPr>
          <w:i/>
          <w:lang w:val="es-ES"/>
        </w:rPr>
        <w:t>Instituto Indígena Brasileiro para Propriedade Intelectual</w:t>
      </w:r>
      <w:r w:rsidR="00563C2B" w:rsidRPr="00D01A8D">
        <w:rPr>
          <w:lang w:val="es-ES"/>
        </w:rPr>
        <w:t xml:space="preserve"> (INBRAPI), Brasil;  y Sra. Rosario LUQUE GIL, representante, </w:t>
      </w:r>
      <w:r w:rsidR="00563C2B" w:rsidRPr="00D01A8D">
        <w:rPr>
          <w:i/>
          <w:lang w:val="es-ES"/>
        </w:rPr>
        <w:t>Comisión Jurídica para el Autodesarrollo de los Pueblos Originarios Andinos</w:t>
      </w:r>
      <w:r w:rsidR="00563C2B" w:rsidRPr="00D01A8D">
        <w:rPr>
          <w:lang w:val="es-ES"/>
        </w:rPr>
        <w:t xml:space="preserve"> (CAPAJ), Perú.</w:t>
      </w:r>
      <w:r w:rsidRPr="006A034F">
        <w:rPr>
          <w:lang w:val="es-ES"/>
        </w:rPr>
        <w:t xml:space="preserve"> </w:t>
      </w:r>
    </w:p>
    <w:p w:rsidR="00F54DCF" w:rsidRPr="006A034F" w:rsidRDefault="00F54DCF" w:rsidP="00B43E02">
      <w:pPr>
        <w:rPr>
          <w:lang w:val="es-ES"/>
        </w:rPr>
      </w:pPr>
    </w:p>
    <w:p w:rsidR="00F54DCF" w:rsidRPr="006A034F" w:rsidRDefault="00F2293F" w:rsidP="00F54DCF">
      <w:pPr>
        <w:spacing w:line="240" w:lineRule="atLeast"/>
        <w:ind w:left="550"/>
        <w:rPr>
          <w:sz w:val="20"/>
          <w:lang w:val="es-ES"/>
        </w:rPr>
      </w:pPr>
      <w:r w:rsidRPr="006A034F">
        <w:rPr>
          <w:lang w:val="es-ES"/>
        </w:rPr>
        <w:t xml:space="preserve">El </w:t>
      </w:r>
      <w:r w:rsidR="00AC0110">
        <w:rPr>
          <w:lang w:val="es-ES"/>
        </w:rPr>
        <w:t>presidente</w:t>
      </w:r>
      <w:r w:rsidRPr="006A034F">
        <w:rPr>
          <w:lang w:val="es-ES"/>
        </w:rPr>
        <w:t xml:space="preserve"> del Comité nombró </w:t>
      </w:r>
      <w:r w:rsidR="00AC0110">
        <w:rPr>
          <w:lang w:val="es-ES"/>
        </w:rPr>
        <w:t>presidente</w:t>
      </w:r>
      <w:r w:rsidRPr="006A034F">
        <w:rPr>
          <w:lang w:val="es-ES"/>
        </w:rPr>
        <w:t xml:space="preserve"> de la Junta Asesora al actual vicepresidente del Comité, el e</w:t>
      </w:r>
      <w:r w:rsidR="00563C2B">
        <w:rPr>
          <w:lang w:val="es-ES"/>
        </w:rPr>
        <w:t>xcelentísimo Sr. Michael TENE, e</w:t>
      </w:r>
      <w:r w:rsidRPr="006A034F">
        <w:rPr>
          <w:lang w:val="es-ES"/>
        </w:rPr>
        <w:t xml:space="preserve">mbajador y </w:t>
      </w:r>
      <w:r w:rsidR="00563C2B">
        <w:rPr>
          <w:lang w:val="es-ES"/>
        </w:rPr>
        <w:t>r</w:t>
      </w:r>
      <w:r w:rsidRPr="006A034F">
        <w:rPr>
          <w:lang w:val="es-ES"/>
        </w:rPr>
        <w:t xml:space="preserve">epresentante </w:t>
      </w:r>
      <w:r w:rsidR="00563C2B">
        <w:rPr>
          <w:lang w:val="es-ES"/>
        </w:rPr>
        <w:t>permanente a</w:t>
      </w:r>
      <w:r w:rsidRPr="006A034F">
        <w:rPr>
          <w:lang w:val="es-ES"/>
        </w:rPr>
        <w:t>djunto de la Misión Permanente de Indonesia en Ginebra</w:t>
      </w:r>
      <w:r w:rsidR="00F54DCF" w:rsidRPr="006A034F">
        <w:rPr>
          <w:lang w:val="es-ES"/>
        </w:rPr>
        <w:t>.</w:t>
      </w:r>
    </w:p>
    <w:p w:rsidR="00F54DCF" w:rsidRPr="006A034F" w:rsidRDefault="00F54DCF" w:rsidP="00F54DCF">
      <w:pPr>
        <w:spacing w:line="240" w:lineRule="atLeast"/>
        <w:rPr>
          <w:sz w:val="20"/>
          <w:lang w:val="es-ES"/>
        </w:rPr>
      </w:pPr>
    </w:p>
    <w:p w:rsidR="00F54DCF" w:rsidRPr="006A034F" w:rsidRDefault="00F2293F" w:rsidP="00F54DCF">
      <w:pPr>
        <w:pStyle w:val="ListParagraph"/>
        <w:numPr>
          <w:ilvl w:val="0"/>
          <w:numId w:val="16"/>
        </w:numPr>
        <w:spacing w:after="220"/>
        <w:ind w:left="0" w:firstLine="0"/>
        <w:contextualSpacing/>
        <w:rPr>
          <w:lang w:val="es-ES"/>
        </w:rPr>
      </w:pPr>
      <w:r w:rsidRPr="006A034F">
        <w:rPr>
          <w:lang w:val="es-ES"/>
        </w:rPr>
        <w:t xml:space="preserve">Puesto que el mandato de cada uno de los actuales miembros de la Junta Asesora vencerá al inicio de la trigésima </w:t>
      </w:r>
      <w:r w:rsidR="00563C2B">
        <w:rPr>
          <w:lang w:val="es-ES"/>
        </w:rPr>
        <w:t xml:space="preserve">segunda </w:t>
      </w:r>
      <w:r w:rsidRPr="006A034F">
        <w:rPr>
          <w:lang w:val="es-ES"/>
        </w:rPr>
        <w:t>sesión, el Comité tendrá que elegir, a más tardar en el segundo día de dicha sesión, a los miembros de la Junta Asesora.  En el Reglamento del Fondo se deja abierta la posibilidad de que los antiguos miembros sean reelegidos</w:t>
      </w:r>
      <w:r w:rsidR="00F54DCF" w:rsidRPr="006A034F">
        <w:rPr>
          <w:lang w:val="es-ES"/>
        </w:rPr>
        <w:t>.</w:t>
      </w:r>
    </w:p>
    <w:p w:rsidR="00F54DCF" w:rsidRPr="006A034F" w:rsidRDefault="00F54DCF" w:rsidP="00F54DCF">
      <w:pPr>
        <w:spacing w:after="220"/>
        <w:rPr>
          <w:lang w:val="es-ES"/>
        </w:rPr>
      </w:pPr>
    </w:p>
    <w:p w:rsidR="00F54DCF" w:rsidRPr="006A034F" w:rsidRDefault="00F2293F" w:rsidP="00A85C44">
      <w:pPr>
        <w:pStyle w:val="ListParagraph"/>
        <w:numPr>
          <w:ilvl w:val="0"/>
          <w:numId w:val="16"/>
        </w:numPr>
        <w:tabs>
          <w:tab w:val="left" w:pos="6096"/>
        </w:tabs>
        <w:spacing w:after="220"/>
        <w:ind w:firstLine="5130"/>
        <w:contextualSpacing/>
        <w:rPr>
          <w:i/>
          <w:lang w:val="es-ES"/>
        </w:rPr>
      </w:pPr>
      <w:r w:rsidRPr="006A034F">
        <w:rPr>
          <w:i/>
          <w:lang w:val="es-ES"/>
        </w:rPr>
        <w:t>Se invita al Comité</w:t>
      </w:r>
      <w:r w:rsidR="00F54DCF" w:rsidRPr="006A034F">
        <w:rPr>
          <w:i/>
          <w:lang w:val="es-ES"/>
        </w:rPr>
        <w:t xml:space="preserve">: </w:t>
      </w:r>
    </w:p>
    <w:p w:rsidR="00F54DCF" w:rsidRPr="006A034F" w:rsidRDefault="00F54DCF" w:rsidP="00A85C44">
      <w:pPr>
        <w:tabs>
          <w:tab w:val="left" w:pos="6521"/>
        </w:tabs>
        <w:spacing w:line="240" w:lineRule="atLeast"/>
        <w:ind w:left="6096"/>
        <w:rPr>
          <w:i/>
          <w:lang w:val="es-ES"/>
        </w:rPr>
      </w:pPr>
      <w:r w:rsidRPr="006A034F">
        <w:rPr>
          <w:i/>
          <w:lang w:val="es-ES"/>
        </w:rPr>
        <w:t>i)</w:t>
      </w:r>
      <w:r w:rsidRPr="006A034F">
        <w:rPr>
          <w:i/>
          <w:lang w:val="es-ES"/>
        </w:rPr>
        <w:tab/>
      </w:r>
      <w:r w:rsidR="00F2293F" w:rsidRPr="006A034F">
        <w:rPr>
          <w:i/>
          <w:lang w:val="es-ES"/>
        </w:rPr>
        <w:t>instar encarecidamente a los miembros y a las entidades interesadas, tanto públicas como privadas, a que hagan una aportación al Fondo a fin de garantizar su funcionamiento;  y</w:t>
      </w:r>
    </w:p>
    <w:p w:rsidR="00F54DCF" w:rsidRPr="006A034F" w:rsidRDefault="00F54DCF" w:rsidP="00A85C44">
      <w:pPr>
        <w:spacing w:line="240" w:lineRule="atLeast"/>
        <w:rPr>
          <w:lang w:val="es-ES"/>
        </w:rPr>
      </w:pPr>
    </w:p>
    <w:p w:rsidR="00F54DCF" w:rsidRPr="006A034F" w:rsidRDefault="00F54DCF" w:rsidP="00A85C44">
      <w:pPr>
        <w:tabs>
          <w:tab w:val="left" w:pos="6521"/>
        </w:tabs>
        <w:spacing w:line="240" w:lineRule="atLeast"/>
        <w:ind w:left="6096"/>
        <w:rPr>
          <w:i/>
          <w:lang w:val="es-ES"/>
        </w:rPr>
      </w:pPr>
      <w:r w:rsidRPr="006A034F">
        <w:rPr>
          <w:i/>
          <w:lang w:val="es-ES"/>
        </w:rPr>
        <w:t>ii)</w:t>
      </w:r>
      <w:r w:rsidRPr="006A034F">
        <w:rPr>
          <w:i/>
          <w:lang w:val="es-ES"/>
        </w:rPr>
        <w:tab/>
      </w:r>
      <w:r w:rsidR="00F2293F" w:rsidRPr="006A034F">
        <w:rPr>
          <w:i/>
          <w:lang w:val="es-ES"/>
        </w:rPr>
        <w:t xml:space="preserve">elegir a los miembros de la Junta Asesora del Fondo a partir de la propuesta del </w:t>
      </w:r>
      <w:r w:rsidR="00AC0110">
        <w:rPr>
          <w:i/>
          <w:lang w:val="es-ES"/>
        </w:rPr>
        <w:t>presidente</w:t>
      </w:r>
      <w:r w:rsidR="00F2293F" w:rsidRPr="006A034F">
        <w:rPr>
          <w:i/>
          <w:lang w:val="es-ES"/>
        </w:rPr>
        <w:t xml:space="preserve"> a más tardar en el segundo día de su sesión</w:t>
      </w:r>
      <w:r w:rsidRPr="006A034F">
        <w:rPr>
          <w:i/>
          <w:lang w:val="es-ES"/>
        </w:rPr>
        <w:t>.</w:t>
      </w:r>
    </w:p>
    <w:p w:rsidR="00F54DCF" w:rsidRPr="006A034F" w:rsidRDefault="00F54DCF" w:rsidP="00A85C44">
      <w:pPr>
        <w:spacing w:after="120" w:line="260" w:lineRule="atLeast"/>
        <w:contextualSpacing/>
        <w:rPr>
          <w:lang w:val="es-ES"/>
        </w:rPr>
      </w:pPr>
    </w:p>
    <w:p w:rsidR="00A85C44" w:rsidRPr="006A034F" w:rsidRDefault="00A85C44" w:rsidP="00A85C44">
      <w:pPr>
        <w:spacing w:after="120" w:line="260" w:lineRule="atLeast"/>
        <w:contextualSpacing/>
        <w:rPr>
          <w:rFonts w:eastAsia="Times New Roman" w:cs="Times New Roman"/>
          <w:lang w:val="es-ES"/>
        </w:rPr>
      </w:pPr>
    </w:p>
    <w:p w:rsidR="0047695A" w:rsidRPr="006A034F" w:rsidRDefault="00F54DCF" w:rsidP="00F2293F">
      <w:pPr>
        <w:pStyle w:val="Endofdocument-Annex"/>
        <w:rPr>
          <w:lang w:val="es-ES"/>
        </w:rPr>
      </w:pPr>
      <w:r w:rsidRPr="006A034F">
        <w:rPr>
          <w:lang w:val="es-ES"/>
        </w:rPr>
        <w:t>[</w:t>
      </w:r>
      <w:r w:rsidR="00F2293F" w:rsidRPr="006A034F">
        <w:rPr>
          <w:lang w:val="es-ES"/>
        </w:rPr>
        <w:t>Siguen los Anexos</w:t>
      </w:r>
      <w:r w:rsidRPr="006A034F">
        <w:rPr>
          <w:lang w:val="es-ES"/>
        </w:rPr>
        <w:t>]</w:t>
      </w:r>
    </w:p>
    <w:p w:rsidR="00F27998" w:rsidRPr="006A034F" w:rsidRDefault="00F27998" w:rsidP="00F54DCF">
      <w:pPr>
        <w:rPr>
          <w:lang w:val="es-ES"/>
        </w:rPr>
      </w:pPr>
    </w:p>
    <w:p w:rsidR="0047695A" w:rsidRPr="006A034F" w:rsidRDefault="0047695A" w:rsidP="0047695A">
      <w:pPr>
        <w:rPr>
          <w:lang w:val="es-ES"/>
        </w:rPr>
        <w:sectPr w:rsidR="0047695A" w:rsidRPr="006A034F" w:rsidSect="00FB1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F27998" w:rsidRPr="006A034F" w:rsidRDefault="00F27998" w:rsidP="00B43E02">
      <w:pPr>
        <w:spacing w:line="240" w:lineRule="atLeast"/>
        <w:outlineLvl w:val="6"/>
        <w:rPr>
          <w:rFonts w:eastAsia="Times New Roman"/>
          <w:sz w:val="20"/>
          <w:u w:val="single"/>
          <w:lang w:val="es-ES"/>
        </w:rPr>
      </w:pP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Creación del Fondo de la OMPI de Contribuciones Voluntarias</w:t>
      </w: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para las Comunidades Indígenas y Locales Acreditadas</w:t>
      </w: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por la Asamblea General de la OMPI (32º período de sesiones) y modificado posteriormente (39º período de sesiones)</w:t>
      </w:r>
    </w:p>
    <w:p w:rsidR="00F2293F" w:rsidRPr="006A034F" w:rsidRDefault="00F2293F" w:rsidP="00B43E02">
      <w:pPr>
        <w:rPr>
          <w:lang w:val="es-ES"/>
        </w:rPr>
      </w:pPr>
    </w:p>
    <w:p w:rsidR="00F2293F" w:rsidRPr="006A034F" w:rsidRDefault="00F2293F" w:rsidP="00F2293F">
      <w:pPr>
        <w:spacing w:after="220"/>
        <w:rPr>
          <w:lang w:val="es-ES"/>
        </w:rPr>
      </w:pPr>
      <w:r w:rsidRPr="006A034F">
        <w:rPr>
          <w:i/>
          <w:lang w:val="es-ES"/>
        </w:rPr>
        <w:t xml:space="preserve">Resuelto </w:t>
      </w:r>
      <w:r w:rsidRPr="006A034F">
        <w:rPr>
          <w:lang w:val="es-ES"/>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F2293F" w:rsidRPr="006A034F" w:rsidRDefault="00F2293F" w:rsidP="00F2293F">
      <w:pPr>
        <w:spacing w:after="220"/>
        <w:rPr>
          <w:lang w:val="es-ES"/>
        </w:rPr>
      </w:pPr>
      <w:r w:rsidRPr="006A034F">
        <w:rPr>
          <w:i/>
          <w:lang w:val="es-ES"/>
        </w:rPr>
        <w:t xml:space="preserve">Reconociendo </w:t>
      </w:r>
      <w:r w:rsidRPr="006A034F">
        <w:rPr>
          <w:lang w:val="es-ES"/>
        </w:rPr>
        <w:t>que la eficacia de esas medidas depende, entre otras cosas, de que se obtenga el apoyo financiero adecuado;</w:t>
      </w:r>
    </w:p>
    <w:p w:rsidR="00F2293F" w:rsidRPr="006A034F" w:rsidRDefault="00F2293F" w:rsidP="00F2293F">
      <w:pPr>
        <w:spacing w:after="220"/>
        <w:rPr>
          <w:lang w:val="es-ES"/>
        </w:rPr>
      </w:pPr>
      <w:r w:rsidRPr="006A034F">
        <w:rPr>
          <w:i/>
          <w:lang w:val="es-ES"/>
        </w:rPr>
        <w:t xml:space="preserve">Reconociendo </w:t>
      </w:r>
      <w:r w:rsidRPr="006A034F">
        <w:rPr>
          <w:lang w:val="es-ES"/>
        </w:rPr>
        <w:t>además que un marco adecuado y estructurado para financiar dicha participación fomentaría las contribuciones anteriormente mencionadas;</w:t>
      </w:r>
    </w:p>
    <w:p w:rsidR="00F2293F" w:rsidRPr="006A034F" w:rsidRDefault="00F2293F" w:rsidP="00B43E02">
      <w:pPr>
        <w:rPr>
          <w:lang w:val="es-ES"/>
        </w:rPr>
      </w:pPr>
      <w:r w:rsidRPr="006A034F">
        <w:rPr>
          <w:lang w:val="es-ES"/>
        </w:rPr>
        <w:t>[</w:t>
      </w:r>
      <w:r w:rsidRPr="006A034F">
        <w:rPr>
          <w:i/>
          <w:lang w:val="es-ES"/>
        </w:rPr>
        <w:t>Si</w:t>
      </w:r>
      <w:r w:rsidRPr="006A034F">
        <w:rPr>
          <w:lang w:val="es-ES"/>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6A034F">
        <w:rPr>
          <w:rFonts w:cs="Times New Roman"/>
          <w:vertAlign w:val="superscript"/>
          <w:lang w:val="es-ES"/>
        </w:rPr>
        <w:footnoteReference w:id="2"/>
      </w:r>
      <w:r w:rsidRPr="006A034F">
        <w:rPr>
          <w:lang w:val="es-ES"/>
        </w:rPr>
        <w:t xml:space="preserve">, </w:t>
      </w:r>
      <w:r w:rsidRPr="006A034F">
        <w:rPr>
          <w:i/>
          <w:u w:val="single"/>
          <w:lang w:val="es-ES"/>
        </w:rPr>
        <w:t>en dicho caso</w:t>
      </w:r>
      <w:r w:rsidRPr="006A034F">
        <w:rPr>
          <w:lang w:val="es-ES"/>
        </w:rPr>
        <w:t xml:space="preserve"> se recomienda que la Asamblea [decida]</w:t>
      </w:r>
      <w:r w:rsidRPr="006A034F">
        <w:rPr>
          <w:rFonts w:cs="Times New Roman"/>
          <w:vertAlign w:val="superscript"/>
          <w:lang w:val="es-ES"/>
        </w:rPr>
        <w:footnoteReference w:id="3"/>
      </w:r>
      <w:r w:rsidRPr="006A034F">
        <w:rPr>
          <w:lang w:val="es-ES"/>
        </w:rPr>
        <w:t xml:space="preserve"> crear un fondo de contribuciones voluntarias cuyo nombre, objetivos, criterios de utilización y funcionamiento sean los siguientes:</w:t>
      </w:r>
    </w:p>
    <w:p w:rsidR="00F2293F" w:rsidRPr="006A034F" w:rsidRDefault="00F2293F" w:rsidP="00F2293F">
      <w:pPr>
        <w:rPr>
          <w:lang w:val="es-ES"/>
        </w:rPr>
      </w:pPr>
    </w:p>
    <w:p w:rsidR="00B43E02" w:rsidRPr="006A034F" w:rsidRDefault="00B43E02" w:rsidP="00F2293F">
      <w:pPr>
        <w:rPr>
          <w:lang w:val="es-ES"/>
        </w:rPr>
      </w:pPr>
    </w:p>
    <w:p w:rsidR="00F2293F" w:rsidRPr="006A034F" w:rsidRDefault="00F2293F" w:rsidP="00F2293F">
      <w:pPr>
        <w:pStyle w:val="ListParagraph"/>
        <w:numPr>
          <w:ilvl w:val="0"/>
          <w:numId w:val="32"/>
        </w:numPr>
        <w:ind w:left="720"/>
        <w:contextualSpacing/>
        <w:rPr>
          <w:lang w:val="es-ES"/>
        </w:rPr>
      </w:pPr>
      <w:r w:rsidRPr="006A034F">
        <w:rPr>
          <w:lang w:val="es-ES"/>
        </w:rPr>
        <w:t>NOMBRE</w:t>
      </w:r>
    </w:p>
    <w:p w:rsidR="00F2293F" w:rsidRPr="006A034F" w:rsidRDefault="00F2293F" w:rsidP="00F2293F">
      <w:pPr>
        <w:rPr>
          <w:lang w:val="es-ES"/>
        </w:rPr>
      </w:pPr>
    </w:p>
    <w:p w:rsidR="00F2293F" w:rsidRPr="006A034F" w:rsidRDefault="00F2293F" w:rsidP="00F2293F">
      <w:pPr>
        <w:numPr>
          <w:ilvl w:val="0"/>
          <w:numId w:val="18"/>
        </w:numPr>
        <w:tabs>
          <w:tab w:val="clear" w:pos="927"/>
          <w:tab w:val="left" w:pos="540"/>
        </w:tabs>
        <w:ind w:left="0" w:firstLine="0"/>
        <w:rPr>
          <w:lang w:val="es-ES"/>
        </w:rPr>
      </w:pPr>
      <w:r w:rsidRPr="006A034F">
        <w:rPr>
          <w:lang w:val="es-ES"/>
        </w:rPr>
        <w:t>El fondo se conocerá por “Fondo de Contribuciones Voluntarias de la OMPI para las Comunidades Indígenas y Locales Acreditadas”, en adelante denominado el “Fondo”.</w:t>
      </w:r>
    </w:p>
    <w:p w:rsidR="00F2293F" w:rsidRPr="006A034F" w:rsidRDefault="00F2293F" w:rsidP="00F2293F">
      <w:pPr>
        <w:tabs>
          <w:tab w:val="left" w:pos="540"/>
        </w:tabs>
        <w:rPr>
          <w:lang w:val="es-ES"/>
        </w:rPr>
      </w:pPr>
    </w:p>
    <w:p w:rsidR="00F2293F" w:rsidRPr="006A034F" w:rsidRDefault="00F2293F" w:rsidP="00F2293F">
      <w:pPr>
        <w:rPr>
          <w:lang w:val="es-ES"/>
        </w:rPr>
      </w:pPr>
    </w:p>
    <w:p w:rsidR="00F2293F" w:rsidRPr="006A034F" w:rsidRDefault="00F2293F" w:rsidP="00F2293F">
      <w:pPr>
        <w:rPr>
          <w:lang w:val="es-ES"/>
        </w:rPr>
      </w:pPr>
      <w:r w:rsidRPr="006A034F">
        <w:rPr>
          <w:lang w:val="es-ES"/>
        </w:rPr>
        <w:t>II.</w:t>
      </w:r>
      <w:r w:rsidRPr="006A034F">
        <w:rPr>
          <w:lang w:val="es-ES"/>
        </w:rPr>
        <w:tab/>
        <w:t>OBJETIVO Y ALCANCE</w:t>
      </w:r>
    </w:p>
    <w:p w:rsidR="00F2293F" w:rsidRPr="006A034F" w:rsidRDefault="00F2293F" w:rsidP="00F2293F">
      <w:pPr>
        <w:rPr>
          <w:lang w:val="es-ES"/>
        </w:rPr>
      </w:pPr>
    </w:p>
    <w:p w:rsidR="00F2293F" w:rsidRPr="006A034F" w:rsidRDefault="00F2293F" w:rsidP="00F2293F">
      <w:pPr>
        <w:tabs>
          <w:tab w:val="left" w:pos="550"/>
        </w:tabs>
        <w:rPr>
          <w:lang w:val="es-ES"/>
        </w:rPr>
      </w:pPr>
      <w:r w:rsidRPr="006A034F">
        <w:rPr>
          <w:lang w:val="es-ES"/>
        </w:rPr>
        <w:t>2.</w:t>
      </w:r>
      <w:r w:rsidRPr="006A034F">
        <w:rPr>
          <w:lang w:val="es-ES"/>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F2293F" w:rsidRPr="006A034F" w:rsidRDefault="00F2293F" w:rsidP="00F2293F">
      <w:pPr>
        <w:rPr>
          <w:lang w:val="es-ES"/>
        </w:rPr>
      </w:pPr>
    </w:p>
    <w:p w:rsidR="00F2293F" w:rsidRPr="006A034F" w:rsidRDefault="00F2293F" w:rsidP="00F2293F">
      <w:pPr>
        <w:rPr>
          <w:lang w:val="es-ES"/>
        </w:rPr>
      </w:pPr>
      <w:r w:rsidRPr="006A034F">
        <w:rPr>
          <w:lang w:val="es-ES"/>
        </w:rPr>
        <w:t>2</w:t>
      </w:r>
      <w:r w:rsidRPr="006A034F">
        <w:rPr>
          <w:i/>
          <w:iCs/>
          <w:lang w:val="es-ES"/>
        </w:rPr>
        <w:t>bis</w:t>
      </w:r>
      <w:r w:rsidRPr="006A034F">
        <w:rPr>
          <w:lang w:val="es-ES"/>
        </w:rPr>
        <w:t>.</w:t>
      </w:r>
      <w:r w:rsidR="00B43E02" w:rsidRPr="006A034F">
        <w:rPr>
          <w:lang w:val="es-ES"/>
        </w:rPr>
        <w:tab/>
      </w:r>
      <w:r w:rsidRPr="006A034F">
        <w:rPr>
          <w:lang w:val="es-ES"/>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F2293F" w:rsidRPr="006A034F" w:rsidRDefault="00F2293F" w:rsidP="00F2293F">
      <w:pPr>
        <w:rPr>
          <w:lang w:val="es-ES"/>
        </w:rPr>
      </w:pPr>
    </w:p>
    <w:p w:rsidR="00F2293F" w:rsidRPr="006A034F" w:rsidRDefault="00F2293F" w:rsidP="00F2293F">
      <w:pPr>
        <w:rPr>
          <w:lang w:val="es-ES"/>
        </w:rPr>
      </w:pPr>
      <w:r w:rsidRPr="006A034F">
        <w:rPr>
          <w:lang w:val="es-ES"/>
        </w:rPr>
        <w:t>3.</w:t>
      </w:r>
      <w:r w:rsidRPr="006A034F">
        <w:rPr>
          <w:lang w:val="es-ES"/>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w:t>
      </w:r>
      <w:r w:rsidRPr="006A034F">
        <w:rPr>
          <w:lang w:val="es-ES"/>
        </w:rPr>
        <w:lastRenderedPageBreak/>
        <w:t>debidamente acreditados para participar en el Comité, ya sea como observadores ad hoc acreditados por el Comité mismo o como observadores acreditados ante la OMPI.</w:t>
      </w:r>
    </w:p>
    <w:p w:rsidR="00F2293F" w:rsidRPr="006A034F" w:rsidRDefault="00F2293F" w:rsidP="00F2293F">
      <w:pPr>
        <w:rPr>
          <w:lang w:val="es-ES"/>
        </w:rPr>
      </w:pPr>
    </w:p>
    <w:p w:rsidR="00F2293F" w:rsidRPr="006A034F" w:rsidRDefault="00F2293F" w:rsidP="00F2293F">
      <w:pPr>
        <w:rPr>
          <w:lang w:val="es-ES"/>
        </w:rPr>
      </w:pPr>
      <w:r w:rsidRPr="006A034F">
        <w:rPr>
          <w:lang w:val="es-ES"/>
        </w:rPr>
        <w:t>4.</w:t>
      </w:r>
      <w:r w:rsidRPr="006A034F">
        <w:rPr>
          <w:lang w:val="es-ES"/>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F2293F" w:rsidRPr="006A034F" w:rsidRDefault="00F2293F" w:rsidP="00F2293F">
      <w:pPr>
        <w:rPr>
          <w:lang w:val="es-ES"/>
        </w:rPr>
      </w:pPr>
    </w:p>
    <w:p w:rsidR="00F2293F" w:rsidRPr="006A034F" w:rsidRDefault="00F2293F" w:rsidP="00F2293F">
      <w:pPr>
        <w:ind w:left="567" w:hanging="567"/>
        <w:rPr>
          <w:lang w:val="es-ES"/>
        </w:rPr>
      </w:pPr>
    </w:p>
    <w:p w:rsidR="00F2293F" w:rsidRPr="006A034F" w:rsidRDefault="00F2293F" w:rsidP="00F2293F">
      <w:pPr>
        <w:rPr>
          <w:lang w:val="es-ES"/>
        </w:rPr>
      </w:pPr>
      <w:r w:rsidRPr="006A034F">
        <w:rPr>
          <w:lang w:val="es-ES"/>
        </w:rPr>
        <w:t>III.</w:t>
      </w:r>
      <w:r w:rsidRPr="006A034F">
        <w:rPr>
          <w:lang w:val="es-ES"/>
        </w:rPr>
        <w:tab/>
        <w:t>CRITERIOS DE UTILIZACIÓN DEL FONDO</w:t>
      </w:r>
    </w:p>
    <w:p w:rsidR="00F2293F" w:rsidRPr="006A034F" w:rsidRDefault="00F2293F" w:rsidP="00F2293F">
      <w:pPr>
        <w:rPr>
          <w:lang w:val="es-ES"/>
        </w:rPr>
      </w:pPr>
    </w:p>
    <w:p w:rsidR="00F2293F" w:rsidRPr="006A034F" w:rsidRDefault="00F2293F" w:rsidP="00F2293F">
      <w:pPr>
        <w:rPr>
          <w:lang w:val="es-ES"/>
        </w:rPr>
      </w:pPr>
      <w:r w:rsidRPr="006A034F">
        <w:rPr>
          <w:lang w:val="es-ES"/>
        </w:rPr>
        <w:t>5.</w:t>
      </w:r>
      <w:r w:rsidRPr="006A034F">
        <w:rPr>
          <w:lang w:val="es-ES"/>
        </w:rPr>
        <w:tab/>
        <w:t>Todo aporte financiero que se efectúe con arreglo al Fondo se regirá por los objetivos enunciados en los artículos 2 y 2bis y por las siguientes condiciones:</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a)</w:t>
      </w:r>
      <w:r w:rsidRPr="006A034F">
        <w:rPr>
          <w:lang w:val="es-ES"/>
        </w:rPr>
        <w:tab/>
        <w:t>Todo aporte se realizará con arreglo exclusivo a los recursos disponibles en el Fondo;</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b)</w:t>
      </w:r>
      <w:r w:rsidRPr="006A034F">
        <w:rPr>
          <w:lang w:val="es-ES"/>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c)</w:t>
      </w:r>
      <w:r w:rsidRPr="006A034F">
        <w:rPr>
          <w:lang w:val="es-ES"/>
        </w:rPr>
        <w:tab/>
        <w:t>Para beneficiarse de la ayuda financiera, los candidatos deberán satisfacer los siguientes criterios:</w:t>
      </w:r>
    </w:p>
    <w:p w:rsidR="00F2293F" w:rsidRPr="006A034F" w:rsidRDefault="00F2293F" w:rsidP="00F2293F">
      <w:pPr>
        <w:ind w:left="1701"/>
        <w:rPr>
          <w:lang w:val="es-ES"/>
        </w:rPr>
      </w:pPr>
    </w:p>
    <w:p w:rsidR="00F2293F" w:rsidRPr="006A034F" w:rsidRDefault="00F2293F" w:rsidP="00F2293F">
      <w:pPr>
        <w:pStyle w:val="ListParagraph"/>
        <w:numPr>
          <w:ilvl w:val="0"/>
          <w:numId w:val="33"/>
        </w:numPr>
        <w:contextualSpacing/>
        <w:rPr>
          <w:lang w:val="es-ES"/>
        </w:rPr>
      </w:pPr>
      <w:r w:rsidRPr="006A034F">
        <w:rPr>
          <w:lang w:val="es-ES"/>
        </w:rPr>
        <w:t>ser una persona física;</w:t>
      </w:r>
    </w:p>
    <w:p w:rsidR="00F2293F" w:rsidRPr="006A034F" w:rsidRDefault="00F2293F" w:rsidP="00F2293F">
      <w:pPr>
        <w:pStyle w:val="ListParagraph"/>
        <w:ind w:left="1800"/>
        <w:rPr>
          <w:lang w:val="es-ES"/>
        </w:rPr>
      </w:pPr>
    </w:p>
    <w:p w:rsidR="00F2293F" w:rsidRPr="006A034F" w:rsidRDefault="00F2293F" w:rsidP="00F2293F">
      <w:pPr>
        <w:pStyle w:val="ListParagraph"/>
        <w:numPr>
          <w:ilvl w:val="0"/>
          <w:numId w:val="33"/>
        </w:numPr>
        <w:contextualSpacing/>
        <w:rPr>
          <w:lang w:val="es-ES"/>
        </w:rPr>
      </w:pPr>
      <w:r w:rsidRPr="006A034F">
        <w:rPr>
          <w:lang w:val="es-ES"/>
        </w:rPr>
        <w:t>ser miembro de un observador acreditado que represente a las comunidades indígenas o locales o, de otro modo, a los custodios o titulares consuetudinarios de los conocimientos tradicionales o las expresiones culturales tradicionales;</w:t>
      </w:r>
    </w:p>
    <w:p w:rsidR="00F2293F" w:rsidRPr="006A034F" w:rsidRDefault="00F2293F" w:rsidP="00F2293F">
      <w:pPr>
        <w:pStyle w:val="ListParagraph"/>
        <w:rPr>
          <w:lang w:val="es-ES"/>
        </w:rPr>
      </w:pPr>
    </w:p>
    <w:p w:rsidR="00F2293F" w:rsidRPr="006A034F" w:rsidRDefault="00F2293F" w:rsidP="00F2293F">
      <w:pPr>
        <w:pStyle w:val="ListParagraph"/>
        <w:numPr>
          <w:ilvl w:val="0"/>
          <w:numId w:val="33"/>
        </w:numPr>
        <w:contextualSpacing/>
        <w:rPr>
          <w:lang w:val="es-ES"/>
        </w:rPr>
      </w:pPr>
      <w:r w:rsidRPr="006A034F">
        <w:rPr>
          <w:lang w:val="es-ES"/>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F2293F" w:rsidRPr="006A034F" w:rsidRDefault="00F2293F" w:rsidP="00F2293F">
      <w:pPr>
        <w:pStyle w:val="ListParagraph"/>
        <w:rPr>
          <w:lang w:val="es-ES"/>
        </w:rPr>
      </w:pPr>
    </w:p>
    <w:p w:rsidR="00F2293F" w:rsidRPr="006A034F" w:rsidRDefault="00F2293F" w:rsidP="00F2293F">
      <w:pPr>
        <w:pStyle w:val="ListParagraph"/>
        <w:numPr>
          <w:ilvl w:val="0"/>
          <w:numId w:val="33"/>
        </w:numPr>
        <w:contextualSpacing/>
        <w:rPr>
          <w:lang w:val="es-ES"/>
        </w:rPr>
      </w:pPr>
      <w:r w:rsidRPr="006A034F">
        <w:rPr>
          <w:lang w:val="es-ES"/>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rsidR="00F2293F" w:rsidRPr="006A034F" w:rsidRDefault="00F2293F" w:rsidP="00F2293F">
      <w:pPr>
        <w:pStyle w:val="ListParagraph"/>
        <w:rPr>
          <w:lang w:val="es-ES"/>
        </w:rPr>
      </w:pPr>
    </w:p>
    <w:p w:rsidR="00F2293F" w:rsidRPr="006A034F" w:rsidRDefault="00F2293F" w:rsidP="00F2293F">
      <w:pPr>
        <w:pStyle w:val="ListParagraph"/>
        <w:numPr>
          <w:ilvl w:val="0"/>
          <w:numId w:val="33"/>
        </w:numPr>
        <w:spacing w:after="200"/>
        <w:contextualSpacing/>
        <w:rPr>
          <w:lang w:val="es-ES"/>
        </w:rPr>
      </w:pPr>
      <w:r w:rsidRPr="006A034F">
        <w:rPr>
          <w:lang w:val="es-ES"/>
        </w:rPr>
        <w:t>que la Junta Asesora estime que, debido a la falta de recursos financieros alternativos, el candidato no podría participar en la sesión del Comité o en la reunión del grupo de trabajo entre sesiones en cuestión sin la ayuda financiera del Fondo.</w:t>
      </w:r>
    </w:p>
    <w:p w:rsidR="00F2293F" w:rsidRPr="006A034F" w:rsidRDefault="00F2293F" w:rsidP="00F2293F">
      <w:pPr>
        <w:ind w:left="1100" w:hanging="550"/>
        <w:rPr>
          <w:lang w:val="es-ES"/>
        </w:rPr>
      </w:pPr>
      <w:r w:rsidRPr="006A034F">
        <w:rPr>
          <w:lang w:val="es-ES"/>
        </w:rPr>
        <w:t>d)</w:t>
      </w:r>
      <w:r w:rsidRPr="006A034F">
        <w:rPr>
          <w:lang w:val="es-ES"/>
        </w:rPr>
        <w:tab/>
        <w:t xml:space="preserve">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w:t>
      </w:r>
      <w:r w:rsidRPr="006A034F">
        <w:rPr>
          <w:lang w:val="es-ES"/>
        </w:rPr>
        <w:lastRenderedPageBreak/>
        <w:t>financieros alternativos, y en particular, de los observadores radicados en países en desarrollo, países menos adelantados y pequeños Estados insulares en desarrollo.</w:t>
      </w:r>
    </w:p>
    <w:p w:rsidR="00F2293F" w:rsidRPr="006A034F" w:rsidRDefault="00F2293F" w:rsidP="00F2293F">
      <w:pPr>
        <w:ind w:left="1100" w:hanging="550"/>
        <w:rPr>
          <w:lang w:val="es-ES"/>
        </w:rPr>
      </w:pPr>
    </w:p>
    <w:p w:rsidR="00F2293F" w:rsidRPr="006A034F" w:rsidRDefault="00F2293F" w:rsidP="00F2293F">
      <w:pPr>
        <w:ind w:left="1100" w:hanging="550"/>
        <w:rPr>
          <w:lang w:val="es-ES"/>
        </w:rPr>
      </w:pPr>
      <w:r w:rsidRPr="006A034F">
        <w:rPr>
          <w:lang w:val="es-ES"/>
        </w:rPr>
        <w:t>e)</w:t>
      </w:r>
      <w:r w:rsidRPr="006A034F">
        <w:rPr>
          <w:lang w:val="es-ES"/>
        </w:rPr>
        <w:tab/>
        <w:t>Con la financiación del Fondo se sufragará:</w:t>
      </w:r>
    </w:p>
    <w:p w:rsidR="00F2293F" w:rsidRPr="006A034F" w:rsidRDefault="00F2293F" w:rsidP="00F2293F">
      <w:pPr>
        <w:ind w:left="567" w:firstLine="567"/>
        <w:rPr>
          <w:lang w:val="es-ES"/>
        </w:rPr>
      </w:pPr>
    </w:p>
    <w:p w:rsidR="00F2293F" w:rsidRPr="006A034F" w:rsidRDefault="00F2293F" w:rsidP="00F2293F">
      <w:pPr>
        <w:ind w:left="1650" w:hanging="550"/>
        <w:rPr>
          <w:lang w:val="es-ES"/>
        </w:rPr>
      </w:pPr>
      <w:r w:rsidRPr="006A034F">
        <w:rPr>
          <w:lang w:val="es-ES"/>
        </w:rPr>
        <w:t>i)</w:t>
      </w:r>
      <w:r w:rsidRPr="006A034F">
        <w:rPr>
          <w:lang w:val="es-ES"/>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F2293F" w:rsidRPr="006A034F" w:rsidRDefault="00F2293F" w:rsidP="00F2293F">
      <w:pPr>
        <w:ind w:left="1100"/>
        <w:rPr>
          <w:lang w:val="es-ES"/>
        </w:rPr>
      </w:pPr>
    </w:p>
    <w:p w:rsidR="00F2293F" w:rsidRPr="006A034F" w:rsidRDefault="00F2293F" w:rsidP="00F2293F">
      <w:pPr>
        <w:ind w:left="1650" w:hanging="550"/>
        <w:rPr>
          <w:lang w:val="es-ES"/>
        </w:rPr>
      </w:pPr>
      <w:r w:rsidRPr="006A034F">
        <w:rPr>
          <w:lang w:val="es-ES"/>
        </w:rPr>
        <w:t>ii)</w:t>
      </w:r>
      <w:r w:rsidRPr="006A034F">
        <w:rPr>
          <w:lang w:val="es-ES"/>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F2293F" w:rsidRPr="006A034F" w:rsidRDefault="00F2293F" w:rsidP="00F2293F">
      <w:pPr>
        <w:ind w:left="1100"/>
        <w:rPr>
          <w:lang w:val="es-ES"/>
        </w:rPr>
      </w:pPr>
    </w:p>
    <w:p w:rsidR="00F2293F" w:rsidRPr="006A034F" w:rsidRDefault="00F2293F" w:rsidP="00F2293F">
      <w:pPr>
        <w:ind w:left="1650" w:hanging="550"/>
        <w:rPr>
          <w:lang w:val="es-ES"/>
        </w:rPr>
      </w:pPr>
      <w:r w:rsidRPr="006A034F">
        <w:rPr>
          <w:lang w:val="es-ES"/>
        </w:rPr>
        <w:t>iii)</w:t>
      </w:r>
      <w:r w:rsidRPr="006A034F">
        <w:rPr>
          <w:lang w:val="es-ES"/>
        </w:rPr>
        <w:tab/>
        <w:t xml:space="preserve">en lo concerniente a la financiación para sufragar los gastos de alojamiento en hotel y de estadía correspondientes a una reunión determinada de un grupo de trabajo entre sesiones, el </w:t>
      </w:r>
      <w:r w:rsidR="00AC0110">
        <w:rPr>
          <w:lang w:val="es-ES"/>
        </w:rPr>
        <w:t>director general</w:t>
      </w:r>
      <w:r w:rsidRPr="006A034F">
        <w:rPr>
          <w:lang w:val="es-ES"/>
        </w:rPr>
        <w:t xml:space="preserve">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F2293F" w:rsidRPr="006A034F" w:rsidRDefault="00F2293F" w:rsidP="00F2293F">
      <w:pPr>
        <w:ind w:left="1100"/>
        <w:rPr>
          <w:lang w:val="es-ES"/>
        </w:rPr>
      </w:pPr>
    </w:p>
    <w:p w:rsidR="00F2293F" w:rsidRPr="006A034F" w:rsidRDefault="00F2293F" w:rsidP="00F2293F">
      <w:pPr>
        <w:ind w:left="1650" w:hanging="550"/>
        <w:rPr>
          <w:lang w:val="es-ES"/>
        </w:rPr>
      </w:pPr>
      <w:r w:rsidRPr="006A034F">
        <w:rPr>
          <w:lang w:val="es-ES"/>
        </w:rPr>
        <w:t>iv)</w:t>
      </w:r>
      <w:r w:rsidRPr="006A034F">
        <w:rPr>
          <w:lang w:val="es-ES"/>
        </w:rPr>
        <w:tab/>
        <w:t>quedará excluido del aporte efectuado con arreglo al Fondo todo gasto adicional en relación con la participación de las personas beneficiarias en la sesión del Comité o en la reunión del grupo de trabajo entre sesiones de que se trate.</w:t>
      </w:r>
    </w:p>
    <w:p w:rsidR="00F2293F" w:rsidRPr="006A034F" w:rsidRDefault="00F2293F" w:rsidP="00F2293F">
      <w:pPr>
        <w:ind w:left="1134"/>
        <w:rPr>
          <w:lang w:val="es-ES"/>
        </w:rPr>
      </w:pPr>
    </w:p>
    <w:p w:rsidR="00F2293F" w:rsidRPr="006A034F" w:rsidRDefault="00F2293F" w:rsidP="00F2293F">
      <w:pPr>
        <w:ind w:left="1100" w:hanging="550"/>
        <w:rPr>
          <w:lang w:val="es-ES"/>
        </w:rPr>
      </w:pPr>
      <w:r w:rsidRPr="006A034F">
        <w:rPr>
          <w:lang w:val="es-ES"/>
        </w:rPr>
        <w:t>f)</w:t>
      </w:r>
      <w:r w:rsidRPr="006A034F">
        <w:rPr>
          <w:lang w:val="es-ES"/>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F2293F" w:rsidRPr="006A034F" w:rsidRDefault="00F2293F" w:rsidP="00B43E02">
      <w:pPr>
        <w:rPr>
          <w:lang w:val="es-ES"/>
        </w:rPr>
      </w:pPr>
    </w:p>
    <w:p w:rsidR="00B43E02" w:rsidRPr="006A034F" w:rsidRDefault="00B43E02" w:rsidP="00B43E02">
      <w:pPr>
        <w:rPr>
          <w:lang w:val="es-ES"/>
        </w:rPr>
      </w:pPr>
    </w:p>
    <w:p w:rsidR="00F2293F" w:rsidRPr="006A034F" w:rsidRDefault="00F2293F" w:rsidP="00B43E02">
      <w:pPr>
        <w:keepNext/>
        <w:spacing w:after="60"/>
        <w:outlineLvl w:val="1"/>
        <w:rPr>
          <w:bCs/>
          <w:iCs/>
          <w:caps/>
          <w:lang w:val="es-ES"/>
        </w:rPr>
      </w:pPr>
      <w:r w:rsidRPr="006A034F">
        <w:rPr>
          <w:bCs/>
          <w:iCs/>
          <w:caps/>
          <w:lang w:val="es-ES"/>
        </w:rPr>
        <w:t>IV.</w:t>
      </w:r>
      <w:r w:rsidRPr="006A034F">
        <w:rPr>
          <w:bCs/>
          <w:iCs/>
          <w:caps/>
          <w:lang w:val="es-ES"/>
        </w:rPr>
        <w:tab/>
        <w:t>MECANISMO DE FUNCIONAMIENTO</w:t>
      </w:r>
    </w:p>
    <w:p w:rsidR="00F2293F" w:rsidRPr="006A034F" w:rsidRDefault="00F2293F" w:rsidP="00F2293F">
      <w:pPr>
        <w:rPr>
          <w:lang w:val="es-ES"/>
        </w:rPr>
      </w:pPr>
    </w:p>
    <w:p w:rsidR="00F2293F" w:rsidRPr="006A034F" w:rsidRDefault="00F2293F" w:rsidP="00F2293F">
      <w:pPr>
        <w:rPr>
          <w:lang w:val="es-ES"/>
        </w:rPr>
      </w:pPr>
      <w:r w:rsidRPr="006A034F">
        <w:rPr>
          <w:lang w:val="es-ES"/>
        </w:rPr>
        <w:t>6.</w:t>
      </w:r>
      <w:r w:rsidRPr="006A034F">
        <w:rPr>
          <w:lang w:val="es-ES"/>
        </w:rPr>
        <w:tab/>
        <w:t>El Fondo funcionará de la manera siguiente:</w:t>
      </w:r>
    </w:p>
    <w:p w:rsidR="00F2293F" w:rsidRPr="006A034F" w:rsidRDefault="00F2293F" w:rsidP="00B43E02">
      <w:pPr>
        <w:rPr>
          <w:lang w:val="es-ES"/>
        </w:rPr>
      </w:pPr>
    </w:p>
    <w:p w:rsidR="00F2293F" w:rsidRPr="006A034F" w:rsidRDefault="00F2293F" w:rsidP="00F2293F">
      <w:pPr>
        <w:pStyle w:val="ListParagraph"/>
        <w:numPr>
          <w:ilvl w:val="0"/>
          <w:numId w:val="37"/>
        </w:numPr>
        <w:ind w:left="1080" w:hanging="540"/>
        <w:contextualSpacing/>
        <w:rPr>
          <w:lang w:val="es-ES"/>
        </w:rPr>
      </w:pPr>
      <w:r w:rsidRPr="006A034F">
        <w:rPr>
          <w:lang w:val="es-ES"/>
        </w:rPr>
        <w:t>Los recursos del Fondo procederán exclusivamente de contribuciones voluntarias de gobiernos, organizaciones no gubernamentales y otras entidades privadas y públicas, y no procederán específicamente del presupuesto ordinario de la OMPI.</w:t>
      </w:r>
    </w:p>
    <w:p w:rsidR="00F2293F" w:rsidRPr="006A034F" w:rsidRDefault="00F2293F" w:rsidP="00B43E02">
      <w:pPr>
        <w:rPr>
          <w:lang w:val="es-ES"/>
        </w:rPr>
      </w:pPr>
    </w:p>
    <w:p w:rsidR="00F2293F" w:rsidRPr="006A034F" w:rsidRDefault="00F2293F" w:rsidP="00F2293F">
      <w:pPr>
        <w:ind w:left="1100" w:hanging="550"/>
        <w:rPr>
          <w:lang w:val="es-ES"/>
        </w:rPr>
      </w:pPr>
      <w:r w:rsidRPr="006A034F">
        <w:rPr>
          <w:lang w:val="es-ES"/>
        </w:rPr>
        <w:t>b)</w:t>
      </w:r>
      <w:r w:rsidRPr="006A034F">
        <w:rPr>
          <w:lang w:val="es-ES"/>
        </w:rPr>
        <w:tab/>
        <w:t>Se reducirán al mínimo los costos administrativos derivados del funcionamiento del Fondo y no se abrirá línea de crédito alguna en el presupuesto ordinario de la OMPI en relación con dichos costos.</w:t>
      </w:r>
    </w:p>
    <w:p w:rsidR="00F2293F" w:rsidRPr="006A034F" w:rsidRDefault="00F2293F" w:rsidP="00B43E02">
      <w:pPr>
        <w:rPr>
          <w:lang w:val="es-ES"/>
        </w:rPr>
      </w:pPr>
    </w:p>
    <w:p w:rsidR="00F2293F" w:rsidRPr="006A034F" w:rsidRDefault="00F2293F" w:rsidP="00B43E02">
      <w:pPr>
        <w:ind w:left="1134" w:hanging="584"/>
        <w:rPr>
          <w:lang w:val="es-ES"/>
        </w:rPr>
      </w:pPr>
      <w:r w:rsidRPr="006A034F">
        <w:rPr>
          <w:lang w:val="es-ES"/>
        </w:rPr>
        <w:t>c)</w:t>
      </w:r>
      <w:r w:rsidRPr="006A034F">
        <w:rPr>
          <w:lang w:val="es-ES"/>
        </w:rPr>
        <w:tab/>
        <w:t xml:space="preserve">De la gestión de las contribuciones voluntarias que se hagan en favor del Fondo se encargará el </w:t>
      </w:r>
      <w:r w:rsidR="00AC0110">
        <w:rPr>
          <w:lang w:val="es-ES"/>
        </w:rPr>
        <w:t>director general</w:t>
      </w:r>
      <w:r w:rsidRPr="006A034F">
        <w:rPr>
          <w:lang w:val="es-ES"/>
        </w:rPr>
        <w:t xml:space="preserve"> de la OMPI, que contará con la asistencia de una Junta </w:t>
      </w:r>
      <w:r w:rsidRPr="006A034F">
        <w:rPr>
          <w:lang w:val="es-ES"/>
        </w:rPr>
        <w:lastRenderedPageBreak/>
        <w:t xml:space="preserve">Asesora.  La administración financiera a cargo del </w:t>
      </w:r>
      <w:r w:rsidR="00AC0110">
        <w:rPr>
          <w:lang w:val="es-ES"/>
        </w:rPr>
        <w:t>director general</w:t>
      </w:r>
      <w:r w:rsidRPr="006A034F">
        <w:rPr>
          <w:lang w:val="es-ES"/>
        </w:rPr>
        <w:t xml:space="preserve">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F2293F" w:rsidRPr="006A034F" w:rsidRDefault="00F2293F" w:rsidP="00B43E02">
      <w:pPr>
        <w:rPr>
          <w:lang w:val="es-ES"/>
        </w:rPr>
      </w:pPr>
    </w:p>
    <w:p w:rsidR="00F2293F" w:rsidRPr="006A034F" w:rsidRDefault="00F2293F" w:rsidP="00B43E02">
      <w:pPr>
        <w:ind w:left="1134" w:hanging="584"/>
        <w:rPr>
          <w:lang w:val="es-ES"/>
        </w:rPr>
      </w:pPr>
      <w:r w:rsidRPr="006A034F">
        <w:rPr>
          <w:lang w:val="es-ES"/>
        </w:rPr>
        <w:t>d)</w:t>
      </w:r>
      <w:r w:rsidRPr="006A034F">
        <w:rPr>
          <w:lang w:val="es-ES"/>
        </w:rPr>
        <w:tab/>
        <w:t xml:space="preserve">Toda decisión de financiación será tomada, conforme a lo preceptivo, por el </w:t>
      </w:r>
      <w:r w:rsidR="00AC0110">
        <w:rPr>
          <w:lang w:val="es-ES"/>
        </w:rPr>
        <w:t>director general</w:t>
      </w:r>
      <w:r w:rsidRPr="006A034F">
        <w:rPr>
          <w:lang w:val="es-ES"/>
        </w:rPr>
        <w:t xml:space="preserve"> de la OMPI, previa recomendación expresa de la Junta Asesora.  Toda recomendación formulada por la Junta Asesora en relación con los beneficiarios será irrevocable y deberá ser aplicada por el </w:t>
      </w:r>
      <w:r w:rsidR="00AC0110">
        <w:rPr>
          <w:lang w:val="es-ES"/>
        </w:rPr>
        <w:t>director general</w:t>
      </w:r>
      <w:r w:rsidRPr="006A034F">
        <w:rPr>
          <w:lang w:val="es-ES"/>
        </w:rPr>
        <w:t>.</w:t>
      </w:r>
    </w:p>
    <w:p w:rsidR="00F2293F" w:rsidRPr="006A034F" w:rsidRDefault="00F2293F" w:rsidP="00B43E02">
      <w:pPr>
        <w:rPr>
          <w:lang w:val="es-ES"/>
        </w:rPr>
      </w:pPr>
    </w:p>
    <w:p w:rsidR="00F2293F" w:rsidRPr="006A034F" w:rsidRDefault="00F2293F" w:rsidP="00B43E02">
      <w:pPr>
        <w:tabs>
          <w:tab w:val="left" w:pos="1134"/>
        </w:tabs>
        <w:ind w:left="550"/>
        <w:rPr>
          <w:lang w:val="es-ES"/>
        </w:rPr>
      </w:pPr>
      <w:r w:rsidRPr="006A034F">
        <w:rPr>
          <w:lang w:val="es-ES"/>
        </w:rPr>
        <w:t>e)</w:t>
      </w:r>
      <w:r w:rsidRPr="006A034F">
        <w:rPr>
          <w:lang w:val="es-ES"/>
        </w:rPr>
        <w:tab/>
        <w:t xml:space="preserve">El plazo para la presentación de solicitudes se establecerá de la manera siguiente:  </w:t>
      </w:r>
    </w:p>
    <w:p w:rsidR="00F2293F" w:rsidRPr="006A034F" w:rsidRDefault="00F2293F" w:rsidP="00B43E02">
      <w:pPr>
        <w:rPr>
          <w:lang w:val="es-ES"/>
        </w:rPr>
      </w:pPr>
    </w:p>
    <w:p w:rsidR="00F2293F" w:rsidRPr="006A034F" w:rsidRDefault="00F2293F" w:rsidP="00F2293F">
      <w:pPr>
        <w:pStyle w:val="ListParagraph"/>
        <w:numPr>
          <w:ilvl w:val="0"/>
          <w:numId w:val="38"/>
        </w:numPr>
        <w:ind w:left="1800"/>
        <w:contextualSpacing/>
        <w:rPr>
          <w:lang w:val="es-ES"/>
        </w:rPr>
      </w:pPr>
      <w:r w:rsidRPr="006A034F">
        <w:rPr>
          <w:lang w:val="es-ES"/>
        </w:rPr>
        <w:t xml:space="preserve">toda solicitud de financiación para participar en una sesión del Comité deberá ir debidamente documentada y ser remitida al </w:t>
      </w:r>
      <w:r w:rsidR="00AC0110">
        <w:rPr>
          <w:lang w:val="es-ES"/>
        </w:rPr>
        <w:t>director general</w:t>
      </w:r>
      <w:r w:rsidRPr="006A034F">
        <w:rPr>
          <w:lang w:val="es-ES"/>
        </w:rPr>
        <w:t xml:space="preserve">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rsidR="00F2293F" w:rsidRPr="006A034F" w:rsidRDefault="00F2293F" w:rsidP="00B43E02">
      <w:pPr>
        <w:rPr>
          <w:lang w:val="es-ES"/>
        </w:rPr>
      </w:pPr>
    </w:p>
    <w:p w:rsidR="00F2293F" w:rsidRPr="006A034F" w:rsidRDefault="00F2293F" w:rsidP="00B43E02">
      <w:pPr>
        <w:pStyle w:val="ListParagraph"/>
        <w:numPr>
          <w:ilvl w:val="0"/>
          <w:numId w:val="34"/>
        </w:numPr>
        <w:ind w:left="1797"/>
        <w:contextualSpacing/>
        <w:rPr>
          <w:lang w:val="es-ES"/>
        </w:rPr>
      </w:pPr>
      <w:r w:rsidRPr="006A034F">
        <w:rPr>
          <w:lang w:val="es-ES"/>
        </w:rPr>
        <w:t xml:space="preserve">toda solicitud de financiación para participar en una determinada reunión de grupo de trabajo entre sesiones deberá ir debidamente documentada y ser remitida por separado al </w:t>
      </w:r>
      <w:r w:rsidR="00AC0110">
        <w:rPr>
          <w:lang w:val="es-ES"/>
        </w:rPr>
        <w:t>director general</w:t>
      </w:r>
      <w:r w:rsidRPr="006A034F">
        <w:rPr>
          <w:lang w:val="es-ES"/>
        </w:rPr>
        <w:t xml:space="preserve">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F2293F" w:rsidRPr="006A034F" w:rsidRDefault="00F2293F" w:rsidP="00B43E02">
      <w:pPr>
        <w:rPr>
          <w:lang w:val="es-ES"/>
        </w:rPr>
      </w:pPr>
    </w:p>
    <w:p w:rsidR="00F2293F" w:rsidRPr="006A034F" w:rsidRDefault="00B43E02" w:rsidP="00B43E02">
      <w:pPr>
        <w:ind w:left="1134" w:hanging="584"/>
        <w:rPr>
          <w:lang w:val="es-ES"/>
        </w:rPr>
      </w:pPr>
      <w:r w:rsidRPr="006A034F">
        <w:rPr>
          <w:lang w:val="es-ES"/>
        </w:rPr>
        <w:t>f)</w:t>
      </w:r>
      <w:r w:rsidRPr="006A034F">
        <w:rPr>
          <w:lang w:val="es-ES"/>
        </w:rPr>
        <w:tab/>
      </w:r>
      <w:r w:rsidR="00F2293F" w:rsidRPr="006A034F">
        <w:rPr>
          <w:lang w:val="es-ES"/>
        </w:rPr>
        <w:t xml:space="preserve">Antes de cada sesión del Comité, el </w:t>
      </w:r>
      <w:r w:rsidR="00AC0110">
        <w:rPr>
          <w:lang w:val="es-ES"/>
        </w:rPr>
        <w:t>director general</w:t>
      </w:r>
      <w:r w:rsidR="00F2293F" w:rsidRPr="006A034F">
        <w:rPr>
          <w:lang w:val="es-ES"/>
        </w:rPr>
        <w:t xml:space="preserve"> de la OMPI entregará a los participantes en la misma un documento en el que se informe de:</w:t>
      </w:r>
    </w:p>
    <w:p w:rsidR="00B43E02" w:rsidRPr="006A034F" w:rsidRDefault="00B43E02" w:rsidP="00B43E02">
      <w:pPr>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las contribuciones voluntarias que se hayan realizado en favor del Fondo hasta la fecha de elaboración del documento;</w:t>
      </w:r>
    </w:p>
    <w:p w:rsidR="00F2293F" w:rsidRPr="006A034F" w:rsidRDefault="00F2293F" w:rsidP="00F2293F">
      <w:pPr>
        <w:pStyle w:val="ListParagraph"/>
        <w:ind w:left="1890"/>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 identidad de los contribuyentes (salvo que estos últimos deseen preservar su anonimato);</w:t>
      </w:r>
    </w:p>
    <w:p w:rsidR="00F2293F" w:rsidRPr="006A034F" w:rsidRDefault="00F2293F" w:rsidP="00F2293F">
      <w:pPr>
        <w:pStyle w:val="ListParagraph"/>
        <w:ind w:left="1890"/>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 cuantía de los recursos disponibles habida cuenta de las sumas ya utilizadas;</w:t>
      </w:r>
    </w:p>
    <w:p w:rsidR="00F2293F" w:rsidRPr="006A034F" w:rsidRDefault="00F2293F" w:rsidP="00F2293F">
      <w:pPr>
        <w:pStyle w:val="ListParagraph"/>
        <w:ind w:left="1890"/>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 lista de personas que se hayan beneficiado del Fondo desde el anterior documento de información;</w:t>
      </w:r>
    </w:p>
    <w:p w:rsidR="00F2293F" w:rsidRPr="006A034F" w:rsidRDefault="00F2293F" w:rsidP="00F2293F">
      <w:pPr>
        <w:pStyle w:val="ListParagraph"/>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las personas seleccionadas para beneficiarse del Fondo y que hayan renunciado a la ayuda;</w:t>
      </w:r>
    </w:p>
    <w:p w:rsidR="00F2293F" w:rsidRPr="006A034F" w:rsidRDefault="00F2293F" w:rsidP="00F2293F">
      <w:pPr>
        <w:pStyle w:val="ListParagraph"/>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el importe de la financiación asignada a cada beneficiario;  y</w:t>
      </w:r>
    </w:p>
    <w:p w:rsidR="00F2293F" w:rsidRPr="006A034F" w:rsidRDefault="00F2293F" w:rsidP="00F2293F">
      <w:pPr>
        <w:pStyle w:val="ListParagraph"/>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una reseña suficientemente completa de los candidatos que hayan presentado una solicitud de financiación para la siguiente sesión del Comité o reunión de grupo de trabajo entre sesiones.</w:t>
      </w:r>
    </w:p>
    <w:p w:rsidR="00F2293F" w:rsidRPr="006A034F" w:rsidRDefault="00F2293F" w:rsidP="00B43E02">
      <w:pPr>
        <w:rPr>
          <w:lang w:val="es-ES"/>
        </w:rPr>
      </w:pPr>
    </w:p>
    <w:p w:rsidR="00F2293F" w:rsidRPr="006A034F" w:rsidRDefault="00F2293F" w:rsidP="00F2293F">
      <w:pPr>
        <w:rPr>
          <w:lang w:val="es-ES"/>
        </w:rPr>
      </w:pPr>
      <w:r w:rsidRPr="006A034F">
        <w:rPr>
          <w:lang w:val="es-ES"/>
        </w:rPr>
        <w:t>Dicho documento se someterá también a examen y deliberación de los miembros de la Junta Asesora.</w:t>
      </w:r>
    </w:p>
    <w:p w:rsidR="00F2293F" w:rsidRPr="006A034F" w:rsidRDefault="00F2293F" w:rsidP="00B43E02">
      <w:pPr>
        <w:rPr>
          <w:lang w:val="es-ES"/>
        </w:rPr>
      </w:pPr>
    </w:p>
    <w:p w:rsidR="00F2293F" w:rsidRPr="006A034F" w:rsidRDefault="00F2293F" w:rsidP="00F2293F">
      <w:pPr>
        <w:ind w:left="1100" w:hanging="550"/>
        <w:rPr>
          <w:lang w:val="es-ES"/>
        </w:rPr>
      </w:pPr>
      <w:r w:rsidRPr="006A034F">
        <w:rPr>
          <w:lang w:val="es-ES"/>
        </w:rPr>
        <w:t>g)</w:t>
      </w:r>
      <w:r w:rsidRPr="006A034F">
        <w:rPr>
          <w:lang w:val="es-ES"/>
        </w:rPr>
        <w:tab/>
        <w:t xml:space="preserve">Tras la elección de sus miembros, la Junta Asesora será convocada por el </w:t>
      </w:r>
      <w:r w:rsidR="00AC0110">
        <w:rPr>
          <w:lang w:val="es-ES"/>
        </w:rPr>
        <w:t>director general</w:t>
      </w:r>
      <w:r w:rsidRPr="006A034F">
        <w:rPr>
          <w:lang w:val="es-ES"/>
        </w:rPr>
        <w:t xml:space="preserve">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F2293F" w:rsidRPr="006A034F" w:rsidRDefault="00F2293F" w:rsidP="00B43E02">
      <w:pPr>
        <w:rPr>
          <w:lang w:val="es-ES"/>
        </w:rPr>
      </w:pPr>
    </w:p>
    <w:p w:rsidR="00F2293F" w:rsidRPr="006A034F" w:rsidRDefault="00F2293F" w:rsidP="00F2293F">
      <w:pPr>
        <w:ind w:left="1100" w:hanging="550"/>
        <w:rPr>
          <w:lang w:val="es-ES"/>
        </w:rPr>
      </w:pPr>
      <w:r w:rsidRPr="006A034F">
        <w:rPr>
          <w:lang w:val="es-ES"/>
        </w:rPr>
        <w:t>h)</w:t>
      </w:r>
      <w:r w:rsidRPr="006A034F">
        <w:rPr>
          <w:lang w:val="es-ES"/>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rsidR="00F2293F" w:rsidRPr="006A034F" w:rsidRDefault="00F2293F" w:rsidP="00B43E02">
      <w:pPr>
        <w:rPr>
          <w:lang w:val="es-ES"/>
        </w:rPr>
      </w:pPr>
    </w:p>
    <w:p w:rsidR="00F2293F" w:rsidRPr="006A034F" w:rsidRDefault="00F2293F" w:rsidP="00F2293F">
      <w:pPr>
        <w:numPr>
          <w:ilvl w:val="0"/>
          <w:numId w:val="22"/>
        </w:numPr>
        <w:ind w:left="1650" w:hanging="550"/>
        <w:rPr>
          <w:lang w:val="es-ES"/>
        </w:rPr>
      </w:pPr>
      <w:r w:rsidRPr="006A034F">
        <w:rPr>
          <w:lang w:val="es-ES"/>
        </w:rPr>
        <w:t>mantener a lo largo de las sesiones del Comité y las reuniones de grupos de trabajo entre sesiones y, en la medida de lo posible, un equilibrio entre beneficiarios de uno y otro sexo y entre las regiones geoculturales de las que provienen;  y</w:t>
      </w:r>
    </w:p>
    <w:p w:rsidR="00F2293F" w:rsidRPr="006A034F" w:rsidRDefault="00F2293F" w:rsidP="00F2293F">
      <w:pPr>
        <w:rPr>
          <w:lang w:val="es-ES"/>
        </w:rPr>
      </w:pPr>
    </w:p>
    <w:p w:rsidR="00F2293F" w:rsidRPr="006A034F" w:rsidRDefault="00F2293F" w:rsidP="00F2293F">
      <w:pPr>
        <w:numPr>
          <w:ilvl w:val="0"/>
          <w:numId w:val="22"/>
        </w:numPr>
        <w:ind w:left="1650" w:hanging="550"/>
        <w:rPr>
          <w:lang w:val="es-ES"/>
        </w:rPr>
      </w:pPr>
      <w:r w:rsidRPr="006A034F">
        <w:rPr>
          <w:lang w:val="es-ES"/>
        </w:rPr>
        <w:t>si procede, tener en cuenta en qué medida puede salir beneficiada la labor del Comité por la participación de un mismo beneficiario en varias de las sesiones del Comité o en reuniones de grupos de trabajo entre sesiones.</w:t>
      </w:r>
    </w:p>
    <w:p w:rsidR="00F2293F" w:rsidRPr="006A034F" w:rsidRDefault="00F2293F" w:rsidP="00B43E02">
      <w:pPr>
        <w:rPr>
          <w:lang w:val="es-ES"/>
        </w:rPr>
      </w:pPr>
    </w:p>
    <w:p w:rsidR="00F2293F" w:rsidRPr="006A034F" w:rsidRDefault="00F2293F" w:rsidP="00F2293F">
      <w:pPr>
        <w:rPr>
          <w:lang w:val="es-ES"/>
        </w:rPr>
      </w:pPr>
      <w:r w:rsidRPr="006A034F">
        <w:rPr>
          <w:lang w:val="es-ES"/>
        </w:rPr>
        <w:t xml:space="preserve">Por último, al formular recomendaciones, el Comité deberá tener en cuenta los recursos disponibles de los que el </w:t>
      </w:r>
      <w:r w:rsidR="00AC0110">
        <w:rPr>
          <w:lang w:val="es-ES"/>
        </w:rPr>
        <w:t>director general</w:t>
      </w:r>
      <w:r w:rsidRPr="006A034F">
        <w:rPr>
          <w:lang w:val="es-ES"/>
        </w:rPr>
        <w:t xml:space="preserve">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F2293F" w:rsidRPr="006A034F" w:rsidRDefault="00F2293F" w:rsidP="00F2293F">
      <w:pPr>
        <w:rPr>
          <w:lang w:val="es-ES"/>
        </w:rPr>
      </w:pPr>
    </w:p>
    <w:p w:rsidR="00F2293F" w:rsidRPr="006A034F" w:rsidRDefault="00F2293F" w:rsidP="00F2293F">
      <w:pPr>
        <w:rPr>
          <w:lang w:val="es-ES"/>
        </w:rPr>
      </w:pPr>
      <w:r w:rsidRPr="006A034F">
        <w:rPr>
          <w:lang w:val="es-ES"/>
        </w:rPr>
        <w:t>Para sus deliberaciones, la Junta Asesora contará, conforme al artículo 6.b), con el apoyo administrativo de la Oficina Internacional de la OMPI.</w:t>
      </w:r>
    </w:p>
    <w:p w:rsidR="00F2293F" w:rsidRPr="006A034F" w:rsidRDefault="00F2293F" w:rsidP="00F2293F">
      <w:pPr>
        <w:ind w:left="567"/>
        <w:rPr>
          <w:lang w:val="es-ES"/>
        </w:rPr>
      </w:pPr>
    </w:p>
    <w:p w:rsidR="00F2293F" w:rsidRPr="006A034F" w:rsidRDefault="00F2293F" w:rsidP="00F2293F">
      <w:pPr>
        <w:ind w:left="1100" w:hanging="533"/>
        <w:rPr>
          <w:lang w:val="es-ES"/>
        </w:rPr>
      </w:pPr>
      <w:r w:rsidRPr="006A034F">
        <w:rPr>
          <w:lang w:val="es-ES"/>
        </w:rPr>
        <w:t>i)</w:t>
      </w:r>
      <w:r w:rsidRPr="006A034F">
        <w:rPr>
          <w:lang w:val="es-ES"/>
        </w:rPr>
        <w:tab/>
        <w:t>La Junta Asesora deberá formular las debidas recomendaciones antes de que finalice la sesión del Comité que se haya celebrado paralelamente a su reunión. En dichas recomendaciones deberá especificarse:</w:t>
      </w:r>
    </w:p>
    <w:p w:rsidR="00F2293F" w:rsidRPr="006A034F" w:rsidRDefault="00F2293F" w:rsidP="00B43E02">
      <w:pPr>
        <w:rPr>
          <w:lang w:val="es-ES"/>
        </w:rPr>
      </w:pPr>
    </w:p>
    <w:p w:rsidR="00F2293F" w:rsidRPr="006A034F" w:rsidRDefault="00F2293F" w:rsidP="00F2293F">
      <w:pPr>
        <w:pStyle w:val="ListParagraph"/>
        <w:numPr>
          <w:ilvl w:val="0"/>
          <w:numId w:val="36"/>
        </w:numPr>
        <w:contextualSpacing/>
        <w:rPr>
          <w:lang w:val="es-ES"/>
        </w:rPr>
      </w:pPr>
      <w:r w:rsidRPr="006A034F">
        <w:rPr>
          <w:lang w:val="es-ES"/>
        </w:rPr>
        <w:t>la futura sesión del Comité y, en su caso, la o las reuniones de los grupos de trabajo entre sesiones para las que está destinada la ayuda financiera (es decir, la siguiente sesión del Comité);</w:t>
      </w:r>
    </w:p>
    <w:p w:rsidR="00F2293F" w:rsidRPr="006A034F" w:rsidRDefault="00F2293F" w:rsidP="00B43E02">
      <w:pPr>
        <w:rPr>
          <w:lang w:val="es-ES"/>
        </w:rPr>
      </w:pPr>
    </w:p>
    <w:p w:rsidR="00F2293F" w:rsidRPr="006A034F" w:rsidRDefault="00F2293F" w:rsidP="00B43E02">
      <w:pPr>
        <w:pStyle w:val="ListParagraph"/>
        <w:numPr>
          <w:ilvl w:val="0"/>
          <w:numId w:val="36"/>
        </w:numPr>
        <w:ind w:left="1888"/>
        <w:contextualSpacing/>
        <w:rPr>
          <w:lang w:val="es-ES"/>
        </w:rPr>
      </w:pPr>
      <w:r w:rsidRPr="006A034F">
        <w:rPr>
          <w:lang w:val="es-ES"/>
        </w:rPr>
        <w:t>los solicitantes a quienes la Junta Asesora acuerde financiar para esa sesión del Comité o reunión del grupo de trabajo entre sesiones y para quienes se disponga de fondos;</w:t>
      </w:r>
    </w:p>
    <w:p w:rsidR="00F2293F" w:rsidRPr="006A034F" w:rsidRDefault="00F2293F" w:rsidP="00B43E02">
      <w:pPr>
        <w:rPr>
          <w:lang w:val="es-ES"/>
        </w:rPr>
      </w:pPr>
    </w:p>
    <w:p w:rsidR="00F2293F" w:rsidRPr="006A034F" w:rsidRDefault="00F2293F" w:rsidP="00F2293F">
      <w:pPr>
        <w:pStyle w:val="ListParagraph"/>
        <w:numPr>
          <w:ilvl w:val="0"/>
          <w:numId w:val="36"/>
        </w:numPr>
        <w:spacing w:after="200"/>
        <w:contextualSpacing/>
        <w:rPr>
          <w:lang w:val="es-ES"/>
        </w:rPr>
      </w:pPr>
      <w:r w:rsidRPr="006A034F">
        <w:rPr>
          <w:lang w:val="es-ES"/>
        </w:rPr>
        <w:t>el solicitante o solicitantes a quienes la Junta Asesora acuerde financiar en principio, pero para quienes no se disponga de fondos suficientes;</w:t>
      </w:r>
    </w:p>
    <w:p w:rsidR="00F2293F" w:rsidRPr="006A034F" w:rsidRDefault="00F2293F" w:rsidP="00B43E02">
      <w:pPr>
        <w:rPr>
          <w:lang w:val="es-ES"/>
        </w:rPr>
      </w:pPr>
    </w:p>
    <w:p w:rsidR="00F2293F" w:rsidRPr="006A034F" w:rsidRDefault="00F2293F" w:rsidP="00F2293F">
      <w:pPr>
        <w:pStyle w:val="ListParagraph"/>
        <w:numPr>
          <w:ilvl w:val="0"/>
          <w:numId w:val="36"/>
        </w:numPr>
        <w:spacing w:after="200"/>
        <w:contextualSpacing/>
        <w:rPr>
          <w:lang w:val="es-ES"/>
        </w:rPr>
      </w:pPr>
      <w:r w:rsidRPr="006A034F">
        <w:rPr>
          <w:lang w:val="es-ES"/>
        </w:rPr>
        <w:t>el solicitante o solicitantes cuya solicitud haya sido rechazada de conformidad con el procedimiento previsto en el artículo 10; y</w:t>
      </w:r>
    </w:p>
    <w:p w:rsidR="00F2293F" w:rsidRPr="006A034F" w:rsidRDefault="00F2293F" w:rsidP="00B43E02">
      <w:pPr>
        <w:rPr>
          <w:lang w:val="es-ES"/>
        </w:rPr>
      </w:pPr>
    </w:p>
    <w:p w:rsidR="00F2293F" w:rsidRPr="006A034F" w:rsidRDefault="00F2293F" w:rsidP="00F2293F">
      <w:pPr>
        <w:pStyle w:val="ListParagraph"/>
        <w:numPr>
          <w:ilvl w:val="0"/>
          <w:numId w:val="36"/>
        </w:numPr>
        <w:contextualSpacing/>
        <w:rPr>
          <w:lang w:val="es-ES"/>
        </w:rPr>
      </w:pPr>
      <w:r w:rsidRPr="006A034F">
        <w:rPr>
          <w:lang w:val="es-ES"/>
        </w:rPr>
        <w:t>el solicitante o solicitantes cuya solicitud no se examinará hasta la siguiente sesión del Comité de conformidad con el procedimiento previsto en el artículo 10.</w:t>
      </w:r>
    </w:p>
    <w:p w:rsidR="00F2293F" w:rsidRPr="006A034F" w:rsidRDefault="00F2293F" w:rsidP="00A85C44">
      <w:pPr>
        <w:tabs>
          <w:tab w:val="left" w:pos="1100"/>
          <w:tab w:val="num" w:pos="3141"/>
        </w:tabs>
        <w:rPr>
          <w:lang w:val="es-ES"/>
        </w:rPr>
      </w:pPr>
    </w:p>
    <w:p w:rsidR="00F2293F" w:rsidRPr="006A034F" w:rsidRDefault="00F2293F" w:rsidP="00F2293F">
      <w:pPr>
        <w:rPr>
          <w:lang w:val="es-ES"/>
        </w:rPr>
      </w:pPr>
      <w:r w:rsidRPr="006A034F">
        <w:rPr>
          <w:lang w:val="es-ES"/>
        </w:rPr>
        <w:t xml:space="preserve">La Junta Asesora transmitirá inmediatamente dichas recomendaciones al </w:t>
      </w:r>
      <w:r w:rsidR="00AC0110">
        <w:rPr>
          <w:lang w:val="es-ES"/>
        </w:rPr>
        <w:t>director general</w:t>
      </w:r>
      <w:r w:rsidRPr="006A034F">
        <w:rPr>
          <w:lang w:val="es-ES"/>
        </w:rPr>
        <w:t>,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2293F" w:rsidRPr="006A034F" w:rsidRDefault="00F2293F" w:rsidP="00F2293F">
      <w:pPr>
        <w:rPr>
          <w:lang w:val="es-ES"/>
        </w:rPr>
      </w:pPr>
    </w:p>
    <w:p w:rsidR="00F2293F" w:rsidRPr="006A034F" w:rsidRDefault="00F2293F" w:rsidP="00F2293F">
      <w:pPr>
        <w:ind w:left="1100" w:hanging="550"/>
        <w:rPr>
          <w:lang w:val="es-ES"/>
        </w:rPr>
      </w:pPr>
      <w:r w:rsidRPr="006A034F">
        <w:rPr>
          <w:lang w:val="es-ES"/>
        </w:rPr>
        <w:t>j)</w:t>
      </w:r>
      <w:r w:rsidRPr="006A034F">
        <w:rPr>
          <w:lang w:val="es-ES"/>
        </w:rPr>
        <w:tab/>
        <w:t xml:space="preserve">El </w:t>
      </w:r>
      <w:r w:rsidR="00AC0110">
        <w:rPr>
          <w:lang w:val="es-ES"/>
        </w:rPr>
        <w:t>director general</w:t>
      </w:r>
      <w:r w:rsidRPr="006A034F">
        <w:rPr>
          <w:lang w:val="es-ES"/>
        </w:rPr>
        <w:t xml:space="preserve"> de la OMPI tomará las medidas administrativas necesarias para poner en práctica la decisión que haya tomado en relación con la sesión del Comité y, en su caso, la reunión de grupo de trabajo entre sesiones de que se trate, conforme al artículo  6.b).</w:t>
      </w:r>
    </w:p>
    <w:p w:rsidR="00F2293F" w:rsidRPr="006A034F" w:rsidRDefault="00F2293F" w:rsidP="00F2293F">
      <w:pPr>
        <w:ind w:left="567"/>
        <w:rPr>
          <w:lang w:val="es-ES"/>
        </w:rPr>
      </w:pPr>
    </w:p>
    <w:p w:rsidR="00F2293F" w:rsidRPr="006A034F" w:rsidRDefault="00F2293F" w:rsidP="00F2293F">
      <w:pPr>
        <w:keepNext/>
        <w:spacing w:before="240" w:after="60"/>
        <w:outlineLvl w:val="1"/>
        <w:rPr>
          <w:bCs/>
          <w:iCs/>
          <w:caps/>
          <w:lang w:val="es-ES"/>
        </w:rPr>
      </w:pPr>
      <w:r w:rsidRPr="006A034F">
        <w:rPr>
          <w:bCs/>
          <w:iCs/>
          <w:caps/>
          <w:lang w:val="es-ES"/>
        </w:rPr>
        <w:t>V.</w:t>
      </w:r>
      <w:r w:rsidRPr="006A034F">
        <w:rPr>
          <w:bCs/>
          <w:iCs/>
          <w:caps/>
          <w:lang w:val="es-ES"/>
        </w:rPr>
        <w:tab/>
        <w:t>OTRAS DISPOSICIONES RELATIVAS A LA JUNTA ASESORA</w:t>
      </w:r>
    </w:p>
    <w:p w:rsidR="00F2293F" w:rsidRPr="006A034F" w:rsidRDefault="00F2293F" w:rsidP="00F2293F">
      <w:pPr>
        <w:keepNext/>
        <w:rPr>
          <w:lang w:val="es-ES"/>
        </w:rPr>
      </w:pPr>
    </w:p>
    <w:p w:rsidR="00F2293F" w:rsidRPr="006A034F" w:rsidRDefault="00F2293F" w:rsidP="00F2293F">
      <w:pPr>
        <w:rPr>
          <w:lang w:val="es-ES"/>
        </w:rPr>
      </w:pPr>
      <w:r w:rsidRPr="006A034F">
        <w:rPr>
          <w:lang w:val="es-ES"/>
        </w:rPr>
        <w:t>7.</w:t>
      </w:r>
      <w:r w:rsidRPr="006A034F">
        <w:rPr>
          <w:lang w:val="es-ES"/>
        </w:rPr>
        <w:tab/>
        <w:t>La Junta Asesora estará integrada por nueve miembros, a saber:</w:t>
      </w:r>
    </w:p>
    <w:p w:rsidR="00F2293F" w:rsidRPr="006A034F" w:rsidRDefault="00F2293F" w:rsidP="00F2293F">
      <w:pPr>
        <w:rPr>
          <w:lang w:val="es-ES"/>
        </w:rPr>
      </w:pPr>
    </w:p>
    <w:p w:rsidR="00F2293F" w:rsidRPr="006A034F" w:rsidRDefault="00F2293F" w:rsidP="00F2293F">
      <w:pPr>
        <w:numPr>
          <w:ilvl w:val="2"/>
          <w:numId w:val="23"/>
        </w:numPr>
        <w:tabs>
          <w:tab w:val="num" w:pos="1100"/>
        </w:tabs>
        <w:ind w:left="1100" w:hanging="550"/>
        <w:rPr>
          <w:lang w:val="es-ES"/>
        </w:rPr>
      </w:pPr>
      <w:r w:rsidRPr="006A034F">
        <w:rPr>
          <w:lang w:val="es-ES"/>
        </w:rPr>
        <w:t xml:space="preserve">el </w:t>
      </w:r>
      <w:r w:rsidR="00AC0110">
        <w:rPr>
          <w:lang w:val="es-ES"/>
        </w:rPr>
        <w:t>presidente</w:t>
      </w:r>
      <w:r w:rsidRPr="006A034F">
        <w:rPr>
          <w:lang w:val="es-ES"/>
        </w:rPr>
        <w:t xml:space="preserve"> del Comité, designado </w:t>
      </w:r>
      <w:r w:rsidRPr="006A034F">
        <w:rPr>
          <w:i/>
          <w:lang w:val="es-ES"/>
        </w:rPr>
        <w:t xml:space="preserve">ex officio </w:t>
      </w:r>
      <w:r w:rsidRPr="006A034F">
        <w:rPr>
          <w:lang w:val="es-ES"/>
        </w:rPr>
        <w:t xml:space="preserve">o, en caso de impedimento de este último, uno de los Vicepresidentes por él designados en calidad de </w:t>
      </w:r>
      <w:r w:rsidR="00AC0110">
        <w:rPr>
          <w:lang w:val="es-ES"/>
        </w:rPr>
        <w:t>presidente</w:t>
      </w:r>
      <w:r w:rsidRPr="006A034F">
        <w:rPr>
          <w:lang w:val="es-ES"/>
        </w:rPr>
        <w:t xml:space="preserve"> Adjunto;</w:t>
      </w:r>
    </w:p>
    <w:p w:rsidR="00F2293F" w:rsidRPr="006A034F" w:rsidRDefault="00F2293F" w:rsidP="00F2293F">
      <w:pPr>
        <w:tabs>
          <w:tab w:val="num" w:pos="1701"/>
        </w:tabs>
        <w:ind w:left="1100"/>
        <w:rPr>
          <w:lang w:val="es-ES"/>
        </w:rPr>
      </w:pPr>
    </w:p>
    <w:p w:rsidR="00F2293F" w:rsidRPr="006A034F" w:rsidRDefault="00F2293F" w:rsidP="00F2293F">
      <w:pPr>
        <w:numPr>
          <w:ilvl w:val="2"/>
          <w:numId w:val="23"/>
        </w:numPr>
        <w:tabs>
          <w:tab w:val="num" w:pos="1100"/>
        </w:tabs>
        <w:ind w:left="1100" w:hanging="550"/>
        <w:rPr>
          <w:lang w:val="es-ES"/>
        </w:rPr>
      </w:pPr>
      <w:r w:rsidRPr="006A034F">
        <w:rPr>
          <w:lang w:val="es-ES"/>
        </w:rPr>
        <w:t>cinco miembros procedentes de las delegaciones de los Estados miembros de la OMPI, participantes en el Comité y que reflejen un equilibrio geográfico adecuado; y</w:t>
      </w:r>
    </w:p>
    <w:p w:rsidR="00F2293F" w:rsidRPr="006A034F" w:rsidRDefault="00F2293F" w:rsidP="00F2293F">
      <w:pPr>
        <w:tabs>
          <w:tab w:val="num" w:pos="1701"/>
        </w:tabs>
        <w:ind w:left="1100"/>
        <w:rPr>
          <w:lang w:val="es-ES"/>
        </w:rPr>
      </w:pPr>
    </w:p>
    <w:p w:rsidR="00F2293F" w:rsidRPr="006A034F" w:rsidRDefault="00F2293F" w:rsidP="00F2293F">
      <w:pPr>
        <w:pStyle w:val="ListParagraph"/>
        <w:numPr>
          <w:ilvl w:val="1"/>
          <w:numId w:val="23"/>
        </w:numPr>
        <w:tabs>
          <w:tab w:val="clear" w:pos="1134"/>
          <w:tab w:val="left" w:pos="540"/>
          <w:tab w:val="num" w:pos="1917"/>
        </w:tabs>
        <w:spacing w:after="200"/>
        <w:ind w:left="1080" w:hanging="540"/>
        <w:contextualSpacing/>
        <w:rPr>
          <w:lang w:val="es-ES"/>
        </w:rPr>
      </w:pPr>
      <w:r w:rsidRPr="006A034F">
        <w:rPr>
          <w:lang w:val="es-ES"/>
        </w:rPr>
        <w:t>tres miembros procedentes de observadores acreditados que representen a las comunidades indígenas y locales o a otros custodios o titulares consuetudinarios de los conocimientos tradicionales o las expresiones culturales tradicionales.</w:t>
      </w:r>
    </w:p>
    <w:p w:rsidR="00F2293F" w:rsidRPr="006A034F" w:rsidRDefault="00F2293F" w:rsidP="00F2293F">
      <w:pPr>
        <w:rPr>
          <w:lang w:val="es-ES"/>
        </w:rPr>
      </w:pPr>
      <w:r w:rsidRPr="006A034F">
        <w:rPr>
          <w:lang w:val="es-ES"/>
        </w:rPr>
        <w:t>Los miembros del Comité se reunirán a título individual y deliberarán con total independencia, sin perjuicio de las consultas que consideren adecuado mantener.</w:t>
      </w:r>
    </w:p>
    <w:p w:rsidR="00F2293F" w:rsidRPr="006A034F" w:rsidRDefault="00F2293F" w:rsidP="00F2293F">
      <w:pPr>
        <w:rPr>
          <w:lang w:val="es-ES"/>
        </w:rPr>
      </w:pPr>
    </w:p>
    <w:p w:rsidR="00F2293F" w:rsidRPr="006A034F" w:rsidRDefault="00F2293F" w:rsidP="00F2293F">
      <w:pPr>
        <w:rPr>
          <w:lang w:val="es-ES"/>
        </w:rPr>
      </w:pPr>
      <w:r w:rsidRPr="006A034F">
        <w:rPr>
          <w:lang w:val="es-ES"/>
        </w:rPr>
        <w:t>8.</w:t>
      </w:r>
      <w:r w:rsidRPr="006A034F">
        <w:rPr>
          <w:lang w:val="es-ES"/>
        </w:rPr>
        <w:tab/>
        <w:t xml:space="preserve">Al margen del miembro designado </w:t>
      </w:r>
      <w:r w:rsidRPr="006A034F">
        <w:rPr>
          <w:i/>
          <w:lang w:val="es-ES"/>
        </w:rPr>
        <w:t>ex officio</w:t>
      </w:r>
      <w:r w:rsidRPr="006A034F">
        <w:rPr>
          <w:lang w:val="es-ES"/>
        </w:rPr>
        <w:t xml:space="preserve">, los miembros de la Junta Asesora serán elegidos por el Comité en el segundo día de cada una de sus sesiones, previa propuesta del </w:t>
      </w:r>
      <w:r w:rsidR="00AC0110">
        <w:rPr>
          <w:lang w:val="es-ES"/>
        </w:rPr>
        <w:t>presidente</w:t>
      </w:r>
      <w:r w:rsidRPr="006A034F">
        <w:rPr>
          <w:lang w:val="es-ES"/>
        </w:rPr>
        <w:t xml:space="preserve"> del mismo, y tras consultar con los Estados miembros y sus grupos regionales y, respectivamente, con los representantes de los observadores acreditados.  El mandato de dichos miembros, a excepción del miembro designado </w:t>
      </w:r>
      <w:r w:rsidRPr="006A034F">
        <w:rPr>
          <w:i/>
          <w:lang w:val="es-ES"/>
        </w:rPr>
        <w:t>ex officio</w:t>
      </w:r>
      <w:r w:rsidRPr="006A034F">
        <w:rPr>
          <w:lang w:val="es-ES"/>
        </w:rPr>
        <w:t>, finalizará al comienzo de la siguiente sesión del Comité.</w:t>
      </w:r>
    </w:p>
    <w:p w:rsidR="00F2293F" w:rsidRPr="006A034F" w:rsidRDefault="00F2293F" w:rsidP="00F2293F">
      <w:pPr>
        <w:rPr>
          <w:lang w:val="es-ES"/>
        </w:rPr>
      </w:pPr>
    </w:p>
    <w:p w:rsidR="00F2293F" w:rsidRPr="006A034F" w:rsidRDefault="00F2293F" w:rsidP="00F2293F">
      <w:pPr>
        <w:rPr>
          <w:lang w:val="es-ES"/>
        </w:rPr>
      </w:pPr>
      <w:r w:rsidRPr="006A034F">
        <w:rPr>
          <w:lang w:val="es-ES"/>
        </w:rPr>
        <w:t>9.</w:t>
      </w:r>
      <w:r w:rsidRPr="006A034F">
        <w:rPr>
          <w:lang w:val="es-ES"/>
        </w:rPr>
        <w:tab/>
        <w:t xml:space="preserve">La Junta Asesora podrá reunirse de pleno derecho al margen de las sesiones del Comité, a condición de que se obtenga un quórum de siete miembros presentes, incluido el </w:t>
      </w:r>
      <w:r w:rsidR="00AC0110">
        <w:rPr>
          <w:lang w:val="es-ES"/>
        </w:rPr>
        <w:t>presidente</w:t>
      </w:r>
      <w:r w:rsidRPr="006A034F">
        <w:rPr>
          <w:lang w:val="es-ES"/>
        </w:rPr>
        <w:t xml:space="preserve"> o uno de los Vicepresidentes.</w:t>
      </w:r>
    </w:p>
    <w:p w:rsidR="00F2293F" w:rsidRPr="006A034F" w:rsidRDefault="00F2293F" w:rsidP="00F2293F">
      <w:pPr>
        <w:rPr>
          <w:lang w:val="es-ES"/>
        </w:rPr>
      </w:pPr>
    </w:p>
    <w:p w:rsidR="00F2293F" w:rsidRPr="006A034F" w:rsidRDefault="00F2293F" w:rsidP="00F2293F">
      <w:pPr>
        <w:rPr>
          <w:lang w:val="es-ES"/>
        </w:rPr>
      </w:pPr>
      <w:r w:rsidRPr="006A034F">
        <w:rPr>
          <w:lang w:val="es-ES"/>
        </w:rPr>
        <w:t>10.</w:t>
      </w:r>
      <w:r w:rsidRPr="006A034F">
        <w:rPr>
          <w:lang w:val="es-ES"/>
        </w:rPr>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rsidR="00F2293F" w:rsidRPr="006A034F" w:rsidRDefault="00F2293F" w:rsidP="00F2293F">
      <w:pPr>
        <w:rPr>
          <w:lang w:val="es-ES"/>
        </w:rPr>
      </w:pPr>
    </w:p>
    <w:p w:rsidR="00F2293F" w:rsidRPr="006A034F" w:rsidRDefault="00F2293F" w:rsidP="00F2293F">
      <w:pPr>
        <w:rPr>
          <w:lang w:val="es-ES"/>
        </w:rPr>
      </w:pPr>
      <w:r w:rsidRPr="006A034F">
        <w:rPr>
          <w:lang w:val="es-ES"/>
        </w:rPr>
        <w:t>11.</w:t>
      </w:r>
      <w:r w:rsidRPr="006A034F">
        <w:rPr>
          <w:lang w:val="es-ES"/>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F2293F" w:rsidRPr="006A034F" w:rsidRDefault="00F2293F" w:rsidP="00B43E02">
      <w:pPr>
        <w:rPr>
          <w:lang w:val="es-ES"/>
        </w:rPr>
      </w:pPr>
    </w:p>
    <w:p w:rsidR="00B43E02" w:rsidRPr="006A034F" w:rsidRDefault="00B43E02" w:rsidP="00B43E02">
      <w:pPr>
        <w:rPr>
          <w:lang w:val="es-ES"/>
        </w:rPr>
      </w:pPr>
    </w:p>
    <w:p w:rsidR="00F2293F" w:rsidRPr="006A034F" w:rsidRDefault="00F2293F" w:rsidP="00F2293F">
      <w:pPr>
        <w:spacing w:after="120"/>
        <w:ind w:left="5534"/>
        <w:contextualSpacing/>
        <w:rPr>
          <w:rFonts w:eastAsia="Times New Roman"/>
          <w:lang w:val="es-ES"/>
        </w:rPr>
      </w:pPr>
      <w:r w:rsidRPr="006A034F">
        <w:rPr>
          <w:rFonts w:eastAsia="Times New Roman"/>
          <w:lang w:val="es-ES"/>
        </w:rPr>
        <w:t>[Sigue el Anexo II]</w:t>
      </w:r>
    </w:p>
    <w:p w:rsidR="00F2293F" w:rsidRPr="006A034F" w:rsidRDefault="00F2293F" w:rsidP="00B43E02">
      <w:pPr>
        <w:spacing w:after="120"/>
        <w:contextualSpacing/>
        <w:rPr>
          <w:rFonts w:eastAsia="Times New Roman"/>
          <w:lang w:val="es-ES"/>
        </w:rPr>
      </w:pPr>
    </w:p>
    <w:p w:rsidR="00F2293F" w:rsidRPr="006A034F" w:rsidRDefault="00F2293F" w:rsidP="00F2293F">
      <w:pPr>
        <w:rPr>
          <w:lang w:val="es-ES"/>
        </w:rPr>
      </w:pPr>
    </w:p>
    <w:p w:rsidR="00F2293F" w:rsidRPr="006A034F" w:rsidRDefault="00F2293F" w:rsidP="00F2293F">
      <w:pPr>
        <w:rPr>
          <w:lang w:val="es-ES"/>
        </w:rPr>
        <w:sectPr w:rsidR="00F2293F" w:rsidRPr="006A034F" w:rsidSect="00A85C44">
          <w:headerReference w:type="default" r:id="rId11"/>
          <w:headerReference w:type="first" r:id="rId12"/>
          <w:footnotePr>
            <w:numRestart w:val="eachSect"/>
          </w:footnotePr>
          <w:endnotePr>
            <w:numFmt w:val="decimal"/>
          </w:endnotePr>
          <w:pgSz w:w="11907" w:h="16840" w:code="9"/>
          <w:pgMar w:top="567" w:right="851" w:bottom="1134" w:left="1418" w:header="510" w:footer="1021" w:gutter="0"/>
          <w:pgNumType w:start="1"/>
          <w:cols w:space="720"/>
          <w:titlePg/>
          <w:docGrid w:linePitch="299"/>
        </w:sectPr>
      </w:pPr>
    </w:p>
    <w:p w:rsidR="00F2293F" w:rsidRPr="006A034F" w:rsidRDefault="00F2293F" w:rsidP="00A85C44">
      <w:pPr>
        <w:rPr>
          <w:lang w:val="es-ES"/>
        </w:rPr>
      </w:pPr>
    </w:p>
    <w:p w:rsidR="00F2293F" w:rsidRPr="006A034F" w:rsidRDefault="00F2293F" w:rsidP="00F2293F">
      <w:pPr>
        <w:jc w:val="center"/>
        <w:rPr>
          <w:u w:val="single"/>
          <w:lang w:val="es-ES"/>
        </w:rPr>
      </w:pPr>
      <w:r w:rsidRPr="006A034F">
        <w:rPr>
          <w:u w:val="single"/>
          <w:lang w:val="es-ES"/>
        </w:rPr>
        <w:t>Fondo de la OMPI de Contribuciones Voluntarias para las Comunidades Indígenas y Locales Acreditadas</w:t>
      </w:r>
    </w:p>
    <w:p w:rsidR="00F2293F" w:rsidRPr="006A034F" w:rsidRDefault="00F2293F" w:rsidP="00F2293F">
      <w:pPr>
        <w:jc w:val="center"/>
        <w:rPr>
          <w:u w:val="single"/>
          <w:lang w:val="es-ES"/>
        </w:rPr>
      </w:pPr>
    </w:p>
    <w:p w:rsidR="00F2293F" w:rsidRPr="006A034F" w:rsidRDefault="00F2293F" w:rsidP="00F2293F">
      <w:pPr>
        <w:jc w:val="center"/>
        <w:rPr>
          <w:u w:val="single"/>
          <w:lang w:val="es-ES"/>
        </w:rPr>
      </w:pPr>
      <w:r w:rsidRPr="006A034F">
        <w:rPr>
          <w:u w:val="single"/>
          <w:lang w:val="es-ES"/>
        </w:rPr>
        <w:t>RAZONES PARA LA INICIATIVA DE CAPTACIÓN DE FONDOS</w:t>
      </w:r>
    </w:p>
    <w:p w:rsidR="00F2293F" w:rsidRPr="006A034F" w:rsidRDefault="00F2293F" w:rsidP="00F2293F">
      <w:pPr>
        <w:jc w:val="center"/>
        <w:rPr>
          <w:u w:val="single"/>
          <w:lang w:val="es-ES"/>
        </w:rPr>
      </w:pPr>
    </w:p>
    <w:p w:rsidR="00F2293F" w:rsidRPr="006A034F" w:rsidRDefault="00F2293F" w:rsidP="00F2293F">
      <w:pPr>
        <w:jc w:val="center"/>
        <w:rPr>
          <w:u w:val="single"/>
          <w:lang w:val="es-ES"/>
        </w:rPr>
      </w:pPr>
      <w:r w:rsidRPr="006A034F">
        <w:rPr>
          <w:u w:val="single"/>
          <w:lang w:val="es-ES"/>
        </w:rPr>
        <w:t>ARGUMENTOS EN FAVOR DE LA PETICIÓN DE CONTRIBUCIONES</w:t>
      </w:r>
    </w:p>
    <w:p w:rsidR="00F2293F" w:rsidRPr="006A034F" w:rsidRDefault="00F2293F" w:rsidP="00F2293F">
      <w:pPr>
        <w:rPr>
          <w:u w:val="single"/>
          <w:lang w:val="es-ES"/>
        </w:rPr>
      </w:pPr>
    </w:p>
    <w:p w:rsidR="00F2293F" w:rsidRPr="006A034F" w:rsidRDefault="00F2293F" w:rsidP="00B43E02">
      <w:pPr>
        <w:rPr>
          <w:lang w:val="es-ES"/>
        </w:rPr>
      </w:pPr>
    </w:p>
    <w:p w:rsidR="00F2293F" w:rsidRPr="006A034F" w:rsidRDefault="00F2293F" w:rsidP="00F2293F">
      <w:pPr>
        <w:rPr>
          <w:u w:val="single"/>
          <w:lang w:val="es-ES"/>
        </w:rPr>
      </w:pPr>
      <w:r w:rsidRPr="006A034F">
        <w:rPr>
          <w:lang w:val="es-ES"/>
        </w:rPr>
        <w:t>I.</w:t>
      </w:r>
      <w:r w:rsidRPr="006A034F">
        <w:rPr>
          <w:lang w:val="es-ES"/>
        </w:rPr>
        <w:tab/>
      </w:r>
      <w:r w:rsidRPr="006A034F">
        <w:rPr>
          <w:b/>
          <w:lang w:val="es-ES"/>
        </w:rPr>
        <w:t>CONTEXTO</w:t>
      </w:r>
    </w:p>
    <w:p w:rsidR="00F2293F" w:rsidRPr="006A034F" w:rsidRDefault="00F2293F" w:rsidP="00F2293F">
      <w:pPr>
        <w:rPr>
          <w:lang w:val="es-ES"/>
        </w:rPr>
      </w:pPr>
    </w:p>
    <w:p w:rsidR="00F2293F" w:rsidRPr="006A034F" w:rsidRDefault="00F2293F" w:rsidP="00F2293F">
      <w:pPr>
        <w:rPr>
          <w:lang w:val="es-ES"/>
        </w:rPr>
      </w:pPr>
      <w:r w:rsidRPr="006A034F">
        <w:rPr>
          <w:lang w:val="es-ES"/>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F2293F" w:rsidRPr="006A034F" w:rsidRDefault="00F2293F" w:rsidP="00F2293F">
      <w:pPr>
        <w:rPr>
          <w:lang w:val="es-ES"/>
        </w:rPr>
      </w:pPr>
    </w:p>
    <w:p w:rsidR="00F2293F" w:rsidRPr="006A034F" w:rsidRDefault="00F2293F" w:rsidP="00F2293F">
      <w:pPr>
        <w:rPr>
          <w:b/>
          <w:i/>
          <w:lang w:val="es-ES"/>
        </w:rPr>
      </w:pPr>
      <w:r w:rsidRPr="006A034F">
        <w:rPr>
          <w:b/>
          <w:i/>
          <w:lang w:val="es-ES"/>
        </w:rPr>
        <w:t>La necesidad de facilitar la participación activa de los pueblos indígenas y las comunidades locales en el CIG de la OMPI</w:t>
      </w:r>
    </w:p>
    <w:p w:rsidR="00F2293F" w:rsidRPr="006A034F" w:rsidRDefault="00F2293F" w:rsidP="00F2293F">
      <w:pPr>
        <w:rPr>
          <w:lang w:val="es-ES"/>
        </w:rPr>
      </w:pPr>
    </w:p>
    <w:p w:rsidR="00F2293F" w:rsidRPr="006A034F" w:rsidRDefault="00F2293F" w:rsidP="00F2293F">
      <w:pPr>
        <w:rPr>
          <w:lang w:val="es-ES"/>
        </w:rPr>
      </w:pPr>
      <w:r w:rsidRPr="006A034F">
        <w:rPr>
          <w:lang w:val="es-ES"/>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F2293F" w:rsidRPr="006A034F" w:rsidRDefault="00F2293F" w:rsidP="00F2293F">
      <w:pPr>
        <w:rPr>
          <w:lang w:val="es-ES"/>
        </w:rPr>
      </w:pPr>
    </w:p>
    <w:p w:rsidR="00F2293F" w:rsidRPr="006A034F" w:rsidRDefault="00F2293F" w:rsidP="00F2293F">
      <w:pPr>
        <w:rPr>
          <w:lang w:val="es-ES"/>
        </w:rPr>
      </w:pPr>
      <w:r w:rsidRPr="006A034F">
        <w:rPr>
          <w:lang w:val="es-ES"/>
        </w:rPr>
        <w:t>Los pueblos indígenas y las comunidades locales aportan al CIG experiencia, información, observaciones y sugerencias que resultan indispensables para que las decisiones que se adopten respondan a las necesidades y expectativas de los beneficiarios.</w:t>
      </w:r>
    </w:p>
    <w:p w:rsidR="00F2293F" w:rsidRPr="006A034F" w:rsidRDefault="00F2293F" w:rsidP="00F2293F">
      <w:pPr>
        <w:rPr>
          <w:lang w:val="es-ES"/>
        </w:rPr>
      </w:pPr>
    </w:p>
    <w:p w:rsidR="00F2293F" w:rsidRPr="006A034F" w:rsidRDefault="00F2293F" w:rsidP="00F2293F">
      <w:pPr>
        <w:rPr>
          <w:lang w:val="es-ES"/>
        </w:rPr>
      </w:pPr>
      <w:r w:rsidRPr="006A034F">
        <w:rPr>
          <w:lang w:val="es-ES"/>
        </w:rPr>
        <w:t>Las delegaciones gubernamentales que participan en el CIG han reconocido por ello unánimemente que “la participación de las comunidades indígenas y locales es de gran importancia en la labor del Comité”.</w:t>
      </w:r>
    </w:p>
    <w:p w:rsidR="00F2293F" w:rsidRPr="006A034F" w:rsidRDefault="00F2293F" w:rsidP="00F2293F">
      <w:pPr>
        <w:rPr>
          <w:lang w:val="es-ES"/>
        </w:rPr>
      </w:pPr>
      <w:r w:rsidRPr="006A034F">
        <w:rPr>
          <w:lang w:val="es-ES"/>
        </w:rPr>
        <w:t>La necesidad de facilitar la participación ha sido si cabe má</w:t>
      </w:r>
      <w:r w:rsidR="00A85C44" w:rsidRPr="006A034F">
        <w:rPr>
          <w:lang w:val="es-ES"/>
        </w:rPr>
        <w:t>s apremiante desde diciembre de </w:t>
      </w:r>
      <w:r w:rsidRPr="006A034F">
        <w:rPr>
          <w:lang w:val="es-ES"/>
        </w:rPr>
        <w:t xml:space="preserve">2009, cuando el CIG se embarcó en </w:t>
      </w:r>
      <w:r w:rsidRPr="006A034F">
        <w:rPr>
          <w:b/>
          <w:lang w:val="es-ES"/>
        </w:rPr>
        <w:t>intensas negociaciones</w:t>
      </w:r>
      <w:r w:rsidRPr="006A034F">
        <w:rPr>
          <w:lang w:val="es-ES"/>
        </w:rPr>
        <w:t xml:space="preserve"> para elaborar uno o más instrumentos jurídicos internacionales a fin de conferir protección efectiva.</w:t>
      </w:r>
    </w:p>
    <w:p w:rsidR="00F2293F" w:rsidRPr="006A034F" w:rsidRDefault="00F2293F" w:rsidP="00F2293F">
      <w:pPr>
        <w:rPr>
          <w:lang w:val="es-ES"/>
        </w:rPr>
      </w:pPr>
    </w:p>
    <w:p w:rsidR="00F2293F" w:rsidRPr="006A034F" w:rsidRDefault="00F2293F" w:rsidP="00F2293F">
      <w:pPr>
        <w:rPr>
          <w:lang w:val="es-ES"/>
        </w:rPr>
      </w:pPr>
      <w:r w:rsidRPr="006A034F">
        <w:rPr>
          <w:lang w:val="es-ES"/>
        </w:rPr>
        <w:br w:type="page"/>
      </w:r>
    </w:p>
    <w:p w:rsidR="00F2293F" w:rsidRPr="006A034F" w:rsidRDefault="00F2293F" w:rsidP="00F2293F">
      <w:pPr>
        <w:ind w:left="720" w:hanging="720"/>
        <w:rPr>
          <w:lang w:val="es-ES"/>
        </w:rPr>
      </w:pPr>
      <w:r w:rsidRPr="006A034F">
        <w:rPr>
          <w:lang w:val="es-ES"/>
        </w:rPr>
        <w:lastRenderedPageBreak/>
        <w:t>II.</w:t>
      </w:r>
      <w:r w:rsidRPr="006A034F">
        <w:rPr>
          <w:lang w:val="es-ES"/>
        </w:rPr>
        <w:tab/>
      </w:r>
      <w:r w:rsidRPr="006A034F">
        <w:rPr>
          <w:b/>
          <w:lang w:val="es-ES"/>
        </w:rPr>
        <w:t>EL FONDO DE CONTRIBUCIONES VOLUNTARIAS: OBJETIVOS, FUNCIONAMIENTO Y RESULTADOS</w:t>
      </w:r>
    </w:p>
    <w:p w:rsidR="00F2293F" w:rsidRPr="006A034F" w:rsidRDefault="00F2293F" w:rsidP="00F2293F">
      <w:pPr>
        <w:rPr>
          <w:i/>
          <w:lang w:val="es-ES"/>
        </w:rPr>
      </w:pPr>
    </w:p>
    <w:p w:rsidR="00F2293F" w:rsidRPr="006A034F" w:rsidRDefault="00F2293F" w:rsidP="00F2293F">
      <w:pPr>
        <w:rPr>
          <w:lang w:val="es-ES"/>
        </w:rPr>
      </w:pPr>
      <w:r w:rsidRPr="006A034F">
        <w:rPr>
          <w:lang w:val="es-ES"/>
        </w:rPr>
        <w:t>Los Estados miembros de la OMPI han adoptado medidas concretas para asegurar que los pueblos indígenas y las comunidades locales participen efectivamente en el CIG de modo activo como observadores.</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w:t>
      </w:r>
      <w:r w:rsidR="0083781B">
        <w:rPr>
          <w:lang w:val="es-ES"/>
        </w:rPr>
        <w:t xml:space="preserve">varios </w:t>
      </w:r>
      <w:r w:rsidRPr="006A034F">
        <w:rPr>
          <w:lang w:val="es-ES"/>
        </w:rPr>
        <w:t>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Paralelamente, muchos pueblos indígenas y comunidades locales han subrayado y siguen destacando que se encuentran con </w:t>
      </w:r>
      <w:r w:rsidRPr="006A034F">
        <w:rPr>
          <w:b/>
          <w:lang w:val="es-ES"/>
        </w:rPr>
        <w:t>dificultades insuperables para asumir los costos de viaje y alojamiento</w:t>
      </w:r>
      <w:r w:rsidRPr="006A034F">
        <w:rPr>
          <w:lang w:val="es-ES"/>
        </w:rPr>
        <w:t xml:space="preserve"> de sus representantes con ocasión de las reuniones del CIG, y que esos costos impiden en la práctica su participación.</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Para hacer frente a esta legítima preocupación, y tras amplias consultas y el examen de las prácticas más extendidas en el sistema de las Naciones Unidas, la </w:t>
      </w:r>
      <w:r w:rsidRPr="006A034F">
        <w:rPr>
          <w:b/>
          <w:lang w:val="es-ES"/>
        </w:rPr>
        <w:t>Asamblea General de la OMPI decidió en 2005 crear un Fondo de Contribuciones Voluntarias de la Organización</w:t>
      </w:r>
      <w:r w:rsidRPr="006A034F">
        <w:rPr>
          <w:lang w:val="es-ES"/>
        </w:rPr>
        <w:t xml:space="preserve"> para las comunidades indígenas y locales acreditadas a fin de financiar la participación en el CIG de los observadores acreditados que las representen.</w:t>
      </w:r>
    </w:p>
    <w:p w:rsidR="00F2293F" w:rsidRPr="006A034F" w:rsidRDefault="00F2293F" w:rsidP="00F2293F">
      <w:pPr>
        <w:rPr>
          <w:lang w:val="es-ES"/>
        </w:rPr>
      </w:pPr>
    </w:p>
    <w:p w:rsidR="00F2293F" w:rsidRPr="006A034F" w:rsidRDefault="00F2293F" w:rsidP="00F2293F">
      <w:pPr>
        <w:rPr>
          <w:lang w:val="es-ES"/>
        </w:rPr>
      </w:pPr>
      <w:r w:rsidRPr="006A034F">
        <w:rPr>
          <w:lang w:val="es-ES"/>
        </w:rPr>
        <w:t>La Asamblea General estableció claramente el objetivo de este instrumento de financiación indispensable y su reglamento de funcionamiento a través de decisiones oficiales que constituyen el fundamento jurídico del Fondo</w:t>
      </w:r>
      <w:r w:rsidRPr="006A034F">
        <w:rPr>
          <w:rStyle w:val="FootnoteReference"/>
          <w:lang w:val="es-ES"/>
        </w:rPr>
        <w:footnoteReference w:id="4"/>
      </w:r>
      <w:r w:rsidRPr="006A034F">
        <w:rPr>
          <w:lang w:val="es-ES"/>
        </w:rPr>
        <w:t>.</w:t>
      </w:r>
    </w:p>
    <w:p w:rsidR="00EC78B2" w:rsidRPr="006A034F" w:rsidRDefault="00EC78B2" w:rsidP="00F2293F">
      <w:pPr>
        <w:rPr>
          <w:lang w:val="es-ES"/>
        </w:rPr>
      </w:pPr>
    </w:p>
    <w:p w:rsidR="00F2293F" w:rsidRPr="006A034F" w:rsidRDefault="00F2293F" w:rsidP="00F2293F">
      <w:pPr>
        <w:rPr>
          <w:i/>
          <w:lang w:val="es-ES"/>
        </w:rPr>
      </w:pPr>
      <w:r w:rsidRPr="006A034F">
        <w:rPr>
          <w:i/>
          <w:lang w:val="es-ES"/>
        </w:rPr>
        <w:t>Objetivo del Fondo</w:t>
      </w:r>
    </w:p>
    <w:p w:rsidR="00F2293F" w:rsidRPr="006A034F" w:rsidRDefault="00F2293F" w:rsidP="00F2293F">
      <w:pPr>
        <w:rPr>
          <w:lang w:val="es-ES"/>
        </w:rPr>
      </w:pPr>
    </w:p>
    <w:p w:rsidR="00F2293F" w:rsidRPr="006A034F" w:rsidRDefault="00F2293F" w:rsidP="00F2293F">
      <w:pPr>
        <w:rPr>
          <w:lang w:val="es-ES"/>
        </w:rPr>
      </w:pPr>
      <w:r w:rsidRPr="006A034F">
        <w:rPr>
          <w:lang w:val="es-ES"/>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F2293F" w:rsidRPr="006A034F" w:rsidRDefault="00F2293F" w:rsidP="00F2293F">
      <w:pPr>
        <w:rPr>
          <w:lang w:val="es-ES"/>
        </w:rPr>
      </w:pPr>
    </w:p>
    <w:p w:rsidR="00F2293F" w:rsidRPr="006A034F" w:rsidRDefault="00F2293F" w:rsidP="00F2293F">
      <w:pPr>
        <w:rPr>
          <w:i/>
          <w:lang w:val="es-ES"/>
        </w:rPr>
      </w:pPr>
      <w:r w:rsidRPr="006A034F">
        <w:rPr>
          <w:i/>
          <w:lang w:val="es-ES"/>
        </w:rPr>
        <w:t>Fuentes de financiación</w:t>
      </w:r>
    </w:p>
    <w:p w:rsidR="00F2293F" w:rsidRPr="006A034F" w:rsidRDefault="00F2293F" w:rsidP="00F2293F">
      <w:pPr>
        <w:rPr>
          <w:i/>
          <w:lang w:val="es-ES"/>
        </w:rPr>
      </w:pPr>
    </w:p>
    <w:p w:rsidR="00F2293F" w:rsidRPr="006A034F" w:rsidRDefault="00F2293F" w:rsidP="00F2293F">
      <w:pPr>
        <w:rPr>
          <w:lang w:val="es-ES"/>
        </w:rPr>
      </w:pPr>
      <w:r w:rsidRPr="006A034F">
        <w:rPr>
          <w:lang w:val="es-ES"/>
        </w:rPr>
        <w:t xml:space="preserve">La Secretaría de la OMPI no está autorizada a utilizar el presupuesto de la Organización para mantener el Fondo. </w:t>
      </w:r>
      <w:r w:rsidRPr="006A034F">
        <w:rPr>
          <w:b/>
          <w:lang w:val="es-ES"/>
        </w:rPr>
        <w:t>El Fondo se financia exclusivamente con las contribuciones voluntarias de los donantes</w:t>
      </w:r>
      <w:r w:rsidRPr="006A034F">
        <w:rPr>
          <w:lang w:val="es-ES"/>
        </w:rPr>
        <w:t>. Eso significa que el Fondo no puede funcionar a no ser que reciba esas contribuciones.</w:t>
      </w:r>
    </w:p>
    <w:p w:rsidR="00F2293F" w:rsidRPr="006A034F" w:rsidRDefault="00F2293F" w:rsidP="00F2293F">
      <w:pPr>
        <w:rPr>
          <w:lang w:val="es-ES"/>
        </w:rPr>
      </w:pPr>
    </w:p>
    <w:p w:rsidR="00F2293F" w:rsidRPr="006A034F" w:rsidRDefault="00F2293F" w:rsidP="00F2293F">
      <w:pPr>
        <w:rPr>
          <w:i/>
          <w:lang w:val="es-ES"/>
        </w:rPr>
      </w:pPr>
      <w:r w:rsidRPr="006A034F">
        <w:rPr>
          <w:i/>
          <w:lang w:val="es-ES"/>
        </w:rPr>
        <w:br w:type="page"/>
      </w:r>
    </w:p>
    <w:p w:rsidR="00F2293F" w:rsidRPr="006A034F" w:rsidRDefault="00F2293F" w:rsidP="00F2293F">
      <w:pPr>
        <w:rPr>
          <w:i/>
          <w:lang w:val="es-ES"/>
        </w:rPr>
      </w:pPr>
      <w:r w:rsidRPr="006A034F">
        <w:rPr>
          <w:i/>
          <w:lang w:val="es-ES"/>
        </w:rPr>
        <w:lastRenderedPageBreak/>
        <w:t>Funcionamiento del Fondo</w:t>
      </w:r>
    </w:p>
    <w:p w:rsidR="00F2293F" w:rsidRPr="006A034F" w:rsidRDefault="00F2293F" w:rsidP="00F2293F">
      <w:pPr>
        <w:rPr>
          <w:lang w:val="es-ES"/>
        </w:rPr>
      </w:pPr>
    </w:p>
    <w:p w:rsidR="00F2293F" w:rsidRPr="006A034F" w:rsidRDefault="00F2293F" w:rsidP="00F2293F">
      <w:pPr>
        <w:numPr>
          <w:ilvl w:val="0"/>
          <w:numId w:val="24"/>
        </w:numPr>
        <w:tabs>
          <w:tab w:val="clear" w:pos="3305"/>
        </w:tabs>
        <w:ind w:left="540" w:hanging="540"/>
        <w:rPr>
          <w:b/>
          <w:lang w:val="es-ES"/>
        </w:rPr>
      </w:pPr>
      <w:r w:rsidRPr="006A034F">
        <w:rPr>
          <w:b/>
          <w:lang w:val="es-ES"/>
        </w:rPr>
        <w:t>Transparencia</w:t>
      </w:r>
    </w:p>
    <w:p w:rsidR="00F2293F" w:rsidRPr="006A034F" w:rsidRDefault="00F2293F" w:rsidP="00F2293F">
      <w:pPr>
        <w:rPr>
          <w:lang w:val="es-ES"/>
        </w:rPr>
      </w:pPr>
    </w:p>
    <w:p w:rsidR="00F2293F" w:rsidRPr="006A034F" w:rsidRDefault="00F2293F" w:rsidP="00F2293F">
      <w:pPr>
        <w:numPr>
          <w:ilvl w:val="1"/>
          <w:numId w:val="31"/>
        </w:numPr>
        <w:rPr>
          <w:lang w:val="es-ES"/>
        </w:rPr>
      </w:pPr>
      <w:r w:rsidRPr="006A034F">
        <w:rPr>
          <w:lang w:val="es-ES"/>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00EC78B2" w:rsidRPr="006A034F">
        <w:rPr>
          <w:rStyle w:val="FootnoteReference"/>
          <w:lang w:val="es-ES"/>
        </w:rPr>
        <w:footnoteReference w:id="5"/>
      </w:r>
    </w:p>
    <w:p w:rsidR="00F2293F" w:rsidRPr="006A034F" w:rsidRDefault="00F2293F" w:rsidP="00F2293F">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F2293F" w:rsidRPr="006A034F" w:rsidRDefault="00F2293F" w:rsidP="00F2293F">
      <w:pPr>
        <w:numPr>
          <w:ilvl w:val="1"/>
          <w:numId w:val="31"/>
        </w:numPr>
        <w:tabs>
          <w:tab w:val="num" w:pos="567"/>
        </w:tabs>
        <w:rPr>
          <w:lang w:val="es-ES"/>
        </w:rPr>
      </w:pPr>
      <w:r w:rsidRPr="006A034F">
        <w:rPr>
          <w:lang w:val="es-ES"/>
        </w:rPr>
        <w:t>Los criterios de financiación, incluido el del equilibrio geográfico, así como las condiciones que rigen la asistencia financiera del Fondo, están claramente establecidos en su Reglamento.</w:t>
      </w:r>
    </w:p>
    <w:p w:rsidR="00F2293F" w:rsidRPr="006A034F" w:rsidRDefault="00F2293F" w:rsidP="00F2293F">
      <w:pPr>
        <w:tabs>
          <w:tab w:val="num" w:pos="1080"/>
        </w:tabs>
        <w:ind w:left="1080"/>
        <w:rPr>
          <w:lang w:val="es-ES"/>
        </w:rPr>
      </w:pPr>
    </w:p>
    <w:p w:rsidR="00F2293F" w:rsidRPr="006A034F" w:rsidRDefault="00F2293F" w:rsidP="00F2293F">
      <w:pPr>
        <w:pStyle w:val="ListParagraph"/>
        <w:numPr>
          <w:ilvl w:val="1"/>
          <w:numId w:val="31"/>
        </w:numPr>
        <w:contextualSpacing/>
        <w:rPr>
          <w:lang w:val="es-ES"/>
        </w:rPr>
      </w:pPr>
      <w:r w:rsidRPr="006A034F">
        <w:rPr>
          <w:lang w:val="es-ES"/>
        </w:rPr>
        <w:t xml:space="preserve">La Junta Asesora aprueba un informe oficial al final de cada una de sus reuniones; el contenido de este informe se remite al </w:t>
      </w:r>
      <w:r w:rsidR="00AC0110">
        <w:rPr>
          <w:lang w:val="es-ES"/>
        </w:rPr>
        <w:t>director general</w:t>
      </w:r>
      <w:r w:rsidRPr="006A034F">
        <w:rPr>
          <w:lang w:val="es-ES"/>
        </w:rPr>
        <w:t xml:space="preserve"> de la OMPI, quien lo comunica de inmediato al CIG mediante una nota informativa oficial</w:t>
      </w:r>
      <w:r w:rsidRPr="006A034F">
        <w:rPr>
          <w:rStyle w:val="FootnoteReference"/>
          <w:lang w:val="es-ES"/>
        </w:rPr>
        <w:footnoteReference w:id="6"/>
      </w:r>
      <w:r w:rsidRPr="006A034F">
        <w:rPr>
          <w:lang w:val="es-ES"/>
        </w:rPr>
        <w:t>.</w:t>
      </w:r>
    </w:p>
    <w:p w:rsidR="00F2293F" w:rsidRPr="006A034F" w:rsidRDefault="00F2293F" w:rsidP="00F2293F">
      <w:pPr>
        <w:rPr>
          <w:lang w:val="es-ES"/>
        </w:rPr>
      </w:pPr>
    </w:p>
    <w:p w:rsidR="00F2293F" w:rsidRPr="006A034F" w:rsidRDefault="00F2293F" w:rsidP="00F2293F">
      <w:pPr>
        <w:numPr>
          <w:ilvl w:val="0"/>
          <w:numId w:val="25"/>
        </w:numPr>
        <w:tabs>
          <w:tab w:val="clear" w:pos="3195"/>
        </w:tabs>
        <w:ind w:left="540" w:hanging="540"/>
        <w:rPr>
          <w:lang w:val="es-ES"/>
        </w:rPr>
      </w:pPr>
      <w:r w:rsidRPr="006A034F">
        <w:rPr>
          <w:b/>
          <w:lang w:val="es-ES"/>
        </w:rPr>
        <w:t>Independencia e integración</w:t>
      </w:r>
    </w:p>
    <w:p w:rsidR="00F2293F" w:rsidRPr="006A034F" w:rsidRDefault="00F2293F" w:rsidP="00F2293F">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nueve miembros de la Junta Asesora del Fondo ejercen sus funciones de manera independiente y toman sus decisiones a título personal;</w:t>
      </w:r>
    </w:p>
    <w:p w:rsidR="00F2293F" w:rsidRPr="006A034F" w:rsidRDefault="00F2293F" w:rsidP="00F2293F">
      <w:pPr>
        <w:pStyle w:val="ListParagraph"/>
        <w:ind w:left="1080"/>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candidatos a recibir financiación están obligados a proporcionar la documentación justificativa de su solicitud, que en la práctica se traduce en un formulario y su curriculum vitae, con lo que se simplifica la aplicación de los criterios de financiación en el examen de las solicitudes.</w:t>
      </w:r>
    </w:p>
    <w:p w:rsidR="00F2293F" w:rsidRPr="006A034F" w:rsidRDefault="00F2293F" w:rsidP="00F2293F">
      <w:pPr>
        <w:numPr>
          <w:ilvl w:val="1"/>
          <w:numId w:val="31"/>
        </w:numPr>
        <w:tabs>
          <w:tab w:val="num" w:pos="567"/>
        </w:tabs>
        <w:rPr>
          <w:lang w:val="es-ES"/>
        </w:rPr>
      </w:pPr>
      <w:r w:rsidRPr="006A034F">
        <w:rPr>
          <w:lang w:val="es-ES"/>
        </w:rPr>
        <w:t>Las recomendaciones de la Junta Asesora son de carácter vinculante para la Secretaría de la OMPI, que simplemente proporciona el apoyo administrativo necesario y las aplica siguiendo estrictamente el Reglamento del Fondo.</w:t>
      </w:r>
    </w:p>
    <w:p w:rsidR="00F2293F" w:rsidRPr="006A034F" w:rsidRDefault="00F2293F" w:rsidP="00F2293F">
      <w:pPr>
        <w:ind w:left="1080"/>
        <w:rPr>
          <w:lang w:val="es-ES"/>
        </w:rPr>
      </w:pPr>
    </w:p>
    <w:p w:rsidR="00F2293F" w:rsidRPr="006A034F" w:rsidRDefault="00F2293F" w:rsidP="00F2293F">
      <w:pPr>
        <w:numPr>
          <w:ilvl w:val="1"/>
          <w:numId w:val="31"/>
        </w:numPr>
        <w:rPr>
          <w:lang w:val="es-ES"/>
        </w:rPr>
      </w:pPr>
      <w:r w:rsidRPr="006A034F">
        <w:rPr>
          <w:lang w:val="es-ES"/>
        </w:rPr>
        <w:t>Tres miembros de la Junta Asesora proceden de observadores acreditados que representan a una o más comunidades indígenas o locales.</w:t>
      </w:r>
    </w:p>
    <w:p w:rsidR="00F2293F" w:rsidRPr="006A034F" w:rsidRDefault="00F2293F" w:rsidP="00F2293F">
      <w:pPr>
        <w:rPr>
          <w:lang w:val="es-ES"/>
        </w:rPr>
      </w:pPr>
    </w:p>
    <w:p w:rsidR="00F2293F" w:rsidRPr="006A034F" w:rsidRDefault="00F2293F" w:rsidP="00F2293F">
      <w:pPr>
        <w:numPr>
          <w:ilvl w:val="0"/>
          <w:numId w:val="26"/>
        </w:numPr>
        <w:tabs>
          <w:tab w:val="clear" w:pos="3195"/>
        </w:tabs>
        <w:ind w:left="540" w:hanging="540"/>
        <w:rPr>
          <w:lang w:val="es-ES"/>
        </w:rPr>
      </w:pPr>
      <w:r w:rsidRPr="006A034F">
        <w:rPr>
          <w:b/>
          <w:lang w:val="es-ES"/>
        </w:rPr>
        <w:t>Eficacia: no se deducen del Fondo cantidades en concepto de costos administrativos</w:t>
      </w:r>
    </w:p>
    <w:p w:rsidR="00F2293F" w:rsidRPr="006A034F" w:rsidRDefault="00F2293F" w:rsidP="00F2293F">
      <w:pPr>
        <w:ind w:left="540"/>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miembros de la Junta Asesora se reúnen antes o después de las sesiones del CIG en que participan. No se les remunera ni compensa por esas tareas.</w:t>
      </w:r>
    </w:p>
    <w:p w:rsidR="00F2293F" w:rsidRPr="006A034F" w:rsidRDefault="00F2293F" w:rsidP="00F2293F">
      <w:pPr>
        <w:rPr>
          <w:lang w:val="es-ES"/>
        </w:rPr>
      </w:pPr>
    </w:p>
    <w:p w:rsidR="00F2293F" w:rsidRPr="006A034F" w:rsidRDefault="00F2293F" w:rsidP="00F2293F">
      <w:pPr>
        <w:numPr>
          <w:ilvl w:val="1"/>
          <w:numId w:val="31"/>
        </w:numPr>
        <w:tabs>
          <w:tab w:val="num" w:pos="567"/>
        </w:tabs>
        <w:rPr>
          <w:lang w:val="es-ES"/>
        </w:rPr>
      </w:pPr>
      <w:r w:rsidRPr="006A034F">
        <w:rPr>
          <w:lang w:val="es-ES"/>
        </w:rPr>
        <w:t>La Junta Asesora está obligada a concluir sus deliberaciones antes del final de la sesión en la que se reúne.</w:t>
      </w:r>
    </w:p>
    <w:p w:rsidR="00F2293F" w:rsidRPr="006A034F" w:rsidRDefault="00F2293F" w:rsidP="00A85C44">
      <w:pPr>
        <w:pStyle w:val="ListParagraph"/>
        <w:ind w:left="0"/>
        <w:rPr>
          <w:lang w:val="es-ES"/>
        </w:rPr>
      </w:pPr>
    </w:p>
    <w:p w:rsidR="00F2293F" w:rsidRPr="006A034F" w:rsidRDefault="00F2293F" w:rsidP="00A85C44">
      <w:pPr>
        <w:pStyle w:val="ListParagraph"/>
        <w:numPr>
          <w:ilvl w:val="1"/>
          <w:numId w:val="31"/>
        </w:numPr>
        <w:ind w:left="1077" w:hanging="357"/>
        <w:contextualSpacing/>
        <w:rPr>
          <w:lang w:val="es-ES"/>
        </w:rPr>
      </w:pPr>
      <w:r w:rsidRPr="006A034F">
        <w:rPr>
          <w:lang w:val="es-ES"/>
        </w:rPr>
        <w:t>La Secretaría de la OMPI no está autorizada a utilizar el Fondo para gastos administrativos.</w:t>
      </w:r>
    </w:p>
    <w:p w:rsidR="00F2293F" w:rsidRPr="006A034F" w:rsidRDefault="00F2293F" w:rsidP="00A85C44">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lastRenderedPageBreak/>
        <w:t>En el Reglamento se incluyó una cláusula específica para reducir los costos administrativos al mínimo estrictamente necesario.</w:t>
      </w:r>
    </w:p>
    <w:p w:rsidR="00F2293F" w:rsidRPr="006A034F" w:rsidRDefault="00F2293F" w:rsidP="00A85C44">
      <w:pPr>
        <w:pStyle w:val="ListParagraph"/>
        <w:ind w:left="0"/>
        <w:rPr>
          <w:lang w:val="es-ES"/>
        </w:rPr>
      </w:pPr>
    </w:p>
    <w:p w:rsidR="00F2293F" w:rsidRPr="006A034F" w:rsidRDefault="00F2293F" w:rsidP="00F2293F">
      <w:pPr>
        <w:rPr>
          <w:i/>
          <w:lang w:val="es-ES"/>
        </w:rPr>
      </w:pPr>
      <w:r w:rsidRPr="006A034F">
        <w:rPr>
          <w:b/>
          <w:i/>
          <w:lang w:val="es-ES"/>
        </w:rPr>
        <w:t>Resultados</w:t>
      </w:r>
      <w:r w:rsidRPr="006A034F">
        <w:rPr>
          <w:i/>
          <w:lang w:val="es-ES"/>
        </w:rPr>
        <w:t xml:space="preserve"> (abril de 2006 –</w:t>
      </w:r>
      <w:r w:rsidR="00B77C83" w:rsidRPr="006A034F">
        <w:rPr>
          <w:i/>
          <w:lang w:val="es-ES"/>
        </w:rPr>
        <w:t xml:space="preserve"> </w:t>
      </w:r>
      <w:r w:rsidR="0083781B">
        <w:rPr>
          <w:i/>
          <w:lang w:val="es-ES"/>
        </w:rPr>
        <w:t>27 de octubre</w:t>
      </w:r>
      <w:r w:rsidRPr="006A034F">
        <w:rPr>
          <w:i/>
          <w:lang w:val="es-ES"/>
        </w:rPr>
        <w:t xml:space="preserve"> de 2016)</w:t>
      </w:r>
    </w:p>
    <w:p w:rsidR="00F2293F" w:rsidRPr="006A034F" w:rsidRDefault="00F2293F" w:rsidP="00F2293F">
      <w:pPr>
        <w:rPr>
          <w:lang w:val="es-ES"/>
        </w:rPr>
      </w:pPr>
    </w:p>
    <w:p w:rsidR="00F2293F" w:rsidRPr="006A034F" w:rsidRDefault="00F2293F" w:rsidP="00F2293F">
      <w:pPr>
        <w:ind w:left="720"/>
        <w:rPr>
          <w:lang w:val="es-ES"/>
        </w:rPr>
      </w:pPr>
      <w:r w:rsidRPr="006A034F">
        <w:rPr>
          <w:lang w:val="es-ES"/>
        </w:rPr>
        <w:t>Durante las 2</w:t>
      </w:r>
      <w:r w:rsidR="0083781B">
        <w:rPr>
          <w:lang w:val="es-ES"/>
        </w:rPr>
        <w:t>3</w:t>
      </w:r>
      <w:r w:rsidRPr="006A034F">
        <w:rPr>
          <w:lang w:val="es-ES"/>
        </w:rPr>
        <w:t xml:space="preserve"> reuniones de la Junta Asesora del Fondo se tramitó un total de 5</w:t>
      </w:r>
      <w:r w:rsidR="0083781B">
        <w:rPr>
          <w:lang w:val="es-ES"/>
        </w:rPr>
        <w:t>43</w:t>
      </w:r>
      <w:r w:rsidRPr="006A034F">
        <w:rPr>
          <w:lang w:val="es-ES"/>
        </w:rPr>
        <w:t xml:space="preserve"> solicitudes de financiación</w:t>
      </w:r>
      <w:r w:rsidRPr="006A034F">
        <w:rPr>
          <w:vertAlign w:val="superscript"/>
          <w:lang w:val="es-ES"/>
        </w:rPr>
        <w:footnoteReference w:id="7"/>
      </w:r>
      <w:r w:rsidRPr="006A034F">
        <w:rPr>
          <w:lang w:val="es-ES"/>
        </w:rPr>
        <w:t xml:space="preserve"> en relación con 2</w:t>
      </w:r>
      <w:r w:rsidR="0083781B">
        <w:rPr>
          <w:lang w:val="es-ES"/>
        </w:rPr>
        <w:t>3</w:t>
      </w:r>
      <w:r w:rsidRPr="006A034F">
        <w:rPr>
          <w:lang w:val="es-ES"/>
        </w:rPr>
        <w:t xml:space="preserve"> sesiones del CIG (incluida la 3</w:t>
      </w:r>
      <w:r w:rsidR="0083781B">
        <w:rPr>
          <w:lang w:val="es-ES"/>
        </w:rPr>
        <w:t>2</w:t>
      </w:r>
      <w:r w:rsidRPr="006A034F">
        <w:rPr>
          <w:lang w:val="es-ES"/>
        </w:rPr>
        <w:t>ª sesión) y dos reuniones de grupos de trabajo entre sesiones.</w:t>
      </w:r>
    </w:p>
    <w:p w:rsidR="00F2293F" w:rsidRPr="006A034F" w:rsidRDefault="00F2293F" w:rsidP="00F2293F">
      <w:pPr>
        <w:ind w:left="720"/>
        <w:rPr>
          <w:lang w:val="es-ES"/>
        </w:rPr>
      </w:pPr>
    </w:p>
    <w:p w:rsidR="00F2293F" w:rsidRPr="006A034F" w:rsidRDefault="00F2293F" w:rsidP="00F2293F">
      <w:pPr>
        <w:ind w:left="720"/>
        <w:rPr>
          <w:lang w:val="es-ES"/>
        </w:rPr>
      </w:pPr>
      <w:r w:rsidRPr="006A034F">
        <w:rPr>
          <w:lang w:val="es-ES"/>
        </w:rPr>
        <w:t>En total, 17</w:t>
      </w:r>
      <w:r w:rsidR="0083781B">
        <w:rPr>
          <w:lang w:val="es-ES"/>
        </w:rPr>
        <w:t>7</w:t>
      </w:r>
      <w:r w:rsidRPr="006A034F">
        <w:rPr>
          <w:lang w:val="es-ES"/>
        </w:rPr>
        <w:t xml:space="preserve"> solicitudes fueron objeto de recomendación de financiación por la Junta Asesora en relación con las sesiones 10ª a 3</w:t>
      </w:r>
      <w:r w:rsidR="0083781B">
        <w:rPr>
          <w:lang w:val="es-ES"/>
        </w:rPr>
        <w:t>1</w:t>
      </w:r>
      <w:r w:rsidRPr="006A034F">
        <w:rPr>
          <w:lang w:val="es-ES"/>
        </w:rPr>
        <w:t>ª (inclusive) del CIG, y dos grupos de trabajo entre sesiones. Durante ese periodo se financiaron concretamente</w:t>
      </w:r>
      <w:r w:rsidR="0083781B">
        <w:rPr>
          <w:lang w:val="es-ES"/>
        </w:rPr>
        <w:t xml:space="preserve"> mediante el Fondo de Contribuciones Voluntarias</w:t>
      </w:r>
      <w:r w:rsidRPr="006A034F">
        <w:rPr>
          <w:lang w:val="es-ES"/>
        </w:rPr>
        <w:t> 134 solicitudes que habían sido objeto de recomendación</w:t>
      </w:r>
      <w:r w:rsidRPr="006A034F">
        <w:rPr>
          <w:vertAlign w:val="superscript"/>
          <w:lang w:val="es-ES"/>
        </w:rPr>
        <w:footnoteReference w:id="8"/>
      </w:r>
      <w:r w:rsidRPr="006A034F">
        <w:rPr>
          <w:lang w:val="es-ES"/>
        </w:rPr>
        <w:t xml:space="preserve"> para apoyar la participación de 69 representantes de varias comunidades indígenas y locales en las 2</w:t>
      </w:r>
      <w:r w:rsidR="0083781B">
        <w:rPr>
          <w:lang w:val="es-ES"/>
        </w:rPr>
        <w:t>2</w:t>
      </w:r>
      <w:r w:rsidRPr="006A034F">
        <w:rPr>
          <w:lang w:val="es-ES"/>
        </w:rPr>
        <w:t xml:space="preserve"> sesiones del CIG y las dos reuniones de grupos de trabajo entre sesiones.</w:t>
      </w:r>
    </w:p>
    <w:p w:rsidR="00F2293F" w:rsidRPr="006A034F" w:rsidRDefault="00F2293F" w:rsidP="00F2293F">
      <w:pPr>
        <w:ind w:left="720"/>
        <w:rPr>
          <w:lang w:val="es-ES"/>
        </w:rPr>
      </w:pPr>
    </w:p>
    <w:p w:rsidR="00F2293F" w:rsidRPr="006A034F" w:rsidRDefault="00F2293F" w:rsidP="00F2293F">
      <w:pPr>
        <w:rPr>
          <w:lang w:val="es-ES"/>
        </w:rPr>
      </w:pPr>
    </w:p>
    <w:p w:rsidR="00F2293F" w:rsidRPr="006A034F" w:rsidRDefault="00F2293F" w:rsidP="00F2293F">
      <w:pPr>
        <w:rPr>
          <w:u w:val="single"/>
          <w:lang w:val="es-ES"/>
        </w:rPr>
      </w:pPr>
      <w:r w:rsidRPr="006A034F">
        <w:rPr>
          <w:lang w:val="es-ES"/>
        </w:rPr>
        <w:t>III.</w:t>
      </w:r>
      <w:r w:rsidRPr="006A034F">
        <w:rPr>
          <w:lang w:val="es-ES"/>
        </w:rPr>
        <w:tab/>
      </w:r>
      <w:r w:rsidRPr="006A034F">
        <w:rPr>
          <w:b/>
          <w:lang w:val="es-ES"/>
        </w:rPr>
        <w:t>CONTRIBUCIONES AL FONDO</w:t>
      </w:r>
    </w:p>
    <w:p w:rsidR="00F2293F" w:rsidRPr="006A034F" w:rsidRDefault="00F2293F" w:rsidP="00F2293F">
      <w:pPr>
        <w:rPr>
          <w:lang w:val="es-ES"/>
        </w:rPr>
      </w:pPr>
    </w:p>
    <w:p w:rsidR="00F2293F" w:rsidRPr="006A034F" w:rsidRDefault="00F2293F" w:rsidP="00F2293F">
      <w:pPr>
        <w:rPr>
          <w:i/>
          <w:lang w:val="es-ES"/>
        </w:rPr>
      </w:pPr>
      <w:r w:rsidRPr="006A034F">
        <w:rPr>
          <w:i/>
          <w:lang w:val="es-ES"/>
        </w:rPr>
        <w:t>Disposiciones relativas a las contribuciones</w:t>
      </w:r>
    </w:p>
    <w:p w:rsidR="00F2293F" w:rsidRPr="006A034F" w:rsidRDefault="00F2293F" w:rsidP="00F2293F">
      <w:pPr>
        <w:rPr>
          <w:lang w:val="es-ES"/>
        </w:rPr>
      </w:pPr>
    </w:p>
    <w:p w:rsidR="00F2293F" w:rsidRPr="006A034F" w:rsidRDefault="00F2293F" w:rsidP="00F2293F">
      <w:pPr>
        <w:numPr>
          <w:ilvl w:val="0"/>
          <w:numId w:val="28"/>
        </w:numPr>
        <w:tabs>
          <w:tab w:val="clear" w:pos="3195"/>
          <w:tab w:val="left" w:pos="567"/>
          <w:tab w:val="num" w:pos="3239"/>
        </w:tabs>
        <w:ind w:left="1350" w:hanging="630"/>
        <w:rPr>
          <w:lang w:val="es-ES"/>
        </w:rPr>
      </w:pPr>
      <w:r w:rsidRPr="006A034F">
        <w:rPr>
          <w:lang w:val="es-ES"/>
        </w:rPr>
        <w:t>No existen restricciones relativas a las cuantías mínimas o máximas de las donaciones.</w:t>
      </w:r>
    </w:p>
    <w:p w:rsidR="00F2293F" w:rsidRPr="006A034F" w:rsidRDefault="00F2293F" w:rsidP="00F2293F">
      <w:pPr>
        <w:tabs>
          <w:tab w:val="left" w:pos="567"/>
        </w:tabs>
        <w:ind w:left="1350"/>
        <w:rPr>
          <w:lang w:val="es-ES"/>
        </w:rPr>
      </w:pPr>
    </w:p>
    <w:p w:rsidR="00F2293F" w:rsidRPr="006A034F" w:rsidRDefault="00F2293F" w:rsidP="00F2293F">
      <w:pPr>
        <w:numPr>
          <w:ilvl w:val="0"/>
          <w:numId w:val="28"/>
        </w:numPr>
        <w:tabs>
          <w:tab w:val="clear" w:pos="3195"/>
        </w:tabs>
        <w:ind w:left="1350" w:hanging="630"/>
        <w:rPr>
          <w:lang w:val="es-ES"/>
        </w:rPr>
      </w:pPr>
      <w:r w:rsidRPr="006A034F">
        <w:rPr>
          <w:lang w:val="es-ES"/>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F2293F" w:rsidRPr="006A034F" w:rsidRDefault="00F2293F" w:rsidP="00F2293F">
      <w:pPr>
        <w:ind w:left="1350"/>
        <w:rPr>
          <w:lang w:val="es-ES"/>
        </w:rPr>
      </w:pPr>
    </w:p>
    <w:p w:rsidR="00F2293F" w:rsidRPr="006A034F" w:rsidRDefault="00F2293F" w:rsidP="00F2293F">
      <w:pPr>
        <w:numPr>
          <w:ilvl w:val="0"/>
          <w:numId w:val="28"/>
        </w:numPr>
        <w:tabs>
          <w:tab w:val="clear" w:pos="3195"/>
        </w:tabs>
        <w:ind w:left="1350" w:hanging="630"/>
        <w:rPr>
          <w:lang w:val="es-ES"/>
        </w:rPr>
      </w:pPr>
      <w:r w:rsidRPr="006A034F">
        <w:rPr>
          <w:lang w:val="es-ES"/>
        </w:rPr>
        <w:t>Todas las contribuciones se asignan directa y exclusivamente a financiar la participación de las comunidades indígenas y locales acreditadas en las sesiones del CIG;  no se realizan gastos administrativos a cargo del Fondo.</w:t>
      </w:r>
    </w:p>
    <w:p w:rsidR="00F2293F" w:rsidRPr="006A034F" w:rsidRDefault="00F2293F" w:rsidP="00F2293F">
      <w:pPr>
        <w:pStyle w:val="ListParagraph"/>
        <w:rPr>
          <w:lang w:val="es-ES"/>
        </w:rPr>
      </w:pPr>
    </w:p>
    <w:p w:rsidR="00F2293F" w:rsidRPr="006A034F" w:rsidRDefault="00F2293F" w:rsidP="00F2293F">
      <w:pPr>
        <w:pStyle w:val="ListParagraph"/>
        <w:numPr>
          <w:ilvl w:val="0"/>
          <w:numId w:val="28"/>
        </w:numPr>
        <w:tabs>
          <w:tab w:val="clear" w:pos="3195"/>
          <w:tab w:val="num" w:pos="720"/>
        </w:tabs>
        <w:spacing w:after="200"/>
        <w:ind w:left="1350" w:hanging="630"/>
        <w:contextualSpacing/>
        <w:rPr>
          <w:lang w:val="es-ES"/>
        </w:rPr>
      </w:pPr>
      <w:r w:rsidRPr="006A034F">
        <w:rPr>
          <w:lang w:val="es-ES"/>
        </w:rPr>
        <w:t>Teniendo en cuenta que se trata de un fondo colectivo, no es posible hacer excepciones a su Reglamento para contribuciones específicas; la contribución de un donante determinado no puede asignarse a una clase particular de beneficiario o de gasto.</w:t>
      </w:r>
    </w:p>
    <w:p w:rsidR="00F2293F" w:rsidRPr="006A034F" w:rsidRDefault="00F2293F" w:rsidP="00F2293F">
      <w:pPr>
        <w:pStyle w:val="ListParagraph"/>
        <w:rPr>
          <w:lang w:val="es-ES"/>
        </w:rPr>
      </w:pPr>
    </w:p>
    <w:p w:rsidR="00F2293F" w:rsidRPr="006A034F" w:rsidRDefault="00F2293F" w:rsidP="00F2293F">
      <w:pPr>
        <w:pStyle w:val="ListParagraph"/>
        <w:numPr>
          <w:ilvl w:val="0"/>
          <w:numId w:val="28"/>
        </w:numPr>
        <w:tabs>
          <w:tab w:val="clear" w:pos="3195"/>
        </w:tabs>
        <w:spacing w:after="200"/>
        <w:ind w:left="1350" w:hanging="630"/>
        <w:contextualSpacing/>
        <w:rPr>
          <w:lang w:val="es-ES"/>
        </w:rPr>
      </w:pPr>
      <w:r w:rsidRPr="006A034F">
        <w:rPr>
          <w:lang w:val="es-ES"/>
        </w:rPr>
        <w:t>La Junta Asesora del Fondo selecciona de forma independiente a los candidatos que podrán recibir financiación; si un contribuyente está representado en el CIG como Estado miembro, puede postularse como miembro de la Junta Asesora.</w:t>
      </w:r>
    </w:p>
    <w:p w:rsidR="00F2293F" w:rsidRPr="006A034F" w:rsidRDefault="00F2293F" w:rsidP="00F2293F">
      <w:pPr>
        <w:numPr>
          <w:ilvl w:val="0"/>
          <w:numId w:val="28"/>
        </w:numPr>
        <w:tabs>
          <w:tab w:val="clear" w:pos="3195"/>
          <w:tab w:val="num" w:pos="1350"/>
        </w:tabs>
        <w:ind w:left="1350" w:hanging="630"/>
        <w:rPr>
          <w:lang w:val="es-ES"/>
        </w:rPr>
      </w:pPr>
      <w:r w:rsidRPr="006A034F">
        <w:rPr>
          <w:lang w:val="es-ES"/>
        </w:rPr>
        <w:t>Las contribuciones se utilizan en el orden en que son recibidas en la cuenta bancaria del Fondo.</w:t>
      </w:r>
    </w:p>
    <w:p w:rsidR="00A85C44" w:rsidRPr="006A034F" w:rsidRDefault="00A85C44">
      <w:pPr>
        <w:rPr>
          <w:lang w:val="es-ES"/>
        </w:rPr>
      </w:pPr>
      <w:r w:rsidRPr="006A034F">
        <w:rPr>
          <w:lang w:val="es-ES"/>
        </w:rPr>
        <w:br w:type="page"/>
      </w:r>
    </w:p>
    <w:p w:rsidR="00F2293F" w:rsidRPr="006A034F" w:rsidRDefault="00F2293F" w:rsidP="00F2293F">
      <w:pPr>
        <w:rPr>
          <w:b/>
          <w:i/>
          <w:lang w:val="es-ES"/>
        </w:rPr>
      </w:pPr>
      <w:r w:rsidRPr="006A034F">
        <w:rPr>
          <w:b/>
          <w:i/>
          <w:lang w:val="es-ES"/>
        </w:rPr>
        <w:lastRenderedPageBreak/>
        <w:t>Presentación de informes a los donantes</w:t>
      </w:r>
    </w:p>
    <w:p w:rsidR="00F2293F" w:rsidRPr="006A034F" w:rsidRDefault="00F2293F" w:rsidP="00F2293F">
      <w:pPr>
        <w:rPr>
          <w:lang w:val="es-ES"/>
        </w:rPr>
      </w:pPr>
    </w:p>
    <w:p w:rsidR="00F2293F" w:rsidRPr="006A034F" w:rsidRDefault="00F2293F" w:rsidP="00F2293F">
      <w:pPr>
        <w:rPr>
          <w:lang w:val="es-ES"/>
        </w:rPr>
      </w:pPr>
      <w:r w:rsidRPr="006A034F">
        <w:rPr>
          <w:lang w:val="es-ES"/>
        </w:rPr>
        <w:t>Se presentan informes públicos sobre el uso del Fondo en la forma habitual mediante notas informativas.</w:t>
      </w:r>
    </w:p>
    <w:p w:rsidR="00F2293F" w:rsidRPr="006A034F" w:rsidRDefault="00F2293F" w:rsidP="00F2293F">
      <w:pPr>
        <w:rPr>
          <w:lang w:val="es-ES"/>
        </w:rPr>
      </w:pPr>
    </w:p>
    <w:p w:rsidR="00F2293F" w:rsidRPr="006A034F" w:rsidRDefault="00F2293F" w:rsidP="00F2293F">
      <w:pPr>
        <w:rPr>
          <w:lang w:val="es-ES"/>
        </w:rPr>
      </w:pPr>
      <w:r w:rsidRPr="006A034F">
        <w:rPr>
          <w:lang w:val="es-ES"/>
        </w:rPr>
        <w:t>Además, las cartas entre donantes y la OMPI por las que se formaliza el acuerdo de contribución pueden comprender una cláusula en la que se establezca un informe financiero periódico más detallado sobre la aplicación de la contribución.</w:t>
      </w:r>
    </w:p>
    <w:p w:rsidR="00F2293F" w:rsidRPr="006A034F" w:rsidRDefault="00F2293F" w:rsidP="00F2293F">
      <w:pPr>
        <w:rPr>
          <w:lang w:val="es-ES"/>
        </w:rPr>
      </w:pPr>
      <w:r w:rsidRPr="006A034F">
        <w:rPr>
          <w:lang w:val="es-ES"/>
        </w:rPr>
        <w:t>El funcionamiento del Fondo también es objeto de auditoría interna.</w:t>
      </w:r>
    </w:p>
    <w:p w:rsidR="00F2293F" w:rsidRPr="006A034F" w:rsidRDefault="00F2293F" w:rsidP="00F2293F">
      <w:pPr>
        <w:rPr>
          <w:lang w:val="es-ES"/>
        </w:rPr>
      </w:pPr>
    </w:p>
    <w:p w:rsidR="00F2293F" w:rsidRPr="006A034F" w:rsidRDefault="00A85C44" w:rsidP="00F2293F">
      <w:pPr>
        <w:rPr>
          <w:lang w:val="es-ES"/>
        </w:rPr>
      </w:pPr>
      <w:r w:rsidRPr="006A034F">
        <w:rPr>
          <w:lang w:val="es-ES"/>
        </w:rPr>
        <w:t>IV.</w:t>
      </w:r>
      <w:r w:rsidR="00F2293F" w:rsidRPr="006A034F">
        <w:rPr>
          <w:lang w:val="es-ES"/>
        </w:rPr>
        <w:tab/>
      </w:r>
      <w:r w:rsidR="00F2293F" w:rsidRPr="006A034F">
        <w:rPr>
          <w:b/>
          <w:lang w:val="es-ES"/>
        </w:rPr>
        <w:t>NECESIDAD DE REPONER LAS RESERVAS</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Desde su creación en 2005, el Fondo de Contribuciones Voluntarias </w:t>
      </w:r>
      <w:r w:rsidRPr="006A034F">
        <w:rPr>
          <w:b/>
          <w:lang w:val="es-ES"/>
        </w:rPr>
        <w:t>ha recibido distintas contribuciones</w:t>
      </w:r>
      <w:r w:rsidRPr="006A034F">
        <w:rPr>
          <w:lang w:val="es-ES"/>
        </w:rPr>
        <w:t>:</w:t>
      </w:r>
    </w:p>
    <w:p w:rsidR="00F2293F" w:rsidRPr="006A034F" w:rsidRDefault="00F2293F" w:rsidP="00F2293F">
      <w:pPr>
        <w:rPr>
          <w:lang w:val="es-ES"/>
        </w:rPr>
      </w:pPr>
    </w:p>
    <w:p w:rsidR="00F2293F" w:rsidRPr="006A034F" w:rsidRDefault="00F2293F" w:rsidP="00F2293F">
      <w:pPr>
        <w:rPr>
          <w:lang w:val="es-ES"/>
        </w:rPr>
      </w:pPr>
      <w:r w:rsidRPr="006A034F">
        <w:rPr>
          <w:lang w:val="es-ES"/>
        </w:rPr>
        <w:t>Por orden cronológico:</w:t>
      </w:r>
    </w:p>
    <w:p w:rsidR="00F2293F" w:rsidRPr="006A034F" w:rsidRDefault="00F2293F" w:rsidP="00F2293F">
      <w:pPr>
        <w:rPr>
          <w:lang w:val="es-ES"/>
        </w:rPr>
      </w:pPr>
    </w:p>
    <w:p w:rsidR="00F2293F" w:rsidRPr="006A034F" w:rsidRDefault="00F2293F" w:rsidP="00F2293F">
      <w:pPr>
        <w:numPr>
          <w:ilvl w:val="2"/>
          <w:numId w:val="27"/>
        </w:numPr>
        <w:tabs>
          <w:tab w:val="clear" w:pos="2250"/>
          <w:tab w:val="num" w:pos="1260"/>
        </w:tabs>
        <w:ind w:left="1170" w:hanging="450"/>
        <w:rPr>
          <w:lang w:val="es-ES"/>
        </w:rPr>
      </w:pPr>
      <w:r w:rsidRPr="006A034F">
        <w:rPr>
          <w:lang w:val="es-ES"/>
        </w:rPr>
        <w:t xml:space="preserve">el Programa Internacional Sueco para la Biodiversidad (SwedBio/CBM)  </w:t>
      </w:r>
    </w:p>
    <w:p w:rsidR="00F2293F" w:rsidRPr="006A034F" w:rsidRDefault="00F2293F" w:rsidP="00F2293F">
      <w:pPr>
        <w:ind w:left="1170"/>
        <w:rPr>
          <w:lang w:val="es-ES"/>
        </w:rPr>
      </w:pPr>
      <w:r w:rsidRPr="006A034F">
        <w:rPr>
          <w:lang w:val="es-ES"/>
        </w:rPr>
        <w:t>(un monto equivalente a 86.092,60 francos suizos);</w:t>
      </w:r>
    </w:p>
    <w:p w:rsidR="00F2293F" w:rsidRPr="006A034F" w:rsidRDefault="00F2293F" w:rsidP="00F2293F">
      <w:pPr>
        <w:numPr>
          <w:ilvl w:val="2"/>
          <w:numId w:val="27"/>
        </w:numPr>
        <w:tabs>
          <w:tab w:val="clear" w:pos="2250"/>
          <w:tab w:val="num" w:pos="440"/>
          <w:tab w:val="num" w:pos="720"/>
        </w:tabs>
        <w:ind w:left="1170" w:hanging="450"/>
        <w:rPr>
          <w:lang w:val="es-ES"/>
        </w:rPr>
      </w:pPr>
      <w:r w:rsidRPr="006A034F">
        <w:rPr>
          <w:lang w:val="es-ES"/>
        </w:rPr>
        <w:t>Francia (un monto equivalente a 31.684 francos suizos);</w:t>
      </w:r>
    </w:p>
    <w:p w:rsidR="00F2293F" w:rsidRPr="006A034F" w:rsidRDefault="00F2293F" w:rsidP="00F2293F">
      <w:pPr>
        <w:numPr>
          <w:ilvl w:val="2"/>
          <w:numId w:val="27"/>
        </w:numPr>
        <w:tabs>
          <w:tab w:val="clear" w:pos="2250"/>
          <w:tab w:val="num" w:pos="1980"/>
        </w:tabs>
        <w:ind w:left="1170" w:hanging="450"/>
        <w:rPr>
          <w:lang w:val="es-ES"/>
        </w:rPr>
      </w:pPr>
      <w:r w:rsidRPr="006A034F">
        <w:rPr>
          <w:lang w:val="es-ES"/>
        </w:rPr>
        <w:t>la fundación Christensen Fund (un monto equivalente a 29.992,50 francos suizos);</w:t>
      </w:r>
    </w:p>
    <w:p w:rsidR="00F2293F" w:rsidRPr="006A034F" w:rsidRDefault="00F2293F" w:rsidP="00F2293F">
      <w:pPr>
        <w:numPr>
          <w:ilvl w:val="2"/>
          <w:numId w:val="27"/>
        </w:numPr>
        <w:tabs>
          <w:tab w:val="clear" w:pos="2250"/>
          <w:tab w:val="num" w:pos="1170"/>
        </w:tabs>
        <w:ind w:left="1170" w:hanging="450"/>
        <w:rPr>
          <w:lang w:val="es-ES"/>
        </w:rPr>
      </w:pPr>
      <w:r w:rsidRPr="006A034F">
        <w:rPr>
          <w:lang w:val="es-ES"/>
        </w:rPr>
        <w:t>Suiza (el Instituto Federal Suizo de Propiedad Intelectual) (250.000 francos suizos);</w:t>
      </w:r>
    </w:p>
    <w:p w:rsidR="00F2293F" w:rsidRPr="006A034F" w:rsidRDefault="00F2293F" w:rsidP="00F2293F">
      <w:pPr>
        <w:numPr>
          <w:ilvl w:val="2"/>
          <w:numId w:val="27"/>
        </w:numPr>
        <w:tabs>
          <w:tab w:val="clear" w:pos="2250"/>
          <w:tab w:val="left" w:pos="1170"/>
        </w:tabs>
        <w:ind w:left="1170" w:hanging="450"/>
        <w:rPr>
          <w:lang w:val="es-ES"/>
        </w:rPr>
      </w:pPr>
      <w:r w:rsidRPr="006A034F">
        <w:rPr>
          <w:lang w:val="es-ES"/>
        </w:rPr>
        <w:t>Sudáfrica (un monto equivalente a 18.465,27 francos suizos);</w:t>
      </w:r>
    </w:p>
    <w:p w:rsidR="00F2293F" w:rsidRPr="006A034F" w:rsidRDefault="00F2293F" w:rsidP="00F2293F">
      <w:pPr>
        <w:numPr>
          <w:ilvl w:val="2"/>
          <w:numId w:val="27"/>
        </w:numPr>
        <w:tabs>
          <w:tab w:val="clear" w:pos="2250"/>
          <w:tab w:val="num" w:pos="1170"/>
        </w:tabs>
        <w:ind w:left="1170" w:hanging="450"/>
        <w:rPr>
          <w:lang w:val="es-ES"/>
        </w:rPr>
      </w:pPr>
      <w:r w:rsidRPr="006A034F">
        <w:rPr>
          <w:lang w:val="es-ES"/>
        </w:rPr>
        <w:t>Noruega (un monto equivalente a 98.255,16 francos suizos);</w:t>
      </w:r>
    </w:p>
    <w:p w:rsidR="0083781B" w:rsidRDefault="00F2293F" w:rsidP="00F2293F">
      <w:pPr>
        <w:numPr>
          <w:ilvl w:val="2"/>
          <w:numId w:val="27"/>
        </w:numPr>
        <w:tabs>
          <w:tab w:val="clear" w:pos="2250"/>
          <w:tab w:val="num" w:pos="440"/>
          <w:tab w:val="num" w:pos="1170"/>
        </w:tabs>
        <w:ind w:left="1170" w:hanging="450"/>
        <w:rPr>
          <w:lang w:val="es-ES"/>
        </w:rPr>
      </w:pPr>
      <w:r w:rsidRPr="0083781B">
        <w:rPr>
          <w:lang w:val="es-ES"/>
        </w:rPr>
        <w:t xml:space="preserve">Un donante anónimo (500 francos suizos);  </w:t>
      </w:r>
    </w:p>
    <w:p w:rsidR="00F2293F" w:rsidRPr="0083781B" w:rsidRDefault="00F2293F" w:rsidP="00F2293F">
      <w:pPr>
        <w:numPr>
          <w:ilvl w:val="2"/>
          <w:numId w:val="27"/>
        </w:numPr>
        <w:tabs>
          <w:tab w:val="clear" w:pos="2250"/>
          <w:tab w:val="num" w:pos="440"/>
          <w:tab w:val="num" w:pos="1170"/>
        </w:tabs>
        <w:ind w:left="1170" w:hanging="450"/>
        <w:rPr>
          <w:lang w:val="es-ES"/>
        </w:rPr>
      </w:pPr>
      <w:r w:rsidRPr="0083781B">
        <w:rPr>
          <w:lang w:val="es-ES"/>
        </w:rPr>
        <w:t>Australia (un monto equivalente a 89.500 francos suizos).</w:t>
      </w:r>
    </w:p>
    <w:p w:rsidR="00F2293F" w:rsidRPr="006A034F" w:rsidRDefault="00F2293F" w:rsidP="00F2293F">
      <w:pPr>
        <w:numPr>
          <w:ilvl w:val="2"/>
          <w:numId w:val="27"/>
        </w:numPr>
        <w:tabs>
          <w:tab w:val="clear" w:pos="2250"/>
          <w:tab w:val="num" w:pos="440"/>
        </w:tabs>
        <w:ind w:left="1170" w:hanging="450"/>
        <w:rPr>
          <w:lang w:val="es-ES"/>
        </w:rPr>
      </w:pPr>
      <w:r w:rsidRPr="006A034F">
        <w:rPr>
          <w:lang w:val="es-ES"/>
        </w:rPr>
        <w:t>Australia (un monto equivalente a 14.217,78 francos suizos)</w:t>
      </w:r>
      <w:r w:rsidR="0083781B">
        <w:rPr>
          <w:lang w:val="es-ES"/>
        </w:rPr>
        <w:t>;  y</w:t>
      </w:r>
    </w:p>
    <w:p w:rsidR="00F2293F" w:rsidRPr="006A034F" w:rsidRDefault="00F2293F" w:rsidP="00F2293F">
      <w:pPr>
        <w:numPr>
          <w:ilvl w:val="2"/>
          <w:numId w:val="27"/>
        </w:numPr>
        <w:tabs>
          <w:tab w:val="clear" w:pos="2250"/>
          <w:tab w:val="num" w:pos="440"/>
          <w:tab w:val="num" w:pos="1170"/>
        </w:tabs>
        <w:ind w:left="2160" w:hanging="1440"/>
        <w:rPr>
          <w:lang w:val="es-ES"/>
        </w:rPr>
      </w:pPr>
      <w:r w:rsidRPr="006A034F">
        <w:rPr>
          <w:lang w:val="es-ES"/>
        </w:rPr>
        <w:t>Nueva Zelandia (un monto equivalente a 4.694 francos suizos)</w:t>
      </w:r>
    </w:p>
    <w:p w:rsidR="00F2293F" w:rsidRPr="006A034F" w:rsidRDefault="00F2293F" w:rsidP="00A85C44">
      <w:pPr>
        <w:rPr>
          <w:lang w:val="es-ES"/>
        </w:rPr>
      </w:pPr>
    </w:p>
    <w:p w:rsidR="00F2293F" w:rsidRPr="006A034F" w:rsidRDefault="00F2293F" w:rsidP="00F2293F">
      <w:pPr>
        <w:rPr>
          <w:lang w:val="es-ES"/>
        </w:rPr>
      </w:pPr>
      <w:r w:rsidRPr="006A034F">
        <w:rPr>
          <w:lang w:val="es-ES"/>
        </w:rPr>
        <w:t>Todo ello representa un total de 623.401,71 francos suizos.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r w:rsidRPr="006A034F">
        <w:rPr>
          <w:b/>
          <w:lang w:val="es-ES"/>
        </w:rPr>
        <w:t xml:space="preserve">El saldo del Fondo al </w:t>
      </w:r>
      <w:r w:rsidR="00563C2B">
        <w:rPr>
          <w:b/>
          <w:lang w:val="es-ES"/>
        </w:rPr>
        <w:t>27 de octubre de 2016 era de 66</w:t>
      </w:r>
      <w:r w:rsidRPr="006A034F">
        <w:rPr>
          <w:b/>
          <w:lang w:val="es-ES"/>
        </w:rPr>
        <w:t>3,20 francos suizos.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r w:rsidRPr="006A034F">
        <w:rPr>
          <w:b/>
          <w:lang w:val="es-ES"/>
        </w:rPr>
        <w:t>Para asegurar que el Fondo siga funcionando con vistas a la 3</w:t>
      </w:r>
      <w:r w:rsidR="00563C2B">
        <w:rPr>
          <w:b/>
          <w:lang w:val="es-ES"/>
        </w:rPr>
        <w:t>2</w:t>
      </w:r>
      <w:r w:rsidRPr="006A034F">
        <w:rPr>
          <w:b/>
          <w:lang w:val="es-ES"/>
        </w:rPr>
        <w:t>ª sesión del CIG y siguientes, serán necesarias aportaciones adicionales.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rPr>
          <w:b/>
          <w:lang w:val="es-ES"/>
        </w:rPr>
      </w:pPr>
      <w:r w:rsidRPr="006A034F">
        <w:rPr>
          <w:b/>
          <w:lang w:val="es-ES"/>
        </w:rPr>
        <w:t>Si no se efectúan en breve contribuciones voluntarias al Fondo, no podrá seguir funcionando como instrumento de financiación para los representantes de los pueblos indígenas y las comunidades locales en el CIG.</w:t>
      </w:r>
    </w:p>
    <w:p w:rsidR="00F2293F" w:rsidRPr="006A034F" w:rsidRDefault="00F2293F" w:rsidP="00F2293F">
      <w:pPr>
        <w:pBdr>
          <w:top w:val="single" w:sz="8" w:space="1" w:color="auto"/>
          <w:left w:val="single" w:sz="8" w:space="4" w:color="auto"/>
          <w:bottom w:val="single" w:sz="8" w:space="1" w:color="auto"/>
          <w:right w:val="single" w:sz="8" w:space="4" w:color="auto"/>
        </w:pBdr>
        <w:rPr>
          <w:b/>
          <w:lang w:val="es-ES"/>
        </w:rPr>
      </w:pPr>
    </w:p>
    <w:p w:rsidR="00F2293F" w:rsidRPr="006A034F" w:rsidRDefault="00F2293F" w:rsidP="00F2293F">
      <w:pPr>
        <w:rPr>
          <w:rFonts w:eastAsia="Times New Roman" w:cs="Times New Roman"/>
          <w:i/>
          <w:iCs/>
          <w:lang w:val="es-ES"/>
        </w:rPr>
      </w:pPr>
    </w:p>
    <w:p w:rsidR="00F2293F" w:rsidRPr="006A034F" w:rsidRDefault="00F2293F" w:rsidP="00F2293F">
      <w:pPr>
        <w:rPr>
          <w:rFonts w:eastAsia="Times New Roman" w:cs="Times New Roman"/>
          <w:i/>
          <w:iCs/>
          <w:lang w:val="es-ES"/>
        </w:rPr>
      </w:pPr>
      <w:r w:rsidRPr="006A034F">
        <w:rPr>
          <w:rFonts w:eastAsia="Times New Roman" w:cs="Times New Roman"/>
          <w:i/>
          <w:iCs/>
          <w:lang w:val="es-ES"/>
        </w:rPr>
        <w:t>Para más información</w:t>
      </w:r>
    </w:p>
    <w:p w:rsidR="00F2293F" w:rsidRPr="006A034F" w:rsidRDefault="00F2293F" w:rsidP="00F2293F">
      <w:pPr>
        <w:spacing w:after="120"/>
        <w:contextualSpacing/>
        <w:rPr>
          <w:rFonts w:eastAsia="Times New Roman" w:cs="Times New Roman"/>
          <w:i/>
          <w:iCs/>
          <w:lang w:val="es-ES"/>
        </w:rPr>
      </w:pPr>
    </w:p>
    <w:p w:rsidR="00F2293F" w:rsidRPr="006A034F" w:rsidRDefault="00F2293F" w:rsidP="00F2293F">
      <w:pPr>
        <w:keepNext/>
        <w:spacing w:after="120"/>
        <w:contextualSpacing/>
        <w:rPr>
          <w:rFonts w:eastAsia="Times New Roman"/>
          <w:i/>
          <w:iCs/>
          <w:lang w:val="es-ES"/>
        </w:rPr>
      </w:pPr>
      <w:r w:rsidRPr="006A034F">
        <w:rPr>
          <w:rFonts w:eastAsia="Times New Roman"/>
          <w:u w:val="single"/>
          <w:lang w:val="es-ES"/>
        </w:rPr>
        <w:t>Normas relativas al objetivo y al funcionamiento del Fondo de Contribuciones Voluntarias</w:t>
      </w:r>
      <w:r w:rsidRPr="006A034F">
        <w:rPr>
          <w:rFonts w:eastAsia="Times New Roman"/>
          <w:lang w:val="es-ES"/>
        </w:rPr>
        <w:t>:</w:t>
      </w:r>
    </w:p>
    <w:p w:rsidR="00F2293F" w:rsidRPr="006A034F" w:rsidRDefault="00F2293F" w:rsidP="00F2293F">
      <w:pPr>
        <w:spacing w:after="120"/>
        <w:contextualSpacing/>
        <w:rPr>
          <w:rFonts w:eastAsia="Times New Roman" w:cs="Times New Roman"/>
          <w:u w:val="single"/>
          <w:lang w:val="es-ES"/>
        </w:rPr>
      </w:pPr>
    </w:p>
    <w:p w:rsidR="00F2293F" w:rsidRPr="006A034F" w:rsidRDefault="00F2293F" w:rsidP="00F2293F">
      <w:pPr>
        <w:spacing w:after="120"/>
        <w:contextualSpacing/>
        <w:rPr>
          <w:rFonts w:eastAsia="Times New Roman" w:cs="Times New Roman"/>
          <w:iCs/>
          <w:lang w:val="es-ES"/>
        </w:rPr>
      </w:pPr>
      <w:r w:rsidRPr="006A034F">
        <w:rPr>
          <w:rFonts w:eastAsia="Times New Roman" w:cs="Times New Roman"/>
          <w:iCs/>
          <w:lang w:val="es-ES"/>
        </w:rPr>
        <w:t>http://www.wipo.int/export/sites/www/tk/es/igc/pdf/vf_rules.pdf</w:t>
      </w:r>
    </w:p>
    <w:p w:rsidR="00F2293F" w:rsidRPr="006A034F" w:rsidRDefault="00F2293F" w:rsidP="00F2293F">
      <w:pPr>
        <w:spacing w:after="120"/>
        <w:contextualSpacing/>
        <w:rPr>
          <w:rFonts w:eastAsia="Times New Roman" w:cs="Times New Roman"/>
          <w:i/>
          <w:iCs/>
          <w:lang w:val="es-ES"/>
        </w:rPr>
      </w:pPr>
    </w:p>
    <w:p w:rsidR="00F2293F" w:rsidRPr="006A034F" w:rsidRDefault="00F2293F" w:rsidP="00F2293F">
      <w:pPr>
        <w:spacing w:after="120"/>
        <w:contextualSpacing/>
        <w:rPr>
          <w:rFonts w:eastAsia="Times New Roman"/>
          <w:u w:val="single"/>
          <w:lang w:val="es-ES"/>
        </w:rPr>
      </w:pPr>
      <w:r w:rsidRPr="006A034F">
        <w:rPr>
          <w:rFonts w:eastAsia="Times New Roman"/>
          <w:u w:val="single"/>
          <w:lang w:val="es-ES"/>
        </w:rPr>
        <w:t>Información disponible en Internet sobre el Fondo de Contribuciones Voluntarias</w:t>
      </w:r>
    </w:p>
    <w:p w:rsidR="00F2293F" w:rsidRPr="006A034F" w:rsidRDefault="00F2293F" w:rsidP="00F2293F">
      <w:pPr>
        <w:spacing w:after="120"/>
        <w:contextualSpacing/>
        <w:rPr>
          <w:rFonts w:eastAsia="Times New Roman" w:cs="Times New Roman"/>
          <w:i/>
          <w:iCs/>
          <w:u w:val="single"/>
          <w:lang w:val="es-ES"/>
        </w:rPr>
      </w:pPr>
    </w:p>
    <w:p w:rsidR="00F2293F" w:rsidRPr="006A034F" w:rsidRDefault="00F2293F" w:rsidP="00F2293F">
      <w:pPr>
        <w:spacing w:after="120"/>
        <w:contextualSpacing/>
        <w:rPr>
          <w:rFonts w:eastAsia="Times New Roman"/>
          <w:iCs/>
          <w:lang w:val="es-ES"/>
        </w:rPr>
      </w:pPr>
      <w:r w:rsidRPr="006A034F">
        <w:rPr>
          <w:lang w:val="es-ES"/>
        </w:rPr>
        <w:t xml:space="preserve">http://www.wipo.int/tk/es/igc/participation.html </w:t>
      </w:r>
    </w:p>
    <w:p w:rsidR="00A85C44" w:rsidRPr="006A034F" w:rsidRDefault="00A85C44" w:rsidP="00A85C44">
      <w:pPr>
        <w:pStyle w:val="Endofdocument-Annex"/>
        <w:ind w:left="0"/>
        <w:rPr>
          <w:rFonts w:eastAsia="Times New Roman" w:cs="Times New Roman"/>
          <w:lang w:val="es-ES"/>
        </w:rPr>
      </w:pPr>
    </w:p>
    <w:p w:rsidR="00F2293F" w:rsidRPr="006A034F" w:rsidRDefault="00F2293F" w:rsidP="00F2293F">
      <w:pPr>
        <w:pStyle w:val="Endofdocument-Annex"/>
        <w:rPr>
          <w:lang w:val="es-ES"/>
        </w:rPr>
      </w:pPr>
      <w:r w:rsidRPr="006A034F">
        <w:rPr>
          <w:rFonts w:eastAsia="Times New Roman" w:cs="Times New Roman"/>
          <w:lang w:val="es-ES"/>
        </w:rPr>
        <w:t>[</w:t>
      </w:r>
      <w:r w:rsidRPr="006A034F">
        <w:rPr>
          <w:lang w:val="es-ES"/>
        </w:rPr>
        <w:t>Fin de los anexos y del documento]</w:t>
      </w:r>
    </w:p>
    <w:sectPr w:rsidR="00F2293F" w:rsidRPr="006A034F" w:rsidSect="00A85C44">
      <w:headerReference w:type="default" r:id="rId13"/>
      <w:headerReference w:type="first" r:id="rId14"/>
      <w:footnotePr>
        <w:numRestart w:val="eachSect"/>
      </w:footnotePr>
      <w:endnotePr>
        <w:numFmt w:val="decimal"/>
      </w:endnotePr>
      <w:pgSz w:w="11907" w:h="16840" w:code="9"/>
      <w:pgMar w:top="567"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3C" w:rsidRDefault="00E34E3C">
      <w:r>
        <w:separator/>
      </w:r>
    </w:p>
  </w:endnote>
  <w:endnote w:type="continuationSeparator" w:id="0">
    <w:p w:rsidR="00E34E3C" w:rsidRDefault="00E34E3C" w:rsidP="003B38C1">
      <w:r>
        <w:separator/>
      </w:r>
    </w:p>
    <w:p w:rsidR="00E34E3C" w:rsidRPr="003B38C1" w:rsidRDefault="00E34E3C" w:rsidP="003B38C1">
      <w:pPr>
        <w:spacing w:after="60"/>
        <w:rPr>
          <w:sz w:val="17"/>
        </w:rPr>
      </w:pPr>
      <w:r>
        <w:rPr>
          <w:sz w:val="17"/>
        </w:rPr>
        <w:t>[Endnote continued from previous page]</w:t>
      </w:r>
    </w:p>
  </w:endnote>
  <w:endnote w:type="continuationNotice" w:id="1">
    <w:p w:rsidR="00E34E3C" w:rsidRPr="003B38C1" w:rsidRDefault="00E34E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3C" w:rsidRDefault="00E34E3C">
      <w:r>
        <w:separator/>
      </w:r>
    </w:p>
  </w:footnote>
  <w:footnote w:type="continuationSeparator" w:id="0">
    <w:p w:rsidR="00E34E3C" w:rsidRDefault="00E34E3C" w:rsidP="008B60B2">
      <w:r>
        <w:separator/>
      </w:r>
    </w:p>
    <w:p w:rsidR="00E34E3C" w:rsidRPr="00ED77FB" w:rsidRDefault="00E34E3C" w:rsidP="008B60B2">
      <w:pPr>
        <w:spacing w:after="60"/>
        <w:rPr>
          <w:sz w:val="17"/>
          <w:szCs w:val="17"/>
        </w:rPr>
      </w:pPr>
      <w:r w:rsidRPr="00ED77FB">
        <w:rPr>
          <w:sz w:val="17"/>
          <w:szCs w:val="17"/>
        </w:rPr>
        <w:t>[Footnote continued from previous page]</w:t>
      </w:r>
    </w:p>
  </w:footnote>
  <w:footnote w:type="continuationNotice" w:id="1">
    <w:p w:rsidR="00E34E3C" w:rsidRPr="00ED77FB" w:rsidRDefault="00E34E3C" w:rsidP="008B60B2">
      <w:pPr>
        <w:spacing w:before="60"/>
        <w:jc w:val="right"/>
        <w:rPr>
          <w:sz w:val="17"/>
          <w:szCs w:val="17"/>
        </w:rPr>
      </w:pPr>
      <w:r w:rsidRPr="00ED77FB">
        <w:rPr>
          <w:sz w:val="17"/>
          <w:szCs w:val="17"/>
        </w:rPr>
        <w:t>[Footnote continued on next page]</w:t>
      </w:r>
    </w:p>
  </w:footnote>
  <w:footnote w:id="2">
    <w:p w:rsidR="00F2293F" w:rsidRPr="00563FDF" w:rsidRDefault="00F2293F" w:rsidP="00F2293F">
      <w:pPr>
        <w:pStyle w:val="FootnoteText"/>
        <w:ind w:left="550" w:hanging="550"/>
        <w:rPr>
          <w:szCs w:val="18"/>
          <w:lang w:val="es-ES"/>
        </w:rPr>
      </w:pPr>
      <w:r w:rsidRPr="0096086F">
        <w:rPr>
          <w:rStyle w:val="FootnoteReference"/>
          <w:szCs w:val="18"/>
        </w:rPr>
        <w:footnoteRef/>
      </w:r>
      <w:r w:rsidRPr="00563FDF">
        <w:rPr>
          <w:szCs w:val="18"/>
          <w:lang w:val="es-ES"/>
        </w:rPr>
        <w:t xml:space="preserve"> </w:t>
      </w:r>
      <w:r w:rsidRPr="00563FDF">
        <w:rPr>
          <w:szCs w:val="18"/>
          <w:lang w:val="es-ES"/>
        </w:rPr>
        <w:tab/>
        <w:t>Nota de la Secretaría: la Asamblea General ha tomado esa decisión.  Véase el párrafo 202 del informe de su trigésimo segundo período de sesiones (documento WO/GA/32/13).</w:t>
      </w:r>
    </w:p>
  </w:footnote>
  <w:footnote w:id="3">
    <w:p w:rsidR="00F2293F" w:rsidRPr="00660EA2" w:rsidRDefault="00F2293F" w:rsidP="00F2293F">
      <w:pPr>
        <w:pStyle w:val="FootnoteText"/>
        <w:ind w:left="550" w:hanging="550"/>
        <w:rPr>
          <w:lang w:val="es-ES"/>
        </w:rPr>
      </w:pPr>
      <w:r w:rsidRPr="0096086F">
        <w:rPr>
          <w:rStyle w:val="FootnoteReference"/>
          <w:szCs w:val="18"/>
        </w:rPr>
        <w:footnoteRef/>
      </w:r>
      <w:r w:rsidRPr="00563FDF">
        <w:rPr>
          <w:szCs w:val="18"/>
          <w:lang w:val="es-ES"/>
        </w:rPr>
        <w:t xml:space="preserve"> </w:t>
      </w:r>
      <w:r w:rsidRPr="00563FDF">
        <w:rPr>
          <w:szCs w:val="18"/>
          <w:lang w:val="es-ES"/>
        </w:rPr>
        <w:tab/>
      </w:r>
      <w:r>
        <w:rPr>
          <w:szCs w:val="18"/>
          <w:lang w:val="es-ES"/>
        </w:rPr>
        <w:t xml:space="preserve">Nota de la Secretaría: </w:t>
      </w:r>
      <w:r w:rsidRPr="00563FDF">
        <w:rPr>
          <w:szCs w:val="18"/>
          <w:lang w:val="es-ES"/>
        </w:rPr>
        <w:t>la Asamblea General ha tomado esa decisión.  Véase el párrafo 168 del informe de su trigésimo segundo período de sesiones (documento WO/GA/32/13).</w:t>
      </w:r>
    </w:p>
  </w:footnote>
  <w:footnote w:id="4">
    <w:p w:rsidR="00F2293F" w:rsidRPr="00C222DC" w:rsidRDefault="00F2293F" w:rsidP="004B3B94">
      <w:pPr>
        <w:pStyle w:val="FootnoteText"/>
        <w:rPr>
          <w:lang w:val="es-ES"/>
        </w:rPr>
      </w:pPr>
      <w:r>
        <w:rPr>
          <w:rStyle w:val="FootnoteReference"/>
        </w:rPr>
        <w:footnoteRef/>
      </w:r>
      <w:r w:rsidRPr="00C222DC">
        <w:rPr>
          <w:lang w:val="es-ES"/>
        </w:rPr>
        <w:t xml:space="preserve"> </w:t>
      </w:r>
      <w:r w:rsidRPr="0043215F">
        <w:rPr>
          <w:szCs w:val="18"/>
          <w:lang w:val="es-ES_tradnl"/>
        </w:rPr>
        <w:t>Véase el anexo del documento WO/GA/32/6 que la Asamblea General de la OMPI aprobó (en su 32º período de sesiones) y posteriormente modificó (39º período de sesiones).  El reglam</w:t>
      </w:r>
      <w:r>
        <w:rPr>
          <w:szCs w:val="18"/>
          <w:lang w:val="es-ES_tradnl"/>
        </w:rPr>
        <w:t xml:space="preserve">ento del Fondo puede consultarse en: </w:t>
      </w:r>
      <w:r w:rsidR="004B3B94" w:rsidRPr="004B3B94">
        <w:rPr>
          <w:lang w:val="es-ES"/>
        </w:rPr>
        <w:t>http://www.wipo.int/export/sites/www/tk/es/igc/pdf/vf_rules.pdf</w:t>
      </w:r>
      <w:r w:rsidRPr="00593FA4">
        <w:rPr>
          <w:iCs/>
          <w:szCs w:val="18"/>
          <w:lang w:val="es-ES"/>
        </w:rPr>
        <w:t>.</w:t>
      </w:r>
    </w:p>
  </w:footnote>
  <w:footnote w:id="5">
    <w:p w:rsidR="00EC78B2" w:rsidRPr="00EC78B2" w:rsidRDefault="00EC78B2">
      <w:pPr>
        <w:pStyle w:val="FootnoteText"/>
        <w:rPr>
          <w:lang w:val="es-ES"/>
        </w:rPr>
      </w:pPr>
      <w:r>
        <w:rPr>
          <w:rStyle w:val="FootnoteReference"/>
        </w:rPr>
        <w:footnoteRef/>
      </w:r>
      <w:r w:rsidRPr="00EC78B2">
        <w:rPr>
          <w:lang w:val="es-ES"/>
        </w:rPr>
        <w:t xml:space="preserve"> </w:t>
      </w:r>
      <w:r>
        <w:rPr>
          <w:lang w:val="es-ES"/>
        </w:rPr>
        <w:tab/>
        <w:t xml:space="preserve">Véase por ejemplo la nota informativa de la OMPI </w:t>
      </w:r>
      <w:r w:rsidRPr="00EC78B2">
        <w:rPr>
          <w:szCs w:val="18"/>
          <w:lang w:val="es-ES"/>
        </w:rPr>
        <w:t>WIPO/GRTKF/IC/3</w:t>
      </w:r>
      <w:r w:rsidR="0083781B">
        <w:rPr>
          <w:szCs w:val="18"/>
          <w:lang w:val="es-ES"/>
        </w:rPr>
        <w:t>1</w:t>
      </w:r>
      <w:r w:rsidRPr="00EC78B2">
        <w:rPr>
          <w:szCs w:val="18"/>
          <w:lang w:val="es-ES"/>
        </w:rPr>
        <w:t>/INF/4</w:t>
      </w:r>
      <w:r>
        <w:rPr>
          <w:szCs w:val="18"/>
          <w:lang w:val="es-ES"/>
        </w:rPr>
        <w:t xml:space="preserve">, de fecha </w:t>
      </w:r>
      <w:r w:rsidR="0083781B">
        <w:rPr>
          <w:szCs w:val="18"/>
          <w:lang w:val="es-ES"/>
        </w:rPr>
        <w:t>22 de julio</w:t>
      </w:r>
      <w:r>
        <w:rPr>
          <w:szCs w:val="18"/>
          <w:lang w:val="es-ES"/>
        </w:rPr>
        <w:t xml:space="preserve"> de 2016, que puede </w:t>
      </w:r>
      <w:r w:rsidR="0083781B">
        <w:rPr>
          <w:szCs w:val="18"/>
          <w:lang w:val="es-ES"/>
        </w:rPr>
        <w:t xml:space="preserve">consultarse </w:t>
      </w:r>
      <w:r>
        <w:rPr>
          <w:szCs w:val="18"/>
          <w:lang w:val="es-ES"/>
        </w:rPr>
        <w:t xml:space="preserve">en </w:t>
      </w:r>
      <w:r w:rsidRPr="00EC78B2">
        <w:rPr>
          <w:szCs w:val="18"/>
          <w:lang w:val="es-ES"/>
        </w:rPr>
        <w:t>http://www.wipo.int/edocs/mdocs/tk/es/wipo_grtkf_ic_3</w:t>
      </w:r>
      <w:r w:rsidR="0083781B">
        <w:rPr>
          <w:szCs w:val="18"/>
          <w:lang w:val="es-ES"/>
        </w:rPr>
        <w:t>1/wipo_grtkf_ic_31</w:t>
      </w:r>
      <w:r w:rsidRPr="00EC78B2">
        <w:rPr>
          <w:szCs w:val="18"/>
          <w:lang w:val="es-ES"/>
        </w:rPr>
        <w:t>_inf_4.pdf</w:t>
      </w:r>
      <w:r>
        <w:rPr>
          <w:szCs w:val="18"/>
          <w:lang w:val="es-ES"/>
        </w:rPr>
        <w:t>.</w:t>
      </w:r>
    </w:p>
  </w:footnote>
  <w:footnote w:id="6">
    <w:p w:rsidR="00F2293F" w:rsidRPr="002F55B0" w:rsidRDefault="00F2293F" w:rsidP="00EC78B2">
      <w:pPr>
        <w:pStyle w:val="FootnoteText"/>
        <w:rPr>
          <w:lang w:val="es-ES"/>
        </w:rPr>
      </w:pPr>
      <w:r>
        <w:rPr>
          <w:rStyle w:val="FootnoteReference"/>
        </w:rPr>
        <w:footnoteRef/>
      </w:r>
      <w:r w:rsidRPr="002F55B0">
        <w:rPr>
          <w:lang w:val="es-ES"/>
        </w:rPr>
        <w:t xml:space="preserve"> </w:t>
      </w:r>
      <w:r>
        <w:rPr>
          <w:lang w:val="es-ES"/>
        </w:rPr>
        <w:tab/>
      </w:r>
      <w:r w:rsidRPr="0043215F">
        <w:rPr>
          <w:szCs w:val="18"/>
          <w:lang w:val="es-ES_tradnl"/>
        </w:rPr>
        <w:t xml:space="preserve">Véase por ejemplo la nota informativa de la OMPI </w:t>
      </w:r>
      <w:r w:rsidRPr="00400959">
        <w:rPr>
          <w:szCs w:val="18"/>
          <w:lang w:val="es-ES"/>
        </w:rPr>
        <w:t>WIPO/GRTKF/IC/</w:t>
      </w:r>
      <w:r w:rsidR="00EC78B2">
        <w:rPr>
          <w:szCs w:val="18"/>
          <w:lang w:val="es-ES"/>
        </w:rPr>
        <w:t>3</w:t>
      </w:r>
      <w:r w:rsidR="0083781B">
        <w:rPr>
          <w:szCs w:val="18"/>
          <w:lang w:val="es-ES"/>
        </w:rPr>
        <w:t>1</w:t>
      </w:r>
      <w:r w:rsidRPr="00400959">
        <w:rPr>
          <w:szCs w:val="18"/>
          <w:lang w:val="es-ES"/>
        </w:rPr>
        <w:t>/INF/6</w:t>
      </w:r>
      <w:r w:rsidRPr="0043215F">
        <w:rPr>
          <w:szCs w:val="18"/>
          <w:lang w:val="es-ES_tradnl"/>
        </w:rPr>
        <w:t>, de fecha </w:t>
      </w:r>
      <w:r w:rsidR="0083781B">
        <w:rPr>
          <w:szCs w:val="18"/>
          <w:lang w:val="es-ES_tradnl"/>
        </w:rPr>
        <w:t>22 de septiembre</w:t>
      </w:r>
      <w:r>
        <w:rPr>
          <w:szCs w:val="18"/>
          <w:lang w:val="es-ES_tradnl"/>
        </w:rPr>
        <w:t xml:space="preserve"> de 2016</w:t>
      </w:r>
      <w:r w:rsidRPr="0043215F">
        <w:rPr>
          <w:szCs w:val="18"/>
          <w:lang w:val="es-ES_tradnl"/>
        </w:rPr>
        <w:t xml:space="preserve">, que puede </w:t>
      </w:r>
      <w:r w:rsidR="0083781B">
        <w:rPr>
          <w:szCs w:val="18"/>
          <w:lang w:val="es-ES_tradnl"/>
        </w:rPr>
        <w:t xml:space="preserve">consultarse </w:t>
      </w:r>
      <w:r w:rsidRPr="0043215F">
        <w:rPr>
          <w:szCs w:val="18"/>
          <w:lang w:val="es-ES_tradnl"/>
        </w:rPr>
        <w:t xml:space="preserve">en </w:t>
      </w:r>
      <w:r w:rsidR="00EC78B2" w:rsidRPr="00EC78B2">
        <w:rPr>
          <w:szCs w:val="18"/>
          <w:lang w:val="es-ES"/>
        </w:rPr>
        <w:t>http://www.wipo.int/edocs/mdocs/tk/e</w:t>
      </w:r>
      <w:r w:rsidR="00EC78B2">
        <w:rPr>
          <w:szCs w:val="18"/>
          <w:lang w:val="es-ES"/>
        </w:rPr>
        <w:t>s</w:t>
      </w:r>
      <w:r w:rsidR="00EC78B2" w:rsidRPr="00EC78B2">
        <w:rPr>
          <w:szCs w:val="18"/>
          <w:lang w:val="es-ES"/>
        </w:rPr>
        <w:t>/wipo_grtkf_ic_3</w:t>
      </w:r>
      <w:r w:rsidR="0083781B">
        <w:rPr>
          <w:szCs w:val="18"/>
          <w:lang w:val="es-ES"/>
        </w:rPr>
        <w:t>1</w:t>
      </w:r>
      <w:r w:rsidR="00EC78B2" w:rsidRPr="00EC78B2">
        <w:rPr>
          <w:szCs w:val="18"/>
          <w:lang w:val="es-ES"/>
        </w:rPr>
        <w:t>/wipo_grtkf_ic_3</w:t>
      </w:r>
      <w:r w:rsidR="0083781B">
        <w:rPr>
          <w:szCs w:val="18"/>
          <w:lang w:val="es-ES"/>
        </w:rPr>
        <w:t>1</w:t>
      </w:r>
      <w:r w:rsidR="00EC78B2" w:rsidRPr="00EC78B2">
        <w:rPr>
          <w:szCs w:val="18"/>
          <w:lang w:val="es-ES"/>
        </w:rPr>
        <w:t>_inf_6.pdf</w:t>
      </w:r>
      <w:r w:rsidRPr="00400959">
        <w:rPr>
          <w:szCs w:val="18"/>
          <w:lang w:val="es-ES"/>
        </w:rPr>
        <w:t>.</w:t>
      </w:r>
    </w:p>
  </w:footnote>
  <w:footnote w:id="7">
    <w:p w:rsidR="00F2293F" w:rsidRPr="009659A2" w:rsidRDefault="00F2293F" w:rsidP="00F2293F">
      <w:pPr>
        <w:pStyle w:val="FootnoteText"/>
        <w:tabs>
          <w:tab w:val="left" w:pos="-3828"/>
        </w:tabs>
        <w:rPr>
          <w:szCs w:val="18"/>
          <w:lang w:val="es-ES_tradnl"/>
        </w:rPr>
      </w:pPr>
      <w:r w:rsidRPr="0043215F">
        <w:rPr>
          <w:rStyle w:val="FootnoteReference"/>
          <w:szCs w:val="18"/>
          <w:lang w:val="es-ES_tradnl"/>
        </w:rPr>
        <w:footnoteRef/>
      </w:r>
      <w:r w:rsidRPr="0043215F">
        <w:rPr>
          <w:szCs w:val="18"/>
          <w:lang w:val="es-ES_tradnl"/>
        </w:rPr>
        <w:t xml:space="preserve"> </w:t>
      </w:r>
      <w:r w:rsidRPr="0043215F">
        <w:rPr>
          <w:szCs w:val="18"/>
          <w:lang w:val="es-ES_tradnl"/>
        </w:rPr>
        <w:tab/>
      </w:r>
      <w:r w:rsidRPr="009659A2">
        <w:rPr>
          <w:szCs w:val="18"/>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8">
    <w:p w:rsidR="00F2293F" w:rsidRPr="009659A2" w:rsidRDefault="00F2293F" w:rsidP="00F2293F">
      <w:pPr>
        <w:tabs>
          <w:tab w:val="left" w:pos="-3828"/>
        </w:tabs>
        <w:rPr>
          <w:sz w:val="18"/>
          <w:szCs w:val="18"/>
          <w:lang w:val="es-ES"/>
        </w:rPr>
      </w:pPr>
      <w:r w:rsidRPr="009659A2">
        <w:rPr>
          <w:rStyle w:val="FootnoteReference"/>
          <w:sz w:val="18"/>
          <w:szCs w:val="18"/>
          <w:lang w:val="es-ES_tradnl"/>
        </w:rPr>
        <w:footnoteRef/>
      </w:r>
      <w:r w:rsidRPr="009659A2">
        <w:rPr>
          <w:sz w:val="18"/>
          <w:szCs w:val="18"/>
          <w:lang w:val="es-ES"/>
        </w:rPr>
        <w:t xml:space="preserve"> </w:t>
      </w:r>
      <w:r w:rsidRPr="009659A2">
        <w:rPr>
          <w:sz w:val="18"/>
          <w:szCs w:val="18"/>
          <w:lang w:val="es-ES"/>
        </w:rPr>
        <w:tab/>
        <w:t xml:space="preserve">A raíz de la retirada de 24 solicitudes recomendadas, del fallecimiento de un beneficiario objeto de recomendación y de </w:t>
      </w:r>
      <w:r>
        <w:rPr>
          <w:sz w:val="18"/>
          <w:szCs w:val="18"/>
          <w:lang w:val="es-ES"/>
        </w:rPr>
        <w:t>14</w:t>
      </w:r>
      <w:r w:rsidRPr="009659A2">
        <w:rPr>
          <w:sz w:val="18"/>
          <w:szCs w:val="18"/>
          <w:lang w:val="es-ES"/>
        </w:rPr>
        <w:t xml:space="preserve"> solicitudes recomendadas que no obtuvieron financiación por falta de fondos suficientes en el Fondo en ese momento.  En las notas informativas del CIG figura la lista de solicitantes que recibieron financiación conforme a las recomendaciones formuladas por la Junta Asesora así como el importe exacto de dinero que se atribuyó a cada uno de ellos.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3C" w:rsidRPr="00296F2F" w:rsidRDefault="00E34E3C" w:rsidP="00477D6B">
    <w:pPr>
      <w:jc w:val="right"/>
      <w:rPr>
        <w:lang w:val="es-ES"/>
      </w:rPr>
    </w:pPr>
    <w:bookmarkStart w:id="5" w:name="Code2"/>
    <w:bookmarkEnd w:id="5"/>
    <w:r w:rsidRPr="00296F2F">
      <w:rPr>
        <w:lang w:val="es-ES"/>
      </w:rPr>
      <w:t>WIPO/GRTKF/IC/</w:t>
    </w:r>
    <w:r w:rsidR="000F5D49">
      <w:rPr>
        <w:lang w:val="es-ES"/>
      </w:rPr>
      <w:t>32</w:t>
    </w:r>
    <w:r w:rsidRPr="00296F2F">
      <w:rPr>
        <w:lang w:val="es-ES"/>
      </w:rPr>
      <w:t>/</w:t>
    </w:r>
    <w:r w:rsidR="00F27998">
      <w:rPr>
        <w:lang w:val="es-ES"/>
      </w:rPr>
      <w:t>3</w:t>
    </w:r>
  </w:p>
  <w:p w:rsidR="00E34E3C" w:rsidRPr="00296F2F" w:rsidRDefault="00E34E3C" w:rsidP="00477D6B">
    <w:pPr>
      <w:jc w:val="right"/>
      <w:rPr>
        <w:lang w:val="es-ES"/>
      </w:rPr>
    </w:pPr>
    <w:r w:rsidRPr="007440DC">
      <w:rPr>
        <w:lang w:val="es-ES"/>
      </w:rPr>
      <w:t>página</w:t>
    </w:r>
    <w:r w:rsidRPr="00296F2F">
      <w:rPr>
        <w:lang w:val="es-ES"/>
      </w:rPr>
      <w:t xml:space="preserve"> </w:t>
    </w:r>
    <w:r>
      <w:fldChar w:fldCharType="begin"/>
    </w:r>
    <w:r w:rsidRPr="00296F2F">
      <w:rPr>
        <w:lang w:val="es-ES"/>
      </w:rPr>
      <w:instrText xml:space="preserve"> PAGE  \* MERGEFORMAT </w:instrText>
    </w:r>
    <w:r>
      <w:fldChar w:fldCharType="separate"/>
    </w:r>
    <w:r w:rsidR="007B300F">
      <w:rPr>
        <w:noProof/>
        <w:lang w:val="es-ES"/>
      </w:rPr>
      <w:t>3</w:t>
    </w:r>
    <w:r>
      <w:fldChar w:fldCharType="end"/>
    </w:r>
  </w:p>
  <w:p w:rsidR="00E34E3C" w:rsidRPr="00296F2F" w:rsidRDefault="00E34E3C"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3F" w:rsidRPr="002526D0" w:rsidRDefault="00F2293F" w:rsidP="000879E6">
    <w:pPr>
      <w:pStyle w:val="Header"/>
      <w:jc w:val="right"/>
      <w:rPr>
        <w:rStyle w:val="PageNumber"/>
      </w:rPr>
    </w:pPr>
    <w:r w:rsidRPr="002526D0">
      <w:rPr>
        <w:rStyle w:val="PageNumber"/>
      </w:rPr>
      <w:t>WIPO/GRTKF/IC/</w:t>
    </w:r>
    <w:r w:rsidR="000F5D49">
      <w:rPr>
        <w:rStyle w:val="PageNumber"/>
      </w:rPr>
      <w:t>32</w:t>
    </w:r>
    <w:r w:rsidRPr="002526D0">
      <w:rPr>
        <w:rStyle w:val="PageNumber"/>
      </w:rPr>
      <w:t>/3</w:t>
    </w:r>
  </w:p>
  <w:p w:rsidR="00F2293F" w:rsidRPr="002D7490" w:rsidRDefault="00F2293F" w:rsidP="000879E6">
    <w:pPr>
      <w:pStyle w:val="Header"/>
      <w:jc w:val="right"/>
      <w:rPr>
        <w:rStyle w:val="PageNumber"/>
        <w:sz w:val="20"/>
      </w:rPr>
    </w:pPr>
    <w:r>
      <w:rPr>
        <w:rStyle w:val="PageNumber"/>
      </w:rPr>
      <w:t xml:space="preserve">Anexo I, página </w:t>
    </w:r>
    <w:r w:rsidRPr="002D7490">
      <w:rPr>
        <w:rStyle w:val="PageNumber"/>
      </w:rPr>
      <w:fldChar w:fldCharType="begin"/>
    </w:r>
    <w:r w:rsidRPr="002D7490">
      <w:rPr>
        <w:rStyle w:val="PageNumber"/>
      </w:rPr>
      <w:instrText xml:space="preserve"> PAGE   \* MERGEFORMAT </w:instrText>
    </w:r>
    <w:r w:rsidRPr="002D7490">
      <w:rPr>
        <w:rStyle w:val="PageNumber"/>
      </w:rPr>
      <w:fldChar w:fldCharType="separate"/>
    </w:r>
    <w:r w:rsidR="007B300F">
      <w:rPr>
        <w:rStyle w:val="PageNumber"/>
        <w:noProof/>
      </w:rPr>
      <w:t>6</w:t>
    </w:r>
    <w:r w:rsidRPr="002D7490">
      <w:rPr>
        <w:rStyle w:val="PageNumber"/>
        <w:noProof/>
      </w:rPr>
      <w:fldChar w:fldCharType="end"/>
    </w:r>
  </w:p>
  <w:p w:rsidR="00F2293F" w:rsidRPr="002D7490" w:rsidRDefault="00F2293F" w:rsidP="000879E6">
    <w:pPr>
      <w:pStyle w:val="Header"/>
      <w:jc w:val="right"/>
      <w:rPr>
        <w:rStyle w:val="PageNumber"/>
      </w:rPr>
    </w:pPr>
  </w:p>
  <w:p w:rsidR="00F2293F" w:rsidRPr="002D7490" w:rsidRDefault="00F2293F"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3F" w:rsidRPr="002D7490" w:rsidRDefault="00F2293F" w:rsidP="00B77C83">
    <w:pPr>
      <w:pStyle w:val="Header"/>
      <w:jc w:val="right"/>
      <w:rPr>
        <w:rStyle w:val="PageNumber"/>
      </w:rPr>
    </w:pPr>
    <w:r w:rsidRPr="002D7490">
      <w:rPr>
        <w:rStyle w:val="PageNumber"/>
      </w:rPr>
      <w:t>WIPO/GRTKF/IC/</w:t>
    </w:r>
    <w:r w:rsidR="000F5D49">
      <w:rPr>
        <w:rStyle w:val="PageNumber"/>
      </w:rPr>
      <w:t>32</w:t>
    </w:r>
    <w:r w:rsidRPr="002D7490">
      <w:rPr>
        <w:rStyle w:val="PageNumber"/>
      </w:rPr>
      <w:t>/3</w:t>
    </w:r>
  </w:p>
  <w:p w:rsidR="00F2293F" w:rsidRPr="002D7490" w:rsidRDefault="00F2293F" w:rsidP="000879E6">
    <w:pPr>
      <w:pStyle w:val="Header"/>
      <w:jc w:val="right"/>
    </w:pPr>
    <w:r w:rsidRPr="002D7490">
      <w:rPr>
        <w:rStyle w:val="PageNumber"/>
      </w:rPr>
      <w:t>ANEXO I</w:t>
    </w:r>
  </w:p>
  <w:p w:rsidR="00F2293F" w:rsidRPr="002D7490" w:rsidRDefault="00F2293F" w:rsidP="000879E6">
    <w:pPr>
      <w:pStyle w:val="Header"/>
      <w:jc w:val="right"/>
    </w:pPr>
  </w:p>
  <w:p w:rsidR="00F2293F" w:rsidRPr="002D7490" w:rsidRDefault="00F2293F" w:rsidP="000879E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98" w:rsidRPr="006D2F71" w:rsidRDefault="00F27998" w:rsidP="00477D6B">
    <w:pPr>
      <w:jc w:val="right"/>
      <w:rPr>
        <w:lang w:val="pt-PT"/>
      </w:rPr>
    </w:pPr>
    <w:r>
      <w:rPr>
        <w:lang w:val="pt-PT"/>
      </w:rPr>
      <w:t>WIPO/GRTKF/IC/3</w:t>
    </w:r>
    <w:r w:rsidR="00563C2B">
      <w:rPr>
        <w:lang w:val="pt-PT"/>
      </w:rPr>
      <w:t>2</w:t>
    </w:r>
    <w:r>
      <w:rPr>
        <w:lang w:val="pt-PT"/>
      </w:rPr>
      <w:t>/3</w:t>
    </w:r>
  </w:p>
  <w:p w:rsidR="00F27998" w:rsidRPr="006D2F71" w:rsidRDefault="00F27998" w:rsidP="00477D6B">
    <w:pPr>
      <w:jc w:val="right"/>
      <w:rPr>
        <w:lang w:val="pt-PT"/>
      </w:rPr>
    </w:pPr>
    <w:r w:rsidRPr="006D2F71">
      <w:rPr>
        <w:lang w:val="pt-PT"/>
      </w:rPr>
      <w:t>Anexo</w:t>
    </w:r>
    <w:r>
      <w:rPr>
        <w:lang w:val="pt-PT"/>
      </w:rPr>
      <w:t xml:space="preserve"> II</w:t>
    </w:r>
    <w:r w:rsidRPr="006D2F71">
      <w:rPr>
        <w:lang w:val="pt-PT"/>
      </w:rPr>
      <w:t xml:space="preserve">, página </w:t>
    </w:r>
    <w:r>
      <w:fldChar w:fldCharType="begin"/>
    </w:r>
    <w:r w:rsidRPr="006D2F71">
      <w:rPr>
        <w:lang w:val="pt-PT"/>
      </w:rPr>
      <w:instrText xml:space="preserve"> PAGE  \* MERGEFORMAT </w:instrText>
    </w:r>
    <w:r>
      <w:fldChar w:fldCharType="separate"/>
    </w:r>
    <w:r w:rsidR="007B300F">
      <w:rPr>
        <w:noProof/>
        <w:lang w:val="pt-PT"/>
      </w:rPr>
      <w:t>5</w:t>
    </w:r>
    <w:r>
      <w:fldChar w:fldCharType="end"/>
    </w:r>
  </w:p>
  <w:p w:rsidR="00F27998" w:rsidRPr="006D2F71" w:rsidRDefault="00F27998" w:rsidP="00477D6B">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F27998" w:rsidP="000879E6">
    <w:pPr>
      <w:pStyle w:val="Header"/>
      <w:jc w:val="right"/>
      <w:rPr>
        <w:rStyle w:val="PageNumber"/>
      </w:rPr>
    </w:pPr>
    <w:r w:rsidRPr="002526D0">
      <w:rPr>
        <w:rStyle w:val="PageNumber"/>
      </w:rPr>
      <w:t>WIPO/GRTKF/IC/</w:t>
    </w:r>
    <w:r w:rsidR="000F5D49">
      <w:rPr>
        <w:rStyle w:val="PageNumber"/>
      </w:rPr>
      <w:t>32</w:t>
    </w:r>
    <w:r w:rsidRPr="002526D0">
      <w:rPr>
        <w:rStyle w:val="PageNumber"/>
      </w:rPr>
      <w:t>/3</w:t>
    </w:r>
  </w:p>
  <w:p w:rsidR="000B7639" w:rsidRPr="002526D0" w:rsidRDefault="00F27998" w:rsidP="000879E6">
    <w:pPr>
      <w:pStyle w:val="Header"/>
      <w:jc w:val="right"/>
      <w:rPr>
        <w:sz w:val="20"/>
      </w:rPr>
    </w:pPr>
    <w:r w:rsidRPr="002526D0">
      <w:rPr>
        <w:rStyle w:val="PageNumber"/>
      </w:rPr>
      <w:t>A</w:t>
    </w:r>
    <w:r>
      <w:rPr>
        <w:rStyle w:val="PageNumber"/>
      </w:rPr>
      <w:t>NEXO</w:t>
    </w:r>
    <w:r w:rsidRPr="002526D0">
      <w:rPr>
        <w:rStyle w:val="PageNumber"/>
      </w:rPr>
      <w:t xml:space="preserve"> II</w:t>
    </w:r>
  </w:p>
  <w:p w:rsidR="000B7639" w:rsidRPr="00FD1CA9" w:rsidRDefault="007B300F" w:rsidP="000879E6">
    <w:pPr>
      <w:pStyle w:val="Header"/>
      <w:jc w:val="right"/>
      <w:rPr>
        <w:sz w:val="20"/>
      </w:rPr>
    </w:pPr>
  </w:p>
  <w:p w:rsidR="000B7639" w:rsidRPr="00FD1CA9" w:rsidRDefault="007B300F"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CDD"/>
    <w:multiLevelType w:val="hybridMultilevel"/>
    <w:tmpl w:val="2CE01278"/>
    <w:lvl w:ilvl="0" w:tplc="0902E2D8">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1B82EC6"/>
    <w:multiLevelType w:val="hybridMultilevel"/>
    <w:tmpl w:val="D71CCA7C"/>
    <w:lvl w:ilvl="0" w:tplc="9210DB6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9C4476"/>
    <w:multiLevelType w:val="hybridMultilevel"/>
    <w:tmpl w:val="20720E3A"/>
    <w:lvl w:ilvl="0" w:tplc="982EC6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6">
    <w:nsid w:val="14757A75"/>
    <w:multiLevelType w:val="hybridMultilevel"/>
    <w:tmpl w:val="C428C9D2"/>
    <w:lvl w:ilvl="0" w:tplc="BC20A60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B733D71"/>
    <w:multiLevelType w:val="hybridMultilevel"/>
    <w:tmpl w:val="5FD61912"/>
    <w:lvl w:ilvl="0" w:tplc="0F185A9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1C9D5C46"/>
    <w:multiLevelType w:val="hybridMultilevel"/>
    <w:tmpl w:val="6BDC6264"/>
    <w:lvl w:ilvl="0" w:tplc="F7E849BE">
      <w:start w:val="3"/>
      <w:numFmt w:val="bullet"/>
      <w:lvlText w:val="-"/>
      <w:lvlJc w:val="left"/>
      <w:pPr>
        <w:ind w:left="720" w:hanging="360"/>
      </w:pPr>
      <w:rPr>
        <w:rFonts w:ascii="Times New Roman" w:eastAsia="Times New Roman" w:hAnsi="Times New Roman" w:cs="Times New Roman" w:hint="default"/>
        <w:b/>
        <w:lang w:val="es-E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F145AB"/>
    <w:multiLevelType w:val="hybridMultilevel"/>
    <w:tmpl w:val="09D23424"/>
    <w:lvl w:ilvl="0" w:tplc="BEF8CFF4">
      <w:start w:val="1"/>
      <w:numFmt w:val="bullet"/>
      <w:lvlText w:val="­"/>
      <w:lvlJc w:val="left"/>
      <w:pPr>
        <w:ind w:left="720" w:hanging="360"/>
      </w:pPr>
      <w:rPr>
        <w:rFonts w:ascii="Courier New" w:hAnsi="Courier New"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581734"/>
    <w:multiLevelType w:val="hybridMultilevel"/>
    <w:tmpl w:val="CE646700"/>
    <w:lvl w:ilvl="0" w:tplc="025286CC">
      <w:start w:val="13"/>
      <w:numFmt w:val="bullet"/>
      <w:lvlText w:val="-"/>
      <w:lvlJc w:val="left"/>
      <w:pPr>
        <w:ind w:left="450" w:hanging="360"/>
      </w:pPr>
      <w:rPr>
        <w:rFonts w:ascii="Arial" w:eastAsia="Times New Roman" w:hAnsi="Arial" w:hint="default"/>
        <w:b w:val="0"/>
        <w:u w:val="none"/>
        <w:lang w:val="es-ES"/>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A0F3811"/>
    <w:multiLevelType w:val="hybridMultilevel"/>
    <w:tmpl w:val="DF9C05EE"/>
    <w:lvl w:ilvl="0" w:tplc="13E45D2A">
      <w:start w:val="1"/>
      <w:numFmt w:val="bullet"/>
      <w:lvlText w:val="­"/>
      <w:lvlJc w:val="right"/>
      <w:pPr>
        <w:ind w:left="720" w:hanging="360"/>
      </w:pPr>
      <w:rPr>
        <w:rFonts w:ascii="Courier New" w:hAnsi="Courier New" w:hint="default"/>
      </w:rPr>
    </w:lvl>
    <w:lvl w:ilvl="1" w:tplc="FD2082F0">
      <w:start w:val="1"/>
      <w:numFmt w:val="bullet"/>
      <w:lvlText w:val="­"/>
      <w:lvlJc w:val="left"/>
      <w:pPr>
        <w:ind w:left="45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D123E"/>
    <w:multiLevelType w:val="hybridMultilevel"/>
    <w:tmpl w:val="8C2CD488"/>
    <w:lvl w:ilvl="0" w:tplc="13E45D2A">
      <w:start w:val="1"/>
      <w:numFmt w:val="bullet"/>
      <w:lvlText w:val="­"/>
      <w:lvlJc w:val="right"/>
      <w:pPr>
        <w:ind w:left="720" w:hanging="360"/>
      </w:pPr>
      <w:rPr>
        <w:rFonts w:ascii="Courier New" w:hAnsi="Courier New" w:hint="default"/>
      </w:rPr>
    </w:lvl>
    <w:lvl w:ilvl="1" w:tplc="00A646BE">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8">
    <w:nsid w:val="3AD35F82"/>
    <w:multiLevelType w:val="hybridMultilevel"/>
    <w:tmpl w:val="B08429D2"/>
    <w:lvl w:ilvl="0" w:tplc="51AC9B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9">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0">
    <w:nsid w:val="40041C32"/>
    <w:multiLevelType w:val="hybridMultilevel"/>
    <w:tmpl w:val="3A042250"/>
    <w:lvl w:ilvl="0" w:tplc="E0023724">
      <w:start w:val="1"/>
      <w:numFmt w:val="bullet"/>
      <w:lvlText w:val="­"/>
      <w:lvlJc w:val="left"/>
      <w:pPr>
        <w:ind w:left="1080" w:hanging="360"/>
      </w:pPr>
      <w:rPr>
        <w:rFonts w:ascii="Courier New" w:hAnsi="Courier New" w:hint="default"/>
        <w:lang w:val="es-E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E30116"/>
    <w:multiLevelType w:val="hybridMultilevel"/>
    <w:tmpl w:val="1CA8C178"/>
    <w:lvl w:ilvl="0" w:tplc="13E45D2A">
      <w:start w:val="1"/>
      <w:numFmt w:val="bullet"/>
      <w:lvlText w:val="­"/>
      <w:lvlJc w:val="right"/>
      <w:pPr>
        <w:ind w:left="720" w:hanging="360"/>
      </w:pPr>
      <w:rPr>
        <w:rFonts w:ascii="Courier New" w:hAnsi="Courier New" w:hint="default"/>
      </w:rPr>
    </w:lvl>
    <w:lvl w:ilvl="1" w:tplc="8C80AAD2">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5">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8">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9">
    <w:nsid w:val="59FC5E36"/>
    <w:multiLevelType w:val="hybridMultilevel"/>
    <w:tmpl w:val="90184A30"/>
    <w:lvl w:ilvl="0" w:tplc="7B18E726">
      <w:start w:val="1"/>
      <w:numFmt w:val="bullet"/>
      <w:lvlText w:val="­"/>
      <w:lvlJc w:val="left"/>
      <w:pPr>
        <w:ind w:left="719" w:hanging="360"/>
      </w:pPr>
      <w:rPr>
        <w:rFonts w:ascii="Courier New" w:hAnsi="Courier New" w:hint="default"/>
        <w:lang w:val="es-ES"/>
      </w:rPr>
    </w:lvl>
    <w:lvl w:ilvl="1" w:tplc="B3624D16">
      <w:numFmt w:val="bullet"/>
      <w:lvlText w:val="-"/>
      <w:lvlJc w:val="left"/>
      <w:pPr>
        <w:ind w:left="1439" w:hanging="360"/>
      </w:pPr>
      <w:rPr>
        <w:rFonts w:ascii="Arial" w:eastAsia="Arial"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0">
    <w:nsid w:val="6BB07F8E"/>
    <w:multiLevelType w:val="hybridMultilevel"/>
    <w:tmpl w:val="CA362D92"/>
    <w:lvl w:ilvl="0" w:tplc="43D01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EE75829"/>
    <w:multiLevelType w:val="hybridMultilevel"/>
    <w:tmpl w:val="2A22A2E4"/>
    <w:lvl w:ilvl="0" w:tplc="9E906218">
      <w:start w:val="3"/>
      <w:numFmt w:val="bullet"/>
      <w:lvlText w:val="-"/>
      <w:lvlJc w:val="left"/>
      <w:pPr>
        <w:tabs>
          <w:tab w:val="num" w:pos="720"/>
        </w:tabs>
        <w:ind w:left="720" w:hanging="360"/>
      </w:pPr>
      <w:rPr>
        <w:rFonts w:ascii="Times New Roman" w:eastAsia="Times New Roman" w:hAnsi="Times New Roman" w:cs="Times New Roman" w:hint="default"/>
        <w:lang w:val="es-E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3"/>
  </w:num>
  <w:num w:numId="3">
    <w:abstractNumId w:val="10"/>
  </w:num>
  <w:num w:numId="4">
    <w:abstractNumId w:val="24"/>
  </w:num>
  <w:num w:numId="5">
    <w:abstractNumId w:val="25"/>
  </w:num>
  <w:num w:numId="6">
    <w:abstractNumId w:val="32"/>
  </w:num>
  <w:num w:numId="7">
    <w:abstractNumId w:val="11"/>
  </w:num>
  <w:num w:numId="8">
    <w:abstractNumId w:val="29"/>
  </w:num>
  <w:num w:numId="9">
    <w:abstractNumId w:val="9"/>
  </w:num>
  <w:num w:numId="10">
    <w:abstractNumId w:val="8"/>
  </w:num>
  <w:num w:numId="11">
    <w:abstractNumId w:val="21"/>
  </w:num>
  <w:num w:numId="12">
    <w:abstractNumId w:val="13"/>
  </w:num>
  <w:num w:numId="13">
    <w:abstractNumId w:val="12"/>
  </w:num>
  <w:num w:numId="14">
    <w:abstractNumId w:val="20"/>
  </w:num>
  <w:num w:numId="15">
    <w:abstractNumId w:val="6"/>
  </w:num>
  <w:num w:numId="16">
    <w:abstractNumId w:val="23"/>
  </w:num>
  <w:num w:numId="17">
    <w:abstractNumId w:val="28"/>
  </w:num>
  <w:num w:numId="18">
    <w:abstractNumId w:val="34"/>
  </w:num>
  <w:num w:numId="19">
    <w:abstractNumId w:val="16"/>
  </w:num>
  <w:num w:numId="20">
    <w:abstractNumId w:val="19"/>
  </w:num>
  <w:num w:numId="21">
    <w:abstractNumId w:val="5"/>
  </w:num>
  <w:num w:numId="22">
    <w:abstractNumId w:val="26"/>
  </w:num>
  <w:num w:numId="23">
    <w:abstractNumId w:val="17"/>
  </w:num>
  <w:num w:numId="24">
    <w:abstractNumId w:val="27"/>
  </w:num>
  <w:num w:numId="25">
    <w:abstractNumId w:val="36"/>
  </w:num>
  <w:num w:numId="26">
    <w:abstractNumId w:val="31"/>
  </w:num>
  <w:num w:numId="27">
    <w:abstractNumId w:val="14"/>
  </w:num>
  <w:num w:numId="28">
    <w:abstractNumId w:val="35"/>
  </w:num>
  <w:num w:numId="29">
    <w:abstractNumId w:val="4"/>
  </w:num>
  <w:num w:numId="30">
    <w:abstractNumId w:val="15"/>
  </w:num>
  <w:num w:numId="31">
    <w:abstractNumId w:val="33"/>
  </w:num>
  <w:num w:numId="32">
    <w:abstractNumId w:val="30"/>
  </w:num>
  <w:num w:numId="33">
    <w:abstractNumId w:val="2"/>
  </w:num>
  <w:num w:numId="34">
    <w:abstractNumId w:val="1"/>
  </w:num>
  <w:num w:numId="35">
    <w:abstractNumId w:val="0"/>
  </w:num>
  <w:num w:numId="36">
    <w:abstractNumId w:val="7"/>
  </w:num>
  <w:num w:numId="37">
    <w:abstractNumId w:val="1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969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25161"/>
    <w:rsid w:val="0003026A"/>
    <w:rsid w:val="00034E6A"/>
    <w:rsid w:val="0004113C"/>
    <w:rsid w:val="00043CAA"/>
    <w:rsid w:val="00045FA4"/>
    <w:rsid w:val="000564DE"/>
    <w:rsid w:val="00060B1C"/>
    <w:rsid w:val="00074E67"/>
    <w:rsid w:val="00075432"/>
    <w:rsid w:val="00076265"/>
    <w:rsid w:val="00094E7B"/>
    <w:rsid w:val="000968ED"/>
    <w:rsid w:val="000B054C"/>
    <w:rsid w:val="000B4124"/>
    <w:rsid w:val="000B47FC"/>
    <w:rsid w:val="000C7425"/>
    <w:rsid w:val="000D1775"/>
    <w:rsid w:val="000D3583"/>
    <w:rsid w:val="000D44C6"/>
    <w:rsid w:val="000D52CA"/>
    <w:rsid w:val="000D6656"/>
    <w:rsid w:val="000D690A"/>
    <w:rsid w:val="000E2132"/>
    <w:rsid w:val="000E32BB"/>
    <w:rsid w:val="000E72CA"/>
    <w:rsid w:val="000F3886"/>
    <w:rsid w:val="000F5D49"/>
    <w:rsid w:val="000F5E56"/>
    <w:rsid w:val="000F7217"/>
    <w:rsid w:val="001011D2"/>
    <w:rsid w:val="001031A1"/>
    <w:rsid w:val="0010357F"/>
    <w:rsid w:val="00104AEB"/>
    <w:rsid w:val="001059FC"/>
    <w:rsid w:val="00130953"/>
    <w:rsid w:val="001362EE"/>
    <w:rsid w:val="00143EB0"/>
    <w:rsid w:val="0014698C"/>
    <w:rsid w:val="00146C9D"/>
    <w:rsid w:val="0015232D"/>
    <w:rsid w:val="00155D0B"/>
    <w:rsid w:val="0016654C"/>
    <w:rsid w:val="00167DDA"/>
    <w:rsid w:val="00182C8C"/>
    <w:rsid w:val="00182F3C"/>
    <w:rsid w:val="001832A6"/>
    <w:rsid w:val="0018397E"/>
    <w:rsid w:val="001A1A38"/>
    <w:rsid w:val="001A7750"/>
    <w:rsid w:val="001C1D99"/>
    <w:rsid w:val="001C2D72"/>
    <w:rsid w:val="001E6C4F"/>
    <w:rsid w:val="001F4005"/>
    <w:rsid w:val="002058BD"/>
    <w:rsid w:val="00221B16"/>
    <w:rsid w:val="00221C49"/>
    <w:rsid w:val="0022396F"/>
    <w:rsid w:val="00225773"/>
    <w:rsid w:val="00231FD1"/>
    <w:rsid w:val="00247F37"/>
    <w:rsid w:val="0025117A"/>
    <w:rsid w:val="002634C4"/>
    <w:rsid w:val="00270768"/>
    <w:rsid w:val="00282252"/>
    <w:rsid w:val="002928D3"/>
    <w:rsid w:val="00296F2F"/>
    <w:rsid w:val="002A1CDD"/>
    <w:rsid w:val="002B16C8"/>
    <w:rsid w:val="002B2725"/>
    <w:rsid w:val="002B7814"/>
    <w:rsid w:val="002C0063"/>
    <w:rsid w:val="002D59C0"/>
    <w:rsid w:val="002F1FE6"/>
    <w:rsid w:val="002F3EBD"/>
    <w:rsid w:val="002F4E68"/>
    <w:rsid w:val="002F6443"/>
    <w:rsid w:val="00311087"/>
    <w:rsid w:val="00312F7F"/>
    <w:rsid w:val="00314E07"/>
    <w:rsid w:val="00314E30"/>
    <w:rsid w:val="00321D02"/>
    <w:rsid w:val="00321E95"/>
    <w:rsid w:val="0032638B"/>
    <w:rsid w:val="003315E3"/>
    <w:rsid w:val="00333DD0"/>
    <w:rsid w:val="00337E86"/>
    <w:rsid w:val="003428C2"/>
    <w:rsid w:val="00342CA2"/>
    <w:rsid w:val="00345B15"/>
    <w:rsid w:val="0036035F"/>
    <w:rsid w:val="00361450"/>
    <w:rsid w:val="00362A7B"/>
    <w:rsid w:val="00363ABA"/>
    <w:rsid w:val="003644CC"/>
    <w:rsid w:val="00366A61"/>
    <w:rsid w:val="003673CF"/>
    <w:rsid w:val="00374900"/>
    <w:rsid w:val="003826EA"/>
    <w:rsid w:val="003845C1"/>
    <w:rsid w:val="003950E5"/>
    <w:rsid w:val="00395D2D"/>
    <w:rsid w:val="003A2633"/>
    <w:rsid w:val="003A3D0E"/>
    <w:rsid w:val="003A6F89"/>
    <w:rsid w:val="003B2B8B"/>
    <w:rsid w:val="003B38C1"/>
    <w:rsid w:val="003F320C"/>
    <w:rsid w:val="00412C61"/>
    <w:rsid w:val="00414793"/>
    <w:rsid w:val="00416016"/>
    <w:rsid w:val="0042230B"/>
    <w:rsid w:val="0042334B"/>
    <w:rsid w:val="00423E3E"/>
    <w:rsid w:val="0042516C"/>
    <w:rsid w:val="00427AF4"/>
    <w:rsid w:val="00431E2E"/>
    <w:rsid w:val="004339FE"/>
    <w:rsid w:val="00436AA7"/>
    <w:rsid w:val="00440B71"/>
    <w:rsid w:val="00446D8E"/>
    <w:rsid w:val="004526E4"/>
    <w:rsid w:val="00456334"/>
    <w:rsid w:val="0046050B"/>
    <w:rsid w:val="0046339D"/>
    <w:rsid w:val="004647DA"/>
    <w:rsid w:val="00466769"/>
    <w:rsid w:val="00470182"/>
    <w:rsid w:val="0047373C"/>
    <w:rsid w:val="00474062"/>
    <w:rsid w:val="0047695A"/>
    <w:rsid w:val="00477D6B"/>
    <w:rsid w:val="00481B56"/>
    <w:rsid w:val="00482EC2"/>
    <w:rsid w:val="00485C67"/>
    <w:rsid w:val="00496E38"/>
    <w:rsid w:val="004A54EF"/>
    <w:rsid w:val="004A70CA"/>
    <w:rsid w:val="004A79D2"/>
    <w:rsid w:val="004B3B94"/>
    <w:rsid w:val="004B6771"/>
    <w:rsid w:val="004C1546"/>
    <w:rsid w:val="004C2215"/>
    <w:rsid w:val="004C382A"/>
    <w:rsid w:val="004C4E9F"/>
    <w:rsid w:val="004D6911"/>
    <w:rsid w:val="004D6F96"/>
    <w:rsid w:val="004D7C81"/>
    <w:rsid w:val="004E10C4"/>
    <w:rsid w:val="004E1709"/>
    <w:rsid w:val="004E4447"/>
    <w:rsid w:val="004F43E7"/>
    <w:rsid w:val="005019FF"/>
    <w:rsid w:val="0050419D"/>
    <w:rsid w:val="00510EE8"/>
    <w:rsid w:val="00522A02"/>
    <w:rsid w:val="00524FAA"/>
    <w:rsid w:val="0053057A"/>
    <w:rsid w:val="00530E68"/>
    <w:rsid w:val="005536C6"/>
    <w:rsid w:val="00553D5E"/>
    <w:rsid w:val="00560A29"/>
    <w:rsid w:val="0056187F"/>
    <w:rsid w:val="00563C2B"/>
    <w:rsid w:val="00571F42"/>
    <w:rsid w:val="005734EA"/>
    <w:rsid w:val="0057535D"/>
    <w:rsid w:val="005957EB"/>
    <w:rsid w:val="005A1D95"/>
    <w:rsid w:val="005A4A15"/>
    <w:rsid w:val="005C6649"/>
    <w:rsid w:val="005D2E23"/>
    <w:rsid w:val="005D598D"/>
    <w:rsid w:val="005E225C"/>
    <w:rsid w:val="00604A21"/>
    <w:rsid w:val="00605827"/>
    <w:rsid w:val="0061243C"/>
    <w:rsid w:val="00622518"/>
    <w:rsid w:val="00625A46"/>
    <w:rsid w:val="006271CE"/>
    <w:rsid w:val="006361E6"/>
    <w:rsid w:val="006375AD"/>
    <w:rsid w:val="00637CA1"/>
    <w:rsid w:val="00646050"/>
    <w:rsid w:val="00655413"/>
    <w:rsid w:val="00655622"/>
    <w:rsid w:val="00656004"/>
    <w:rsid w:val="00657B71"/>
    <w:rsid w:val="006713CA"/>
    <w:rsid w:val="0067252B"/>
    <w:rsid w:val="00676C5C"/>
    <w:rsid w:val="00681A0B"/>
    <w:rsid w:val="00683616"/>
    <w:rsid w:val="006877A6"/>
    <w:rsid w:val="006936CA"/>
    <w:rsid w:val="006A034F"/>
    <w:rsid w:val="006B4668"/>
    <w:rsid w:val="006C1BA3"/>
    <w:rsid w:val="006D12EB"/>
    <w:rsid w:val="006D2F71"/>
    <w:rsid w:val="006D6623"/>
    <w:rsid w:val="006D7A9A"/>
    <w:rsid w:val="006E1BA9"/>
    <w:rsid w:val="006E7172"/>
    <w:rsid w:val="006F04FE"/>
    <w:rsid w:val="006F22AA"/>
    <w:rsid w:val="006F734C"/>
    <w:rsid w:val="007045E0"/>
    <w:rsid w:val="007072D6"/>
    <w:rsid w:val="00710337"/>
    <w:rsid w:val="00710E2F"/>
    <w:rsid w:val="007157D1"/>
    <w:rsid w:val="00733723"/>
    <w:rsid w:val="00741D5F"/>
    <w:rsid w:val="007427D2"/>
    <w:rsid w:val="007440DC"/>
    <w:rsid w:val="00747CEF"/>
    <w:rsid w:val="00754B67"/>
    <w:rsid w:val="00780036"/>
    <w:rsid w:val="0078689C"/>
    <w:rsid w:val="007A7826"/>
    <w:rsid w:val="007B300F"/>
    <w:rsid w:val="007C62DD"/>
    <w:rsid w:val="007D1613"/>
    <w:rsid w:val="007D456B"/>
    <w:rsid w:val="008030F2"/>
    <w:rsid w:val="0080527C"/>
    <w:rsid w:val="008171F8"/>
    <w:rsid w:val="0081774F"/>
    <w:rsid w:val="00821366"/>
    <w:rsid w:val="00824AC1"/>
    <w:rsid w:val="00824CEF"/>
    <w:rsid w:val="00826009"/>
    <w:rsid w:val="00832B13"/>
    <w:rsid w:val="0083781B"/>
    <w:rsid w:val="008421CD"/>
    <w:rsid w:val="0085020F"/>
    <w:rsid w:val="00850556"/>
    <w:rsid w:val="0085590F"/>
    <w:rsid w:val="008566D9"/>
    <w:rsid w:val="00863989"/>
    <w:rsid w:val="00866D5B"/>
    <w:rsid w:val="00872270"/>
    <w:rsid w:val="00881728"/>
    <w:rsid w:val="00894779"/>
    <w:rsid w:val="008949DE"/>
    <w:rsid w:val="008A01A4"/>
    <w:rsid w:val="008B2CC1"/>
    <w:rsid w:val="008B60B2"/>
    <w:rsid w:val="008C57E4"/>
    <w:rsid w:val="008D380A"/>
    <w:rsid w:val="008F590F"/>
    <w:rsid w:val="00902125"/>
    <w:rsid w:val="009024A1"/>
    <w:rsid w:val="0090646F"/>
    <w:rsid w:val="0090731E"/>
    <w:rsid w:val="00907A35"/>
    <w:rsid w:val="00915660"/>
    <w:rsid w:val="00916EE2"/>
    <w:rsid w:val="00922372"/>
    <w:rsid w:val="009318CE"/>
    <w:rsid w:val="00934B09"/>
    <w:rsid w:val="009362CF"/>
    <w:rsid w:val="009441BC"/>
    <w:rsid w:val="009458A8"/>
    <w:rsid w:val="0095378F"/>
    <w:rsid w:val="00965F55"/>
    <w:rsid w:val="009664B5"/>
    <w:rsid w:val="00966A22"/>
    <w:rsid w:val="0096722F"/>
    <w:rsid w:val="00972074"/>
    <w:rsid w:val="00976194"/>
    <w:rsid w:val="00980843"/>
    <w:rsid w:val="009931F8"/>
    <w:rsid w:val="00993649"/>
    <w:rsid w:val="00997FCD"/>
    <w:rsid w:val="009A2ED7"/>
    <w:rsid w:val="009A58DA"/>
    <w:rsid w:val="009B5532"/>
    <w:rsid w:val="009C1E64"/>
    <w:rsid w:val="009C2916"/>
    <w:rsid w:val="009C42CB"/>
    <w:rsid w:val="009C75E5"/>
    <w:rsid w:val="009D07C4"/>
    <w:rsid w:val="009D6ADF"/>
    <w:rsid w:val="009E2791"/>
    <w:rsid w:val="009E3F6F"/>
    <w:rsid w:val="009F05E9"/>
    <w:rsid w:val="009F499F"/>
    <w:rsid w:val="009F78B5"/>
    <w:rsid w:val="00A11425"/>
    <w:rsid w:val="00A17561"/>
    <w:rsid w:val="00A25E8C"/>
    <w:rsid w:val="00A263C0"/>
    <w:rsid w:val="00A3454F"/>
    <w:rsid w:val="00A34FCC"/>
    <w:rsid w:val="00A3565C"/>
    <w:rsid w:val="00A374FD"/>
    <w:rsid w:val="00A42DAF"/>
    <w:rsid w:val="00A45BD8"/>
    <w:rsid w:val="00A548BA"/>
    <w:rsid w:val="00A6159E"/>
    <w:rsid w:val="00A643A9"/>
    <w:rsid w:val="00A84C18"/>
    <w:rsid w:val="00A85C44"/>
    <w:rsid w:val="00A869B7"/>
    <w:rsid w:val="00A91862"/>
    <w:rsid w:val="00A967BF"/>
    <w:rsid w:val="00A97630"/>
    <w:rsid w:val="00AA2E65"/>
    <w:rsid w:val="00AA7021"/>
    <w:rsid w:val="00AC0110"/>
    <w:rsid w:val="00AC1E04"/>
    <w:rsid w:val="00AC205C"/>
    <w:rsid w:val="00AD3217"/>
    <w:rsid w:val="00AF0A6B"/>
    <w:rsid w:val="00AF2B36"/>
    <w:rsid w:val="00AF4665"/>
    <w:rsid w:val="00AF565C"/>
    <w:rsid w:val="00B05A69"/>
    <w:rsid w:val="00B213F2"/>
    <w:rsid w:val="00B30BEE"/>
    <w:rsid w:val="00B30DC2"/>
    <w:rsid w:val="00B36559"/>
    <w:rsid w:val="00B4005E"/>
    <w:rsid w:val="00B4096D"/>
    <w:rsid w:val="00B43E02"/>
    <w:rsid w:val="00B610C5"/>
    <w:rsid w:val="00B65818"/>
    <w:rsid w:val="00B65A1D"/>
    <w:rsid w:val="00B715CF"/>
    <w:rsid w:val="00B760BA"/>
    <w:rsid w:val="00B77C83"/>
    <w:rsid w:val="00B87689"/>
    <w:rsid w:val="00B9589B"/>
    <w:rsid w:val="00B9734B"/>
    <w:rsid w:val="00BA1972"/>
    <w:rsid w:val="00BB5CE9"/>
    <w:rsid w:val="00BC08BF"/>
    <w:rsid w:val="00BD1067"/>
    <w:rsid w:val="00BE1342"/>
    <w:rsid w:val="00BE2F3A"/>
    <w:rsid w:val="00BE77C3"/>
    <w:rsid w:val="00BF4E22"/>
    <w:rsid w:val="00BF53AF"/>
    <w:rsid w:val="00C0218E"/>
    <w:rsid w:val="00C1071C"/>
    <w:rsid w:val="00C11BFE"/>
    <w:rsid w:val="00C14B49"/>
    <w:rsid w:val="00C24890"/>
    <w:rsid w:val="00C276B3"/>
    <w:rsid w:val="00C33C66"/>
    <w:rsid w:val="00C54BEF"/>
    <w:rsid w:val="00C64D57"/>
    <w:rsid w:val="00C678D9"/>
    <w:rsid w:val="00C760DD"/>
    <w:rsid w:val="00C9387A"/>
    <w:rsid w:val="00CA2DBA"/>
    <w:rsid w:val="00CB3022"/>
    <w:rsid w:val="00CB6F18"/>
    <w:rsid w:val="00CB79CA"/>
    <w:rsid w:val="00CC170C"/>
    <w:rsid w:val="00CC635A"/>
    <w:rsid w:val="00CD4ACB"/>
    <w:rsid w:val="00CF2EE1"/>
    <w:rsid w:val="00CF4996"/>
    <w:rsid w:val="00CF4C92"/>
    <w:rsid w:val="00D01586"/>
    <w:rsid w:val="00D01A8D"/>
    <w:rsid w:val="00D159C9"/>
    <w:rsid w:val="00D22EC1"/>
    <w:rsid w:val="00D3631E"/>
    <w:rsid w:val="00D45252"/>
    <w:rsid w:val="00D60D2E"/>
    <w:rsid w:val="00D71B4D"/>
    <w:rsid w:val="00D85A65"/>
    <w:rsid w:val="00D93D55"/>
    <w:rsid w:val="00D9572E"/>
    <w:rsid w:val="00DC4D55"/>
    <w:rsid w:val="00DD1DBB"/>
    <w:rsid w:val="00DE4DD5"/>
    <w:rsid w:val="00DF77BC"/>
    <w:rsid w:val="00E04EE9"/>
    <w:rsid w:val="00E1188C"/>
    <w:rsid w:val="00E31B99"/>
    <w:rsid w:val="00E335FE"/>
    <w:rsid w:val="00E34E3C"/>
    <w:rsid w:val="00E37C06"/>
    <w:rsid w:val="00E428EF"/>
    <w:rsid w:val="00E43D34"/>
    <w:rsid w:val="00E62F14"/>
    <w:rsid w:val="00E63C78"/>
    <w:rsid w:val="00E7198C"/>
    <w:rsid w:val="00E73317"/>
    <w:rsid w:val="00E7501B"/>
    <w:rsid w:val="00E915D1"/>
    <w:rsid w:val="00E92472"/>
    <w:rsid w:val="00EA20C4"/>
    <w:rsid w:val="00EB414C"/>
    <w:rsid w:val="00EC189A"/>
    <w:rsid w:val="00EC3D92"/>
    <w:rsid w:val="00EC40A4"/>
    <w:rsid w:val="00EC4E49"/>
    <w:rsid w:val="00EC5F29"/>
    <w:rsid w:val="00EC78B2"/>
    <w:rsid w:val="00ED77FB"/>
    <w:rsid w:val="00EE45FA"/>
    <w:rsid w:val="00EF45F0"/>
    <w:rsid w:val="00F013F7"/>
    <w:rsid w:val="00F065CA"/>
    <w:rsid w:val="00F13CA8"/>
    <w:rsid w:val="00F148D4"/>
    <w:rsid w:val="00F15270"/>
    <w:rsid w:val="00F16B6A"/>
    <w:rsid w:val="00F2293F"/>
    <w:rsid w:val="00F27998"/>
    <w:rsid w:val="00F33C07"/>
    <w:rsid w:val="00F4123F"/>
    <w:rsid w:val="00F54DCF"/>
    <w:rsid w:val="00F66152"/>
    <w:rsid w:val="00F73B6B"/>
    <w:rsid w:val="00F87E89"/>
    <w:rsid w:val="00F912A0"/>
    <w:rsid w:val="00F914CB"/>
    <w:rsid w:val="00FB1F55"/>
    <w:rsid w:val="00FD41CD"/>
    <w:rsid w:val="00FD6BB3"/>
    <w:rsid w:val="00FD7454"/>
    <w:rsid w:val="00FE009E"/>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aliases w:val="Footnote ak Char"/>
    <w:basedOn w:val="DefaultParagraphFont"/>
    <w:link w:val="FootnoteText"/>
    <w:uiPriority w:val="99"/>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character" w:styleId="PageNumber">
    <w:name w:val="page number"/>
    <w:basedOn w:val="DefaultParagraphFont"/>
    <w:rsid w:val="00F27998"/>
    <w:rPr>
      <w:rFonts w:cs="Times New Roman"/>
    </w:rPr>
  </w:style>
  <w:style w:type="character" w:styleId="FollowedHyperlink">
    <w:name w:val="FollowedHyperlink"/>
    <w:basedOn w:val="DefaultParagraphFont"/>
    <w:rsid w:val="004B3B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aliases w:val="Footnote ak Char"/>
    <w:basedOn w:val="DefaultParagraphFont"/>
    <w:link w:val="FootnoteText"/>
    <w:uiPriority w:val="99"/>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character" w:styleId="PageNumber">
    <w:name w:val="page number"/>
    <w:basedOn w:val="DefaultParagraphFont"/>
    <w:rsid w:val="00F27998"/>
    <w:rPr>
      <w:rFonts w:cs="Times New Roman"/>
    </w:rPr>
  </w:style>
  <w:style w:type="character" w:styleId="FollowedHyperlink">
    <w:name w:val="FollowedHyperlink"/>
    <w:basedOn w:val="DefaultParagraphFont"/>
    <w:rsid w:val="004B3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2D8E-4332-436E-B414-DC065A4C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5779</Words>
  <Characters>31392</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WIPO/GRTKF/IC/31/1 Prov.</vt:lpstr>
    </vt:vector>
  </TitlesOfParts>
  <Company>WIPO</Company>
  <LinksUpToDate>false</LinksUpToDate>
  <CharactersWithSpaces>37097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WIPO/GRTKF/IC/31/1 Prov.</dc:title>
  <dc:creator>KONTA DE PALMA Livia</dc:creator>
  <dc:description>ID - 2/8/2016 // KP (QC) - 3/8/2016</dc:description>
  <cp:lastModifiedBy>MORENO PALESTINI Maria Del Pilar</cp:lastModifiedBy>
  <cp:revision>8</cp:revision>
  <cp:lastPrinted>2016-11-03T13:25:00Z</cp:lastPrinted>
  <dcterms:created xsi:type="dcterms:W3CDTF">2016-11-03T09:58:00Z</dcterms:created>
  <dcterms:modified xsi:type="dcterms:W3CDTF">2016-11-03T13:25:00Z</dcterms:modified>
</cp:coreProperties>
</file>