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B65A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B65A5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65A5" w:rsidRDefault="00E32E49" w:rsidP="00916EE2">
            <w:pPr>
              <w:rPr>
                <w:lang w:val="es-ES"/>
              </w:rPr>
            </w:pPr>
            <w:r w:rsidRPr="00FB65A5">
              <w:rPr>
                <w:noProof/>
                <w:lang w:eastAsia="en-US"/>
              </w:rPr>
              <w:drawing>
                <wp:inline distT="0" distB="0" distL="0" distR="0" wp14:anchorId="471B7588" wp14:editId="0378BB0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65A5" w:rsidRDefault="00E32E49" w:rsidP="00E32E49">
            <w:pPr>
              <w:jc w:val="right"/>
              <w:rPr>
                <w:lang w:val="es-ES"/>
              </w:rPr>
            </w:pPr>
            <w:r w:rsidRPr="00FB65A5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FB65A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B65A5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0" w:name="Code"/>
            <w:bookmarkEnd w:id="0"/>
            <w:r w:rsidR="008B2CC1"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FB65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B65A5" w:rsidRDefault="008B2CC1" w:rsidP="00E3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65A5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E32E49" w:rsidRPr="00FB65A5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FB65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B65A5" w:rsidRDefault="00E32E49" w:rsidP="00E3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65A5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FB65A5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Pr="00FB65A5">
              <w:rPr>
                <w:rFonts w:ascii="Arial Black" w:hAnsi="Arial Black"/>
                <w:caps/>
                <w:sz w:val="15"/>
                <w:lang w:val="es-ES"/>
              </w:rPr>
              <w:t>19 de febrero de</w:t>
            </w:r>
            <w:r w:rsidR="005428C9" w:rsidRPr="00FB65A5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025798" w:rsidRPr="00FB65A5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FB65A5" w:rsidRDefault="008B2CC1" w:rsidP="008B2CC1">
      <w:pPr>
        <w:rPr>
          <w:lang w:val="es-ES"/>
        </w:rPr>
      </w:pPr>
    </w:p>
    <w:p w:rsidR="008B2CC1" w:rsidRPr="00FB65A5" w:rsidRDefault="008B2CC1" w:rsidP="008B2CC1">
      <w:pPr>
        <w:rPr>
          <w:lang w:val="es-ES"/>
        </w:rPr>
      </w:pPr>
    </w:p>
    <w:p w:rsidR="008B2CC1" w:rsidRPr="00FB65A5" w:rsidRDefault="008B2CC1" w:rsidP="008B2CC1">
      <w:pPr>
        <w:rPr>
          <w:lang w:val="es-ES"/>
        </w:rPr>
      </w:pPr>
    </w:p>
    <w:p w:rsidR="008B2CC1" w:rsidRPr="00FB65A5" w:rsidRDefault="008B2CC1" w:rsidP="008B2CC1">
      <w:pPr>
        <w:rPr>
          <w:lang w:val="es-ES"/>
        </w:rPr>
      </w:pPr>
    </w:p>
    <w:p w:rsidR="008B2CC1" w:rsidRPr="00FB65A5" w:rsidRDefault="008B2CC1" w:rsidP="008B2CC1">
      <w:pPr>
        <w:rPr>
          <w:lang w:val="es-ES"/>
        </w:rPr>
      </w:pPr>
    </w:p>
    <w:p w:rsidR="00E32E49" w:rsidRPr="00FB65A5" w:rsidRDefault="00E32E49" w:rsidP="00E32E49">
      <w:pPr>
        <w:rPr>
          <w:b/>
          <w:sz w:val="28"/>
          <w:szCs w:val="28"/>
          <w:lang w:val="es-ES"/>
        </w:rPr>
      </w:pPr>
      <w:r w:rsidRPr="00FB65A5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E32E49" w:rsidRPr="00FB65A5" w:rsidRDefault="00E32E49" w:rsidP="00E32E49">
      <w:pPr>
        <w:rPr>
          <w:lang w:val="es-ES"/>
        </w:rPr>
      </w:pPr>
    </w:p>
    <w:p w:rsidR="00E32E49" w:rsidRPr="00FB65A5" w:rsidRDefault="00E32E49" w:rsidP="00E32E49">
      <w:pPr>
        <w:rPr>
          <w:lang w:val="es-ES"/>
        </w:rPr>
      </w:pPr>
    </w:p>
    <w:p w:rsidR="00E32E49" w:rsidRPr="00FB65A5" w:rsidRDefault="00E32E49" w:rsidP="00E32E49">
      <w:pPr>
        <w:rPr>
          <w:b/>
          <w:sz w:val="24"/>
          <w:szCs w:val="24"/>
          <w:lang w:val="es-ES"/>
        </w:rPr>
      </w:pPr>
      <w:r w:rsidRPr="00FB65A5">
        <w:rPr>
          <w:b/>
          <w:sz w:val="24"/>
          <w:szCs w:val="24"/>
          <w:lang w:val="es-ES"/>
        </w:rPr>
        <w:t>Vigesimonovena sesión</w:t>
      </w:r>
    </w:p>
    <w:p w:rsidR="00E32E49" w:rsidRPr="00FB65A5" w:rsidRDefault="00E32E49" w:rsidP="00E32E49">
      <w:pPr>
        <w:rPr>
          <w:b/>
          <w:sz w:val="24"/>
          <w:szCs w:val="24"/>
          <w:lang w:val="es-ES"/>
        </w:rPr>
      </w:pPr>
      <w:r w:rsidRPr="00FB65A5">
        <w:rPr>
          <w:b/>
          <w:sz w:val="24"/>
          <w:szCs w:val="24"/>
          <w:lang w:val="es-ES"/>
        </w:rPr>
        <w:t>Ginebra, 15 a 19 de febrero de 2016</w:t>
      </w:r>
    </w:p>
    <w:p w:rsidR="008B2CC1" w:rsidRPr="00FB65A5" w:rsidRDefault="008B2CC1" w:rsidP="008B2CC1">
      <w:pPr>
        <w:rPr>
          <w:lang w:val="es-ES"/>
        </w:rPr>
      </w:pPr>
    </w:p>
    <w:p w:rsidR="008B2CC1" w:rsidRPr="00FB65A5" w:rsidRDefault="008B2CC1" w:rsidP="008B2CC1">
      <w:pPr>
        <w:rPr>
          <w:lang w:val="es-ES"/>
        </w:rPr>
      </w:pPr>
    </w:p>
    <w:p w:rsidR="008B2CC1" w:rsidRPr="00FB65A5" w:rsidRDefault="008B2CC1" w:rsidP="008B2CC1">
      <w:pPr>
        <w:rPr>
          <w:lang w:val="es-ES"/>
        </w:rPr>
      </w:pPr>
    </w:p>
    <w:p w:rsidR="00E32E49" w:rsidRPr="00FB65A5" w:rsidRDefault="008D7DCB" w:rsidP="00E32E49">
      <w:pPr>
        <w:rPr>
          <w:caps/>
          <w:sz w:val="24"/>
          <w:lang w:val="es-ES"/>
        </w:rPr>
      </w:pPr>
      <w:bookmarkStart w:id="3" w:name="TitleOfDoc"/>
      <w:bookmarkEnd w:id="3"/>
      <w:r w:rsidRPr="00FB65A5">
        <w:rPr>
          <w:caps/>
          <w:sz w:val="24"/>
          <w:lang w:val="es-ES"/>
        </w:rPr>
        <w:t>DECISIONES DE LA VIGe</w:t>
      </w:r>
      <w:r w:rsidR="00E32E49" w:rsidRPr="00FB65A5">
        <w:rPr>
          <w:caps/>
          <w:sz w:val="24"/>
          <w:lang w:val="es-ES"/>
        </w:rPr>
        <w:t>SIM</w:t>
      </w:r>
      <w:r w:rsidRPr="00FB65A5">
        <w:rPr>
          <w:caps/>
          <w:sz w:val="24"/>
          <w:lang w:val="es-ES"/>
        </w:rPr>
        <w:t>o</w:t>
      </w:r>
      <w:r w:rsidR="00E32E49" w:rsidRPr="00FB65A5">
        <w:rPr>
          <w:caps/>
          <w:sz w:val="24"/>
          <w:lang w:val="es-ES"/>
        </w:rPr>
        <w:t>novena SESIÓN DEL COMITÉ</w:t>
      </w:r>
    </w:p>
    <w:p w:rsidR="00E32E49" w:rsidRPr="00FB65A5" w:rsidRDefault="00E32E49" w:rsidP="00E32E49">
      <w:pPr>
        <w:rPr>
          <w:lang w:val="es-ES"/>
        </w:rPr>
      </w:pPr>
    </w:p>
    <w:p w:rsidR="00E32E49" w:rsidRPr="00FB65A5" w:rsidRDefault="00E32E49" w:rsidP="00E32E49">
      <w:pPr>
        <w:rPr>
          <w:i/>
          <w:lang w:val="es-ES"/>
        </w:rPr>
      </w:pPr>
      <w:bookmarkStart w:id="4" w:name="Prepared"/>
      <w:bookmarkEnd w:id="4"/>
      <w:r w:rsidRPr="00FB65A5">
        <w:rPr>
          <w:i/>
          <w:color w:val="000000"/>
          <w:lang w:val="es-ES"/>
        </w:rPr>
        <w:t>aprobado por el Comité</w:t>
      </w:r>
    </w:p>
    <w:p w:rsidR="00AC205C" w:rsidRPr="00FB65A5" w:rsidRDefault="00AC205C">
      <w:pPr>
        <w:rPr>
          <w:lang w:val="es-ES"/>
        </w:rPr>
      </w:pPr>
    </w:p>
    <w:p w:rsidR="000F5E56" w:rsidRPr="00FB65A5" w:rsidRDefault="000F5E56">
      <w:pPr>
        <w:rPr>
          <w:lang w:val="es-ES"/>
        </w:rPr>
      </w:pPr>
    </w:p>
    <w:p w:rsidR="008B4D55" w:rsidRPr="00FB65A5" w:rsidRDefault="005428C9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lang w:val="es-ES"/>
        </w:rPr>
        <w:br w:type="page"/>
      </w:r>
      <w:r w:rsidR="008B4D55" w:rsidRPr="00FB65A5">
        <w:rPr>
          <w:szCs w:val="22"/>
          <w:lang w:val="es-ES"/>
        </w:rPr>
        <w:lastRenderedPageBreak/>
        <w:t>DECISIÓN SOBRE EL PUNTO 2 DEL ORDEN DEL DÍA: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ELECCIÓN DE LA MESA</w:t>
      </w:r>
    </w:p>
    <w:p w:rsidR="005A172D" w:rsidRPr="00FB65A5" w:rsidRDefault="00EB04C1" w:rsidP="00EB04C1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A propuesta de la Delegación de Suiza, secundada por la Delegación de la India, y la Delegación de Bahamas, en nombre del Grupo de Países de América Latina y el Caribe (</w:t>
      </w:r>
      <w:r w:rsidR="00767182" w:rsidRPr="00FB65A5">
        <w:rPr>
          <w:lang w:val="es-ES"/>
        </w:rPr>
        <w:t>GRULAC)</w:t>
      </w:r>
      <w:r w:rsidR="003E1392" w:rsidRPr="00FB65A5">
        <w:rPr>
          <w:szCs w:val="22"/>
          <w:lang w:val="es-ES"/>
        </w:rPr>
        <w:t xml:space="preserve">, </w:t>
      </w:r>
      <w:r w:rsidRPr="00FB65A5">
        <w:rPr>
          <w:szCs w:val="22"/>
          <w:lang w:val="es-ES"/>
        </w:rPr>
        <w:t xml:space="preserve">el Comité eligió Presidente al Sr. </w:t>
      </w:r>
      <w:r w:rsidR="00062057" w:rsidRPr="00FB65A5">
        <w:rPr>
          <w:szCs w:val="22"/>
          <w:lang w:val="es-ES"/>
        </w:rPr>
        <w:t>Ian Goss</w:t>
      </w:r>
      <w:r w:rsidR="003E1392" w:rsidRPr="00FB65A5">
        <w:rPr>
          <w:szCs w:val="22"/>
          <w:lang w:val="es-ES"/>
        </w:rPr>
        <w:t xml:space="preserve"> </w:t>
      </w:r>
      <w:r w:rsidRPr="00FB65A5">
        <w:rPr>
          <w:szCs w:val="22"/>
          <w:lang w:val="es-ES"/>
        </w:rPr>
        <w:t>de</w:t>
      </w:r>
      <w:r w:rsidR="003E1392" w:rsidRPr="00FB65A5">
        <w:rPr>
          <w:szCs w:val="22"/>
          <w:lang w:val="es-ES"/>
        </w:rPr>
        <w:t xml:space="preserve"> </w:t>
      </w:r>
      <w:r w:rsidR="00062057" w:rsidRPr="00FB65A5">
        <w:rPr>
          <w:szCs w:val="22"/>
          <w:lang w:val="es-ES"/>
        </w:rPr>
        <w:t>Australia</w:t>
      </w:r>
      <w:r w:rsidR="003E1392" w:rsidRPr="00FB65A5">
        <w:rPr>
          <w:szCs w:val="22"/>
          <w:lang w:val="es-ES"/>
        </w:rPr>
        <w:t xml:space="preserve">, </w:t>
      </w:r>
      <w:r w:rsidRPr="00FB65A5">
        <w:rPr>
          <w:szCs w:val="22"/>
          <w:lang w:val="es-ES"/>
        </w:rPr>
        <w:t xml:space="preserve">unánimemente y por aclamación, para el bienio </w:t>
      </w:r>
      <w:r w:rsidR="00767182" w:rsidRPr="00FB65A5">
        <w:rPr>
          <w:szCs w:val="22"/>
          <w:lang w:val="es-ES"/>
        </w:rPr>
        <w:t>2016</w:t>
      </w:r>
      <w:r w:rsidR="00767182" w:rsidRPr="00FB65A5">
        <w:rPr>
          <w:szCs w:val="22"/>
          <w:lang w:val="es-ES"/>
        </w:rPr>
        <w:noBreakHyphen/>
        <w:t>2017</w:t>
      </w:r>
      <w:r w:rsidR="003E1392" w:rsidRPr="00FB65A5">
        <w:rPr>
          <w:szCs w:val="22"/>
          <w:lang w:val="es-ES"/>
        </w:rPr>
        <w:t xml:space="preserve">.  </w:t>
      </w:r>
      <w:r w:rsidR="003A5949" w:rsidRPr="00FB65A5">
        <w:rPr>
          <w:szCs w:val="22"/>
          <w:lang w:val="es-ES"/>
        </w:rPr>
        <w:t>P</w:t>
      </w:r>
      <w:r w:rsidRPr="00FB65A5">
        <w:rPr>
          <w:szCs w:val="22"/>
          <w:lang w:val="es-ES"/>
        </w:rPr>
        <w:t xml:space="preserve">ara el mismo período, </w:t>
      </w:r>
      <w:r w:rsidR="003A5949" w:rsidRPr="00FB65A5">
        <w:rPr>
          <w:szCs w:val="22"/>
          <w:lang w:val="es-ES"/>
        </w:rPr>
        <w:t xml:space="preserve">el Comité eligió Vicepresidentes al Sr. Jukka Liedes de Finlandia, </w:t>
      </w:r>
      <w:r w:rsidRPr="00FB65A5">
        <w:rPr>
          <w:szCs w:val="22"/>
          <w:lang w:val="es-ES"/>
        </w:rPr>
        <w:t xml:space="preserve">a propuesta de la Delegación de Austria, secundada por la Delegación de Letonia, en nombre del Grupo de Estados de Europa Central y el Báltico, y </w:t>
      </w:r>
      <w:r w:rsidR="003A5949" w:rsidRPr="00FB65A5">
        <w:rPr>
          <w:szCs w:val="22"/>
          <w:lang w:val="es-ES"/>
        </w:rPr>
        <w:t xml:space="preserve"> al Embajador </w:t>
      </w:r>
      <w:r w:rsidR="003A5949" w:rsidRPr="00FB65A5">
        <w:rPr>
          <w:lang w:val="es-ES"/>
        </w:rPr>
        <w:t xml:space="preserve">Robert Matheus Michael Tene de </w:t>
      </w:r>
      <w:r w:rsidR="003A5949" w:rsidRPr="00FB65A5">
        <w:rPr>
          <w:szCs w:val="22"/>
          <w:lang w:val="es-ES"/>
        </w:rPr>
        <w:t xml:space="preserve">Indonesia, </w:t>
      </w:r>
      <w:r w:rsidRPr="00FB65A5">
        <w:rPr>
          <w:szCs w:val="22"/>
          <w:lang w:val="es-ES"/>
        </w:rPr>
        <w:t>a propuesta de la India, secundada por la Delegación de Bahamas, en nombre del GRULAC</w:t>
      </w:r>
      <w:r w:rsidR="009929DE" w:rsidRPr="00FB65A5">
        <w:rPr>
          <w:szCs w:val="22"/>
          <w:lang w:val="es-ES"/>
        </w:rPr>
        <w:t>.</w:t>
      </w:r>
    </w:p>
    <w:p w:rsidR="00B860C6" w:rsidRPr="00FB65A5" w:rsidRDefault="00B860C6" w:rsidP="00931A71">
      <w:pPr>
        <w:spacing w:after="120" w:line="260" w:lineRule="atLeast"/>
        <w:rPr>
          <w:szCs w:val="22"/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DECISIÓN SOBRE EL PUNTO 3 DEL ORDEN DEL DÍA: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APROBACIÓN DEL ORDEN DEL DÍA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 xml:space="preserve">El Presidente sometió a aprobación el proyecto de orden del día distribuido con la signatura WIPO/GRTKF/IC/29/1 Prov. 3, que fue aprobado.  </w:t>
      </w:r>
    </w:p>
    <w:p w:rsidR="00AF7468" w:rsidRPr="00FB65A5" w:rsidRDefault="00AF7468" w:rsidP="00931A71">
      <w:pPr>
        <w:spacing w:after="120" w:line="260" w:lineRule="atLeast"/>
        <w:rPr>
          <w:szCs w:val="22"/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DECISIÓN SOBRE EL PUNTO 4 DEL ORDEN DEL DÍA: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APROBACIÓN DEL INFORME DE LA VIGESIMOCTAVA SESIÓN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 Presidente sometió a aprobación el proyecto de informe revisado de la vigesimoctava sesión del Comité (WIPO/GRTKF/IC/28/11 Prov. 2), que fue aprobado.</w:t>
      </w:r>
    </w:p>
    <w:p w:rsidR="007652D3" w:rsidRPr="00FB65A5" w:rsidRDefault="007652D3" w:rsidP="00931A71">
      <w:pPr>
        <w:spacing w:after="120" w:line="260" w:lineRule="atLeast"/>
        <w:rPr>
          <w:szCs w:val="22"/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 xml:space="preserve">DECISIÓN SOBRE EL PUNTO 5 DEL ORDEN DEL DÍA:  </w:t>
      </w:r>
    </w:p>
    <w:p w:rsidR="008B4D55" w:rsidRPr="005A45EF" w:rsidRDefault="008B4D55" w:rsidP="008B4D55">
      <w:pPr>
        <w:spacing w:after="120" w:line="260" w:lineRule="atLeast"/>
        <w:rPr>
          <w:szCs w:val="22"/>
          <w:lang w:val="fr-CH"/>
        </w:rPr>
      </w:pPr>
      <w:r w:rsidRPr="005A45EF">
        <w:rPr>
          <w:szCs w:val="22"/>
          <w:lang w:val="fr-CH"/>
        </w:rPr>
        <w:t>ACREDITACIÓN DE DETERMINADAS ORGANIZACIONES</w:t>
      </w:r>
    </w:p>
    <w:p w:rsidR="00F32FDB" w:rsidRPr="00FB65A5" w:rsidRDefault="00EB04C1" w:rsidP="00931A71">
      <w:pPr>
        <w:spacing w:after="120" w:line="260" w:lineRule="atLeast"/>
        <w:rPr>
          <w:szCs w:val="22"/>
          <w:lang w:val="es-ES"/>
        </w:rPr>
      </w:pPr>
      <w:proofErr w:type="spellStart"/>
      <w:r w:rsidRPr="005A45EF">
        <w:rPr>
          <w:szCs w:val="22"/>
          <w:lang w:val="fr-CH"/>
        </w:rPr>
        <w:t>El</w:t>
      </w:r>
      <w:proofErr w:type="spellEnd"/>
      <w:r w:rsidRPr="005A45EF">
        <w:rPr>
          <w:szCs w:val="22"/>
          <w:lang w:val="fr-CH"/>
        </w:rPr>
        <w:t xml:space="preserve"> Comité </w:t>
      </w:r>
      <w:proofErr w:type="spellStart"/>
      <w:r w:rsidRPr="005A45EF">
        <w:rPr>
          <w:szCs w:val="22"/>
          <w:lang w:val="fr-CH"/>
        </w:rPr>
        <w:t>aprobó</w:t>
      </w:r>
      <w:proofErr w:type="spellEnd"/>
      <w:r w:rsidRPr="005A45EF">
        <w:rPr>
          <w:szCs w:val="22"/>
          <w:lang w:val="fr-CH"/>
        </w:rPr>
        <w:t xml:space="preserve"> </w:t>
      </w:r>
      <w:proofErr w:type="spellStart"/>
      <w:r w:rsidRPr="005A45EF">
        <w:rPr>
          <w:szCs w:val="22"/>
          <w:lang w:val="fr-CH"/>
        </w:rPr>
        <w:t>por</w:t>
      </w:r>
      <w:proofErr w:type="spellEnd"/>
      <w:r w:rsidRPr="005A45EF">
        <w:rPr>
          <w:szCs w:val="22"/>
          <w:lang w:val="fr-CH"/>
        </w:rPr>
        <w:t xml:space="preserve"> </w:t>
      </w:r>
      <w:proofErr w:type="spellStart"/>
      <w:r w:rsidRPr="005A45EF">
        <w:rPr>
          <w:szCs w:val="22"/>
          <w:lang w:val="fr-CH"/>
        </w:rPr>
        <w:t>unanimidad</w:t>
      </w:r>
      <w:proofErr w:type="spellEnd"/>
      <w:r w:rsidRPr="005A45EF">
        <w:rPr>
          <w:szCs w:val="22"/>
          <w:lang w:val="fr-CH"/>
        </w:rPr>
        <w:t xml:space="preserve"> la </w:t>
      </w:r>
      <w:proofErr w:type="spellStart"/>
      <w:r w:rsidRPr="005A45EF">
        <w:rPr>
          <w:szCs w:val="22"/>
          <w:lang w:val="fr-CH"/>
        </w:rPr>
        <w:t>acreditación</w:t>
      </w:r>
      <w:proofErr w:type="spellEnd"/>
      <w:r w:rsidRPr="005A45EF">
        <w:rPr>
          <w:szCs w:val="22"/>
          <w:lang w:val="fr-CH"/>
        </w:rPr>
        <w:t xml:space="preserve"> de </w:t>
      </w:r>
      <w:proofErr w:type="spellStart"/>
      <w:r w:rsidR="006B233E" w:rsidRPr="005A45EF">
        <w:rPr>
          <w:szCs w:val="22"/>
          <w:lang w:val="fr-CH"/>
        </w:rPr>
        <w:t>diecisiete</w:t>
      </w:r>
      <w:proofErr w:type="spellEnd"/>
      <w:r w:rsidRPr="005A45EF">
        <w:rPr>
          <w:szCs w:val="22"/>
          <w:lang w:val="fr-CH"/>
        </w:rPr>
        <w:t xml:space="preserve"> </w:t>
      </w:r>
      <w:proofErr w:type="spellStart"/>
      <w:r w:rsidRPr="005A45EF">
        <w:rPr>
          <w:szCs w:val="22"/>
          <w:lang w:val="fr-CH"/>
        </w:rPr>
        <w:t>organizaciones</w:t>
      </w:r>
      <w:proofErr w:type="spellEnd"/>
      <w:r w:rsidRPr="005A45EF">
        <w:rPr>
          <w:szCs w:val="22"/>
          <w:lang w:val="fr-CH"/>
        </w:rPr>
        <w:t xml:space="preserve"> </w:t>
      </w:r>
      <w:proofErr w:type="spellStart"/>
      <w:r w:rsidRPr="005A45EF">
        <w:rPr>
          <w:szCs w:val="22"/>
          <w:lang w:val="fr-CH"/>
        </w:rPr>
        <w:t>enumeradas</w:t>
      </w:r>
      <w:proofErr w:type="spellEnd"/>
      <w:r w:rsidRPr="005A45EF">
        <w:rPr>
          <w:szCs w:val="22"/>
          <w:lang w:val="fr-CH"/>
        </w:rPr>
        <w:t xml:space="preserve"> en el </w:t>
      </w:r>
      <w:proofErr w:type="spellStart"/>
      <w:r w:rsidRPr="005A45EF">
        <w:rPr>
          <w:szCs w:val="22"/>
          <w:lang w:val="fr-CH"/>
        </w:rPr>
        <w:t>anexo</w:t>
      </w:r>
      <w:proofErr w:type="spellEnd"/>
      <w:r w:rsidRPr="005A45EF">
        <w:rPr>
          <w:szCs w:val="22"/>
          <w:lang w:val="fr-CH"/>
        </w:rPr>
        <w:t xml:space="preserve"> del </w:t>
      </w:r>
      <w:proofErr w:type="spellStart"/>
      <w:r w:rsidRPr="005A45EF">
        <w:rPr>
          <w:szCs w:val="22"/>
          <w:lang w:val="fr-CH"/>
        </w:rPr>
        <w:t>documento</w:t>
      </w:r>
      <w:proofErr w:type="spellEnd"/>
      <w:r w:rsidRPr="005A45EF">
        <w:rPr>
          <w:szCs w:val="22"/>
          <w:lang w:val="fr-CH"/>
        </w:rPr>
        <w:t xml:space="preserve"> WIPO/GRTKF/IC/29/2 en </w:t>
      </w:r>
      <w:proofErr w:type="spellStart"/>
      <w:r w:rsidRPr="005A45EF">
        <w:rPr>
          <w:szCs w:val="22"/>
          <w:lang w:val="fr-CH"/>
        </w:rPr>
        <w:t>calidad</w:t>
      </w:r>
      <w:proofErr w:type="spellEnd"/>
      <w:r w:rsidRPr="005A45EF">
        <w:rPr>
          <w:szCs w:val="22"/>
          <w:lang w:val="fr-CH"/>
        </w:rPr>
        <w:t xml:space="preserve"> de </w:t>
      </w:r>
      <w:proofErr w:type="spellStart"/>
      <w:r w:rsidRPr="005A45EF">
        <w:rPr>
          <w:szCs w:val="22"/>
          <w:lang w:val="fr-CH"/>
        </w:rPr>
        <w:t>observadores</w:t>
      </w:r>
      <w:proofErr w:type="spellEnd"/>
      <w:r w:rsidRPr="005A45EF">
        <w:rPr>
          <w:szCs w:val="22"/>
          <w:lang w:val="fr-CH"/>
        </w:rPr>
        <w:t xml:space="preserve"> ad hoc, a </w:t>
      </w:r>
      <w:proofErr w:type="spellStart"/>
      <w:r w:rsidRPr="005A45EF">
        <w:rPr>
          <w:szCs w:val="22"/>
          <w:lang w:val="fr-CH"/>
        </w:rPr>
        <w:t>saber</w:t>
      </w:r>
      <w:proofErr w:type="spellEnd"/>
      <w:r w:rsidR="007448CF" w:rsidRPr="005A45EF">
        <w:rPr>
          <w:szCs w:val="22"/>
          <w:lang w:val="fr-CH"/>
        </w:rPr>
        <w:t xml:space="preserve">: </w:t>
      </w:r>
      <w:r w:rsidR="00B94DD1" w:rsidRPr="005A45EF">
        <w:rPr>
          <w:szCs w:val="22"/>
          <w:lang w:val="fr-CH"/>
        </w:rPr>
        <w:t xml:space="preserve"> </w:t>
      </w:r>
      <w:r w:rsidR="00A84CB3" w:rsidRPr="005A45EF">
        <w:rPr>
          <w:i/>
          <w:szCs w:val="22"/>
          <w:lang w:val="fr-CH"/>
        </w:rPr>
        <w:t xml:space="preserve">Action jeunesse pour le </w:t>
      </w:r>
      <w:proofErr w:type="spellStart"/>
      <w:r w:rsidR="00A84CB3" w:rsidRPr="005A45EF">
        <w:rPr>
          <w:i/>
          <w:szCs w:val="22"/>
          <w:lang w:val="fr-CH"/>
        </w:rPr>
        <w:t>développement</w:t>
      </w:r>
      <w:proofErr w:type="spellEnd"/>
      <w:r w:rsidR="00A84CB3" w:rsidRPr="005A45EF">
        <w:rPr>
          <w:szCs w:val="22"/>
          <w:lang w:val="fr-CH"/>
        </w:rPr>
        <w:t xml:space="preserve"> (AJED-Congo);  </w:t>
      </w:r>
      <w:r w:rsidR="00A84CB3" w:rsidRPr="005A45EF">
        <w:rPr>
          <w:i/>
          <w:szCs w:val="22"/>
          <w:lang w:val="fr-CH"/>
        </w:rPr>
        <w:t xml:space="preserve">Actions pour la </w:t>
      </w:r>
      <w:proofErr w:type="spellStart"/>
      <w:r w:rsidR="00A84CB3" w:rsidRPr="005A45EF">
        <w:rPr>
          <w:i/>
          <w:szCs w:val="22"/>
          <w:lang w:val="fr-CH"/>
        </w:rPr>
        <w:t>défense</w:t>
      </w:r>
      <w:proofErr w:type="spellEnd"/>
      <w:r w:rsidR="00A84CB3" w:rsidRPr="005A45EF">
        <w:rPr>
          <w:i/>
          <w:szCs w:val="22"/>
          <w:lang w:val="fr-CH"/>
        </w:rPr>
        <w:t xml:space="preserve"> des droits des peuples de la </w:t>
      </w:r>
      <w:proofErr w:type="spellStart"/>
      <w:r w:rsidR="00A84CB3" w:rsidRPr="005A45EF">
        <w:rPr>
          <w:i/>
          <w:szCs w:val="22"/>
          <w:lang w:val="fr-CH"/>
        </w:rPr>
        <w:t>forêt</w:t>
      </w:r>
      <w:proofErr w:type="spellEnd"/>
      <w:r w:rsidR="00A84CB3" w:rsidRPr="005A45EF">
        <w:rPr>
          <w:i/>
          <w:szCs w:val="22"/>
          <w:lang w:val="fr-CH"/>
        </w:rPr>
        <w:t xml:space="preserve"> et de l’environnement</w:t>
      </w:r>
      <w:r w:rsidR="00A84CB3" w:rsidRPr="005A45EF">
        <w:rPr>
          <w:szCs w:val="22"/>
          <w:lang w:val="fr-CH"/>
        </w:rPr>
        <w:t xml:space="preserve"> (ADPE);  </w:t>
      </w:r>
      <w:proofErr w:type="spellStart"/>
      <w:r w:rsidR="00A84CB3" w:rsidRPr="005A45EF">
        <w:rPr>
          <w:szCs w:val="22"/>
          <w:lang w:val="fr-CH"/>
        </w:rPr>
        <w:t>Agencia</w:t>
      </w:r>
      <w:proofErr w:type="spellEnd"/>
      <w:r w:rsidR="00A84CB3" w:rsidRPr="005A45EF">
        <w:rPr>
          <w:szCs w:val="22"/>
          <w:lang w:val="fr-CH"/>
        </w:rPr>
        <w:t xml:space="preserve"> Internacional de </w:t>
      </w:r>
      <w:proofErr w:type="spellStart"/>
      <w:r w:rsidR="00A84CB3" w:rsidRPr="005A45EF">
        <w:rPr>
          <w:szCs w:val="22"/>
          <w:lang w:val="fr-CH"/>
        </w:rPr>
        <w:t>Prensa</w:t>
      </w:r>
      <w:proofErr w:type="spellEnd"/>
      <w:r w:rsidR="00A84CB3" w:rsidRPr="005A45EF">
        <w:rPr>
          <w:szCs w:val="22"/>
          <w:lang w:val="fr-CH"/>
        </w:rPr>
        <w:t xml:space="preserve"> </w:t>
      </w:r>
      <w:proofErr w:type="spellStart"/>
      <w:r w:rsidR="00D20191" w:rsidRPr="005A45EF">
        <w:rPr>
          <w:szCs w:val="22"/>
          <w:lang w:val="fr-CH"/>
        </w:rPr>
        <w:t>Indígena</w:t>
      </w:r>
      <w:proofErr w:type="spellEnd"/>
      <w:r w:rsidR="00A84CB3" w:rsidRPr="005A45EF">
        <w:rPr>
          <w:szCs w:val="22"/>
          <w:lang w:val="fr-CH"/>
        </w:rPr>
        <w:t xml:space="preserve"> (AIPIN);  </w:t>
      </w:r>
      <w:proofErr w:type="spellStart"/>
      <w:r w:rsidR="00A84CB3" w:rsidRPr="005A45EF">
        <w:rPr>
          <w:i/>
          <w:szCs w:val="22"/>
          <w:lang w:val="fr-CH"/>
        </w:rPr>
        <w:t>Associação</w:t>
      </w:r>
      <w:proofErr w:type="spellEnd"/>
      <w:r w:rsidR="00A84CB3" w:rsidRPr="005A45EF">
        <w:rPr>
          <w:i/>
          <w:szCs w:val="22"/>
          <w:lang w:val="fr-CH"/>
        </w:rPr>
        <w:t xml:space="preserve"> dos </w:t>
      </w:r>
      <w:proofErr w:type="spellStart"/>
      <w:r w:rsidR="00A84CB3" w:rsidRPr="005A45EF">
        <w:rPr>
          <w:i/>
          <w:szCs w:val="22"/>
          <w:lang w:val="fr-CH"/>
        </w:rPr>
        <w:t>Camponeses</w:t>
      </w:r>
      <w:proofErr w:type="spellEnd"/>
      <w:r w:rsidR="00A84CB3" w:rsidRPr="005A45EF">
        <w:rPr>
          <w:i/>
          <w:szCs w:val="22"/>
          <w:lang w:val="fr-CH"/>
        </w:rPr>
        <w:t xml:space="preserve"> para o </w:t>
      </w:r>
      <w:proofErr w:type="spellStart"/>
      <w:r w:rsidR="00A84CB3" w:rsidRPr="005A45EF">
        <w:rPr>
          <w:i/>
          <w:szCs w:val="22"/>
          <w:lang w:val="fr-CH"/>
        </w:rPr>
        <w:t>Desenvolvimento</w:t>
      </w:r>
      <w:proofErr w:type="spellEnd"/>
      <w:r w:rsidR="00A84CB3" w:rsidRPr="005A45EF">
        <w:rPr>
          <w:i/>
          <w:szCs w:val="22"/>
          <w:lang w:val="fr-CH"/>
        </w:rPr>
        <w:t xml:space="preserve"> Agro-</w:t>
      </w:r>
      <w:proofErr w:type="spellStart"/>
      <w:r w:rsidR="00A84CB3" w:rsidRPr="005A45EF">
        <w:rPr>
          <w:i/>
          <w:szCs w:val="22"/>
          <w:lang w:val="fr-CH"/>
        </w:rPr>
        <w:t>Peuario</w:t>
      </w:r>
      <w:proofErr w:type="spellEnd"/>
      <w:r w:rsidR="00A84CB3" w:rsidRPr="005A45EF">
        <w:rPr>
          <w:i/>
          <w:szCs w:val="22"/>
          <w:lang w:val="fr-CH"/>
        </w:rPr>
        <w:t xml:space="preserve"> e </w:t>
      </w:r>
      <w:proofErr w:type="spellStart"/>
      <w:r w:rsidR="00931A71" w:rsidRPr="005A45EF">
        <w:rPr>
          <w:i/>
          <w:szCs w:val="22"/>
          <w:lang w:val="fr-CH"/>
        </w:rPr>
        <w:t>Pescas</w:t>
      </w:r>
      <w:proofErr w:type="spellEnd"/>
      <w:r w:rsidR="00931A71" w:rsidRPr="005A45EF">
        <w:rPr>
          <w:i/>
          <w:szCs w:val="22"/>
          <w:lang w:val="fr-CH"/>
        </w:rPr>
        <w:t xml:space="preserve"> Tala-</w:t>
      </w:r>
      <w:proofErr w:type="spellStart"/>
      <w:r w:rsidR="00931A71" w:rsidRPr="005A45EF">
        <w:rPr>
          <w:i/>
          <w:szCs w:val="22"/>
          <w:lang w:val="fr-CH"/>
        </w:rPr>
        <w:t>Hary</w:t>
      </w:r>
      <w:proofErr w:type="spellEnd"/>
      <w:r w:rsidR="00931A71" w:rsidRPr="005A45EF">
        <w:rPr>
          <w:szCs w:val="22"/>
          <w:lang w:val="fr-CH"/>
        </w:rPr>
        <w:t xml:space="preserve"> (ACDAPTH);  </w:t>
      </w:r>
      <w:r w:rsidR="00931A71" w:rsidRPr="005A45EF">
        <w:rPr>
          <w:i/>
          <w:szCs w:val="22"/>
          <w:lang w:val="fr-CH"/>
        </w:rPr>
        <w:t>CS </w:t>
      </w:r>
      <w:r w:rsidR="00A84CB3" w:rsidRPr="005A45EF">
        <w:rPr>
          <w:i/>
          <w:szCs w:val="22"/>
          <w:lang w:val="fr-CH"/>
        </w:rPr>
        <w:t xml:space="preserve">Consulting;  Fondation </w:t>
      </w:r>
      <w:proofErr w:type="spellStart"/>
      <w:r w:rsidR="00A84CB3" w:rsidRPr="005A45EF">
        <w:rPr>
          <w:i/>
          <w:szCs w:val="22"/>
          <w:lang w:val="fr-CH"/>
        </w:rPr>
        <w:t>Makambi</w:t>
      </w:r>
      <w:proofErr w:type="spellEnd"/>
      <w:r w:rsidR="00A84CB3" w:rsidRPr="005A45EF">
        <w:rPr>
          <w:i/>
          <w:szCs w:val="22"/>
          <w:lang w:val="fr-CH"/>
        </w:rPr>
        <w:t xml:space="preserve"> pour le </w:t>
      </w:r>
      <w:proofErr w:type="spellStart"/>
      <w:r w:rsidR="00A84CB3" w:rsidRPr="005A45EF">
        <w:rPr>
          <w:i/>
          <w:szCs w:val="22"/>
          <w:lang w:val="fr-CH"/>
        </w:rPr>
        <w:t>développement</w:t>
      </w:r>
      <w:proofErr w:type="spellEnd"/>
      <w:r w:rsidR="00A84CB3" w:rsidRPr="005A45EF">
        <w:rPr>
          <w:i/>
          <w:szCs w:val="22"/>
          <w:lang w:val="fr-CH"/>
        </w:rPr>
        <w:t xml:space="preserve">;  </w:t>
      </w:r>
      <w:proofErr w:type="spellStart"/>
      <w:r w:rsidR="00A84CB3" w:rsidRPr="005A45EF">
        <w:rPr>
          <w:i/>
          <w:szCs w:val="22"/>
          <w:lang w:val="fr-CH"/>
        </w:rPr>
        <w:t>Gur</w:t>
      </w:r>
      <w:proofErr w:type="spellEnd"/>
      <w:r w:rsidR="00A84CB3" w:rsidRPr="005A45EF">
        <w:rPr>
          <w:i/>
          <w:szCs w:val="22"/>
          <w:lang w:val="fr-CH"/>
        </w:rPr>
        <w:t xml:space="preserve"> A </w:t>
      </w:r>
      <w:proofErr w:type="spellStart"/>
      <w:r w:rsidR="00A84CB3" w:rsidRPr="005A45EF">
        <w:rPr>
          <w:i/>
          <w:szCs w:val="22"/>
          <w:lang w:val="fr-CH"/>
        </w:rPr>
        <w:t>Baradharaw</w:t>
      </w:r>
      <w:proofErr w:type="spellEnd"/>
      <w:r w:rsidR="00A84CB3" w:rsidRPr="005A45EF">
        <w:rPr>
          <w:i/>
          <w:szCs w:val="22"/>
          <w:lang w:val="fr-CH"/>
        </w:rPr>
        <w:t xml:space="preserve"> </w:t>
      </w:r>
      <w:proofErr w:type="spellStart"/>
      <w:r w:rsidR="00A84CB3" w:rsidRPr="005A45EF">
        <w:rPr>
          <w:i/>
          <w:szCs w:val="22"/>
          <w:lang w:val="fr-CH"/>
        </w:rPr>
        <w:t>Kod</w:t>
      </w:r>
      <w:proofErr w:type="spellEnd"/>
      <w:r w:rsidR="00A84CB3" w:rsidRPr="005A45EF">
        <w:rPr>
          <w:i/>
          <w:szCs w:val="22"/>
          <w:lang w:val="fr-CH"/>
        </w:rPr>
        <w:t xml:space="preserve"> Torres </w:t>
      </w:r>
      <w:proofErr w:type="spellStart"/>
      <w:r w:rsidR="00A84CB3" w:rsidRPr="005A45EF">
        <w:rPr>
          <w:i/>
          <w:szCs w:val="22"/>
          <w:lang w:val="fr-CH"/>
        </w:rPr>
        <w:t>Strait</w:t>
      </w:r>
      <w:proofErr w:type="spellEnd"/>
      <w:r w:rsidR="00A84CB3" w:rsidRPr="005A45EF">
        <w:rPr>
          <w:i/>
          <w:szCs w:val="22"/>
          <w:lang w:val="fr-CH"/>
        </w:rPr>
        <w:t xml:space="preserve"> </w:t>
      </w:r>
      <w:proofErr w:type="spellStart"/>
      <w:r w:rsidR="00A84CB3" w:rsidRPr="005A45EF">
        <w:rPr>
          <w:i/>
          <w:szCs w:val="22"/>
          <w:lang w:val="fr-CH"/>
        </w:rPr>
        <w:t>Sea</w:t>
      </w:r>
      <w:proofErr w:type="spellEnd"/>
      <w:r w:rsidR="00A84CB3" w:rsidRPr="005A45EF">
        <w:rPr>
          <w:i/>
          <w:szCs w:val="22"/>
          <w:lang w:val="fr-CH"/>
        </w:rPr>
        <w:t xml:space="preserve"> and Land Council (Torres </w:t>
      </w:r>
      <w:proofErr w:type="spellStart"/>
      <w:r w:rsidR="00A84CB3" w:rsidRPr="005A45EF">
        <w:rPr>
          <w:i/>
          <w:szCs w:val="22"/>
          <w:lang w:val="fr-CH"/>
        </w:rPr>
        <w:t>Strait</w:t>
      </w:r>
      <w:proofErr w:type="spellEnd"/>
      <w:r w:rsidR="00A84CB3" w:rsidRPr="005A45EF">
        <w:rPr>
          <w:i/>
          <w:szCs w:val="22"/>
          <w:lang w:val="fr-CH"/>
        </w:rPr>
        <w:t xml:space="preserve"> </w:t>
      </w:r>
      <w:proofErr w:type="spellStart"/>
      <w:r w:rsidR="00A84CB3" w:rsidRPr="005A45EF">
        <w:rPr>
          <w:i/>
          <w:szCs w:val="22"/>
          <w:lang w:val="fr-CH"/>
        </w:rPr>
        <w:t>Islander</w:t>
      </w:r>
      <w:proofErr w:type="spellEnd"/>
      <w:r w:rsidR="00A84CB3" w:rsidRPr="005A45EF">
        <w:rPr>
          <w:i/>
          <w:szCs w:val="22"/>
          <w:lang w:val="fr-CH"/>
        </w:rPr>
        <w:t xml:space="preserve">) Corporation International Centre for </w:t>
      </w:r>
      <w:proofErr w:type="spellStart"/>
      <w:r w:rsidR="00A84CB3" w:rsidRPr="005A45EF">
        <w:rPr>
          <w:i/>
          <w:szCs w:val="22"/>
          <w:lang w:val="fr-CH"/>
        </w:rPr>
        <w:t>Environmental</w:t>
      </w:r>
      <w:proofErr w:type="spellEnd"/>
      <w:r w:rsidR="00A84CB3" w:rsidRPr="005A45EF">
        <w:rPr>
          <w:i/>
          <w:szCs w:val="22"/>
          <w:lang w:val="fr-CH"/>
        </w:rPr>
        <w:t xml:space="preserve"> Education and </w:t>
      </w:r>
      <w:proofErr w:type="spellStart"/>
      <w:r w:rsidR="00A84CB3" w:rsidRPr="005A45EF">
        <w:rPr>
          <w:i/>
          <w:szCs w:val="22"/>
          <w:lang w:val="fr-CH"/>
        </w:rPr>
        <w:t>Community</w:t>
      </w:r>
      <w:proofErr w:type="spellEnd"/>
      <w:r w:rsidR="00A84CB3" w:rsidRPr="005A45EF">
        <w:rPr>
          <w:i/>
          <w:szCs w:val="22"/>
          <w:lang w:val="fr-CH"/>
        </w:rPr>
        <w:t xml:space="preserve"> Development</w:t>
      </w:r>
      <w:r w:rsidR="00A84CB3" w:rsidRPr="005A45EF">
        <w:rPr>
          <w:szCs w:val="22"/>
          <w:lang w:val="fr-CH"/>
        </w:rPr>
        <w:t xml:space="preserve"> (ICENECDEV) </w:t>
      </w:r>
      <w:proofErr w:type="spellStart"/>
      <w:r w:rsidR="00A84CB3" w:rsidRPr="005A45EF">
        <w:rPr>
          <w:i/>
          <w:szCs w:val="22"/>
          <w:lang w:val="fr-CH"/>
        </w:rPr>
        <w:t>Korea</w:t>
      </w:r>
      <w:proofErr w:type="spellEnd"/>
      <w:r w:rsidR="00A84CB3" w:rsidRPr="005A45EF">
        <w:rPr>
          <w:i/>
          <w:szCs w:val="22"/>
          <w:lang w:val="fr-CH"/>
        </w:rPr>
        <w:t xml:space="preserve"> Institute of Oriental </w:t>
      </w:r>
      <w:proofErr w:type="spellStart"/>
      <w:r w:rsidR="00A84CB3" w:rsidRPr="005A45EF">
        <w:rPr>
          <w:i/>
          <w:szCs w:val="22"/>
          <w:lang w:val="fr-CH"/>
        </w:rPr>
        <w:t>Medicine</w:t>
      </w:r>
      <w:proofErr w:type="spellEnd"/>
      <w:r w:rsidR="00A84CB3" w:rsidRPr="005A45EF">
        <w:rPr>
          <w:szCs w:val="22"/>
          <w:lang w:val="fr-CH"/>
        </w:rPr>
        <w:t xml:space="preserve"> (KIOM);  </w:t>
      </w:r>
      <w:r w:rsidR="00A84CB3" w:rsidRPr="005A45EF">
        <w:rPr>
          <w:i/>
          <w:szCs w:val="22"/>
          <w:lang w:val="fr-CH"/>
        </w:rPr>
        <w:t xml:space="preserve">ONG femmes et enfants en </w:t>
      </w:r>
      <w:proofErr w:type="spellStart"/>
      <w:r w:rsidR="00A84CB3" w:rsidRPr="005A45EF">
        <w:rPr>
          <w:i/>
          <w:szCs w:val="22"/>
          <w:lang w:val="fr-CH"/>
        </w:rPr>
        <w:t>détresse</w:t>
      </w:r>
      <w:proofErr w:type="spellEnd"/>
      <w:r w:rsidR="00A84CB3" w:rsidRPr="005A45EF">
        <w:rPr>
          <w:szCs w:val="22"/>
          <w:lang w:val="fr-CH"/>
        </w:rPr>
        <w:t xml:space="preserve"> (FEED) </w:t>
      </w:r>
      <w:proofErr w:type="spellStart"/>
      <w:r w:rsidR="00A84CB3" w:rsidRPr="005A45EF">
        <w:rPr>
          <w:i/>
          <w:szCs w:val="22"/>
          <w:lang w:val="fr-CH"/>
        </w:rPr>
        <w:t>Phuthadikobo</w:t>
      </w:r>
      <w:proofErr w:type="spellEnd"/>
      <w:r w:rsidR="00A84CB3" w:rsidRPr="005A45EF">
        <w:rPr>
          <w:i/>
          <w:szCs w:val="22"/>
          <w:lang w:val="fr-CH"/>
        </w:rPr>
        <w:t xml:space="preserve"> Museum;  Rassemblement des Africains Conscients, </w:t>
      </w:r>
      <w:proofErr w:type="spellStart"/>
      <w:r w:rsidR="00A84CB3" w:rsidRPr="005A45EF">
        <w:rPr>
          <w:i/>
          <w:szCs w:val="22"/>
          <w:lang w:val="fr-CH"/>
        </w:rPr>
        <w:t>Intègres</w:t>
      </w:r>
      <w:proofErr w:type="spellEnd"/>
      <w:r w:rsidR="00A84CB3" w:rsidRPr="005A45EF">
        <w:rPr>
          <w:i/>
          <w:szCs w:val="22"/>
          <w:lang w:val="fr-CH"/>
        </w:rPr>
        <w:t xml:space="preserve">, Nationalistes, </w:t>
      </w:r>
      <w:proofErr w:type="spellStart"/>
      <w:r w:rsidR="00A84CB3" w:rsidRPr="005A45EF">
        <w:rPr>
          <w:i/>
          <w:szCs w:val="22"/>
          <w:lang w:val="fr-CH"/>
        </w:rPr>
        <w:t>Engagés</w:t>
      </w:r>
      <w:proofErr w:type="spellEnd"/>
      <w:r w:rsidR="00A84CB3" w:rsidRPr="005A45EF">
        <w:rPr>
          <w:i/>
          <w:szCs w:val="22"/>
          <w:lang w:val="fr-CH"/>
        </w:rPr>
        <w:t xml:space="preserve"> et Solidaires : Association</w:t>
      </w:r>
      <w:r w:rsidR="00A84CB3" w:rsidRPr="005A45EF">
        <w:rPr>
          <w:szCs w:val="22"/>
          <w:lang w:val="fr-CH"/>
        </w:rPr>
        <w:t xml:space="preserve"> (RACINES);  </w:t>
      </w:r>
      <w:r w:rsidR="00A84CB3" w:rsidRPr="005A45EF">
        <w:rPr>
          <w:i/>
          <w:szCs w:val="22"/>
          <w:lang w:val="fr-CH"/>
        </w:rPr>
        <w:t xml:space="preserve">Union des jeunes autochtones du Burundi pour le </w:t>
      </w:r>
      <w:proofErr w:type="spellStart"/>
      <w:r w:rsidR="00A84CB3" w:rsidRPr="005A45EF">
        <w:rPr>
          <w:i/>
          <w:szCs w:val="22"/>
          <w:lang w:val="fr-CH"/>
        </w:rPr>
        <w:t>développement</w:t>
      </w:r>
      <w:proofErr w:type="spellEnd"/>
      <w:r w:rsidR="00A84CB3" w:rsidRPr="005A45EF">
        <w:rPr>
          <w:i/>
          <w:szCs w:val="22"/>
          <w:lang w:val="fr-CH"/>
        </w:rPr>
        <w:t xml:space="preserve"> communautaire</w:t>
      </w:r>
      <w:r w:rsidR="00A84CB3" w:rsidRPr="005A45EF">
        <w:rPr>
          <w:szCs w:val="22"/>
          <w:lang w:val="fr-CH"/>
        </w:rPr>
        <w:t xml:space="preserve"> (UJEDECO) </w:t>
      </w:r>
      <w:r w:rsidR="00A84CB3" w:rsidRPr="005A45EF">
        <w:rPr>
          <w:i/>
          <w:szCs w:val="22"/>
          <w:lang w:val="fr-CH"/>
        </w:rPr>
        <w:t xml:space="preserve">Union des peuples autochtones pour le </w:t>
      </w:r>
      <w:proofErr w:type="spellStart"/>
      <w:r w:rsidR="00A84CB3" w:rsidRPr="005A45EF">
        <w:rPr>
          <w:i/>
          <w:szCs w:val="22"/>
          <w:lang w:val="fr-CH"/>
        </w:rPr>
        <w:t>réveil</w:t>
      </w:r>
      <w:proofErr w:type="spellEnd"/>
      <w:r w:rsidR="00A84CB3" w:rsidRPr="005A45EF">
        <w:rPr>
          <w:i/>
          <w:szCs w:val="22"/>
          <w:lang w:val="fr-CH"/>
        </w:rPr>
        <w:t xml:space="preserve"> au </w:t>
      </w:r>
      <w:proofErr w:type="spellStart"/>
      <w:r w:rsidR="00A84CB3" w:rsidRPr="005A45EF">
        <w:rPr>
          <w:i/>
          <w:szCs w:val="22"/>
          <w:lang w:val="fr-CH"/>
        </w:rPr>
        <w:t>développement</w:t>
      </w:r>
      <w:proofErr w:type="spellEnd"/>
      <w:r w:rsidR="00A84CB3" w:rsidRPr="005A45EF">
        <w:rPr>
          <w:szCs w:val="22"/>
          <w:lang w:val="fr-CH"/>
        </w:rPr>
        <w:t xml:space="preserve"> (UPARED);  </w:t>
      </w:r>
      <w:r w:rsidR="00A84CB3" w:rsidRPr="005A45EF">
        <w:rPr>
          <w:i/>
          <w:szCs w:val="22"/>
          <w:lang w:val="fr-CH"/>
        </w:rPr>
        <w:t xml:space="preserve">Union nationale des organisations non gouvernementales de </w:t>
      </w:r>
      <w:proofErr w:type="spellStart"/>
      <w:r w:rsidR="00A84CB3" w:rsidRPr="005A45EF">
        <w:rPr>
          <w:i/>
          <w:szCs w:val="22"/>
          <w:lang w:val="fr-CH"/>
        </w:rPr>
        <w:t>développement</w:t>
      </w:r>
      <w:proofErr w:type="spellEnd"/>
      <w:r w:rsidR="00A84CB3" w:rsidRPr="005A45EF">
        <w:rPr>
          <w:szCs w:val="22"/>
          <w:lang w:val="fr-CH"/>
        </w:rPr>
        <w:t xml:space="preserve"> (UNONGD);  </w:t>
      </w:r>
      <w:r w:rsidR="00A84CB3" w:rsidRPr="005A45EF">
        <w:rPr>
          <w:i/>
          <w:szCs w:val="22"/>
          <w:lang w:val="fr-CH"/>
        </w:rPr>
        <w:t>Villages unis (United Villages)</w:t>
      </w:r>
      <w:r w:rsidR="00A84CB3" w:rsidRPr="005A45EF">
        <w:rPr>
          <w:szCs w:val="22"/>
          <w:lang w:val="fr-CH"/>
        </w:rPr>
        <w:t xml:space="preserve">;  </w:t>
      </w:r>
      <w:r w:rsidRPr="005A45EF">
        <w:rPr>
          <w:szCs w:val="22"/>
          <w:lang w:val="fr-CH"/>
        </w:rPr>
        <w:t xml:space="preserve">y </w:t>
      </w:r>
      <w:r w:rsidR="00A84CB3" w:rsidRPr="005A45EF">
        <w:rPr>
          <w:i/>
          <w:szCs w:val="22"/>
          <w:lang w:val="fr-CH"/>
        </w:rPr>
        <w:t>White Bridge</w:t>
      </w:r>
      <w:r w:rsidR="00A84CB3" w:rsidRPr="005A45EF">
        <w:rPr>
          <w:szCs w:val="22"/>
          <w:lang w:val="fr-CH"/>
        </w:rPr>
        <w:t xml:space="preserve">.  </w:t>
      </w:r>
      <w:r w:rsidRPr="00FB65A5">
        <w:rPr>
          <w:szCs w:val="22"/>
          <w:lang w:val="es-ES"/>
        </w:rPr>
        <w:t xml:space="preserve">El Comité decidió aplazar la acreditación de la organización </w:t>
      </w:r>
      <w:r w:rsidR="00071A99" w:rsidRPr="00FB65A5">
        <w:rPr>
          <w:i/>
          <w:szCs w:val="22"/>
          <w:lang w:val="es-ES"/>
        </w:rPr>
        <w:t>Bureau of Consultation for West Papua Indigenous Community Development</w:t>
      </w:r>
      <w:r w:rsidR="00513B37" w:rsidRPr="00FB65A5">
        <w:rPr>
          <w:szCs w:val="22"/>
          <w:lang w:val="es-ES"/>
        </w:rPr>
        <w:t xml:space="preserve"> </w:t>
      </w:r>
      <w:r w:rsidRPr="00FB65A5">
        <w:rPr>
          <w:szCs w:val="22"/>
          <w:lang w:val="es-ES"/>
        </w:rPr>
        <w:t>a fin de que sea examinada en su trigésima sesión</w:t>
      </w:r>
      <w:r w:rsidR="00071A99" w:rsidRPr="00FB65A5">
        <w:rPr>
          <w:szCs w:val="22"/>
          <w:lang w:val="es-ES"/>
        </w:rPr>
        <w:t xml:space="preserve">. </w:t>
      </w:r>
    </w:p>
    <w:p w:rsidR="00F32FDB" w:rsidRPr="00FB65A5" w:rsidRDefault="00F32FDB" w:rsidP="00931A71">
      <w:pPr>
        <w:spacing w:after="120" w:line="260" w:lineRule="atLeast"/>
        <w:rPr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DECISIÓN SOBRE EL PUNTO 6 DEL ORDEN DEL DÍA: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PARTICIPACIÓN DE LAS COMUNIDADES INDÍGENAS Y LOCALES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 Comité tomó nota de los documentos WIPO/GRTKF/IC/29/3, WIPO/GRTKF/IC/29/INF/4 y WIPO/GRTKF/IC/29/INF/6.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lastRenderedPageBreak/>
        <w:t>El Comité instó encarecidamente a los miembros del Comité, y a todas las entidades públicas y privadas interesadas, a contribuir al Fondo de la OMPI de Contribuciones Voluntarias para las Comunidades Indígenas y Locales Acreditadas.</w:t>
      </w:r>
    </w:p>
    <w:p w:rsidR="0062632F" w:rsidRPr="00FB65A5" w:rsidRDefault="004B4970" w:rsidP="004B4970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 xml:space="preserve">El Presidente propuso a las ocho personas siguientes para que intervengan a título personal en la Junta Asesora, y el Comité las eligió por aclamación:  </w:t>
      </w:r>
      <w:r w:rsidR="0062632F" w:rsidRPr="00FB65A5">
        <w:rPr>
          <w:szCs w:val="22"/>
          <w:lang w:val="es-ES"/>
        </w:rPr>
        <w:t xml:space="preserve">Sr. Fayssal ALLEK, Primer Secretario, Misión Permanente de Argelia en Ginebra;  Sr. Parviz EMOMOV, Segundo Secretario, </w:t>
      </w:r>
      <w:r w:rsidR="00D20191" w:rsidRPr="00FB65A5">
        <w:rPr>
          <w:szCs w:val="22"/>
          <w:lang w:val="es-ES"/>
        </w:rPr>
        <w:t>Misión</w:t>
      </w:r>
      <w:r w:rsidR="0062632F" w:rsidRPr="00FB65A5">
        <w:rPr>
          <w:szCs w:val="22"/>
          <w:lang w:val="es-ES"/>
        </w:rPr>
        <w:t xml:space="preserve"> Permanente de </w:t>
      </w:r>
      <w:r w:rsidR="00D20191" w:rsidRPr="00FB65A5">
        <w:rPr>
          <w:szCs w:val="22"/>
          <w:lang w:val="es-ES"/>
        </w:rPr>
        <w:t>Tayikistán</w:t>
      </w:r>
      <w:r w:rsidR="0062632F" w:rsidRPr="00FB65A5">
        <w:rPr>
          <w:szCs w:val="22"/>
          <w:lang w:val="es-ES"/>
        </w:rPr>
        <w:t xml:space="preserve"> en Ginebra;  </w:t>
      </w:r>
      <w:r w:rsidRPr="00FB65A5">
        <w:rPr>
          <w:szCs w:val="22"/>
          <w:lang w:val="es-ES"/>
        </w:rPr>
        <w:t>S</w:t>
      </w:r>
      <w:r w:rsidR="00A0168C" w:rsidRPr="00FB65A5">
        <w:rPr>
          <w:szCs w:val="22"/>
          <w:lang w:val="es-ES"/>
        </w:rPr>
        <w:t>r. Nelson</w:t>
      </w:r>
      <w:r w:rsidR="0062632F" w:rsidRPr="00FB65A5">
        <w:rPr>
          <w:szCs w:val="22"/>
          <w:lang w:val="es-ES"/>
        </w:rPr>
        <w:t xml:space="preserve"> DE LEO</w:t>
      </w:r>
      <w:r w:rsidRPr="00FB65A5">
        <w:rPr>
          <w:szCs w:val="22"/>
          <w:lang w:val="es-ES"/>
        </w:rPr>
        <w:t>N KANTULE, representante</w:t>
      </w:r>
      <w:r w:rsidR="00A0168C" w:rsidRPr="00FB65A5">
        <w:rPr>
          <w:szCs w:val="22"/>
          <w:lang w:val="es-ES"/>
        </w:rPr>
        <w:t>, Asociación Kunas unidos por Napguana</w:t>
      </w:r>
      <w:r w:rsidR="00A0168C" w:rsidRPr="00FB65A5">
        <w:rPr>
          <w:i/>
          <w:szCs w:val="22"/>
          <w:lang w:val="es-ES"/>
        </w:rPr>
        <w:t>/Association of Kunas</w:t>
      </w:r>
      <w:r w:rsidRPr="00FB65A5">
        <w:rPr>
          <w:i/>
          <w:szCs w:val="22"/>
          <w:lang w:val="es-ES"/>
        </w:rPr>
        <w:t xml:space="preserve"> for Mother Earth</w:t>
      </w:r>
      <w:r w:rsidRPr="00FB65A5">
        <w:rPr>
          <w:szCs w:val="22"/>
          <w:lang w:val="es-ES"/>
        </w:rPr>
        <w:t xml:space="preserve"> (KUNA) (Panamá)</w:t>
      </w:r>
      <w:r w:rsidR="00A0168C" w:rsidRPr="00FB65A5">
        <w:rPr>
          <w:szCs w:val="22"/>
          <w:lang w:val="es-ES"/>
        </w:rPr>
        <w:t xml:space="preserve">;  </w:t>
      </w:r>
      <w:r w:rsidR="009E2373" w:rsidRPr="00FB65A5">
        <w:rPr>
          <w:szCs w:val="22"/>
          <w:lang w:val="es-ES"/>
        </w:rPr>
        <w:t xml:space="preserve">Raymond Fryberg, </w:t>
      </w:r>
      <w:r w:rsidRPr="00FB65A5">
        <w:rPr>
          <w:szCs w:val="22"/>
          <w:lang w:val="es-ES"/>
        </w:rPr>
        <w:t>representante</w:t>
      </w:r>
      <w:r w:rsidR="0062632F" w:rsidRPr="00FB65A5">
        <w:rPr>
          <w:szCs w:val="22"/>
          <w:lang w:val="es-ES"/>
        </w:rPr>
        <w:t xml:space="preserve">, </w:t>
      </w:r>
      <w:r w:rsidR="009E2373" w:rsidRPr="00FB65A5">
        <w:rPr>
          <w:i/>
          <w:szCs w:val="22"/>
          <w:lang w:val="es-ES"/>
        </w:rPr>
        <w:t>Tu</w:t>
      </w:r>
      <w:r w:rsidR="005056A1" w:rsidRPr="00FB65A5">
        <w:rPr>
          <w:i/>
          <w:szCs w:val="22"/>
          <w:lang w:val="es-ES"/>
        </w:rPr>
        <w:t>lalip Tribes of Washington</w:t>
      </w:r>
      <w:r w:rsidRPr="00FB65A5">
        <w:rPr>
          <w:szCs w:val="22"/>
          <w:lang w:val="es-ES"/>
        </w:rPr>
        <w:t xml:space="preserve"> (Estados Unidos de América)</w:t>
      </w:r>
      <w:r w:rsidR="0062632F" w:rsidRPr="00FB65A5">
        <w:rPr>
          <w:szCs w:val="22"/>
          <w:lang w:val="es-ES"/>
        </w:rPr>
        <w:t xml:space="preserve">;  Sr. Carlo Maria MARENGHI, Agregado de Propiedad Intelectual y Comercio, Misión Permanente de la Santa Sede en Ginebra;  Sra. Mary NARFI, Oficial Ejecutiva, Ministerio de Turismo, Comercio &amp; </w:t>
      </w:r>
      <w:r w:rsidR="00BA3AD5" w:rsidRPr="00FB65A5">
        <w:rPr>
          <w:szCs w:val="22"/>
          <w:lang w:val="es-ES"/>
        </w:rPr>
        <w:t xml:space="preserve">Empresas de </w:t>
      </w:r>
      <w:r w:rsidR="0062632F" w:rsidRPr="00FB65A5">
        <w:rPr>
          <w:szCs w:val="22"/>
          <w:lang w:val="es-ES"/>
        </w:rPr>
        <w:t>Ni Vanuatu, Port Vila (Vanuatu);  Sr. Pita Kalesita NIUBALAVU, Consultor, Secretaría del Foro de las Islas del Pacífico (Fiji); Sra. Marcela PAIVA, Consejera, Misión Permanente de Chile en Ginebra.</w:t>
      </w:r>
    </w:p>
    <w:p w:rsidR="004B4970" w:rsidRPr="00FB65A5" w:rsidRDefault="004B4970" w:rsidP="004B4970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 Presidente del Comité nombró Presidente de la Junta Asesora al Embajador</w:t>
      </w:r>
      <w:r w:rsidRPr="00FB65A5">
        <w:rPr>
          <w:lang w:val="es-ES"/>
        </w:rPr>
        <w:t xml:space="preserve"> </w:t>
      </w:r>
      <w:r w:rsidR="00FE5F59" w:rsidRPr="00FB65A5">
        <w:rPr>
          <w:lang w:val="es-ES"/>
        </w:rPr>
        <w:t>Robert Matheus Michael Tene</w:t>
      </w:r>
      <w:r w:rsidR="00A0168C" w:rsidRPr="00FB65A5">
        <w:rPr>
          <w:szCs w:val="22"/>
          <w:lang w:val="es-ES"/>
        </w:rPr>
        <w:t xml:space="preserve">, </w:t>
      </w:r>
      <w:r w:rsidRPr="00FB65A5">
        <w:rPr>
          <w:szCs w:val="22"/>
          <w:lang w:val="es-ES"/>
        </w:rPr>
        <w:t>actual Vicepresidente del Comité.</w:t>
      </w:r>
    </w:p>
    <w:p w:rsidR="00071A99" w:rsidRPr="00FB65A5" w:rsidRDefault="00071A99" w:rsidP="00931A71">
      <w:pPr>
        <w:spacing w:after="120" w:line="260" w:lineRule="atLeast"/>
        <w:rPr>
          <w:szCs w:val="22"/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DECISIÓN SOBRE EL PUNTO 7 DEL ORDEN DEL DÍA: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RECURSOS GENÉTICOS</w:t>
      </w:r>
    </w:p>
    <w:p w:rsidR="008B4D55" w:rsidRPr="00FB65A5" w:rsidRDefault="00BA3AD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 xml:space="preserve">El Comité examinó las cuestiones esenciales, sobre la base de los documentos WIPO/GRTKF/IC/29/4, WIPO/GRTKF/IC/29/5 y WIPO/GRTKF/IC/29/6, y decidió transmitir el texto que figura en el anexo del documento WIPO/GRTKF/IC/29/4, con la supresión del Artículo 2, a la siguiente sesión del Comité.  </w:t>
      </w:r>
      <w:r w:rsidR="00787088">
        <w:rPr>
          <w:szCs w:val="22"/>
          <w:lang w:val="es-ES"/>
        </w:rPr>
        <w:t xml:space="preserve">Se hará referencia a los artículos preparados por los facilitadores en el cuerpo del informe de la sesión.  </w:t>
      </w:r>
      <w:r w:rsidRPr="00FB65A5">
        <w:rPr>
          <w:szCs w:val="22"/>
          <w:lang w:val="es-ES"/>
        </w:rPr>
        <w:t xml:space="preserve">El Comité transmitió asimismo a la siguiente sesión del Comité una “Lista indicativa de cuestiones </w:t>
      </w:r>
      <w:r w:rsidR="00EC0C20" w:rsidRPr="00FB65A5">
        <w:rPr>
          <w:szCs w:val="22"/>
          <w:lang w:val="es-ES"/>
        </w:rPr>
        <w:t>sin considerar/pendientes que deberán abordarse/resolverse en la siguiente sesión</w:t>
      </w:r>
      <w:r w:rsidRPr="00FB65A5">
        <w:rPr>
          <w:szCs w:val="22"/>
          <w:lang w:val="es-ES"/>
        </w:rPr>
        <w:t xml:space="preserve">”, cuya copia se adjunta.  </w:t>
      </w:r>
    </w:p>
    <w:p w:rsidR="00BA3AD5" w:rsidRPr="00FB65A5" w:rsidRDefault="00BA3AD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 xml:space="preserve">Con respecto a los recursos que conviene que utilicen los participantes en el Comité a modo de material de referencia en los preparativos para las sesiones del Comité:  a) se pide a la Secretaría que establezca, con bastante antelación a la trigésima sesión del Comité, una nueva página web en la que se consoliden todos los recursos existentes sobre las experiencias regionales, nacionales, locales y comunitarias (por ejemplo, estudios, colecciones de leyes, propuestas, bases de datos, códigos y protocolos voluntarios y ponencias) preparados hasta la fecha por la Secretaría de la OMPI o presentados por los Estados miembros y los observadores a los fines del Comité, y que informe de ello en un documento de información presentado ante la trigésima sesión del Comité;  y b) se invita a los Estados miembros y a los observadores a enviar a la Secretaría, a más tardar el 31 de marzo de 2016, referencias de cualquier otro tipo de recursos que puedan ser pertinentes para los participantes en el Comité a modo de material de referencia, y la Secretaría deberá comunicar una lista de las referencias suministradas </w:t>
      </w:r>
      <w:r w:rsidR="00A61DFC" w:rsidRPr="00FB65A5">
        <w:rPr>
          <w:szCs w:val="22"/>
          <w:lang w:val="es-ES"/>
        </w:rPr>
        <w:t>a la trigésima sesión del Comité en un documento de información.</w:t>
      </w:r>
    </w:p>
    <w:p w:rsidR="00A61DFC" w:rsidRPr="00FB65A5" w:rsidRDefault="00A61DFC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 Comité tomó nota de la actualización y mejora, centrada en las experiencias prácticas, que está llevando a cabo la Secretaría, del Estudio técnico de la OMPI sobre los requisitos de divulgación en materia de patentes relativos a los recursos genéticos y los conocimiento</w:t>
      </w:r>
      <w:r w:rsidR="005A45EF">
        <w:rPr>
          <w:szCs w:val="22"/>
          <w:lang w:val="es-ES"/>
        </w:rPr>
        <w:t>s tradicionales preparado en 200</w:t>
      </w:r>
      <w:r w:rsidRPr="00FB65A5">
        <w:rPr>
          <w:szCs w:val="22"/>
          <w:lang w:val="es-ES"/>
        </w:rPr>
        <w:t>4, e invita a los Estados miembros y a los observadores a aportar información para esa labor y pide que la Secretaría finalice esa actividad lo antes posible.</w:t>
      </w:r>
    </w:p>
    <w:p w:rsidR="00A61DFC" w:rsidRPr="00FB65A5" w:rsidRDefault="00A61DFC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 Comité tomó nota asimismo de los documentos WIPO/GRTKF/IC/29/7, WIPO/GRTKF/IC/29/INF/7, WIPO/GRTKF/IC/29/INF/8, WIPO/GRTKF/IC/29/INF/9 y WIPO/GRTKF/IC/29/INF/10.</w:t>
      </w:r>
    </w:p>
    <w:p w:rsidR="00FF2E4D" w:rsidRDefault="00FF2E4D" w:rsidP="008B4D55">
      <w:pPr>
        <w:spacing w:after="120" w:line="260" w:lineRule="atLeast"/>
        <w:rPr>
          <w:szCs w:val="22"/>
          <w:lang w:val="es-ES"/>
        </w:rPr>
      </w:pPr>
    </w:p>
    <w:p w:rsidR="00FF2E4D" w:rsidRDefault="00FF2E4D" w:rsidP="008B4D55">
      <w:pPr>
        <w:spacing w:after="120" w:line="260" w:lineRule="atLeast"/>
        <w:rPr>
          <w:szCs w:val="22"/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bookmarkStart w:id="5" w:name="_GoBack"/>
      <w:bookmarkEnd w:id="5"/>
      <w:r w:rsidRPr="00FB65A5">
        <w:rPr>
          <w:szCs w:val="22"/>
          <w:lang w:val="es-ES"/>
        </w:rPr>
        <w:lastRenderedPageBreak/>
        <w:t>DECISIÓN SOBRE EL PUNTO 8 DEL ORDEN DEL DÍA:</w:t>
      </w:r>
    </w:p>
    <w:p w:rsidR="008B4D55" w:rsidRPr="00FB65A5" w:rsidRDefault="005619ED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OTROS ASUNTOS</w:t>
      </w:r>
    </w:p>
    <w:p w:rsidR="008B4D55" w:rsidRPr="00FB65A5" w:rsidRDefault="00A61DFC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No hubo debate sobre este punto del orden del día.</w:t>
      </w:r>
    </w:p>
    <w:p w:rsidR="00A61DFC" w:rsidRPr="00FB65A5" w:rsidRDefault="00A61DFC" w:rsidP="008B4D55">
      <w:pPr>
        <w:spacing w:after="120" w:line="260" w:lineRule="atLeast"/>
        <w:rPr>
          <w:szCs w:val="22"/>
          <w:lang w:val="es-ES"/>
        </w:rPr>
      </w:pP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DECISIÓN SOBRE EL PUNTO 9 DEL ORDEN DEL DÍA:</w:t>
      </w:r>
    </w:p>
    <w:p w:rsidR="008B4D55" w:rsidRPr="00FB65A5" w:rsidRDefault="008B4D55" w:rsidP="008B4D55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CLAUSURA DE LA SESIÓN</w:t>
      </w:r>
    </w:p>
    <w:p w:rsidR="00EA016E" w:rsidRPr="00FB65A5" w:rsidRDefault="00A61DFC" w:rsidP="00931A71">
      <w:pPr>
        <w:spacing w:after="120" w:line="260" w:lineRule="atLeast"/>
        <w:rPr>
          <w:szCs w:val="22"/>
          <w:lang w:val="es-ES"/>
        </w:rPr>
      </w:pPr>
      <w:r w:rsidRPr="00FB65A5">
        <w:rPr>
          <w:szCs w:val="22"/>
          <w:lang w:val="es-ES"/>
        </w:rPr>
        <w:t>El Comité adoptó decisiones en relación con los puntos 2, 3, 4,</w:t>
      </w:r>
      <w:r w:rsidR="00C15AFF" w:rsidRPr="00FB65A5">
        <w:rPr>
          <w:szCs w:val="22"/>
          <w:lang w:val="es-ES"/>
        </w:rPr>
        <w:t xml:space="preserve"> 5, 6 y 7 del orden del día el </w:t>
      </w:r>
      <w:r w:rsidRPr="00FB65A5">
        <w:rPr>
          <w:szCs w:val="22"/>
          <w:lang w:val="es-ES"/>
        </w:rPr>
        <w:t>19</w:t>
      </w:r>
      <w:r w:rsidR="00F5464D" w:rsidRPr="00FB65A5">
        <w:rPr>
          <w:szCs w:val="22"/>
          <w:lang w:val="es-ES"/>
        </w:rPr>
        <w:t> </w:t>
      </w:r>
      <w:r w:rsidRPr="00FB65A5">
        <w:rPr>
          <w:szCs w:val="22"/>
          <w:lang w:val="es-ES"/>
        </w:rPr>
        <w:t>de febrero de 2016.  Acordó que se prepare y distribuya, antes del 29 de marzo de 2016, un proyecto de informe que contenga el texto concertado de dichas decisiones y de todas las intervenciones realizadas en la sesión del Comité.  Se invitará a los participantes en la sesión del Comité a presentar correcciones por escrito de sus intervenciones, según consta en el proyecto de informe, de modo que pueda distribuirse una versión final de dicho proyecto a los participantes en el Comité a los fines de su aprobación en su siguiente sesión.</w:t>
      </w:r>
    </w:p>
    <w:p w:rsidR="00EA016E" w:rsidRPr="00FB65A5" w:rsidRDefault="00EA016E" w:rsidP="00931A71">
      <w:pPr>
        <w:spacing w:after="120" w:line="260" w:lineRule="atLeast"/>
        <w:rPr>
          <w:szCs w:val="22"/>
          <w:lang w:val="es-ES"/>
        </w:rPr>
      </w:pPr>
    </w:p>
    <w:p w:rsidR="00EA016E" w:rsidRPr="00FB65A5" w:rsidRDefault="00EA016E" w:rsidP="00931A71">
      <w:pPr>
        <w:spacing w:after="120" w:line="260" w:lineRule="atLeast"/>
        <w:rPr>
          <w:szCs w:val="22"/>
          <w:lang w:val="es-ES"/>
        </w:rPr>
      </w:pPr>
    </w:p>
    <w:p w:rsidR="005428C9" w:rsidRPr="00FB65A5" w:rsidRDefault="005428C9" w:rsidP="00931A71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FB65A5">
        <w:rPr>
          <w:iCs/>
          <w:szCs w:val="22"/>
          <w:lang w:val="es-ES"/>
        </w:rPr>
        <w:t>[</w:t>
      </w:r>
      <w:r w:rsidR="005619ED" w:rsidRPr="00FB65A5">
        <w:rPr>
          <w:iCs/>
          <w:szCs w:val="22"/>
          <w:lang w:val="es-ES"/>
        </w:rPr>
        <w:t>Sigue el Anexo</w:t>
      </w:r>
      <w:r w:rsidRPr="00FB65A5">
        <w:rPr>
          <w:iCs/>
          <w:szCs w:val="22"/>
          <w:lang w:val="es-ES"/>
        </w:rPr>
        <w:t>]</w:t>
      </w:r>
    </w:p>
    <w:p w:rsidR="00C15AFF" w:rsidRPr="00FB65A5" w:rsidRDefault="00C15AFF" w:rsidP="00C15AFF">
      <w:pPr>
        <w:rPr>
          <w:lang w:val="es-ES"/>
        </w:rPr>
      </w:pPr>
    </w:p>
    <w:p w:rsidR="00C15AFF" w:rsidRPr="00FB65A5" w:rsidRDefault="00C15AFF" w:rsidP="00C15AFF">
      <w:pPr>
        <w:rPr>
          <w:lang w:val="es-ES"/>
        </w:rPr>
        <w:sectPr w:rsidR="00C15AFF" w:rsidRPr="00FB65A5" w:rsidSect="005428C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15AFF" w:rsidRPr="00FB65A5" w:rsidRDefault="00C15AFF">
      <w:pPr>
        <w:rPr>
          <w:lang w:val="es-ES"/>
        </w:rPr>
      </w:pPr>
    </w:p>
    <w:p w:rsidR="00323329" w:rsidRPr="00FB65A5" w:rsidRDefault="00323329">
      <w:pPr>
        <w:rPr>
          <w:lang w:val="es-ES"/>
        </w:rPr>
      </w:pPr>
    </w:p>
    <w:p w:rsidR="00323329" w:rsidRPr="00FB65A5" w:rsidRDefault="00323329" w:rsidP="00323329">
      <w:pPr>
        <w:jc w:val="center"/>
        <w:rPr>
          <w:b/>
          <w:lang w:val="es-ES"/>
        </w:rPr>
      </w:pPr>
      <w:r w:rsidRPr="00FB65A5">
        <w:rPr>
          <w:b/>
          <w:lang w:val="es-ES"/>
        </w:rPr>
        <w:t>Lista indicativa de cuestiones sin considerar/pendientes</w:t>
      </w:r>
    </w:p>
    <w:p w:rsidR="00323329" w:rsidRPr="00FB65A5" w:rsidRDefault="00323329" w:rsidP="00323329">
      <w:pPr>
        <w:jc w:val="center"/>
        <w:rPr>
          <w:b/>
          <w:lang w:val="es-ES"/>
        </w:rPr>
      </w:pPr>
      <w:r w:rsidRPr="00FB65A5">
        <w:rPr>
          <w:b/>
          <w:lang w:val="es-ES"/>
        </w:rPr>
        <w:t>que deberán abordarse/resolverse en la siguiente sesión</w:t>
      </w:r>
    </w:p>
    <w:p w:rsidR="00323329" w:rsidRPr="00FB65A5" w:rsidRDefault="00323329" w:rsidP="00323329">
      <w:pPr>
        <w:tabs>
          <w:tab w:val="left" w:pos="2238"/>
        </w:tabs>
        <w:rPr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Lista de términos</w:t>
      </w:r>
    </w:p>
    <w:p w:rsidR="00323329" w:rsidRPr="00FB65A5" w:rsidRDefault="00323329" w:rsidP="00323329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Preámbulo</w:t>
      </w:r>
    </w:p>
    <w:p w:rsidR="00323329" w:rsidRPr="00FB65A5" w:rsidRDefault="00323329" w:rsidP="00323329">
      <w:pPr>
        <w:rPr>
          <w:szCs w:val="22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Objetivos de política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Eficacia y transparencia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Determinar si la apropiación indebida debería mantenerse en el texto (y, de ser así, cómo debería definirse)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Complementariedad/apoyo mutuo con los acuerdos internacionales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Impedir/minimizar la concesión “errónea” de patentes (determinar cuál es el término adecuado)</w:t>
      </w:r>
    </w:p>
    <w:p w:rsidR="00323329" w:rsidRPr="00FB65A5" w:rsidRDefault="00323329" w:rsidP="00323329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Materia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El instrumento debería aplicarse a: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 xml:space="preserve">Cualquier derecho de P.I. o solo </w:t>
      </w:r>
      <w:r w:rsidR="00262201">
        <w:rPr>
          <w:rFonts w:ascii="Arial" w:hAnsi="Arial" w:cs="Arial"/>
          <w:lang w:val="es-ES"/>
        </w:rPr>
        <w:t xml:space="preserve">a </w:t>
      </w:r>
      <w:r w:rsidRPr="00FB65A5">
        <w:rPr>
          <w:rFonts w:ascii="Arial" w:hAnsi="Arial" w:cs="Arial"/>
          <w:lang w:val="es-ES"/>
        </w:rPr>
        <w:t>los derechos de patente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Determinar si, además de a los RR.GG., el instrumento también debería aplicarse a los: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Derivados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CC.TT. asociados/CC.TT. asociados a RR.GG.</w:t>
      </w:r>
    </w:p>
    <w:p w:rsidR="00323329" w:rsidRPr="00FB65A5" w:rsidRDefault="00323329" w:rsidP="00FB65A5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Requisito de divulgación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Contenido de la divulgación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Origen y/o fuente de los RR.GG.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Información acerca del cumplimiento de los requisitos de acceso y participación en los beneficios, incluido el consentimiento fundamentado previo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Excepciones y limitaciones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Tipo de excepciones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Únicamente excepciones relacionadas con el interés público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Condiciones para que los RR.GG. y/o los derivados tal como se encuentran en la naturaleza o aislados de ella puedan ser materia de P.I. o de patentes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Consecuencias del incumplimiento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Acuerdo sobre criterio mínimo y/o máximo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Medidas/sanciones dentro y/o fuera del sistema de patentes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Condiciones admisibles para la revocación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Activación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La invención reivindicada se basa directamente en la materia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Utilización de la materia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Necesidad de acceso físico o acceso a materia intangible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Relación con regímenes nacionales e internos de acceso y participación en los beneficios</w:t>
      </w:r>
    </w:p>
    <w:p w:rsidR="00323329" w:rsidRPr="00FB65A5" w:rsidRDefault="00323329" w:rsidP="00FB65A5">
      <w:pPr>
        <w:pStyle w:val="ColorfulList-Accent11"/>
        <w:numPr>
          <w:ilvl w:val="1"/>
          <w:numId w:val="9"/>
        </w:numPr>
        <w:spacing w:after="0" w:line="240" w:lineRule="auto"/>
        <w:ind w:left="1134" w:hanging="283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Función de la oficina de P.I./patentes en lo que atañe a la notificación al Mecanismo de facilitación del CDB/Protocolo de Nagoya/ITPGRFA de información relacionada con la divulgación</w:t>
      </w:r>
    </w:p>
    <w:p w:rsidR="00323329" w:rsidRPr="00FB65A5" w:rsidRDefault="00323329" w:rsidP="00323329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Medidas preventivas/Ausencia de divulgación</w:t>
      </w:r>
    </w:p>
    <w:p w:rsidR="00323329" w:rsidRPr="00FB65A5" w:rsidRDefault="00323329" w:rsidP="00FB65A5">
      <w:pPr>
        <w:pStyle w:val="ColorfulList-Accent11"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Examen de la necesidad de medidas/sistemas adicionales de diligencia debida</w:t>
      </w:r>
    </w:p>
    <w:p w:rsidR="00323329" w:rsidRPr="00FB65A5" w:rsidRDefault="00323329" w:rsidP="00323329">
      <w:pPr>
        <w:pStyle w:val="ColorfulList-Accent11"/>
        <w:keepNext/>
        <w:keepLines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keepNext/>
        <w:keepLines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Bases de datos</w:t>
      </w:r>
    </w:p>
    <w:p w:rsidR="00323329" w:rsidRPr="00FB65A5" w:rsidRDefault="00323329" w:rsidP="00FB65A5">
      <w:pPr>
        <w:pStyle w:val="ColorfulList-Accent11"/>
        <w:keepNext/>
        <w:keepLines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Bases de datos como medidas complementarias del requisito de divulgación</w:t>
      </w:r>
    </w:p>
    <w:p w:rsidR="00323329" w:rsidRPr="00FB65A5" w:rsidRDefault="00323329" w:rsidP="00FB65A5">
      <w:pPr>
        <w:pStyle w:val="ColorfulList-Accent11"/>
        <w:keepNext/>
        <w:keepLines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Salvaguardias para los CC.TT. de posesión generalizada y/o que están disponibles al público</w:t>
      </w:r>
    </w:p>
    <w:p w:rsidR="00323329" w:rsidRPr="00FB65A5" w:rsidRDefault="00323329" w:rsidP="00FB65A5">
      <w:pPr>
        <w:pStyle w:val="ColorfulList-Accent11"/>
        <w:keepNext/>
        <w:keepLines/>
        <w:numPr>
          <w:ilvl w:val="0"/>
          <w:numId w:val="9"/>
        </w:numPr>
        <w:spacing w:after="0" w:line="240" w:lineRule="auto"/>
        <w:ind w:left="567" w:hanging="567"/>
        <w:rPr>
          <w:rFonts w:ascii="Arial" w:hAnsi="Arial" w:cs="Arial"/>
          <w:lang w:val="es-ES"/>
        </w:rPr>
      </w:pPr>
      <w:r w:rsidRPr="00FB65A5">
        <w:rPr>
          <w:rFonts w:ascii="Arial" w:hAnsi="Arial" w:cs="Arial"/>
          <w:lang w:val="es-ES"/>
        </w:rPr>
        <w:t>Carga para los poseedores de conocimientos tradicionales y los Estados miembros</w:t>
      </w:r>
    </w:p>
    <w:p w:rsidR="00323329" w:rsidRPr="00FB65A5" w:rsidRDefault="00323329" w:rsidP="00323329">
      <w:pPr>
        <w:pStyle w:val="ColorfulList-Accent11"/>
        <w:keepNext/>
        <w:keepLines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keepNext/>
        <w:keepLines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Relación con los acuerdos internacionales, incluidos el PCT y el PLT</w:t>
      </w:r>
    </w:p>
    <w:p w:rsidR="00323329" w:rsidRPr="00FB65A5" w:rsidRDefault="00323329" w:rsidP="00323329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Cooperación transfronteriza</w:t>
      </w:r>
    </w:p>
    <w:p w:rsidR="00323329" w:rsidRPr="00FB65A5" w:rsidRDefault="00323329" w:rsidP="00323329">
      <w:pPr>
        <w:pStyle w:val="ColorfulList-Accent11"/>
        <w:spacing w:after="0" w:line="240" w:lineRule="auto"/>
        <w:ind w:left="0"/>
        <w:rPr>
          <w:rFonts w:ascii="Arial" w:hAnsi="Arial" w:cs="Arial"/>
          <w:lang w:val="es-ES"/>
        </w:rPr>
      </w:pPr>
    </w:p>
    <w:p w:rsidR="00323329" w:rsidRPr="00FB65A5" w:rsidRDefault="00323329" w:rsidP="00FB65A5">
      <w:pPr>
        <w:pStyle w:val="ColorfulList-Accent11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/>
          <w:lang w:val="es-ES"/>
        </w:rPr>
      </w:pPr>
      <w:r w:rsidRPr="00FB65A5">
        <w:rPr>
          <w:rFonts w:ascii="Arial" w:hAnsi="Arial" w:cs="Arial"/>
          <w:b/>
          <w:lang w:val="es-ES"/>
        </w:rPr>
        <w:t>Asistencia técnica, cooperación y creación de capacidad</w:t>
      </w:r>
    </w:p>
    <w:p w:rsidR="00323329" w:rsidRPr="00FB65A5" w:rsidRDefault="00323329" w:rsidP="00323329">
      <w:pPr>
        <w:rPr>
          <w:iCs/>
          <w:szCs w:val="22"/>
          <w:lang w:val="es-ES"/>
        </w:rPr>
      </w:pPr>
    </w:p>
    <w:p w:rsidR="00323329" w:rsidRPr="00FB65A5" w:rsidRDefault="00323329" w:rsidP="00323329">
      <w:pPr>
        <w:rPr>
          <w:iCs/>
          <w:szCs w:val="22"/>
          <w:lang w:val="es-ES"/>
        </w:rPr>
      </w:pPr>
    </w:p>
    <w:p w:rsidR="00323329" w:rsidRPr="00FB65A5" w:rsidRDefault="00323329" w:rsidP="00323329">
      <w:pPr>
        <w:rPr>
          <w:iCs/>
          <w:szCs w:val="22"/>
          <w:lang w:val="es-ES"/>
        </w:rPr>
      </w:pPr>
    </w:p>
    <w:p w:rsidR="00C15AFF" w:rsidRPr="00FB65A5" w:rsidRDefault="00C15AFF" w:rsidP="00C15AFF">
      <w:pPr>
        <w:pStyle w:val="Endofdocument-Annex"/>
        <w:rPr>
          <w:lang w:val="es-ES"/>
        </w:rPr>
      </w:pPr>
      <w:r w:rsidRPr="00FB65A5">
        <w:rPr>
          <w:lang w:val="es-ES"/>
        </w:rPr>
        <w:t>[Fin del Anexo y del documento]</w:t>
      </w:r>
    </w:p>
    <w:sectPr w:rsidR="00C15AFF" w:rsidRPr="00FB65A5" w:rsidSect="00FB65A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57" w:rsidRDefault="00364957">
      <w:r>
        <w:separator/>
      </w:r>
    </w:p>
  </w:endnote>
  <w:endnote w:type="continuationSeparator" w:id="0">
    <w:p w:rsidR="00364957" w:rsidRDefault="00364957" w:rsidP="003B38C1">
      <w:r>
        <w:separator/>
      </w:r>
    </w:p>
    <w:p w:rsidR="00364957" w:rsidRPr="003B38C1" w:rsidRDefault="003649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4957" w:rsidRPr="003B38C1" w:rsidRDefault="003649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57" w:rsidRDefault="00364957">
      <w:r>
        <w:separator/>
      </w:r>
    </w:p>
  </w:footnote>
  <w:footnote w:type="continuationSeparator" w:id="0">
    <w:p w:rsidR="00364957" w:rsidRDefault="00364957" w:rsidP="008B60B2">
      <w:r>
        <w:separator/>
      </w:r>
    </w:p>
    <w:p w:rsidR="00364957" w:rsidRPr="00ED77FB" w:rsidRDefault="003649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4957" w:rsidRPr="00ED77FB" w:rsidRDefault="003649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B3" w:rsidRDefault="008B4D55" w:rsidP="00477D6B">
    <w:pPr>
      <w:jc w:val="right"/>
    </w:pPr>
    <w:r>
      <w:t>página</w:t>
    </w:r>
    <w:r w:rsidR="00A84CB3">
      <w:t xml:space="preserve"> </w:t>
    </w:r>
    <w:r w:rsidR="00A84CB3">
      <w:fldChar w:fldCharType="begin"/>
    </w:r>
    <w:r w:rsidR="00A84CB3">
      <w:instrText xml:space="preserve"> PAGE  \* MERGEFORMAT </w:instrText>
    </w:r>
    <w:r w:rsidR="00A84CB3">
      <w:fldChar w:fldCharType="separate"/>
    </w:r>
    <w:r w:rsidR="00DF60DF">
      <w:rPr>
        <w:noProof/>
      </w:rPr>
      <w:t>4</w:t>
    </w:r>
    <w:r w:rsidR="00A84CB3">
      <w:fldChar w:fldCharType="end"/>
    </w:r>
  </w:p>
  <w:p w:rsidR="00A84CB3" w:rsidRDefault="00A84CB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F" w:rsidRPr="00C15AFF" w:rsidRDefault="00C15AFF" w:rsidP="00477D6B">
    <w:pPr>
      <w:jc w:val="right"/>
      <w:rPr>
        <w:lang w:val="es-ES"/>
      </w:rPr>
    </w:pPr>
    <w:r w:rsidRPr="00C15AFF">
      <w:rPr>
        <w:lang w:val="es-ES"/>
      </w:rPr>
      <w:t xml:space="preserve">Anexo, página </w:t>
    </w:r>
    <w:r w:rsidRPr="00C15AFF">
      <w:rPr>
        <w:lang w:val="es-ES"/>
      </w:rPr>
      <w:fldChar w:fldCharType="begin"/>
    </w:r>
    <w:r w:rsidRPr="00C15AFF">
      <w:rPr>
        <w:lang w:val="es-ES"/>
      </w:rPr>
      <w:instrText xml:space="preserve"> PAGE  \* MERGEFORMAT </w:instrText>
    </w:r>
    <w:r w:rsidRPr="00C15AFF">
      <w:rPr>
        <w:lang w:val="es-ES"/>
      </w:rPr>
      <w:fldChar w:fldCharType="separate"/>
    </w:r>
    <w:r w:rsidR="00DF60DF">
      <w:rPr>
        <w:noProof/>
        <w:lang w:val="es-ES"/>
      </w:rPr>
      <w:t>2</w:t>
    </w:r>
    <w:r w:rsidRPr="00C15AFF">
      <w:rPr>
        <w:lang w:val="es-ES"/>
      </w:rPr>
      <w:fldChar w:fldCharType="end"/>
    </w:r>
  </w:p>
  <w:p w:rsidR="00C15AFF" w:rsidRPr="00C15AFF" w:rsidRDefault="00C15AFF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F" w:rsidRPr="00C15AFF" w:rsidRDefault="00C15AFF" w:rsidP="00C15AFF">
    <w:pPr>
      <w:pStyle w:val="Header"/>
      <w:jc w:val="right"/>
      <w:rPr>
        <w:lang w:val="es-ES"/>
      </w:rPr>
    </w:pPr>
    <w:r w:rsidRPr="00C15AFF">
      <w:rPr>
        <w:lang w:val="es-ES"/>
      </w:rPr>
      <w:t>ANEXO</w:t>
    </w:r>
  </w:p>
  <w:p w:rsidR="00C15AFF" w:rsidRPr="00C15AFF" w:rsidRDefault="00C15AFF" w:rsidP="00C15AFF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5EF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9"/>
    <w:rsid w:val="00020B0B"/>
    <w:rsid w:val="00025798"/>
    <w:rsid w:val="00034F1B"/>
    <w:rsid w:val="000350CA"/>
    <w:rsid w:val="000362A5"/>
    <w:rsid w:val="00043CAA"/>
    <w:rsid w:val="0005374D"/>
    <w:rsid w:val="000565C4"/>
    <w:rsid w:val="00062057"/>
    <w:rsid w:val="00065E90"/>
    <w:rsid w:val="00071A99"/>
    <w:rsid w:val="00075432"/>
    <w:rsid w:val="00080964"/>
    <w:rsid w:val="0008488C"/>
    <w:rsid w:val="000921DC"/>
    <w:rsid w:val="00095BB5"/>
    <w:rsid w:val="000968ED"/>
    <w:rsid w:val="000A1944"/>
    <w:rsid w:val="000A60FB"/>
    <w:rsid w:val="000B2978"/>
    <w:rsid w:val="000D1B54"/>
    <w:rsid w:val="000D3909"/>
    <w:rsid w:val="000F5E56"/>
    <w:rsid w:val="0010308B"/>
    <w:rsid w:val="00121780"/>
    <w:rsid w:val="001362EE"/>
    <w:rsid w:val="001442D3"/>
    <w:rsid w:val="00146DA5"/>
    <w:rsid w:val="001470CC"/>
    <w:rsid w:val="0015134A"/>
    <w:rsid w:val="00152411"/>
    <w:rsid w:val="00154FB1"/>
    <w:rsid w:val="001709F8"/>
    <w:rsid w:val="00181D8F"/>
    <w:rsid w:val="001832A6"/>
    <w:rsid w:val="001876C3"/>
    <w:rsid w:val="001C2F18"/>
    <w:rsid w:val="001C455B"/>
    <w:rsid w:val="001D5E3A"/>
    <w:rsid w:val="001E1F6E"/>
    <w:rsid w:val="001E6FC1"/>
    <w:rsid w:val="001F1EC2"/>
    <w:rsid w:val="00202976"/>
    <w:rsid w:val="00206D37"/>
    <w:rsid w:val="00214A3C"/>
    <w:rsid w:val="00216048"/>
    <w:rsid w:val="00231B6C"/>
    <w:rsid w:val="00252AB2"/>
    <w:rsid w:val="0025530F"/>
    <w:rsid w:val="00255D22"/>
    <w:rsid w:val="002564D5"/>
    <w:rsid w:val="00256FAF"/>
    <w:rsid w:val="00262201"/>
    <w:rsid w:val="002634C4"/>
    <w:rsid w:val="002638FD"/>
    <w:rsid w:val="002814AB"/>
    <w:rsid w:val="002824FB"/>
    <w:rsid w:val="00287BFD"/>
    <w:rsid w:val="002928D3"/>
    <w:rsid w:val="002953D8"/>
    <w:rsid w:val="002A43DB"/>
    <w:rsid w:val="002C0313"/>
    <w:rsid w:val="002C5548"/>
    <w:rsid w:val="002C62CF"/>
    <w:rsid w:val="002D404E"/>
    <w:rsid w:val="002F1FE6"/>
    <w:rsid w:val="002F4E68"/>
    <w:rsid w:val="002F5463"/>
    <w:rsid w:val="00312F7F"/>
    <w:rsid w:val="0031723F"/>
    <w:rsid w:val="00323329"/>
    <w:rsid w:val="003306CE"/>
    <w:rsid w:val="003333F0"/>
    <w:rsid w:val="00346218"/>
    <w:rsid w:val="00350495"/>
    <w:rsid w:val="00352782"/>
    <w:rsid w:val="003558D6"/>
    <w:rsid w:val="00361450"/>
    <w:rsid w:val="00364957"/>
    <w:rsid w:val="003651B6"/>
    <w:rsid w:val="003673CF"/>
    <w:rsid w:val="00381777"/>
    <w:rsid w:val="003845C1"/>
    <w:rsid w:val="003870E9"/>
    <w:rsid w:val="003A5949"/>
    <w:rsid w:val="003A6F89"/>
    <w:rsid w:val="003B3135"/>
    <w:rsid w:val="003B38C1"/>
    <w:rsid w:val="003C6B19"/>
    <w:rsid w:val="003D4844"/>
    <w:rsid w:val="003E1392"/>
    <w:rsid w:val="003E2A86"/>
    <w:rsid w:val="00401142"/>
    <w:rsid w:val="0041001F"/>
    <w:rsid w:val="004202B6"/>
    <w:rsid w:val="00423E3E"/>
    <w:rsid w:val="00427AF4"/>
    <w:rsid w:val="0043552C"/>
    <w:rsid w:val="004375EF"/>
    <w:rsid w:val="00445410"/>
    <w:rsid w:val="00450B59"/>
    <w:rsid w:val="00460C0F"/>
    <w:rsid w:val="00461D05"/>
    <w:rsid w:val="004647DA"/>
    <w:rsid w:val="00474062"/>
    <w:rsid w:val="00477D6B"/>
    <w:rsid w:val="00484901"/>
    <w:rsid w:val="0049441E"/>
    <w:rsid w:val="004B02C3"/>
    <w:rsid w:val="004B4970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56A1"/>
    <w:rsid w:val="00511661"/>
    <w:rsid w:val="00511974"/>
    <w:rsid w:val="00513B37"/>
    <w:rsid w:val="00520987"/>
    <w:rsid w:val="0053057A"/>
    <w:rsid w:val="005342A9"/>
    <w:rsid w:val="005367E7"/>
    <w:rsid w:val="005371E6"/>
    <w:rsid w:val="005428C9"/>
    <w:rsid w:val="00545480"/>
    <w:rsid w:val="005454CD"/>
    <w:rsid w:val="00560A29"/>
    <w:rsid w:val="005619ED"/>
    <w:rsid w:val="00572C50"/>
    <w:rsid w:val="00583C53"/>
    <w:rsid w:val="00585336"/>
    <w:rsid w:val="005A172D"/>
    <w:rsid w:val="005A45EF"/>
    <w:rsid w:val="005B0853"/>
    <w:rsid w:val="005C6649"/>
    <w:rsid w:val="005D0849"/>
    <w:rsid w:val="005E2009"/>
    <w:rsid w:val="005E4C5C"/>
    <w:rsid w:val="00605827"/>
    <w:rsid w:val="00611867"/>
    <w:rsid w:val="00613C99"/>
    <w:rsid w:val="0062632F"/>
    <w:rsid w:val="0062784B"/>
    <w:rsid w:val="00640082"/>
    <w:rsid w:val="00646050"/>
    <w:rsid w:val="00646181"/>
    <w:rsid w:val="00661DD3"/>
    <w:rsid w:val="006713CA"/>
    <w:rsid w:val="006766A7"/>
    <w:rsid w:val="00676C5C"/>
    <w:rsid w:val="006861AD"/>
    <w:rsid w:val="0069066E"/>
    <w:rsid w:val="006A5A26"/>
    <w:rsid w:val="006B233E"/>
    <w:rsid w:val="006B77F9"/>
    <w:rsid w:val="006B7929"/>
    <w:rsid w:val="006C6AAD"/>
    <w:rsid w:val="006D081C"/>
    <w:rsid w:val="006D3AD2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52D3"/>
    <w:rsid w:val="00767182"/>
    <w:rsid w:val="0077451F"/>
    <w:rsid w:val="00777C94"/>
    <w:rsid w:val="00787088"/>
    <w:rsid w:val="007907BE"/>
    <w:rsid w:val="00791AC0"/>
    <w:rsid w:val="007A0F4B"/>
    <w:rsid w:val="007A1190"/>
    <w:rsid w:val="007A23EF"/>
    <w:rsid w:val="007B0983"/>
    <w:rsid w:val="007C3BCD"/>
    <w:rsid w:val="007D1613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558CD"/>
    <w:rsid w:val="008754C4"/>
    <w:rsid w:val="00891C8C"/>
    <w:rsid w:val="008A6397"/>
    <w:rsid w:val="008A74D8"/>
    <w:rsid w:val="008B2CC1"/>
    <w:rsid w:val="008B4D55"/>
    <w:rsid w:val="008B58C5"/>
    <w:rsid w:val="008B60B2"/>
    <w:rsid w:val="008C2F88"/>
    <w:rsid w:val="008D2E95"/>
    <w:rsid w:val="008D6B5A"/>
    <w:rsid w:val="008D7DCB"/>
    <w:rsid w:val="008F030D"/>
    <w:rsid w:val="008F0993"/>
    <w:rsid w:val="009040E2"/>
    <w:rsid w:val="0090731E"/>
    <w:rsid w:val="00910004"/>
    <w:rsid w:val="0091074A"/>
    <w:rsid w:val="00916EE2"/>
    <w:rsid w:val="0092199F"/>
    <w:rsid w:val="00927CAE"/>
    <w:rsid w:val="00931A71"/>
    <w:rsid w:val="00932A5B"/>
    <w:rsid w:val="009516EA"/>
    <w:rsid w:val="009604A8"/>
    <w:rsid w:val="00966A22"/>
    <w:rsid w:val="0096722F"/>
    <w:rsid w:val="00980843"/>
    <w:rsid w:val="00985AE3"/>
    <w:rsid w:val="00986C5A"/>
    <w:rsid w:val="009929DE"/>
    <w:rsid w:val="0099438E"/>
    <w:rsid w:val="009944AB"/>
    <w:rsid w:val="00994B55"/>
    <w:rsid w:val="009959AF"/>
    <w:rsid w:val="009C53E2"/>
    <w:rsid w:val="009C63E7"/>
    <w:rsid w:val="009E2373"/>
    <w:rsid w:val="009E2791"/>
    <w:rsid w:val="009E3F6F"/>
    <w:rsid w:val="009E659F"/>
    <w:rsid w:val="009F3043"/>
    <w:rsid w:val="009F499F"/>
    <w:rsid w:val="009F4CC2"/>
    <w:rsid w:val="00A0009C"/>
    <w:rsid w:val="00A0168C"/>
    <w:rsid w:val="00A12500"/>
    <w:rsid w:val="00A1732B"/>
    <w:rsid w:val="00A177D3"/>
    <w:rsid w:val="00A42DAF"/>
    <w:rsid w:val="00A430D9"/>
    <w:rsid w:val="00A45BD8"/>
    <w:rsid w:val="00A5375D"/>
    <w:rsid w:val="00A57F96"/>
    <w:rsid w:val="00A61DFC"/>
    <w:rsid w:val="00A71AAA"/>
    <w:rsid w:val="00A73D1B"/>
    <w:rsid w:val="00A84CB3"/>
    <w:rsid w:val="00A869B7"/>
    <w:rsid w:val="00A87BB8"/>
    <w:rsid w:val="00A90C28"/>
    <w:rsid w:val="00A923B9"/>
    <w:rsid w:val="00A93823"/>
    <w:rsid w:val="00A97B48"/>
    <w:rsid w:val="00AA0654"/>
    <w:rsid w:val="00AB12FB"/>
    <w:rsid w:val="00AB5611"/>
    <w:rsid w:val="00AC068F"/>
    <w:rsid w:val="00AC1225"/>
    <w:rsid w:val="00AC205C"/>
    <w:rsid w:val="00AD5B1F"/>
    <w:rsid w:val="00AE66CC"/>
    <w:rsid w:val="00AE75B1"/>
    <w:rsid w:val="00AF0A6B"/>
    <w:rsid w:val="00AF656F"/>
    <w:rsid w:val="00AF7468"/>
    <w:rsid w:val="00B05A69"/>
    <w:rsid w:val="00B352AA"/>
    <w:rsid w:val="00B4161B"/>
    <w:rsid w:val="00B4750F"/>
    <w:rsid w:val="00B5262E"/>
    <w:rsid w:val="00B66E59"/>
    <w:rsid w:val="00B66E89"/>
    <w:rsid w:val="00B7767A"/>
    <w:rsid w:val="00B85E2E"/>
    <w:rsid w:val="00B860C6"/>
    <w:rsid w:val="00B87F6E"/>
    <w:rsid w:val="00B9430B"/>
    <w:rsid w:val="00B94DD1"/>
    <w:rsid w:val="00B9734B"/>
    <w:rsid w:val="00BA3AD5"/>
    <w:rsid w:val="00BB17C8"/>
    <w:rsid w:val="00BC3598"/>
    <w:rsid w:val="00BE6033"/>
    <w:rsid w:val="00BE79B1"/>
    <w:rsid w:val="00BF2338"/>
    <w:rsid w:val="00C073D1"/>
    <w:rsid w:val="00C11BFE"/>
    <w:rsid w:val="00C15AFF"/>
    <w:rsid w:val="00C234BB"/>
    <w:rsid w:val="00C24327"/>
    <w:rsid w:val="00C277B0"/>
    <w:rsid w:val="00C5604A"/>
    <w:rsid w:val="00C62DA1"/>
    <w:rsid w:val="00C75B46"/>
    <w:rsid w:val="00C76E73"/>
    <w:rsid w:val="00C90F37"/>
    <w:rsid w:val="00C93098"/>
    <w:rsid w:val="00CA04EB"/>
    <w:rsid w:val="00CA4785"/>
    <w:rsid w:val="00CB550F"/>
    <w:rsid w:val="00CC0A5A"/>
    <w:rsid w:val="00CC162F"/>
    <w:rsid w:val="00CC4E81"/>
    <w:rsid w:val="00CD1800"/>
    <w:rsid w:val="00CD3B25"/>
    <w:rsid w:val="00D11513"/>
    <w:rsid w:val="00D20191"/>
    <w:rsid w:val="00D44E92"/>
    <w:rsid w:val="00D45252"/>
    <w:rsid w:val="00D50FFC"/>
    <w:rsid w:val="00D629A8"/>
    <w:rsid w:val="00D6405C"/>
    <w:rsid w:val="00D71B4D"/>
    <w:rsid w:val="00D721E6"/>
    <w:rsid w:val="00D762E1"/>
    <w:rsid w:val="00D91B6D"/>
    <w:rsid w:val="00D93D55"/>
    <w:rsid w:val="00D967DA"/>
    <w:rsid w:val="00DC46BA"/>
    <w:rsid w:val="00DD4024"/>
    <w:rsid w:val="00DD64A4"/>
    <w:rsid w:val="00DF60DF"/>
    <w:rsid w:val="00E00F56"/>
    <w:rsid w:val="00E2611A"/>
    <w:rsid w:val="00E32E49"/>
    <w:rsid w:val="00E335FE"/>
    <w:rsid w:val="00E35FA5"/>
    <w:rsid w:val="00E40D96"/>
    <w:rsid w:val="00E543EE"/>
    <w:rsid w:val="00E65B9B"/>
    <w:rsid w:val="00E772A4"/>
    <w:rsid w:val="00E91D11"/>
    <w:rsid w:val="00EA016E"/>
    <w:rsid w:val="00EA1CEF"/>
    <w:rsid w:val="00EB0034"/>
    <w:rsid w:val="00EB04C1"/>
    <w:rsid w:val="00EC0C20"/>
    <w:rsid w:val="00EC4E49"/>
    <w:rsid w:val="00EC5340"/>
    <w:rsid w:val="00ED77FB"/>
    <w:rsid w:val="00EE45FA"/>
    <w:rsid w:val="00EE4D2D"/>
    <w:rsid w:val="00EF4BBD"/>
    <w:rsid w:val="00EF5F08"/>
    <w:rsid w:val="00F03A64"/>
    <w:rsid w:val="00F1492B"/>
    <w:rsid w:val="00F22343"/>
    <w:rsid w:val="00F230F1"/>
    <w:rsid w:val="00F2335C"/>
    <w:rsid w:val="00F32FDB"/>
    <w:rsid w:val="00F33D45"/>
    <w:rsid w:val="00F3602C"/>
    <w:rsid w:val="00F47246"/>
    <w:rsid w:val="00F538D9"/>
    <w:rsid w:val="00F5464D"/>
    <w:rsid w:val="00F640E1"/>
    <w:rsid w:val="00F66152"/>
    <w:rsid w:val="00F76A1B"/>
    <w:rsid w:val="00F77A10"/>
    <w:rsid w:val="00F97667"/>
    <w:rsid w:val="00FB0A2C"/>
    <w:rsid w:val="00FB3F63"/>
    <w:rsid w:val="00FB511D"/>
    <w:rsid w:val="00FB65A5"/>
    <w:rsid w:val="00FD4FAB"/>
    <w:rsid w:val="00FD576E"/>
    <w:rsid w:val="00FD6AA5"/>
    <w:rsid w:val="00FE1763"/>
    <w:rsid w:val="00FE33BA"/>
    <w:rsid w:val="00FE5F59"/>
    <w:rsid w:val="00FF06B1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32332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32332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D93F-8D1E-41E6-8F62-0E5B892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  - Proyecto de decisiones</vt:lpstr>
    </vt:vector>
  </TitlesOfParts>
  <Company>WIPO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  - Proyecto de decisiones</dc:title>
  <dc:creator>MORENO PALESTINI Maria Del Pilar</dc:creator>
  <dc:description>JC/LM - 26/2/2016</dc:description>
  <cp:lastModifiedBy>MORENO PALESTINI Maria Del Pilar</cp:lastModifiedBy>
  <cp:revision>4</cp:revision>
  <cp:lastPrinted>2016-02-22T10:11:00Z</cp:lastPrinted>
  <dcterms:created xsi:type="dcterms:W3CDTF">2016-02-22T10:10:00Z</dcterms:created>
  <dcterms:modified xsi:type="dcterms:W3CDTF">2016-02-22T10:11:00Z</dcterms:modified>
</cp:coreProperties>
</file>