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B1CCD" w:rsidRPr="004E0DB0" w:rsidTr="007576C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B1CCD" w:rsidRPr="004E0DB0" w:rsidRDefault="006B1CCD" w:rsidP="007576C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B1CCD" w:rsidRPr="004E0DB0" w:rsidRDefault="006B1CCD" w:rsidP="007576CD">
            <w:r w:rsidRPr="004E0DB0">
              <w:rPr>
                <w:noProof/>
                <w:lang w:val="en-US" w:eastAsia="en-US"/>
              </w:rPr>
              <w:drawing>
                <wp:inline distT="0" distB="0" distL="0" distR="0" wp14:anchorId="22C38B44" wp14:editId="42C277B6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B1CCD" w:rsidRPr="004E0DB0" w:rsidRDefault="006B1CCD" w:rsidP="007576CD">
            <w:pPr>
              <w:jc w:val="right"/>
            </w:pPr>
            <w:r w:rsidRPr="004E0DB0">
              <w:rPr>
                <w:b/>
                <w:sz w:val="40"/>
                <w:szCs w:val="40"/>
              </w:rPr>
              <w:t>S</w:t>
            </w:r>
          </w:p>
        </w:tc>
      </w:tr>
      <w:tr w:rsidR="006B1CCD" w:rsidRPr="004E0DB0" w:rsidTr="007576C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B1CCD" w:rsidRPr="004E0DB0" w:rsidRDefault="006B1CCD" w:rsidP="006B1CC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</w:p>
        </w:tc>
      </w:tr>
      <w:tr w:rsidR="006B1CCD" w:rsidRPr="004E0DB0" w:rsidTr="007576C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B1CCD" w:rsidRPr="004E0DB0" w:rsidRDefault="006B1CCD" w:rsidP="007576C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0DB0">
              <w:rPr>
                <w:rFonts w:ascii="Arial Black" w:hAnsi="Arial Black"/>
                <w:caps/>
                <w:sz w:val="15"/>
              </w:rPr>
              <w:t xml:space="preserve">ORIGINAL:  inglés  </w:t>
            </w:r>
            <w:bookmarkStart w:id="1" w:name="Original"/>
            <w:bookmarkEnd w:id="1"/>
          </w:p>
        </w:tc>
      </w:tr>
      <w:tr w:rsidR="006B1CCD" w:rsidRPr="004E0DB0" w:rsidTr="007576C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B1CCD" w:rsidRPr="004E0DB0" w:rsidRDefault="006B1CCD" w:rsidP="008D79B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0DB0">
              <w:rPr>
                <w:rFonts w:ascii="Arial Black" w:hAnsi="Arial Black"/>
                <w:caps/>
                <w:sz w:val="15"/>
              </w:rPr>
              <w:t xml:space="preserve">fecha:  </w:t>
            </w:r>
            <w:r w:rsidR="008D79BC" w:rsidRPr="004E0DB0">
              <w:rPr>
                <w:rFonts w:ascii="Arial Black" w:hAnsi="Arial Black"/>
                <w:caps/>
                <w:sz w:val="15"/>
              </w:rPr>
              <w:t xml:space="preserve">4 de ABRIL DE </w:t>
            </w:r>
            <w:r w:rsidRPr="004E0DB0">
              <w:rPr>
                <w:rFonts w:ascii="Arial Black" w:hAnsi="Arial Black"/>
                <w:caps/>
                <w:sz w:val="15"/>
              </w:rPr>
              <w:t xml:space="preserve">2014  </w:t>
            </w:r>
            <w:bookmarkStart w:id="2" w:name="Date"/>
            <w:bookmarkEnd w:id="2"/>
          </w:p>
        </w:tc>
      </w:tr>
    </w:tbl>
    <w:p w:rsidR="005E347E" w:rsidRPr="004E0DB0" w:rsidRDefault="005E347E" w:rsidP="0077228E"/>
    <w:p w:rsidR="005E347E" w:rsidRPr="004E0DB0" w:rsidRDefault="005E347E" w:rsidP="0077228E"/>
    <w:p w:rsidR="005E347E" w:rsidRPr="004E0DB0" w:rsidRDefault="005E347E" w:rsidP="0077228E"/>
    <w:p w:rsidR="005E347E" w:rsidRPr="004E0DB0" w:rsidRDefault="005E347E" w:rsidP="0077228E"/>
    <w:p w:rsidR="005E347E" w:rsidRPr="004E0DB0" w:rsidRDefault="0077228E" w:rsidP="0077228E">
      <w:pPr>
        <w:rPr>
          <w:b/>
          <w:sz w:val="28"/>
          <w:szCs w:val="28"/>
        </w:rPr>
      </w:pPr>
      <w:r w:rsidRPr="004E0DB0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5E347E" w:rsidRPr="004E0DB0" w:rsidRDefault="005E347E" w:rsidP="0077228E"/>
    <w:p w:rsidR="005E347E" w:rsidRPr="004E0DB0" w:rsidRDefault="005E347E" w:rsidP="0077228E"/>
    <w:p w:rsidR="005E347E" w:rsidRPr="004E0DB0" w:rsidRDefault="0077228E" w:rsidP="0077228E">
      <w:pPr>
        <w:rPr>
          <w:b/>
          <w:sz w:val="24"/>
          <w:szCs w:val="24"/>
        </w:rPr>
      </w:pPr>
      <w:r w:rsidRPr="004E0DB0">
        <w:rPr>
          <w:b/>
          <w:sz w:val="24"/>
          <w:szCs w:val="24"/>
        </w:rPr>
        <w:t xml:space="preserve">Vigésima </w:t>
      </w:r>
      <w:r w:rsidR="00BA7847" w:rsidRPr="004E0DB0">
        <w:rPr>
          <w:b/>
          <w:sz w:val="24"/>
          <w:szCs w:val="24"/>
        </w:rPr>
        <w:t>séptima</w:t>
      </w:r>
      <w:r w:rsidR="001635AA" w:rsidRPr="004E0DB0">
        <w:rPr>
          <w:b/>
          <w:sz w:val="24"/>
          <w:szCs w:val="24"/>
        </w:rPr>
        <w:t xml:space="preserve"> </w:t>
      </w:r>
      <w:r w:rsidRPr="004E0DB0">
        <w:rPr>
          <w:b/>
          <w:sz w:val="24"/>
          <w:szCs w:val="24"/>
        </w:rPr>
        <w:t>sesión</w:t>
      </w:r>
    </w:p>
    <w:p w:rsidR="005E347E" w:rsidRPr="004E0DB0" w:rsidRDefault="0077228E" w:rsidP="0077228E">
      <w:pPr>
        <w:rPr>
          <w:b/>
          <w:sz w:val="24"/>
          <w:szCs w:val="24"/>
        </w:rPr>
      </w:pPr>
      <w:r w:rsidRPr="004E0DB0">
        <w:rPr>
          <w:b/>
          <w:sz w:val="24"/>
          <w:szCs w:val="24"/>
        </w:rPr>
        <w:t xml:space="preserve">Ginebra, </w:t>
      </w:r>
      <w:r w:rsidR="00BA7847" w:rsidRPr="004E0DB0">
        <w:rPr>
          <w:b/>
          <w:sz w:val="24"/>
          <w:szCs w:val="24"/>
        </w:rPr>
        <w:t>24 de marzo</w:t>
      </w:r>
      <w:r w:rsidR="001635AA" w:rsidRPr="004E0DB0">
        <w:rPr>
          <w:b/>
          <w:sz w:val="24"/>
          <w:szCs w:val="24"/>
        </w:rPr>
        <w:t xml:space="preserve"> a </w:t>
      </w:r>
      <w:r w:rsidR="00BA7847" w:rsidRPr="004E0DB0">
        <w:rPr>
          <w:b/>
          <w:sz w:val="24"/>
          <w:szCs w:val="24"/>
        </w:rPr>
        <w:t>4</w:t>
      </w:r>
      <w:r w:rsidRPr="004E0DB0">
        <w:rPr>
          <w:b/>
          <w:sz w:val="24"/>
          <w:szCs w:val="24"/>
        </w:rPr>
        <w:t xml:space="preserve"> de </w:t>
      </w:r>
      <w:r w:rsidR="00BA7847" w:rsidRPr="004E0DB0">
        <w:rPr>
          <w:b/>
          <w:sz w:val="24"/>
          <w:szCs w:val="24"/>
        </w:rPr>
        <w:t xml:space="preserve">abril </w:t>
      </w:r>
      <w:r w:rsidRPr="004E0DB0">
        <w:rPr>
          <w:b/>
          <w:sz w:val="24"/>
          <w:szCs w:val="24"/>
        </w:rPr>
        <w:t>de 201</w:t>
      </w:r>
      <w:r w:rsidR="001635AA" w:rsidRPr="004E0DB0">
        <w:rPr>
          <w:b/>
          <w:sz w:val="24"/>
          <w:szCs w:val="24"/>
        </w:rPr>
        <w:t>4</w:t>
      </w:r>
    </w:p>
    <w:p w:rsidR="005E347E" w:rsidRPr="004E0DB0" w:rsidRDefault="005E347E" w:rsidP="0077228E"/>
    <w:p w:rsidR="005E347E" w:rsidRPr="004E0DB0" w:rsidRDefault="005E347E" w:rsidP="0077228E"/>
    <w:p w:rsidR="005E347E" w:rsidRPr="004E0DB0" w:rsidRDefault="005E347E" w:rsidP="0077228E">
      <w:pPr>
        <w:rPr>
          <w:sz w:val="24"/>
          <w:szCs w:val="24"/>
        </w:rPr>
      </w:pPr>
    </w:p>
    <w:p w:rsidR="005E347E" w:rsidRPr="004E0DB0" w:rsidRDefault="00BE2604" w:rsidP="00BE2604">
      <w:pPr>
        <w:rPr>
          <w:caps/>
          <w:sz w:val="24"/>
        </w:rPr>
      </w:pPr>
      <w:r w:rsidRPr="004E0DB0">
        <w:rPr>
          <w:color w:val="000000"/>
          <w:sz w:val="24"/>
        </w:rPr>
        <w:t>DECISIONES DE LA VIGÉSIMA SÉPTIMA SESIÓN DEL COMITÉ</w:t>
      </w:r>
    </w:p>
    <w:p w:rsidR="005E347E" w:rsidRPr="004E0DB0" w:rsidRDefault="005E347E" w:rsidP="008D79BC"/>
    <w:p w:rsidR="005E347E" w:rsidRPr="004E0DB0" w:rsidRDefault="00BE2604" w:rsidP="00BE2604">
      <w:pPr>
        <w:rPr>
          <w:i/>
        </w:rPr>
      </w:pPr>
      <w:bookmarkStart w:id="3" w:name="Prepared"/>
      <w:bookmarkEnd w:id="3"/>
      <w:r w:rsidRPr="004E0DB0">
        <w:rPr>
          <w:i/>
          <w:color w:val="000000"/>
        </w:rPr>
        <w:t>aprobado por el Comité</w:t>
      </w:r>
    </w:p>
    <w:p w:rsidR="005E347E" w:rsidRPr="004E0DB0" w:rsidRDefault="005E347E" w:rsidP="008D79BC"/>
    <w:p w:rsidR="005E347E" w:rsidRPr="004E0DB0" w:rsidRDefault="005E347E" w:rsidP="008D79BC"/>
    <w:p w:rsidR="004E0DB0" w:rsidRPr="004E0DB0" w:rsidRDefault="008D79BC" w:rsidP="008D79BC">
      <w:pPr>
        <w:spacing w:after="120" w:line="260" w:lineRule="atLeast"/>
      </w:pPr>
      <w:r w:rsidRPr="004E0DB0">
        <w:br w:type="page"/>
      </w:r>
    </w:p>
    <w:p w:rsidR="004E0DB0" w:rsidRPr="004E0DB0" w:rsidRDefault="004E0DB0" w:rsidP="008D79BC">
      <w:pPr>
        <w:spacing w:after="120" w:line="260" w:lineRule="atLeast"/>
      </w:pP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DECISIÓN SOBRE EL PUNT</w:t>
      </w:r>
      <w:r w:rsidR="004E0DB0" w:rsidRPr="004E0DB0">
        <w:rPr>
          <w:szCs w:val="22"/>
        </w:rPr>
        <w:t>O 2</w:t>
      </w:r>
      <w:r w:rsidRPr="004E0DB0">
        <w:rPr>
          <w:szCs w:val="22"/>
        </w:rPr>
        <w:t xml:space="preserve"> DEL ORDEN DEL DÍA:</w:t>
      </w:r>
    </w:p>
    <w:p w:rsidR="005E347E" w:rsidRPr="004E0DB0" w:rsidRDefault="00BE2604" w:rsidP="00BE2604">
      <w:pPr>
        <w:spacing w:after="120" w:line="260" w:lineRule="atLeast"/>
        <w:rPr>
          <w:szCs w:val="22"/>
        </w:rPr>
      </w:pPr>
      <w:r w:rsidRPr="004E0DB0">
        <w:rPr>
          <w:szCs w:val="22"/>
        </w:rPr>
        <w:t>APROBACIÓN DEL ORDEN DEL DÍA</w:t>
      </w: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El Presidente sometió a aprobación el proyecto de orden del día distribuido con la signatura WIPO/GRTKF/IC/27/1 Prov. 3, que fue aprobado.</w:t>
      </w:r>
    </w:p>
    <w:p w:rsidR="005E347E" w:rsidRPr="004E0DB0" w:rsidRDefault="005E347E" w:rsidP="008D79BC">
      <w:pPr>
        <w:spacing w:after="120" w:line="260" w:lineRule="atLeast"/>
        <w:rPr>
          <w:szCs w:val="22"/>
        </w:rPr>
      </w:pP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DECISIÓN SOBRE EL PUNT</w:t>
      </w:r>
      <w:r w:rsidR="004E0DB0" w:rsidRPr="004E0DB0">
        <w:rPr>
          <w:szCs w:val="22"/>
        </w:rPr>
        <w:t>O 3</w:t>
      </w:r>
      <w:r w:rsidRPr="004E0DB0">
        <w:rPr>
          <w:szCs w:val="22"/>
        </w:rPr>
        <w:t xml:space="preserve"> DEL ORDEN DEL DÍA:</w:t>
      </w: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APROBACIÓN DEL INFORME DE LA VIGÉSIMA SEXTA SESIÓN</w:t>
      </w: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 xml:space="preserve">El Presidente sometió a aprobación el proyecto de informe revisado de la vigésima </w:t>
      </w:r>
      <w:r w:rsidR="00BE2604" w:rsidRPr="004E0DB0">
        <w:rPr>
          <w:szCs w:val="22"/>
        </w:rPr>
        <w:t>sexta</w:t>
      </w:r>
      <w:r w:rsidRPr="004E0DB0">
        <w:rPr>
          <w:szCs w:val="22"/>
        </w:rPr>
        <w:t xml:space="preserve"> sesión del Comité (WIPO/GRTKF/IC/26/8 Prov. 2), que fue aprobado.</w:t>
      </w:r>
    </w:p>
    <w:p w:rsidR="005E347E" w:rsidRPr="004E0DB0" w:rsidRDefault="005E347E" w:rsidP="008D79BC">
      <w:pPr>
        <w:spacing w:after="120" w:line="260" w:lineRule="atLeast"/>
        <w:rPr>
          <w:szCs w:val="22"/>
        </w:rPr>
      </w:pP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DECISIÓN SOBRE EL PUNT</w:t>
      </w:r>
      <w:r w:rsidR="004E0DB0" w:rsidRPr="004E0DB0">
        <w:rPr>
          <w:szCs w:val="22"/>
        </w:rPr>
        <w:t>O 4</w:t>
      </w:r>
      <w:r w:rsidRPr="004E0DB0">
        <w:rPr>
          <w:szCs w:val="22"/>
        </w:rPr>
        <w:t xml:space="preserve"> DEL ORDEN DEL DÍA:</w:t>
      </w: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ACREDITACIÓN DE DETERMINADAS ORGANIZACIONES</w:t>
      </w:r>
    </w:p>
    <w:p w:rsidR="005E347E" w:rsidRPr="004E0DB0" w:rsidRDefault="00BE2604" w:rsidP="00250F9E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4E0DB0">
        <w:rPr>
          <w:szCs w:val="22"/>
        </w:rPr>
        <w:t>El Comité aprobó por unanimidad</w:t>
      </w:r>
      <w:r w:rsidR="00250F9E" w:rsidRPr="004E0DB0">
        <w:rPr>
          <w:szCs w:val="22"/>
        </w:rPr>
        <w:t xml:space="preserve"> la acreditación de todas las organizaciones enumeradas en el anexo del documento</w:t>
      </w:r>
      <w:r w:rsidRPr="004E0DB0">
        <w:rPr>
          <w:szCs w:val="22"/>
        </w:rPr>
        <w:t xml:space="preserve"> </w:t>
      </w:r>
      <w:r w:rsidR="00250F9E" w:rsidRPr="004E0DB0">
        <w:rPr>
          <w:szCs w:val="22"/>
        </w:rPr>
        <w:t xml:space="preserve">WIPO/GRTKF/IC/27/2 en calidad de observadores </w:t>
      </w:r>
      <w:r w:rsidR="00C52A8A" w:rsidRPr="004E0DB0">
        <w:rPr>
          <w:i/>
          <w:szCs w:val="22"/>
        </w:rPr>
        <w:t>ad hoc</w:t>
      </w:r>
      <w:r w:rsidR="00250F9E" w:rsidRPr="004E0DB0">
        <w:rPr>
          <w:szCs w:val="22"/>
        </w:rPr>
        <w:t>, a saber</w:t>
      </w:r>
      <w:r w:rsidR="004E0DB0" w:rsidRPr="004E0DB0">
        <w:rPr>
          <w:szCs w:val="22"/>
        </w:rPr>
        <w:t xml:space="preserve">:  </w:t>
      </w:r>
      <w:r w:rsidR="004E0DB0" w:rsidRPr="004E0DB0">
        <w:rPr>
          <w:rFonts w:eastAsia="Times New Roman"/>
          <w:szCs w:val="22"/>
          <w:lang w:eastAsia="en-US"/>
        </w:rPr>
        <w:t>C</w:t>
      </w:r>
      <w:r w:rsidR="00250F9E" w:rsidRPr="004E0DB0">
        <w:rPr>
          <w:rFonts w:eastAsia="Times New Roman"/>
          <w:szCs w:val="22"/>
          <w:lang w:eastAsia="en-US"/>
        </w:rPr>
        <w:t>entro internacional de información y redes sobre el patrimonio cultural inmaterial en la región</w:t>
      </w:r>
    </w:p>
    <w:p w:rsidR="00D13658" w:rsidRPr="007C44F5" w:rsidRDefault="00250F9E" w:rsidP="00D13658">
      <w:pPr>
        <w:spacing w:after="120" w:line="260" w:lineRule="atLeast"/>
        <w:rPr>
          <w:i/>
          <w:szCs w:val="22"/>
          <w:lang w:val="en-US"/>
        </w:rPr>
      </w:pPr>
      <w:r w:rsidRPr="007C44F5">
        <w:rPr>
          <w:rFonts w:eastAsia="Times New Roman"/>
          <w:szCs w:val="22"/>
          <w:lang w:val="en-US" w:eastAsia="en-US"/>
        </w:rPr>
        <w:t>Asia y el Pacífico, auspiciado por la UNESCO (ICHCAP)</w:t>
      </w:r>
      <w:r w:rsidR="004E0DB0" w:rsidRPr="007C44F5">
        <w:rPr>
          <w:rFonts w:eastAsia="Times New Roman"/>
          <w:szCs w:val="22"/>
          <w:lang w:val="en-US" w:eastAsia="en-US"/>
        </w:rPr>
        <w:t xml:space="preserve">;  </w:t>
      </w:r>
      <w:r w:rsidR="004E0DB0" w:rsidRPr="007C44F5">
        <w:rPr>
          <w:rFonts w:eastAsia="Times New Roman"/>
          <w:i/>
          <w:szCs w:val="22"/>
          <w:lang w:val="en-US" w:eastAsia="en-US"/>
        </w:rPr>
        <w:t>R</w:t>
      </w:r>
      <w:r w:rsidR="007D5060" w:rsidRPr="007C44F5">
        <w:rPr>
          <w:rFonts w:eastAsia="Times New Roman"/>
          <w:i/>
          <w:szCs w:val="22"/>
          <w:lang w:val="en-US" w:eastAsia="en-US"/>
        </w:rPr>
        <w:t>ussian Indigenous Training Centre (CSIPN/RITC)</w:t>
      </w:r>
      <w:r w:rsidR="004E0DB0" w:rsidRPr="007C44F5">
        <w:rPr>
          <w:rFonts w:eastAsia="Times New Roman"/>
          <w:i/>
          <w:szCs w:val="22"/>
          <w:lang w:val="en-US" w:eastAsia="en-US"/>
        </w:rPr>
        <w:t>;</w:t>
      </w:r>
      <w:r w:rsidR="004E0DB0" w:rsidRPr="007C44F5">
        <w:rPr>
          <w:rFonts w:eastAsia="Times New Roman"/>
          <w:szCs w:val="22"/>
          <w:lang w:val="en-US" w:eastAsia="en-US"/>
        </w:rPr>
        <w:t xml:space="preserve"> </w:t>
      </w:r>
      <w:r w:rsidR="004E0DB0" w:rsidRPr="007C44F5">
        <w:rPr>
          <w:rFonts w:eastAsia="Times New Roman"/>
          <w:i/>
          <w:szCs w:val="22"/>
          <w:lang w:val="en-US" w:eastAsia="en-US"/>
        </w:rPr>
        <w:t xml:space="preserve"> </w:t>
      </w:r>
      <w:r w:rsidR="004E0DB0" w:rsidRPr="007C44F5">
        <w:rPr>
          <w:rFonts w:eastAsia="Times New Roman"/>
          <w:szCs w:val="22"/>
          <w:lang w:val="en-US" w:eastAsia="en-US"/>
        </w:rPr>
        <w:t>T</w:t>
      </w:r>
      <w:r w:rsidR="00D13658" w:rsidRPr="007C44F5">
        <w:rPr>
          <w:rFonts w:eastAsia="Times New Roman"/>
          <w:szCs w:val="22"/>
          <w:lang w:val="en-US" w:eastAsia="en-US"/>
        </w:rPr>
        <w:t xml:space="preserve">he Batani – </w:t>
      </w:r>
      <w:r w:rsidR="00D13658" w:rsidRPr="007C44F5">
        <w:rPr>
          <w:rFonts w:eastAsia="Times New Roman"/>
          <w:i/>
          <w:szCs w:val="22"/>
          <w:lang w:val="en-US" w:eastAsia="en-US"/>
        </w:rPr>
        <w:t xml:space="preserve">International Development Fund for Indigenous Peoples of the North, Siberia and the Far East;  </w:t>
      </w:r>
      <w:r w:rsidR="00D13658" w:rsidRPr="007C44F5">
        <w:rPr>
          <w:i/>
          <w:szCs w:val="22"/>
          <w:lang w:val="en-US"/>
        </w:rPr>
        <w:t>Universitetet I Tromsø, Norges Arktiske Universitetet (UiT)/University of Tromsø, Norway’s Arctic University (UiT).</w:t>
      </w:r>
    </w:p>
    <w:p w:rsidR="005E347E" w:rsidRPr="007C44F5" w:rsidRDefault="005E347E" w:rsidP="008D79BC">
      <w:pPr>
        <w:spacing w:after="120" w:line="260" w:lineRule="atLeast"/>
        <w:rPr>
          <w:szCs w:val="22"/>
          <w:lang w:val="en-US"/>
        </w:rPr>
      </w:pP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DECISIÓN SOBRE EL PUNT</w:t>
      </w:r>
      <w:r w:rsidR="004E0DB0" w:rsidRPr="004E0DB0">
        <w:rPr>
          <w:szCs w:val="22"/>
        </w:rPr>
        <w:t>O 5</w:t>
      </w:r>
      <w:r w:rsidRPr="004E0DB0">
        <w:rPr>
          <w:szCs w:val="22"/>
        </w:rPr>
        <w:t xml:space="preserve"> DEL ORDEN DEL DÍA:  </w:t>
      </w: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PARTICIPACIÓN DE LAS COMUNIDADES INDÍGENAS Y LOCALES</w:t>
      </w: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El Comité tomó nota de los documentos WIPO/GRTKF/IC/27/3, WIPO/GRTKF/IC/27/INF/4 y WIPO/GRTKF/IC/27/INF/6.</w:t>
      </w:r>
    </w:p>
    <w:p w:rsidR="005E347E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El Comité instó encarecidamente a los miembros del Comité, y a todas las entidades públicas y privadas interesadas, a contribuir al Fondo de la OMPI de Contribuciones Voluntarias para las Comunidades Indígenas y Locales Acreditadas.</w:t>
      </w:r>
    </w:p>
    <w:p w:rsidR="00592D0C" w:rsidRDefault="00592D0C" w:rsidP="008D79BC">
      <w:pPr>
        <w:spacing w:after="120" w:line="260" w:lineRule="atLeast"/>
        <w:rPr>
          <w:szCs w:val="22"/>
        </w:rPr>
      </w:pPr>
      <w:r>
        <w:rPr>
          <w:szCs w:val="22"/>
        </w:rPr>
        <w:t xml:space="preserve">El Comité también tomó nota del documento </w:t>
      </w:r>
      <w:r w:rsidRPr="00592D0C">
        <w:rPr>
          <w:szCs w:val="22"/>
        </w:rPr>
        <w:t>WIPO/GRTKF/IC/27/9 Rev.</w:t>
      </w:r>
      <w:r>
        <w:rPr>
          <w:szCs w:val="22"/>
        </w:rPr>
        <w:t xml:space="preserve"> (“</w:t>
      </w:r>
      <w:r w:rsidR="00327400">
        <w:rPr>
          <w:szCs w:val="22"/>
        </w:rPr>
        <w:t>Participación de las comunidades indígenas y locales:  propuesta de contribuciones subsidiarias al Fondo de Contribuciones Voluntarias”) presentada por las Delegaciones de Australia, Finlandia, Nueva Zelandia y Suiza y decidió que se aplace el debate de las propuestas contenidas en dicho documento a la vigésima octava sesión del Comité.</w:t>
      </w:r>
    </w:p>
    <w:p w:rsidR="00C52A8A" w:rsidRPr="004E0DB0" w:rsidRDefault="00132B2D" w:rsidP="00132B2D">
      <w:pPr>
        <w:spacing w:after="120" w:line="260" w:lineRule="atLeast"/>
        <w:rPr>
          <w:color w:val="000000"/>
          <w:szCs w:val="22"/>
        </w:rPr>
      </w:pPr>
      <w:r w:rsidRPr="004E0DB0">
        <w:rPr>
          <w:color w:val="000000"/>
          <w:szCs w:val="22"/>
        </w:rPr>
        <w:t>El Presidente propuso a las ocho personas siguientes para que intervengan a título personal en la Junta Asesora, y el Comité las eligió por aclamación</w:t>
      </w:r>
      <w:r w:rsidR="004E0DB0" w:rsidRPr="004E0DB0">
        <w:rPr>
          <w:color w:val="000000"/>
          <w:szCs w:val="22"/>
        </w:rPr>
        <w:t>:  S</w:t>
      </w:r>
      <w:r w:rsidR="00C52A8A" w:rsidRPr="004E0DB0">
        <w:rPr>
          <w:color w:val="000000"/>
          <w:szCs w:val="22"/>
        </w:rPr>
        <w:t>ra. </w:t>
      </w:r>
      <w:r w:rsidRPr="004E0DB0">
        <w:rPr>
          <w:color w:val="000000"/>
          <w:szCs w:val="22"/>
        </w:rPr>
        <w:t>Catherine BUNYASSI KAHURIA, Consejera</w:t>
      </w:r>
      <w:r w:rsidR="005E347E" w:rsidRPr="004E0DB0">
        <w:rPr>
          <w:color w:val="000000"/>
          <w:szCs w:val="22"/>
        </w:rPr>
        <w:t xml:space="preserve"> Jurídica Principal,</w:t>
      </w:r>
      <w:r w:rsidRPr="004E0DB0">
        <w:rPr>
          <w:color w:val="000000"/>
          <w:szCs w:val="22"/>
        </w:rPr>
        <w:t xml:space="preserve"> Junta de Derecho de Autor de Kenya, Nairobi (Kenya)</w:t>
      </w:r>
      <w:r w:rsidR="004E0DB0" w:rsidRPr="004E0DB0">
        <w:rPr>
          <w:color w:val="000000"/>
          <w:szCs w:val="22"/>
        </w:rPr>
        <w:t>;  S</w:t>
      </w:r>
      <w:r w:rsidR="00C52A8A" w:rsidRPr="004E0DB0">
        <w:rPr>
          <w:color w:val="000000"/>
          <w:szCs w:val="22"/>
        </w:rPr>
        <w:t>r. </w:t>
      </w:r>
      <w:r w:rsidRPr="004E0DB0">
        <w:rPr>
          <w:color w:val="000000"/>
          <w:szCs w:val="22"/>
        </w:rPr>
        <w:t>Nelson DE LEÓN KANTULE, Repres</w:t>
      </w:r>
      <w:r w:rsidR="00D13658" w:rsidRPr="004E0DB0">
        <w:rPr>
          <w:color w:val="000000"/>
          <w:szCs w:val="22"/>
        </w:rPr>
        <w:t>entante de la Asociación Kunas U</w:t>
      </w:r>
      <w:r w:rsidRPr="004E0DB0">
        <w:rPr>
          <w:color w:val="000000"/>
          <w:szCs w:val="22"/>
        </w:rPr>
        <w:t>nidos por Napguana (KUNA) (Panamá)</w:t>
      </w:r>
      <w:r w:rsidR="004E0DB0" w:rsidRPr="004E0DB0">
        <w:rPr>
          <w:color w:val="000000"/>
          <w:szCs w:val="22"/>
        </w:rPr>
        <w:t>;  S</w:t>
      </w:r>
      <w:r w:rsidR="00C52A8A" w:rsidRPr="004E0DB0">
        <w:rPr>
          <w:color w:val="000000"/>
          <w:szCs w:val="22"/>
        </w:rPr>
        <w:t>ra. </w:t>
      </w:r>
      <w:r w:rsidRPr="004E0DB0">
        <w:rPr>
          <w:color w:val="000000"/>
          <w:szCs w:val="22"/>
        </w:rPr>
        <w:t>Simara HOWELL, Primera Secretaria de la Misión Permanente de Jamaica en Ginebra</w:t>
      </w:r>
      <w:r w:rsidR="004E0DB0" w:rsidRPr="004E0DB0">
        <w:rPr>
          <w:color w:val="000000"/>
          <w:szCs w:val="22"/>
        </w:rPr>
        <w:t>;  S</w:t>
      </w:r>
      <w:r w:rsidR="00C52A8A" w:rsidRPr="004E0DB0">
        <w:rPr>
          <w:color w:val="000000"/>
          <w:szCs w:val="22"/>
        </w:rPr>
        <w:t>ra. </w:t>
      </w:r>
      <w:r w:rsidRPr="004E0DB0">
        <w:rPr>
          <w:color w:val="000000"/>
          <w:szCs w:val="22"/>
        </w:rPr>
        <w:t xml:space="preserve">Lalita KAPUR, Funcionaria Ejecutiva, Sección de Propiedad Intelectual, Ministerio de Relaciones Exteriores y Comercio Internacional, Canberra (Australia);  </w:t>
      </w:r>
      <w:r w:rsidR="00C52A8A" w:rsidRPr="004E0DB0">
        <w:rPr>
          <w:color w:val="000000"/>
          <w:szCs w:val="22"/>
        </w:rPr>
        <w:t>Sr. </w:t>
      </w:r>
      <w:r w:rsidR="004E0DB0">
        <w:rPr>
          <w:color w:val="000000"/>
          <w:szCs w:val="22"/>
        </w:rPr>
        <w:t>Shi</w:t>
      </w:r>
      <w:r w:rsidR="004E0DB0">
        <w:rPr>
          <w:color w:val="000000"/>
          <w:szCs w:val="22"/>
        </w:rPr>
        <w:noBreakHyphen/>
      </w:r>
      <w:r w:rsidRPr="004E0DB0">
        <w:rPr>
          <w:color w:val="000000"/>
          <w:szCs w:val="22"/>
        </w:rPr>
        <w:t xml:space="preserve">hyeong KIM, Consejero, Misión Permanente de la </w:t>
      </w:r>
      <w:r w:rsidRPr="004E0DB0">
        <w:rPr>
          <w:szCs w:val="22"/>
        </w:rPr>
        <w:t xml:space="preserve">República de Corea </w:t>
      </w:r>
      <w:r w:rsidRPr="004E0DB0">
        <w:rPr>
          <w:color w:val="000000"/>
          <w:szCs w:val="22"/>
        </w:rPr>
        <w:t>en Ginebra</w:t>
      </w:r>
      <w:r w:rsidR="004E0DB0" w:rsidRPr="004E0DB0">
        <w:rPr>
          <w:color w:val="000000"/>
          <w:szCs w:val="22"/>
        </w:rPr>
        <w:t>;  S</w:t>
      </w:r>
      <w:r w:rsidR="00C52A8A" w:rsidRPr="004E0DB0">
        <w:rPr>
          <w:color w:val="000000"/>
          <w:szCs w:val="22"/>
        </w:rPr>
        <w:t>r. </w:t>
      </w:r>
      <w:r w:rsidRPr="004E0DB0">
        <w:rPr>
          <w:color w:val="000000"/>
          <w:szCs w:val="22"/>
        </w:rPr>
        <w:t>Wojciech PIAT</w:t>
      </w:r>
      <w:r w:rsidR="00EA05A7">
        <w:rPr>
          <w:color w:val="000000"/>
          <w:szCs w:val="22"/>
        </w:rPr>
        <w:t>K</w:t>
      </w:r>
      <w:r w:rsidRPr="004E0DB0">
        <w:rPr>
          <w:color w:val="000000"/>
          <w:szCs w:val="22"/>
        </w:rPr>
        <w:t>OWSKI, Primer Consejero, Misión Permanente de Polonia en Ginebra</w:t>
      </w:r>
      <w:r w:rsidR="004E0DB0" w:rsidRPr="004E0DB0">
        <w:rPr>
          <w:color w:val="000000"/>
          <w:szCs w:val="22"/>
        </w:rPr>
        <w:t>;  S</w:t>
      </w:r>
      <w:r w:rsidR="00C52A8A" w:rsidRPr="004E0DB0">
        <w:rPr>
          <w:color w:val="000000"/>
          <w:szCs w:val="22"/>
        </w:rPr>
        <w:t>ra. </w:t>
      </w:r>
      <w:r w:rsidRPr="004E0DB0">
        <w:rPr>
          <w:color w:val="000000"/>
          <w:szCs w:val="22"/>
        </w:rPr>
        <w:t xml:space="preserve">Madeleine SCHERB, Representante del </w:t>
      </w:r>
      <w:r w:rsidRPr="004E0DB0">
        <w:rPr>
          <w:i/>
          <w:color w:val="000000"/>
          <w:szCs w:val="22"/>
        </w:rPr>
        <w:t>Health and Environment Program,</w:t>
      </w:r>
      <w:r w:rsidR="0048386F" w:rsidRPr="004E0DB0">
        <w:rPr>
          <w:color w:val="000000"/>
          <w:szCs w:val="22"/>
        </w:rPr>
        <w:t xml:space="preserve"> Ya</w:t>
      </w:r>
      <w:r w:rsidRPr="004E0DB0">
        <w:rPr>
          <w:color w:val="000000"/>
          <w:szCs w:val="22"/>
        </w:rPr>
        <w:t>undé (Camerún)</w:t>
      </w:r>
      <w:r w:rsidR="004E0DB0" w:rsidRPr="004E0DB0">
        <w:rPr>
          <w:color w:val="000000"/>
          <w:szCs w:val="22"/>
        </w:rPr>
        <w:t>;  S</w:t>
      </w:r>
      <w:r w:rsidR="00C52A8A" w:rsidRPr="004E0DB0">
        <w:rPr>
          <w:color w:val="000000"/>
          <w:szCs w:val="22"/>
        </w:rPr>
        <w:t>r. </w:t>
      </w:r>
      <w:r w:rsidR="00647FBB" w:rsidRPr="004E0DB0">
        <w:rPr>
          <w:color w:val="000000"/>
          <w:szCs w:val="22"/>
        </w:rPr>
        <w:t xml:space="preserve">Jim WALKER, Representante </w:t>
      </w:r>
      <w:r w:rsidRPr="004E0DB0">
        <w:rPr>
          <w:color w:val="000000"/>
          <w:szCs w:val="22"/>
        </w:rPr>
        <w:t xml:space="preserve">de la </w:t>
      </w:r>
      <w:r w:rsidRPr="004E0DB0">
        <w:rPr>
          <w:szCs w:val="22"/>
        </w:rPr>
        <w:t>FAIRA</w:t>
      </w:r>
      <w:r w:rsidRPr="004E0DB0">
        <w:rPr>
          <w:color w:val="000000"/>
          <w:szCs w:val="22"/>
        </w:rPr>
        <w:t>, Brisbane (Australia)</w:t>
      </w:r>
      <w:r w:rsidR="00C52A8A" w:rsidRPr="004E0DB0">
        <w:rPr>
          <w:color w:val="000000"/>
          <w:szCs w:val="22"/>
        </w:rPr>
        <w:t>.</w:t>
      </w: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 xml:space="preserve">El Presidente del Comité nombró Presidenta de la Junta Asesora a la </w:t>
      </w:r>
      <w:r w:rsidR="00C52A8A" w:rsidRPr="004E0DB0">
        <w:rPr>
          <w:szCs w:val="22"/>
        </w:rPr>
        <w:t>Sra. </w:t>
      </w:r>
      <w:r w:rsidRPr="004E0DB0">
        <w:rPr>
          <w:szCs w:val="22"/>
        </w:rPr>
        <w:t>Alexandra Grazioli, actual Vicepresidenta del Comité.</w:t>
      </w:r>
    </w:p>
    <w:p w:rsidR="005E347E" w:rsidRPr="004E0DB0" w:rsidRDefault="005E347E" w:rsidP="008D79BC">
      <w:pPr>
        <w:spacing w:after="120" w:line="260" w:lineRule="atLeast"/>
        <w:rPr>
          <w:szCs w:val="22"/>
        </w:rPr>
      </w:pPr>
    </w:p>
    <w:p w:rsidR="005E347E" w:rsidRPr="004E0DB0" w:rsidRDefault="008D79BC" w:rsidP="004E0DB0">
      <w:pPr>
        <w:keepNext/>
        <w:spacing w:after="120" w:line="260" w:lineRule="atLeast"/>
        <w:rPr>
          <w:szCs w:val="22"/>
        </w:rPr>
      </w:pPr>
      <w:r w:rsidRPr="004E0DB0">
        <w:rPr>
          <w:szCs w:val="22"/>
        </w:rPr>
        <w:t>DECISIÓN SOBRE EL PUNT</w:t>
      </w:r>
      <w:r w:rsidR="004E0DB0" w:rsidRPr="004E0DB0">
        <w:rPr>
          <w:szCs w:val="22"/>
        </w:rPr>
        <w:t>O 6</w:t>
      </w:r>
      <w:r w:rsidRPr="004E0DB0">
        <w:rPr>
          <w:szCs w:val="22"/>
        </w:rPr>
        <w:t xml:space="preserve"> DEL ORDEN DEL DÍA:</w:t>
      </w:r>
    </w:p>
    <w:p w:rsidR="005E347E" w:rsidRPr="004E0DB0" w:rsidRDefault="008D79BC" w:rsidP="004E0DB0">
      <w:pPr>
        <w:keepNext/>
        <w:spacing w:after="120" w:line="260" w:lineRule="atLeast"/>
        <w:rPr>
          <w:szCs w:val="22"/>
        </w:rPr>
      </w:pPr>
      <w:r w:rsidRPr="004E0DB0">
        <w:rPr>
          <w:szCs w:val="22"/>
        </w:rPr>
        <w:t>CONOCIMIENTOS TRADICIONALES</w:t>
      </w:r>
    </w:p>
    <w:p w:rsidR="00C52A8A" w:rsidRPr="004E0DB0" w:rsidRDefault="008D79BC" w:rsidP="00DB2E3D">
      <w:pPr>
        <w:spacing w:after="120" w:line="260" w:lineRule="atLeast"/>
        <w:rPr>
          <w:rFonts w:eastAsia="Times New Roman" w:cs="Tahoma"/>
          <w:szCs w:val="22"/>
        </w:rPr>
      </w:pPr>
      <w:r w:rsidRPr="004E0DB0">
        <w:rPr>
          <w:rFonts w:eastAsia="Times New Roman" w:cs="Tahoma"/>
          <w:szCs w:val="22"/>
        </w:rPr>
        <w:t>El Comité elaboró un nuevo texto, sobre la base del documento WIPO/GRTKF/IC/27/4, titulado “La protección de lo</w:t>
      </w:r>
      <w:r w:rsidR="00F32EA1" w:rsidRPr="004E0DB0">
        <w:rPr>
          <w:rFonts w:eastAsia="Times New Roman" w:cs="Tahoma"/>
          <w:szCs w:val="22"/>
        </w:rPr>
        <w:t>s conocimientos tradicionales</w:t>
      </w:r>
      <w:r w:rsidR="004E0DB0" w:rsidRPr="004E0DB0">
        <w:rPr>
          <w:rFonts w:eastAsia="Times New Roman" w:cs="Tahoma"/>
          <w:szCs w:val="22"/>
        </w:rPr>
        <w:t>:  P</w:t>
      </w:r>
      <w:r w:rsidRPr="004E0DB0">
        <w:rPr>
          <w:rFonts w:eastAsia="Times New Roman" w:cs="Tahoma"/>
          <w:szCs w:val="22"/>
        </w:rPr>
        <w:t xml:space="preserve">royecto de artículos Rev.2”.  </w:t>
      </w:r>
      <w:r w:rsidR="00DB2E3D" w:rsidRPr="004E0DB0">
        <w:rPr>
          <w:rFonts w:eastAsia="Times New Roman" w:cs="Tahoma"/>
          <w:szCs w:val="22"/>
        </w:rPr>
        <w:t xml:space="preserve">El Comité decidió que ese texto, </w:t>
      </w:r>
      <w:r w:rsidR="00BF56F3" w:rsidRPr="004E0DB0">
        <w:rPr>
          <w:rFonts w:eastAsia="Times New Roman" w:cs="Tahoma"/>
          <w:szCs w:val="22"/>
        </w:rPr>
        <w:t>en la forma en que conste una vez cerrado</w:t>
      </w:r>
      <w:r w:rsidR="00DB2E3D" w:rsidRPr="004E0DB0">
        <w:rPr>
          <w:rFonts w:eastAsia="Times New Roman" w:cs="Tahoma"/>
          <w:szCs w:val="22"/>
        </w:rPr>
        <w:t xml:space="preserve"> este punto del orden del día e</w:t>
      </w:r>
      <w:r w:rsidR="004E0DB0" w:rsidRPr="004E0DB0">
        <w:rPr>
          <w:rFonts w:eastAsia="Times New Roman" w:cs="Tahoma"/>
          <w:szCs w:val="22"/>
        </w:rPr>
        <w:t>l 2</w:t>
      </w:r>
      <w:r w:rsidR="00DB2E3D" w:rsidRPr="004E0DB0">
        <w:rPr>
          <w:rFonts w:eastAsia="Times New Roman" w:cs="Tahoma"/>
          <w:szCs w:val="22"/>
        </w:rPr>
        <w:t>8 de marzo d</w:t>
      </w:r>
      <w:r w:rsidR="004E0DB0" w:rsidRPr="004E0DB0">
        <w:rPr>
          <w:rFonts w:eastAsia="Times New Roman" w:cs="Tahoma"/>
          <w:szCs w:val="22"/>
        </w:rPr>
        <w:t>e 2</w:t>
      </w:r>
      <w:r w:rsidR="00DB2E3D" w:rsidRPr="004E0DB0">
        <w:rPr>
          <w:rFonts w:eastAsia="Times New Roman" w:cs="Tahoma"/>
          <w:szCs w:val="22"/>
        </w:rPr>
        <w:t>014, sea remitido a la Asamblea General de la OMPI que se reunirá en septiembre d</w:t>
      </w:r>
      <w:r w:rsidR="004E0DB0" w:rsidRPr="004E0DB0">
        <w:rPr>
          <w:rFonts w:eastAsia="Times New Roman" w:cs="Tahoma"/>
          <w:szCs w:val="22"/>
        </w:rPr>
        <w:t>e 2</w:t>
      </w:r>
      <w:r w:rsidR="00DB2E3D" w:rsidRPr="004E0DB0">
        <w:rPr>
          <w:rFonts w:eastAsia="Times New Roman" w:cs="Tahoma"/>
          <w:szCs w:val="22"/>
        </w:rPr>
        <w:t>014, c</w:t>
      </w:r>
      <w:r w:rsidR="00E01FF9" w:rsidRPr="004E0DB0">
        <w:rPr>
          <w:rFonts w:eastAsia="Times New Roman" w:cs="Tahoma"/>
          <w:szCs w:val="22"/>
        </w:rPr>
        <w:t xml:space="preserve">on los ajustes y modificaciones </w:t>
      </w:r>
      <w:r w:rsidR="00DB2E3D" w:rsidRPr="004E0DB0">
        <w:rPr>
          <w:rFonts w:eastAsia="Times New Roman" w:cs="Tahoma"/>
          <w:szCs w:val="22"/>
        </w:rPr>
        <w:t xml:space="preserve">que se acuerden a </w:t>
      </w:r>
      <w:r w:rsidR="00D13658" w:rsidRPr="004E0DB0">
        <w:rPr>
          <w:rFonts w:eastAsia="Times New Roman" w:cs="Tahoma"/>
          <w:szCs w:val="22"/>
        </w:rPr>
        <w:t>raíz</w:t>
      </w:r>
      <w:r w:rsidR="00DB2E3D" w:rsidRPr="004E0DB0">
        <w:rPr>
          <w:rFonts w:eastAsia="Times New Roman" w:cs="Tahoma"/>
          <w:szCs w:val="22"/>
        </w:rPr>
        <w:t xml:space="preserve"> del examen </w:t>
      </w:r>
      <w:r w:rsidR="00D13658" w:rsidRPr="004E0DB0">
        <w:rPr>
          <w:rFonts w:eastAsia="Times New Roman" w:cs="Tahoma"/>
          <w:szCs w:val="22"/>
        </w:rPr>
        <w:t xml:space="preserve">de </w:t>
      </w:r>
      <w:r w:rsidR="00E01FF9" w:rsidRPr="004E0DB0">
        <w:rPr>
          <w:rFonts w:eastAsia="Times New Roman" w:cs="Tahoma"/>
          <w:szCs w:val="22"/>
        </w:rPr>
        <w:t xml:space="preserve">las </w:t>
      </w:r>
      <w:r w:rsidR="00D13658" w:rsidRPr="004E0DB0">
        <w:rPr>
          <w:rFonts w:eastAsia="Times New Roman" w:cs="Tahoma"/>
          <w:szCs w:val="22"/>
        </w:rPr>
        <w:t>cuestiones transversales</w:t>
      </w:r>
      <w:r w:rsidR="00DB2E3D" w:rsidRPr="004E0DB0">
        <w:rPr>
          <w:rFonts w:eastAsia="Times New Roman" w:cs="Tahoma"/>
          <w:szCs w:val="22"/>
        </w:rPr>
        <w:t xml:space="preserve"> que tendrá lugar en la vigésima octava sesión del Comité, en julio d</w:t>
      </w:r>
      <w:r w:rsidR="004E0DB0" w:rsidRPr="004E0DB0">
        <w:rPr>
          <w:rFonts w:eastAsia="Times New Roman" w:cs="Tahoma"/>
          <w:szCs w:val="22"/>
        </w:rPr>
        <w:t>e 2</w:t>
      </w:r>
      <w:r w:rsidR="00DB2E3D" w:rsidRPr="004E0DB0">
        <w:rPr>
          <w:rFonts w:eastAsia="Times New Roman" w:cs="Tahoma"/>
          <w:szCs w:val="22"/>
        </w:rPr>
        <w:t>014, de conformidad con el mandato del Comité para 2014-2015 y su programa de trabajo par</w:t>
      </w:r>
      <w:r w:rsidR="004E0DB0" w:rsidRPr="004E0DB0">
        <w:rPr>
          <w:rFonts w:eastAsia="Times New Roman" w:cs="Tahoma"/>
          <w:szCs w:val="22"/>
        </w:rPr>
        <w:t>a 2</w:t>
      </w:r>
      <w:r w:rsidR="00DB2E3D" w:rsidRPr="004E0DB0">
        <w:rPr>
          <w:rFonts w:eastAsia="Times New Roman" w:cs="Tahoma"/>
          <w:szCs w:val="22"/>
        </w:rPr>
        <w:t>014, según constan en el documento WO/GA/43/22</w:t>
      </w:r>
      <w:r w:rsidR="00C52A8A" w:rsidRPr="004E0DB0">
        <w:rPr>
          <w:rFonts w:eastAsia="Times New Roman" w:cs="Tahoma"/>
          <w:szCs w:val="22"/>
        </w:rPr>
        <w:t>.</w:t>
      </w:r>
    </w:p>
    <w:p w:rsidR="00C52A8A" w:rsidRPr="004E0DB0" w:rsidRDefault="00DB2E3D" w:rsidP="00DB2E3D">
      <w:pPr>
        <w:spacing w:after="120" w:line="260" w:lineRule="atLeast"/>
        <w:rPr>
          <w:rFonts w:eastAsia="Times New Roman" w:cs="Tahoma"/>
          <w:color w:val="000000"/>
          <w:szCs w:val="22"/>
        </w:rPr>
      </w:pPr>
      <w:r w:rsidRPr="004E0DB0">
        <w:rPr>
          <w:rFonts w:eastAsia="Times New Roman" w:cs="Tahoma"/>
          <w:color w:val="000000"/>
          <w:szCs w:val="22"/>
        </w:rPr>
        <w:t>El Comité tomó nota asimismo de los documentos WIPO/GRTKF/IC/27/6, WIPO/GRTKF/IC/27/7, WIPO/GRTKF/IC/27/8, WIPO/GRTKF/IC/27/INF/7, WIPO/GRTKF/IC/27/INF/8, WIPO/GRTKF/IC/27/INF/9, WIPO/GRTKF/IC/27/INF/10 y WIPO/GRTKF/IC/27/INF/11</w:t>
      </w:r>
      <w:r w:rsidR="00C52A8A" w:rsidRPr="004E0DB0">
        <w:rPr>
          <w:rFonts w:eastAsia="Times New Roman" w:cs="Tahoma"/>
          <w:color w:val="000000"/>
          <w:szCs w:val="22"/>
        </w:rPr>
        <w:t>.</w:t>
      </w:r>
    </w:p>
    <w:p w:rsidR="005E347E" w:rsidRPr="004E0DB0" w:rsidRDefault="005E347E" w:rsidP="008D79BC">
      <w:pPr>
        <w:spacing w:after="120" w:line="260" w:lineRule="atLeast"/>
        <w:rPr>
          <w:szCs w:val="22"/>
        </w:rPr>
      </w:pP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DECISIÓN SOBRE EL PUNT</w:t>
      </w:r>
      <w:r w:rsidR="004E0DB0" w:rsidRPr="004E0DB0">
        <w:rPr>
          <w:szCs w:val="22"/>
        </w:rPr>
        <w:t>O 7</w:t>
      </w:r>
      <w:r w:rsidRPr="004E0DB0">
        <w:rPr>
          <w:szCs w:val="22"/>
        </w:rPr>
        <w:t xml:space="preserve"> DEL ORDEN DEL DÍA:</w:t>
      </w: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EXPRESIONES CULTURALES TRADICIONALES</w:t>
      </w:r>
    </w:p>
    <w:p w:rsidR="00C52A8A" w:rsidRPr="004E0DB0" w:rsidRDefault="00BF56F3" w:rsidP="002F741D">
      <w:pPr>
        <w:spacing w:after="120" w:line="260" w:lineRule="atLeast"/>
        <w:rPr>
          <w:rFonts w:eastAsia="Times New Roman" w:cs="Tahoma"/>
          <w:szCs w:val="22"/>
        </w:rPr>
      </w:pPr>
      <w:r w:rsidRPr="004E0DB0">
        <w:rPr>
          <w:rFonts w:eastAsia="Times New Roman" w:cs="Tahoma"/>
          <w:szCs w:val="22"/>
        </w:rPr>
        <w:t xml:space="preserve">El Comité elaboró </w:t>
      </w:r>
      <w:r w:rsidR="008D79BC" w:rsidRPr="004E0DB0">
        <w:rPr>
          <w:rFonts w:eastAsia="Times New Roman" w:cs="Tahoma"/>
          <w:szCs w:val="22"/>
        </w:rPr>
        <w:t>un nuevo texto,</w:t>
      </w:r>
      <w:r w:rsidRPr="004E0DB0">
        <w:rPr>
          <w:rFonts w:eastAsia="Times New Roman" w:cs="Tahoma"/>
          <w:szCs w:val="22"/>
        </w:rPr>
        <w:t xml:space="preserve"> sobre la base del documento WIPO/GRTKF/IC/27/5, titulado</w:t>
      </w:r>
      <w:r w:rsidR="008D79BC" w:rsidRPr="004E0DB0">
        <w:rPr>
          <w:rFonts w:eastAsia="Times New Roman" w:cs="Tahoma"/>
          <w:szCs w:val="22"/>
        </w:rPr>
        <w:t xml:space="preserve"> “La protección de las expresi</w:t>
      </w:r>
      <w:r w:rsidR="00F32EA1" w:rsidRPr="004E0DB0">
        <w:rPr>
          <w:rFonts w:eastAsia="Times New Roman" w:cs="Tahoma"/>
          <w:szCs w:val="22"/>
        </w:rPr>
        <w:t>ones culturales tradicionales</w:t>
      </w:r>
      <w:r w:rsidR="004E0DB0" w:rsidRPr="004E0DB0">
        <w:rPr>
          <w:rFonts w:eastAsia="Times New Roman" w:cs="Tahoma"/>
          <w:szCs w:val="22"/>
        </w:rPr>
        <w:t>:  P</w:t>
      </w:r>
      <w:r w:rsidR="008D79BC" w:rsidRPr="004E0DB0">
        <w:rPr>
          <w:rFonts w:eastAsia="Times New Roman" w:cs="Tahoma"/>
          <w:szCs w:val="22"/>
        </w:rPr>
        <w:t xml:space="preserve">royecto de artículos Rev. 2”.  </w:t>
      </w:r>
      <w:r w:rsidR="002F741D" w:rsidRPr="004E0DB0">
        <w:rPr>
          <w:rFonts w:eastAsia="Times New Roman" w:cs="Tahoma"/>
          <w:szCs w:val="22"/>
        </w:rPr>
        <w:t xml:space="preserve">El Comité decidió que ese texto, </w:t>
      </w:r>
      <w:r w:rsidR="00C3165F" w:rsidRPr="004E0DB0">
        <w:rPr>
          <w:rFonts w:eastAsia="Times New Roman" w:cs="Tahoma"/>
          <w:szCs w:val="22"/>
        </w:rPr>
        <w:t xml:space="preserve">en la forma en que conste una vez cerrado este punto del orden del día </w:t>
      </w:r>
      <w:r w:rsidR="002F741D" w:rsidRPr="004E0DB0">
        <w:rPr>
          <w:rFonts w:eastAsia="Times New Roman" w:cs="Tahoma"/>
          <w:szCs w:val="22"/>
        </w:rPr>
        <w:t>e</w:t>
      </w:r>
      <w:r w:rsidR="004E0DB0" w:rsidRPr="004E0DB0">
        <w:rPr>
          <w:rFonts w:eastAsia="Times New Roman" w:cs="Tahoma"/>
          <w:szCs w:val="22"/>
        </w:rPr>
        <w:t>l 4</w:t>
      </w:r>
      <w:r w:rsidR="002F741D" w:rsidRPr="004E0DB0">
        <w:rPr>
          <w:rFonts w:eastAsia="Times New Roman" w:cs="Tahoma"/>
          <w:szCs w:val="22"/>
        </w:rPr>
        <w:t xml:space="preserve"> de abril d</w:t>
      </w:r>
      <w:r w:rsidR="004E0DB0" w:rsidRPr="004E0DB0">
        <w:rPr>
          <w:rFonts w:eastAsia="Times New Roman" w:cs="Tahoma"/>
          <w:szCs w:val="22"/>
        </w:rPr>
        <w:t>e 2</w:t>
      </w:r>
      <w:r w:rsidR="002F741D" w:rsidRPr="004E0DB0">
        <w:rPr>
          <w:rFonts w:eastAsia="Times New Roman" w:cs="Tahoma"/>
          <w:szCs w:val="22"/>
        </w:rPr>
        <w:t>014, sea remitido a la Asamblea General de la OMPI que se reunirá en septiembre d</w:t>
      </w:r>
      <w:r w:rsidR="004E0DB0" w:rsidRPr="004E0DB0">
        <w:rPr>
          <w:rFonts w:eastAsia="Times New Roman" w:cs="Tahoma"/>
          <w:szCs w:val="22"/>
        </w:rPr>
        <w:t>e 2</w:t>
      </w:r>
      <w:r w:rsidR="002F741D" w:rsidRPr="004E0DB0">
        <w:rPr>
          <w:rFonts w:eastAsia="Times New Roman" w:cs="Tahoma"/>
          <w:szCs w:val="22"/>
        </w:rPr>
        <w:t xml:space="preserve">014, con los ajustes y modificaciones que se acuerden </w:t>
      </w:r>
      <w:r w:rsidR="00D13658" w:rsidRPr="004E0DB0">
        <w:rPr>
          <w:rFonts w:eastAsia="Times New Roman" w:cs="Tahoma"/>
          <w:szCs w:val="22"/>
        </w:rPr>
        <w:t xml:space="preserve">a raíz del examen de </w:t>
      </w:r>
      <w:r w:rsidR="00E01FF9" w:rsidRPr="004E0DB0">
        <w:rPr>
          <w:rFonts w:eastAsia="Times New Roman" w:cs="Tahoma"/>
          <w:szCs w:val="22"/>
        </w:rPr>
        <w:t xml:space="preserve">las </w:t>
      </w:r>
      <w:r w:rsidR="00D13658" w:rsidRPr="004E0DB0">
        <w:rPr>
          <w:rFonts w:eastAsia="Times New Roman" w:cs="Tahoma"/>
          <w:szCs w:val="22"/>
        </w:rPr>
        <w:t xml:space="preserve">cuestiones transversales </w:t>
      </w:r>
      <w:r w:rsidR="002F741D" w:rsidRPr="004E0DB0">
        <w:rPr>
          <w:rFonts w:eastAsia="Times New Roman" w:cs="Tahoma"/>
          <w:szCs w:val="22"/>
        </w:rPr>
        <w:t>que tendrá lugar en la vigésima octava sesión del Comité, en julio d</w:t>
      </w:r>
      <w:r w:rsidR="004E0DB0" w:rsidRPr="004E0DB0">
        <w:rPr>
          <w:rFonts w:eastAsia="Times New Roman" w:cs="Tahoma"/>
          <w:szCs w:val="22"/>
        </w:rPr>
        <w:t>e 2</w:t>
      </w:r>
      <w:r w:rsidR="002F741D" w:rsidRPr="004E0DB0">
        <w:rPr>
          <w:rFonts w:eastAsia="Times New Roman" w:cs="Tahoma"/>
          <w:szCs w:val="22"/>
        </w:rPr>
        <w:t>014, de conformidad con el mandato del Comité para 2014-2015 y su programa de trabajo par</w:t>
      </w:r>
      <w:r w:rsidR="004E0DB0" w:rsidRPr="004E0DB0">
        <w:rPr>
          <w:rFonts w:eastAsia="Times New Roman" w:cs="Tahoma"/>
          <w:szCs w:val="22"/>
        </w:rPr>
        <w:t>a 2</w:t>
      </w:r>
      <w:r w:rsidR="002F741D" w:rsidRPr="004E0DB0">
        <w:rPr>
          <w:rFonts w:eastAsia="Times New Roman" w:cs="Tahoma"/>
          <w:szCs w:val="22"/>
        </w:rPr>
        <w:t>014, según constan en el documento WO/GA/43/22</w:t>
      </w:r>
      <w:r w:rsidR="00C52A8A" w:rsidRPr="004E0DB0">
        <w:rPr>
          <w:rFonts w:eastAsia="Times New Roman" w:cs="Tahoma"/>
          <w:szCs w:val="22"/>
        </w:rPr>
        <w:t>.</w:t>
      </w:r>
    </w:p>
    <w:p w:rsidR="005E347E" w:rsidRPr="004E0DB0" w:rsidRDefault="002F741D" w:rsidP="002F741D">
      <w:pPr>
        <w:spacing w:after="120" w:line="260" w:lineRule="atLeast"/>
        <w:rPr>
          <w:rFonts w:eastAsia="Times New Roman" w:cs="Tahoma"/>
          <w:szCs w:val="22"/>
        </w:rPr>
      </w:pPr>
      <w:r w:rsidRPr="004E0DB0">
        <w:rPr>
          <w:rFonts w:eastAsia="Times New Roman" w:cs="Tahoma"/>
          <w:szCs w:val="22"/>
        </w:rPr>
        <w:t xml:space="preserve">El Comité tomó nota </w:t>
      </w:r>
      <w:r w:rsidR="00A259FC" w:rsidRPr="004E0DB0">
        <w:rPr>
          <w:rFonts w:eastAsia="Times New Roman" w:cs="Tahoma"/>
          <w:szCs w:val="22"/>
        </w:rPr>
        <w:t xml:space="preserve">asimismo </w:t>
      </w:r>
      <w:r w:rsidRPr="004E0DB0">
        <w:rPr>
          <w:rFonts w:eastAsia="Times New Roman" w:cs="Tahoma"/>
          <w:szCs w:val="22"/>
        </w:rPr>
        <w:t xml:space="preserve">de los documentos </w:t>
      </w:r>
      <w:r w:rsidRPr="004E0DB0">
        <w:rPr>
          <w:rFonts w:eastAsia="Times New Roman" w:cs="Tahoma"/>
          <w:color w:val="000000"/>
          <w:szCs w:val="22"/>
        </w:rPr>
        <w:t>WIPO/GRTKF/IC/27/INF/7, WIPO/GRTKF/IC/27/INF/8, WIPO/GRTKF/IC/27/INF/9 y WIPO/GRTKF/IC/27/INF/10.</w:t>
      </w:r>
    </w:p>
    <w:p w:rsidR="005E347E" w:rsidRPr="004E0DB0" w:rsidRDefault="005E347E" w:rsidP="008D79BC">
      <w:pPr>
        <w:spacing w:after="120" w:line="260" w:lineRule="atLeast"/>
        <w:rPr>
          <w:szCs w:val="22"/>
        </w:rPr>
      </w:pP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DECISIÓN SOBRE EL PUNT</w:t>
      </w:r>
      <w:r w:rsidR="004E0DB0" w:rsidRPr="004E0DB0">
        <w:rPr>
          <w:szCs w:val="22"/>
        </w:rPr>
        <w:t>O 9</w:t>
      </w:r>
      <w:r w:rsidRPr="004E0DB0">
        <w:rPr>
          <w:szCs w:val="22"/>
        </w:rPr>
        <w:t xml:space="preserve"> DEL ORDEN DEL DÍA:</w:t>
      </w:r>
    </w:p>
    <w:p w:rsidR="005E347E" w:rsidRPr="004E0DB0" w:rsidRDefault="008D79BC" w:rsidP="008D79BC">
      <w:pPr>
        <w:spacing w:after="120" w:line="260" w:lineRule="atLeast"/>
        <w:rPr>
          <w:szCs w:val="22"/>
        </w:rPr>
      </w:pPr>
      <w:r w:rsidRPr="004E0DB0">
        <w:rPr>
          <w:szCs w:val="22"/>
        </w:rPr>
        <w:t>CLAUSURA DE LA SESIÓN</w:t>
      </w:r>
    </w:p>
    <w:p w:rsidR="00C52A8A" w:rsidRPr="004E0DB0" w:rsidRDefault="005E347E" w:rsidP="005E347E">
      <w:pPr>
        <w:spacing w:after="120" w:line="260" w:lineRule="atLeast"/>
        <w:rPr>
          <w:szCs w:val="22"/>
        </w:rPr>
      </w:pPr>
      <w:r w:rsidRPr="004E0DB0">
        <w:rPr>
          <w:szCs w:val="22"/>
        </w:rPr>
        <w:t xml:space="preserve">El Comité adoptó decisiones en relación con los puntos 2, 3, 4, 5, 6 </w:t>
      </w:r>
      <w:r w:rsidR="004E0DB0" w:rsidRPr="004E0DB0">
        <w:rPr>
          <w:szCs w:val="22"/>
        </w:rPr>
        <w:t>y 7</w:t>
      </w:r>
      <w:r w:rsidRPr="004E0DB0">
        <w:rPr>
          <w:szCs w:val="22"/>
        </w:rPr>
        <w:t xml:space="preserve"> del orden del día e</w:t>
      </w:r>
      <w:r w:rsidR="004E0DB0" w:rsidRPr="004E0DB0">
        <w:rPr>
          <w:szCs w:val="22"/>
        </w:rPr>
        <w:t>l 4</w:t>
      </w:r>
      <w:r w:rsidRPr="004E0DB0">
        <w:rPr>
          <w:szCs w:val="22"/>
        </w:rPr>
        <w:t xml:space="preserve"> de abril de 2014.</w:t>
      </w:r>
      <w:r w:rsidR="008D79BC" w:rsidRPr="004E0DB0">
        <w:rPr>
          <w:szCs w:val="22"/>
        </w:rPr>
        <w:t xml:space="preserve">  </w:t>
      </w:r>
      <w:r w:rsidRPr="004E0DB0">
        <w:rPr>
          <w:szCs w:val="22"/>
        </w:rPr>
        <w:t>Acordó que se prepare y distribuya, antes de</w:t>
      </w:r>
      <w:r w:rsidR="004E0DB0" w:rsidRPr="004E0DB0">
        <w:rPr>
          <w:szCs w:val="22"/>
        </w:rPr>
        <w:t>l 4</w:t>
      </w:r>
      <w:r w:rsidRPr="004E0DB0">
        <w:rPr>
          <w:szCs w:val="22"/>
        </w:rPr>
        <w:t xml:space="preserve"> de junio d</w:t>
      </w:r>
      <w:r w:rsidR="004E0DB0" w:rsidRPr="004E0DB0">
        <w:rPr>
          <w:szCs w:val="22"/>
        </w:rPr>
        <w:t>e 2</w:t>
      </w:r>
      <w:r w:rsidRPr="004E0DB0">
        <w:rPr>
          <w:szCs w:val="22"/>
        </w:rPr>
        <w:t>014, un proyecto de informe que contenga el texto concertado de dichas decisiones y de todas las intervenciones realizadas en la sesión del Comité.</w:t>
      </w:r>
      <w:r w:rsidR="008D79BC" w:rsidRPr="004E0DB0">
        <w:rPr>
          <w:szCs w:val="22"/>
        </w:rPr>
        <w:t xml:space="preserve">  </w:t>
      </w:r>
      <w:r w:rsidRPr="004E0DB0">
        <w:rPr>
          <w:szCs w:val="22"/>
        </w:rPr>
        <w:t xml:space="preserve">Se invitará a los participantes en la sesión del Comité a presentar correcciones por escrito de </w:t>
      </w:r>
      <w:r w:rsidR="00C3165F" w:rsidRPr="004E0DB0">
        <w:rPr>
          <w:szCs w:val="22"/>
        </w:rPr>
        <w:t>sus intervenciones, según consten</w:t>
      </w:r>
      <w:r w:rsidRPr="004E0DB0">
        <w:rPr>
          <w:szCs w:val="22"/>
        </w:rPr>
        <w:t xml:space="preserve"> en el proyecto de informe, de modo que pueda distribuirse una versión final de dicho proyecto a los participantes a los fines de su aprobación en la vigésima octava sesión del Comité</w:t>
      </w:r>
      <w:r w:rsidR="00C52A8A" w:rsidRPr="004E0DB0">
        <w:rPr>
          <w:szCs w:val="22"/>
        </w:rPr>
        <w:t>.</w:t>
      </w:r>
    </w:p>
    <w:p w:rsidR="005E347E" w:rsidRPr="004E0DB0" w:rsidRDefault="005E347E" w:rsidP="008D79BC">
      <w:pPr>
        <w:spacing w:after="120" w:line="260" w:lineRule="atLeast"/>
        <w:rPr>
          <w:szCs w:val="22"/>
        </w:rPr>
      </w:pPr>
    </w:p>
    <w:p w:rsidR="005E347E" w:rsidRPr="004E0DB0" w:rsidRDefault="005E347E" w:rsidP="008D79BC">
      <w:pPr>
        <w:spacing w:after="120" w:line="260" w:lineRule="atLeast"/>
        <w:rPr>
          <w:szCs w:val="22"/>
        </w:rPr>
      </w:pPr>
    </w:p>
    <w:p w:rsidR="005E347E" w:rsidRPr="004E0DB0" w:rsidRDefault="005E347E" w:rsidP="005E347E">
      <w:pPr>
        <w:spacing w:after="120" w:line="260" w:lineRule="atLeast"/>
        <w:ind w:left="5610"/>
        <w:jc w:val="both"/>
        <w:rPr>
          <w:iCs/>
          <w:szCs w:val="22"/>
        </w:rPr>
      </w:pPr>
      <w:r w:rsidRPr="004E0DB0">
        <w:rPr>
          <w:iCs/>
          <w:szCs w:val="22"/>
        </w:rPr>
        <w:t>[Fin del documento]</w:t>
      </w:r>
    </w:p>
    <w:sectPr w:rsidR="005E347E" w:rsidRPr="004E0DB0" w:rsidSect="00F30373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045" w:rsidRDefault="00133045">
      <w:r>
        <w:separator/>
      </w:r>
    </w:p>
  </w:endnote>
  <w:endnote w:type="continuationSeparator" w:id="0">
    <w:p w:rsidR="00133045" w:rsidRDefault="00133045" w:rsidP="00A326CA">
      <w:r>
        <w:separator/>
      </w:r>
    </w:p>
    <w:p w:rsidR="00133045" w:rsidRPr="0078064A" w:rsidRDefault="0013304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33045" w:rsidRPr="0078064A" w:rsidRDefault="0013304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045" w:rsidRDefault="00133045">
      <w:r>
        <w:separator/>
      </w:r>
    </w:p>
  </w:footnote>
  <w:footnote w:type="continuationSeparator" w:id="0">
    <w:p w:rsidR="00133045" w:rsidRDefault="00133045" w:rsidP="00A326CA">
      <w:r>
        <w:separator/>
      </w:r>
    </w:p>
    <w:p w:rsidR="00133045" w:rsidRPr="0078064A" w:rsidRDefault="0013304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33045" w:rsidRPr="0078064A" w:rsidRDefault="0013304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28E" w:rsidRDefault="005E347E" w:rsidP="005E347E">
    <w:pPr>
      <w:pStyle w:val="Header"/>
      <w:jc w:val="right"/>
    </w:pPr>
    <w:r w:rsidRPr="00F32EA1">
      <w:t>página</w:t>
    </w:r>
    <w:r w:rsidR="0077228E" w:rsidRPr="00F32EA1">
      <w:t xml:space="preserve"> </w:t>
    </w:r>
    <w:r w:rsidR="0077228E">
      <w:fldChar w:fldCharType="begin"/>
    </w:r>
    <w:r w:rsidR="0077228E">
      <w:instrText>PAGE   \* MERGEFORMAT</w:instrText>
    </w:r>
    <w:r w:rsidR="0077228E">
      <w:fldChar w:fldCharType="separate"/>
    </w:r>
    <w:r w:rsidR="007C44F5" w:rsidRPr="007C44F5">
      <w:rPr>
        <w:noProof/>
        <w:lang w:val="es-ES"/>
      </w:rPr>
      <w:t>2</w:t>
    </w:r>
    <w:r w:rsidR="0077228E">
      <w:fldChar w:fldCharType="end"/>
    </w:r>
  </w:p>
  <w:p w:rsidR="0077228E" w:rsidRDefault="0077228E" w:rsidP="0077228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0FB5355"/>
    <w:multiLevelType w:val="hybridMultilevel"/>
    <w:tmpl w:val="61BE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E14E7"/>
    <w:multiLevelType w:val="hybridMultilevel"/>
    <w:tmpl w:val="340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|Trademarks\Meeting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Trademarks\Other|Trademarks\Publications|Patents\Meetings|Patents\Other|Patents\Publications|Treaties\Model Laws|Treaties\Other Laws and Agreements|Treaties\WIPO-administered"/>
    <w:docVar w:name="TextBaseURL" w:val="empty"/>
    <w:docVar w:name="UILng" w:val="en"/>
  </w:docVars>
  <w:rsids>
    <w:rsidRoot w:val="001E1A97"/>
    <w:rsid w:val="00065A2B"/>
    <w:rsid w:val="000F5E56"/>
    <w:rsid w:val="00115865"/>
    <w:rsid w:val="00132B2D"/>
    <w:rsid w:val="00133045"/>
    <w:rsid w:val="001635AA"/>
    <w:rsid w:val="0018429A"/>
    <w:rsid w:val="001D4629"/>
    <w:rsid w:val="001E1A97"/>
    <w:rsid w:val="002217F8"/>
    <w:rsid w:val="00250F9E"/>
    <w:rsid w:val="00284C09"/>
    <w:rsid w:val="002B3353"/>
    <w:rsid w:val="002F741D"/>
    <w:rsid w:val="00321ACB"/>
    <w:rsid w:val="00327400"/>
    <w:rsid w:val="00333C78"/>
    <w:rsid w:val="0034545A"/>
    <w:rsid w:val="003B6CDA"/>
    <w:rsid w:val="003D61EA"/>
    <w:rsid w:val="003E27D4"/>
    <w:rsid w:val="003F1195"/>
    <w:rsid w:val="0048386F"/>
    <w:rsid w:val="004E0DB0"/>
    <w:rsid w:val="004F17EB"/>
    <w:rsid w:val="0050662A"/>
    <w:rsid w:val="00524649"/>
    <w:rsid w:val="00525444"/>
    <w:rsid w:val="0056417A"/>
    <w:rsid w:val="00582AD5"/>
    <w:rsid w:val="00584109"/>
    <w:rsid w:val="00592D0C"/>
    <w:rsid w:val="005C4C90"/>
    <w:rsid w:val="005C6BE1"/>
    <w:rsid w:val="005E347E"/>
    <w:rsid w:val="005E75FE"/>
    <w:rsid w:val="005F2BED"/>
    <w:rsid w:val="006158A3"/>
    <w:rsid w:val="00630040"/>
    <w:rsid w:val="006345D6"/>
    <w:rsid w:val="00647FBB"/>
    <w:rsid w:val="0068044D"/>
    <w:rsid w:val="006B1CCD"/>
    <w:rsid w:val="006F61DA"/>
    <w:rsid w:val="00731655"/>
    <w:rsid w:val="007356F8"/>
    <w:rsid w:val="0077228E"/>
    <w:rsid w:val="0078064A"/>
    <w:rsid w:val="007B5CAC"/>
    <w:rsid w:val="007C44F5"/>
    <w:rsid w:val="007D5060"/>
    <w:rsid w:val="007F0734"/>
    <w:rsid w:val="008112D6"/>
    <w:rsid w:val="008374B7"/>
    <w:rsid w:val="008D0F0F"/>
    <w:rsid w:val="008D79BC"/>
    <w:rsid w:val="008E47EB"/>
    <w:rsid w:val="00936B9E"/>
    <w:rsid w:val="009E489A"/>
    <w:rsid w:val="00A259FC"/>
    <w:rsid w:val="00A326CA"/>
    <w:rsid w:val="00A66E3F"/>
    <w:rsid w:val="00A74F09"/>
    <w:rsid w:val="00A953E1"/>
    <w:rsid w:val="00AE0452"/>
    <w:rsid w:val="00B903B3"/>
    <w:rsid w:val="00B9042D"/>
    <w:rsid w:val="00BA7847"/>
    <w:rsid w:val="00BC33C3"/>
    <w:rsid w:val="00BE2604"/>
    <w:rsid w:val="00BE5C92"/>
    <w:rsid w:val="00BF56F3"/>
    <w:rsid w:val="00C31614"/>
    <w:rsid w:val="00C3165F"/>
    <w:rsid w:val="00C52A8A"/>
    <w:rsid w:val="00C6506E"/>
    <w:rsid w:val="00C80FAC"/>
    <w:rsid w:val="00CE5DDD"/>
    <w:rsid w:val="00D05E9C"/>
    <w:rsid w:val="00D13658"/>
    <w:rsid w:val="00D16E6A"/>
    <w:rsid w:val="00D47B95"/>
    <w:rsid w:val="00D61E75"/>
    <w:rsid w:val="00DB2E3D"/>
    <w:rsid w:val="00DC2835"/>
    <w:rsid w:val="00DD7519"/>
    <w:rsid w:val="00DE5C3A"/>
    <w:rsid w:val="00DF340C"/>
    <w:rsid w:val="00DF54B3"/>
    <w:rsid w:val="00E01FF9"/>
    <w:rsid w:val="00E60A88"/>
    <w:rsid w:val="00E638AE"/>
    <w:rsid w:val="00E74ACC"/>
    <w:rsid w:val="00EA05A7"/>
    <w:rsid w:val="00EB6AEC"/>
    <w:rsid w:val="00ED30E8"/>
    <w:rsid w:val="00ED55BA"/>
    <w:rsid w:val="00F02982"/>
    <w:rsid w:val="00F30373"/>
    <w:rsid w:val="00F32EA1"/>
    <w:rsid w:val="00F71A31"/>
    <w:rsid w:val="00F83DF4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link w:val="FooterChar"/>
    <w:uiPriority w:val="99"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E5C92"/>
    <w:rPr>
      <w:sz w:val="18"/>
    </w:rPr>
  </w:style>
  <w:style w:type="paragraph" w:styleId="Header">
    <w:name w:val="header"/>
    <w:basedOn w:val="Normal"/>
    <w:link w:val="HeaderChar"/>
    <w:uiPriority w:val="99"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customStyle="1" w:styleId="FootnoteTextChar">
    <w:name w:val="Footnote Text Char"/>
    <w:link w:val="FootnoteText"/>
    <w:semiHidden/>
    <w:rsid w:val="0077228E"/>
    <w:rPr>
      <w:rFonts w:ascii="Arial" w:eastAsia="SimSun" w:hAnsi="Arial" w:cs="Arial"/>
      <w:sz w:val="18"/>
      <w:lang w:val="es-ES_tradnl" w:eastAsia="zh-CN"/>
    </w:rPr>
  </w:style>
  <w:style w:type="paragraph" w:customStyle="1" w:styleId="Endofdocument-Annex">
    <w:name w:val="[End of document - Annex]"/>
    <w:basedOn w:val="Normal"/>
    <w:rsid w:val="0077228E"/>
    <w:pPr>
      <w:ind w:left="5534"/>
    </w:pPr>
    <w:rPr>
      <w:lang w:val="en-US"/>
    </w:rPr>
  </w:style>
  <w:style w:type="character" w:styleId="FootnoteReference">
    <w:name w:val="footnote reference"/>
    <w:rsid w:val="0077228E"/>
    <w:rPr>
      <w:vertAlign w:val="superscript"/>
    </w:rPr>
  </w:style>
  <w:style w:type="paragraph" w:customStyle="1" w:styleId="Char">
    <w:name w:val="Char 字元 字元"/>
    <w:basedOn w:val="Normal"/>
    <w:rsid w:val="0077228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77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228E"/>
    <w:rPr>
      <w:rFonts w:ascii="Tahoma" w:eastAsia="SimSun" w:hAnsi="Tahoma" w:cs="Tahoma"/>
      <w:sz w:val="16"/>
      <w:szCs w:val="16"/>
      <w:lang w:val="es-ES_tradnl" w:eastAsia="zh-CN"/>
    </w:rPr>
  </w:style>
  <w:style w:type="character" w:customStyle="1" w:styleId="FooterChar">
    <w:name w:val="Footer Char"/>
    <w:link w:val="Footer"/>
    <w:uiPriority w:val="99"/>
    <w:rsid w:val="0077228E"/>
    <w:rPr>
      <w:rFonts w:ascii="Arial" w:eastAsia="SimSun" w:hAnsi="Arial" w:cs="Arial"/>
      <w:sz w:val="22"/>
      <w:lang w:val="es-ES_tradnl" w:eastAsia="zh-CN"/>
    </w:rPr>
  </w:style>
  <w:style w:type="character" w:customStyle="1" w:styleId="HeaderChar">
    <w:name w:val="Header Char"/>
    <w:link w:val="Header"/>
    <w:uiPriority w:val="99"/>
    <w:rsid w:val="0077228E"/>
    <w:rPr>
      <w:rFonts w:ascii="Arial" w:eastAsia="SimSun" w:hAnsi="Arial" w:cs="Arial"/>
      <w:sz w:val="22"/>
      <w:lang w:val="es-ES_tradnl" w:eastAsia="zh-CN"/>
    </w:rPr>
  </w:style>
  <w:style w:type="paragraph" w:styleId="ListParagraph">
    <w:name w:val="List Paragraph"/>
    <w:basedOn w:val="Normal"/>
    <w:uiPriority w:val="34"/>
    <w:qFormat/>
    <w:rsid w:val="0077228E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link w:val="FooterChar"/>
    <w:uiPriority w:val="99"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E5C92"/>
    <w:rPr>
      <w:sz w:val="18"/>
    </w:rPr>
  </w:style>
  <w:style w:type="paragraph" w:styleId="Header">
    <w:name w:val="header"/>
    <w:basedOn w:val="Normal"/>
    <w:link w:val="HeaderChar"/>
    <w:uiPriority w:val="99"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customStyle="1" w:styleId="FootnoteTextChar">
    <w:name w:val="Footnote Text Char"/>
    <w:link w:val="FootnoteText"/>
    <w:semiHidden/>
    <w:rsid w:val="0077228E"/>
    <w:rPr>
      <w:rFonts w:ascii="Arial" w:eastAsia="SimSun" w:hAnsi="Arial" w:cs="Arial"/>
      <w:sz w:val="18"/>
      <w:lang w:val="es-ES_tradnl" w:eastAsia="zh-CN"/>
    </w:rPr>
  </w:style>
  <w:style w:type="paragraph" w:customStyle="1" w:styleId="Endofdocument-Annex">
    <w:name w:val="[End of document - Annex]"/>
    <w:basedOn w:val="Normal"/>
    <w:rsid w:val="0077228E"/>
    <w:pPr>
      <w:ind w:left="5534"/>
    </w:pPr>
    <w:rPr>
      <w:lang w:val="en-US"/>
    </w:rPr>
  </w:style>
  <w:style w:type="character" w:styleId="FootnoteReference">
    <w:name w:val="footnote reference"/>
    <w:rsid w:val="0077228E"/>
    <w:rPr>
      <w:vertAlign w:val="superscript"/>
    </w:rPr>
  </w:style>
  <w:style w:type="paragraph" w:customStyle="1" w:styleId="Char">
    <w:name w:val="Char 字元 字元"/>
    <w:basedOn w:val="Normal"/>
    <w:rsid w:val="0077228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77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228E"/>
    <w:rPr>
      <w:rFonts w:ascii="Tahoma" w:eastAsia="SimSun" w:hAnsi="Tahoma" w:cs="Tahoma"/>
      <w:sz w:val="16"/>
      <w:szCs w:val="16"/>
      <w:lang w:val="es-ES_tradnl" w:eastAsia="zh-CN"/>
    </w:rPr>
  </w:style>
  <w:style w:type="character" w:customStyle="1" w:styleId="FooterChar">
    <w:name w:val="Footer Char"/>
    <w:link w:val="Footer"/>
    <w:uiPriority w:val="99"/>
    <w:rsid w:val="0077228E"/>
    <w:rPr>
      <w:rFonts w:ascii="Arial" w:eastAsia="SimSun" w:hAnsi="Arial" w:cs="Arial"/>
      <w:sz w:val="22"/>
      <w:lang w:val="es-ES_tradnl" w:eastAsia="zh-CN"/>
    </w:rPr>
  </w:style>
  <w:style w:type="character" w:customStyle="1" w:styleId="HeaderChar">
    <w:name w:val="Header Char"/>
    <w:link w:val="Header"/>
    <w:uiPriority w:val="99"/>
    <w:rsid w:val="0077228E"/>
    <w:rPr>
      <w:rFonts w:ascii="Arial" w:eastAsia="SimSun" w:hAnsi="Arial" w:cs="Arial"/>
      <w:sz w:val="22"/>
      <w:lang w:val="es-ES_tradnl" w:eastAsia="zh-CN"/>
    </w:rPr>
  </w:style>
  <w:style w:type="paragraph" w:styleId="ListParagraph">
    <w:name w:val="List Paragraph"/>
    <w:basedOn w:val="Normal"/>
    <w:uiPriority w:val="34"/>
    <w:qFormat/>
    <w:rsid w:val="0077228E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ABCB-4CCE-4578-A644-8F893550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Recomendación conjunta sobre el uso de bases de datos para la protección preventiva de los recursos genéticos y los conocimientos tradicionales asociados a los recursos genéticos</vt:lpstr>
      <vt:lpstr> </vt:lpstr>
    </vt:vector>
  </TitlesOfParts>
  <Company>WIPO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Recomendación conjunta sobre el uso de bases de datos para la protección preventiva de los recursos genéticos y los conocimientos tradicionales asociados a los recursos genéticos</dc:title>
  <dc:creator>JC</dc:creator>
  <dc:description>CGD - 1.4.2014</dc:description>
  <cp:lastModifiedBy>JC</cp:lastModifiedBy>
  <cp:revision>6</cp:revision>
  <cp:lastPrinted>2014-04-01T14:34:00Z</cp:lastPrinted>
  <dcterms:created xsi:type="dcterms:W3CDTF">2014-04-01T15:27:00Z</dcterms:created>
  <dcterms:modified xsi:type="dcterms:W3CDTF">2014-04-04T12:30:00Z</dcterms:modified>
</cp:coreProperties>
</file>