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58" w:rsidRPr="009113D4" w:rsidRDefault="006D7358" w:rsidP="00502D9F">
      <w:pPr>
        <w:widowControl w:val="0"/>
        <w:rPr>
          <w:b/>
          <w:szCs w:val="22"/>
        </w:rPr>
      </w:pPr>
    </w:p>
    <w:p w:rsidR="006D7358" w:rsidRPr="009113D4" w:rsidRDefault="006D7358" w:rsidP="00502D9F">
      <w:pPr>
        <w:widowControl w:val="0"/>
        <w:rPr>
          <w:b/>
          <w:szCs w:val="22"/>
        </w:rPr>
      </w:pPr>
    </w:p>
    <w:p w:rsidR="006D7358" w:rsidRPr="009113D4" w:rsidRDefault="006D7358" w:rsidP="00502D9F">
      <w:pPr>
        <w:widowControl w:val="0"/>
        <w:rPr>
          <w:b/>
          <w:sz w:val="32"/>
          <w:szCs w:val="32"/>
        </w:rPr>
      </w:pPr>
      <w:r w:rsidRPr="009113D4">
        <w:rPr>
          <w:b/>
          <w:sz w:val="32"/>
          <w:szCs w:val="32"/>
        </w:rPr>
        <w:t>Fecha</w:t>
      </w:r>
      <w:proofErr w:type="gramStart"/>
      <w:r w:rsidRPr="009113D4">
        <w:rPr>
          <w:b/>
          <w:sz w:val="32"/>
          <w:szCs w:val="32"/>
        </w:rPr>
        <w:t>:  7</w:t>
      </w:r>
      <w:proofErr w:type="gramEnd"/>
      <w:r w:rsidRPr="009113D4">
        <w:rPr>
          <w:b/>
          <w:sz w:val="32"/>
          <w:szCs w:val="32"/>
        </w:rPr>
        <w:t xml:space="preserve"> de febrero de 2014</w:t>
      </w:r>
    </w:p>
    <w:p w:rsidR="006D7358" w:rsidRPr="009113D4" w:rsidRDefault="006D7358" w:rsidP="00502D9F">
      <w:pPr>
        <w:widowControl w:val="0"/>
        <w:rPr>
          <w:b/>
          <w:sz w:val="32"/>
          <w:szCs w:val="32"/>
        </w:rPr>
      </w:pPr>
    </w:p>
    <w:p w:rsidR="006D7358" w:rsidRPr="009113D4" w:rsidRDefault="006D7358" w:rsidP="00502D9F">
      <w:pPr>
        <w:widowControl w:val="0"/>
        <w:rPr>
          <w:b/>
          <w:sz w:val="32"/>
          <w:szCs w:val="32"/>
        </w:rPr>
      </w:pPr>
    </w:p>
    <w:p w:rsidR="006D7358" w:rsidRPr="009113D4" w:rsidRDefault="006D7358" w:rsidP="00502D9F">
      <w:pPr>
        <w:widowControl w:val="0"/>
        <w:rPr>
          <w:b/>
          <w:sz w:val="32"/>
          <w:szCs w:val="32"/>
        </w:rPr>
      </w:pPr>
      <w:r w:rsidRPr="009113D4">
        <w:rPr>
          <w:b/>
          <w:sz w:val="32"/>
          <w:szCs w:val="32"/>
        </w:rPr>
        <w:t>Documento consolidado en relación con la propiedad intelectual y los recursos genéticos</w:t>
      </w:r>
    </w:p>
    <w:p w:rsidR="006D7358" w:rsidRPr="009113D4" w:rsidRDefault="006D7358" w:rsidP="00502D9F">
      <w:pPr>
        <w:widowControl w:val="0"/>
        <w:rPr>
          <w:b/>
          <w:sz w:val="32"/>
          <w:szCs w:val="32"/>
        </w:rPr>
      </w:pPr>
      <w:r w:rsidRPr="009113D4">
        <w:rPr>
          <w:b/>
          <w:sz w:val="32"/>
          <w:szCs w:val="32"/>
        </w:rPr>
        <w:t>Rev. 2</w:t>
      </w:r>
    </w:p>
    <w:p w:rsidR="003F6121" w:rsidRPr="009113D4" w:rsidRDefault="003F6121">
      <w:pPr>
        <w:rPr>
          <w:b/>
          <w:szCs w:val="22"/>
        </w:rPr>
      </w:pPr>
      <w:r w:rsidRPr="009113D4">
        <w:rPr>
          <w:b/>
          <w:szCs w:val="22"/>
        </w:rPr>
        <w:br w:type="page"/>
      </w:r>
    </w:p>
    <w:p w:rsidR="006D7358" w:rsidRPr="009113D4" w:rsidRDefault="006D7358" w:rsidP="00502D9F">
      <w:pPr>
        <w:widowControl w:val="0"/>
        <w:rPr>
          <w:b/>
          <w:szCs w:val="22"/>
        </w:rPr>
      </w:pPr>
    </w:p>
    <w:p w:rsidR="006D7358" w:rsidRPr="009113D4" w:rsidRDefault="006D7358" w:rsidP="00502D9F">
      <w:pPr>
        <w:widowControl w:val="0"/>
        <w:jc w:val="center"/>
        <w:rPr>
          <w:b/>
          <w:szCs w:val="22"/>
        </w:rPr>
      </w:pPr>
      <w:r w:rsidRPr="009113D4">
        <w:rPr>
          <w:b/>
          <w:szCs w:val="22"/>
        </w:rPr>
        <w:t>LISTA DE TÉRMINOS</w:t>
      </w:r>
    </w:p>
    <w:p w:rsidR="006D7358" w:rsidRPr="009113D4" w:rsidRDefault="006D7358" w:rsidP="00502D9F">
      <w:pPr>
        <w:widowControl w:val="0"/>
        <w:rPr>
          <w:szCs w:val="22"/>
        </w:rPr>
      </w:pPr>
    </w:p>
    <w:p w:rsidR="006D7358" w:rsidRPr="009113D4" w:rsidRDefault="006D7358" w:rsidP="00502D9F">
      <w:pPr>
        <w:widowControl w:val="0"/>
        <w:rPr>
          <w:szCs w:val="22"/>
        </w:rPr>
      </w:pPr>
    </w:p>
    <w:p w:rsidR="006D7358" w:rsidRPr="009113D4" w:rsidRDefault="006D7358" w:rsidP="00502D9F">
      <w:pPr>
        <w:pStyle w:val="BodyText2"/>
        <w:widowControl w:val="0"/>
        <w:spacing w:after="0" w:line="240" w:lineRule="auto"/>
        <w:rPr>
          <w:b/>
          <w:szCs w:val="22"/>
        </w:rPr>
      </w:pPr>
      <w:r w:rsidRPr="009113D4">
        <w:rPr>
          <w:b/>
          <w:szCs w:val="22"/>
        </w:rPr>
        <w:t>[Conocimientos tradicionales conexos</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r w:rsidRPr="009113D4">
        <w:rPr>
          <w:b/>
          <w:szCs w:val="22"/>
        </w:rPr>
        <w:t>[Conocimientos tradicionales asociados a los recursos genéticos</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r w:rsidRPr="009113D4">
        <w:rPr>
          <w:b/>
          <w:szCs w:val="22"/>
        </w:rPr>
        <w:t>[Biotecnología</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r w:rsidRPr="009113D4">
        <w:rPr>
          <w:b/>
          <w:szCs w:val="22"/>
        </w:rPr>
        <w:t>[País de origen</w:t>
      </w:r>
    </w:p>
    <w:p w:rsidR="006D7358" w:rsidRPr="009113D4" w:rsidRDefault="006D7358" w:rsidP="00502D9F">
      <w:pPr>
        <w:pStyle w:val="BodyText2"/>
        <w:widowControl w:val="0"/>
        <w:spacing w:after="0" w:line="240" w:lineRule="auto"/>
        <w:rPr>
          <w:b/>
          <w:szCs w:val="22"/>
        </w:rPr>
      </w:pPr>
    </w:p>
    <w:p w:rsidR="006D7358" w:rsidRPr="009113D4" w:rsidRDefault="00AC337C" w:rsidP="00502D9F">
      <w:pPr>
        <w:pStyle w:val="BodyText2"/>
        <w:widowControl w:val="0"/>
        <w:spacing w:after="0" w:line="240" w:lineRule="auto"/>
        <w:rPr>
          <w:szCs w:val="22"/>
        </w:rPr>
      </w:pPr>
      <w:r w:rsidRPr="009113D4">
        <w:rPr>
          <w:szCs w:val="22"/>
        </w:rPr>
        <w:t xml:space="preserve">Por </w:t>
      </w:r>
      <w:r w:rsidR="006D7358" w:rsidRPr="009113D4">
        <w:rPr>
          <w:szCs w:val="22"/>
        </w:rPr>
        <w:t xml:space="preserve">“país de origen” </w:t>
      </w:r>
      <w:r w:rsidRPr="009113D4">
        <w:rPr>
          <w:szCs w:val="22"/>
        </w:rPr>
        <w:t xml:space="preserve">se entiende </w:t>
      </w:r>
      <w:r w:rsidR="006D7358" w:rsidRPr="009113D4">
        <w:rPr>
          <w:szCs w:val="22"/>
        </w:rPr>
        <w:t xml:space="preserve">el [primer] país que posee esos recursos genéticos en condiciones </w:t>
      </w:r>
      <w:r w:rsidR="006D7358" w:rsidRPr="009113D4">
        <w:rPr>
          <w:i/>
          <w:iCs/>
          <w:szCs w:val="22"/>
        </w:rPr>
        <w:t>in situ</w:t>
      </w:r>
      <w:r w:rsidR="006D7358" w:rsidRPr="009113D4">
        <w:rPr>
          <w:szCs w:val="22"/>
        </w:rPr>
        <w:t>.]</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r w:rsidRPr="009113D4">
        <w:rPr>
          <w:b/>
          <w:szCs w:val="22"/>
        </w:rPr>
        <w:t>[[País que aporta] [país proveedor]</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6D7358" w:rsidRPr="009113D4" w:rsidRDefault="006D7358" w:rsidP="00502D9F">
      <w:pPr>
        <w:pStyle w:val="BodyText2"/>
        <w:widowControl w:val="0"/>
        <w:spacing w:after="0" w:line="240" w:lineRule="auto"/>
        <w:rPr>
          <w:szCs w:val="22"/>
        </w:rPr>
      </w:pPr>
    </w:p>
    <w:p w:rsidR="001A47A0" w:rsidRPr="009113D4" w:rsidRDefault="001A47A0"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r w:rsidRPr="009113D4">
        <w:rPr>
          <w:b/>
          <w:szCs w:val="22"/>
        </w:rPr>
        <w:t>[País que aporta recursos genéticos</w:t>
      </w:r>
    </w:p>
    <w:p w:rsidR="006D7358" w:rsidRPr="009113D4" w:rsidRDefault="006D7358" w:rsidP="00502D9F">
      <w:pPr>
        <w:pStyle w:val="BodyText2"/>
        <w:widowControl w:val="0"/>
        <w:spacing w:after="0" w:line="240" w:lineRule="auto"/>
        <w:rPr>
          <w:szCs w:val="22"/>
        </w:rPr>
      </w:pPr>
    </w:p>
    <w:p w:rsidR="006D7358" w:rsidRPr="009113D4" w:rsidRDefault="00AC337C" w:rsidP="00502D9F">
      <w:pPr>
        <w:pStyle w:val="BodyText2"/>
        <w:widowControl w:val="0"/>
        <w:spacing w:after="0" w:line="240" w:lineRule="auto"/>
        <w:rPr>
          <w:szCs w:val="22"/>
        </w:rPr>
      </w:pPr>
      <w:r w:rsidRPr="009113D4">
        <w:rPr>
          <w:szCs w:val="22"/>
        </w:rPr>
        <w:t xml:space="preserve">Por </w:t>
      </w:r>
      <w:r w:rsidR="006D7358" w:rsidRPr="009113D4">
        <w:rPr>
          <w:szCs w:val="22"/>
        </w:rPr>
        <w:t xml:space="preserve">“país que aporta recursos genéticos” </w:t>
      </w:r>
      <w:r w:rsidRPr="009113D4">
        <w:rPr>
          <w:szCs w:val="22"/>
        </w:rPr>
        <w:t xml:space="preserve">se entiende </w:t>
      </w:r>
      <w:r w:rsidR="006D7358" w:rsidRPr="009113D4">
        <w:rPr>
          <w:szCs w:val="22"/>
        </w:rPr>
        <w:t xml:space="preserve">el país que suministra recursos genéticos obtenidos de fuentes </w:t>
      </w:r>
      <w:r w:rsidR="006D7358" w:rsidRPr="009113D4">
        <w:rPr>
          <w:i/>
          <w:iCs/>
          <w:szCs w:val="22"/>
        </w:rPr>
        <w:t>in situ</w:t>
      </w:r>
      <w:r w:rsidR="006D7358" w:rsidRPr="009113D4">
        <w:rPr>
          <w:szCs w:val="22"/>
        </w:rPr>
        <w:t xml:space="preserve">, incluidas las poblaciones de especies silvestres y domesticadas, o de fuentes </w:t>
      </w:r>
      <w:r w:rsidR="006D7358" w:rsidRPr="009113D4">
        <w:rPr>
          <w:i/>
          <w:iCs/>
          <w:szCs w:val="22"/>
        </w:rPr>
        <w:t>ex situ</w:t>
      </w:r>
      <w:r w:rsidR="006D7358" w:rsidRPr="009113D4">
        <w:rPr>
          <w:szCs w:val="22"/>
        </w:rPr>
        <w:t>, que pueden tener o no su origen en ese país.]</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r w:rsidRPr="009113D4">
        <w:rPr>
          <w:b/>
          <w:szCs w:val="22"/>
        </w:rPr>
        <w:t>[Derivado</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r w:rsidRPr="009113D4">
        <w:rPr>
          <w:szCs w:val="22"/>
        </w:rPr>
        <w:t>Por “derivado” se entiende un compuesto bioquímico que existe naturalmente producido por la expresión genética o el metabolismo de los recursos biológicos o genéticos, incluso aunque no contenga unidades funcionales de la herencia.]</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iCs/>
          <w:szCs w:val="22"/>
        </w:rPr>
      </w:pPr>
    </w:p>
    <w:p w:rsidR="006D7358" w:rsidRPr="009113D4" w:rsidRDefault="006D7358" w:rsidP="00502D9F">
      <w:pPr>
        <w:pStyle w:val="BodyText2"/>
        <w:widowControl w:val="0"/>
        <w:spacing w:after="0" w:line="240" w:lineRule="auto"/>
        <w:rPr>
          <w:b/>
          <w:iCs/>
          <w:szCs w:val="22"/>
        </w:rPr>
      </w:pPr>
      <w:r w:rsidRPr="009113D4">
        <w:rPr>
          <w:b/>
          <w:iCs/>
          <w:szCs w:val="22"/>
        </w:rPr>
        <w:t xml:space="preserve">Conservación </w:t>
      </w:r>
      <w:r w:rsidRPr="009113D4">
        <w:rPr>
          <w:b/>
          <w:i/>
          <w:iCs/>
          <w:szCs w:val="22"/>
        </w:rPr>
        <w:t>ex situ</w:t>
      </w:r>
    </w:p>
    <w:p w:rsidR="006D7358" w:rsidRPr="009113D4" w:rsidRDefault="006D7358" w:rsidP="00502D9F">
      <w:pPr>
        <w:pStyle w:val="BodyText2"/>
        <w:widowControl w:val="0"/>
        <w:spacing w:after="0" w:line="240" w:lineRule="auto"/>
        <w:rPr>
          <w:b/>
          <w:i/>
          <w:iCs/>
          <w:szCs w:val="22"/>
        </w:rPr>
      </w:pPr>
    </w:p>
    <w:p w:rsidR="006D7358" w:rsidRPr="009113D4" w:rsidRDefault="006D7358" w:rsidP="00502D9F">
      <w:pPr>
        <w:pStyle w:val="BodyText2"/>
        <w:widowControl w:val="0"/>
        <w:spacing w:after="0" w:line="240" w:lineRule="auto"/>
        <w:rPr>
          <w:szCs w:val="22"/>
        </w:rPr>
      </w:pPr>
      <w:r w:rsidRPr="009113D4">
        <w:rPr>
          <w:iCs/>
          <w:szCs w:val="22"/>
        </w:rPr>
        <w:t>Por “conservación</w:t>
      </w:r>
      <w:r w:rsidRPr="009113D4">
        <w:rPr>
          <w:i/>
          <w:iCs/>
          <w:szCs w:val="22"/>
        </w:rPr>
        <w:t xml:space="preserve"> ex situ</w:t>
      </w:r>
      <w:r w:rsidRPr="009113D4">
        <w:rPr>
          <w:iCs/>
          <w:szCs w:val="22"/>
        </w:rPr>
        <w:t>”</w:t>
      </w:r>
      <w:r w:rsidRPr="009113D4">
        <w:rPr>
          <w:i/>
          <w:iCs/>
          <w:szCs w:val="22"/>
        </w:rPr>
        <w:t xml:space="preserve"> </w:t>
      </w:r>
      <w:r w:rsidRPr="009113D4">
        <w:rPr>
          <w:szCs w:val="22"/>
        </w:rPr>
        <w:t>se entiende la conservación de componentes de la</w:t>
      </w:r>
      <w:r w:rsidRPr="009113D4">
        <w:t xml:space="preserve"> </w:t>
      </w:r>
      <w:r w:rsidRPr="009113D4">
        <w:rPr>
          <w:szCs w:val="22"/>
        </w:rPr>
        <w:t>diversidad biológica fuera de sus hábitats naturales.</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b/>
          <w:szCs w:val="22"/>
        </w:rPr>
      </w:pPr>
      <w:r w:rsidRPr="009113D4">
        <w:rPr>
          <w:b/>
          <w:szCs w:val="22"/>
        </w:rPr>
        <w:t>Material genético</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Por “material genético” se entiende todo material de origen vegetal, animal, microbiano o de otro tipo que contenga unidades funcionales de la herencia.</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r w:rsidRPr="009113D4">
        <w:rPr>
          <w:b/>
          <w:szCs w:val="22"/>
        </w:rPr>
        <w:t>Recursos genéticos</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Por “recursos genéticos” se entiende el material genético de valor real o potencial.</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i/>
          <w:szCs w:val="22"/>
        </w:rPr>
      </w:pPr>
      <w:r w:rsidRPr="009113D4">
        <w:rPr>
          <w:b/>
          <w:szCs w:val="22"/>
        </w:rPr>
        <w:t xml:space="preserve">Condiciones </w:t>
      </w:r>
      <w:r w:rsidRPr="009113D4">
        <w:rPr>
          <w:b/>
          <w:i/>
          <w:szCs w:val="22"/>
        </w:rPr>
        <w:t>in situ</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 xml:space="preserve">Por “condiciones </w:t>
      </w:r>
      <w:r w:rsidRPr="009113D4">
        <w:rPr>
          <w:i/>
          <w:szCs w:val="22"/>
        </w:rPr>
        <w:t>in situ</w:t>
      </w:r>
      <w:r w:rsidRPr="009113D4">
        <w:rPr>
          <w:szCs w:val="22"/>
        </w:rPr>
        <w:t>” se entiende las condiciones en que existen recursos genéticos dentro de ecosistemas y hábitats naturales y, en el caso de las especies domesticadas o cultivadas, en los entornos en que hayan desarrollado sus propiedades específicas [</w:t>
      </w:r>
      <w:r w:rsidRPr="009113D4">
        <w:rPr>
          <w:snapToGrid w:val="0"/>
          <w:szCs w:val="24"/>
        </w:rPr>
        <w:t>artículo 2, CDB</w:t>
      </w:r>
      <w:r w:rsidRPr="009113D4">
        <w:rPr>
          <w:szCs w:val="22"/>
        </w:rPr>
        <w:t>].</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r w:rsidRPr="009113D4">
        <w:rPr>
          <w:b/>
          <w:szCs w:val="22"/>
        </w:rPr>
        <w:t>[Certificado de cumplimiento reconocido internacionalmente</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Por “certificado de cumplimiento reconocido internacionalmente” se ent</w:t>
      </w:r>
      <w:r w:rsidR="00AC337C" w:rsidRPr="009113D4">
        <w:rPr>
          <w:szCs w:val="22"/>
        </w:rPr>
        <w:t>i</w:t>
      </w:r>
      <w:r w:rsidRPr="009113D4">
        <w:rPr>
          <w:szCs w:val="22"/>
        </w:rPr>
        <w:t xml:space="preserve">ende el instrumento previsto en el </w:t>
      </w:r>
      <w:r w:rsidRPr="009113D4">
        <w:rPr>
          <w:snapToGrid w:val="0"/>
          <w:szCs w:val="24"/>
        </w:rPr>
        <w:t>artículo</w:t>
      </w:r>
      <w:r w:rsidRPr="009113D4">
        <w:rPr>
          <w:szCs w:val="22"/>
        </w:rPr>
        <w:t> 17.2 del Protocolo de Nagoya sobre acceso a los Recursos Genéticos y Participación Justa y Equitativa en los Beneficios que se Deriven de su Utilización al Convenio sobre la Diversidad Biológica.]</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b/>
          <w:szCs w:val="22"/>
        </w:rPr>
        <w:t>[Estado miembro</w:t>
      </w:r>
    </w:p>
    <w:p w:rsidR="006D7358" w:rsidRPr="009113D4" w:rsidRDefault="006D7358" w:rsidP="00502D9F">
      <w:pPr>
        <w:pStyle w:val="BodyText2"/>
        <w:widowControl w:val="0"/>
        <w:spacing w:after="0" w:line="240" w:lineRule="auto"/>
        <w:rPr>
          <w:szCs w:val="22"/>
        </w:rPr>
      </w:pPr>
    </w:p>
    <w:p w:rsidR="006D7358" w:rsidRPr="009113D4" w:rsidRDefault="00AC337C" w:rsidP="00502D9F">
      <w:pPr>
        <w:pStyle w:val="BodyText2"/>
        <w:widowControl w:val="0"/>
        <w:spacing w:after="0" w:line="240" w:lineRule="auto"/>
        <w:rPr>
          <w:szCs w:val="22"/>
        </w:rPr>
      </w:pPr>
      <w:r w:rsidRPr="009113D4">
        <w:rPr>
          <w:szCs w:val="22"/>
        </w:rPr>
        <w:t xml:space="preserve">Por </w:t>
      </w:r>
      <w:r w:rsidR="006D7358" w:rsidRPr="009113D4">
        <w:rPr>
          <w:szCs w:val="22"/>
        </w:rPr>
        <w:t xml:space="preserve">“Estado miembro” </w:t>
      </w:r>
      <w:r w:rsidRPr="009113D4">
        <w:rPr>
          <w:szCs w:val="22"/>
        </w:rPr>
        <w:t xml:space="preserve">se entiende </w:t>
      </w:r>
      <w:r w:rsidR="006D7358" w:rsidRPr="009113D4">
        <w:rPr>
          <w:szCs w:val="22"/>
        </w:rPr>
        <w:t>un Estado miembro de la Organización Mundial de la Propiedad Intelectual.]</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r w:rsidRPr="009113D4">
        <w:rPr>
          <w:b/>
          <w:szCs w:val="22"/>
        </w:rPr>
        <w:t>[Apropiación indebida</w:t>
      </w:r>
    </w:p>
    <w:p w:rsidR="001D4571" w:rsidRPr="009113D4" w:rsidRDefault="001D4571" w:rsidP="001D4571">
      <w:pPr>
        <w:pStyle w:val="BodyText2"/>
        <w:widowControl w:val="0"/>
        <w:spacing w:after="0" w:line="240" w:lineRule="auto"/>
        <w:rPr>
          <w:szCs w:val="22"/>
        </w:rPr>
      </w:pPr>
    </w:p>
    <w:p w:rsidR="006D7358" w:rsidRPr="009113D4" w:rsidRDefault="006D7358" w:rsidP="001D4571">
      <w:pPr>
        <w:pStyle w:val="BodyText2"/>
        <w:widowControl w:val="0"/>
        <w:spacing w:after="0" w:line="240" w:lineRule="auto"/>
        <w:rPr>
          <w:szCs w:val="22"/>
        </w:rPr>
      </w:pPr>
      <w:r w:rsidRPr="009113D4">
        <w:rPr>
          <w:szCs w:val="22"/>
        </w:rPr>
        <w:t>Opción 1</w:t>
      </w:r>
    </w:p>
    <w:p w:rsidR="006D7358" w:rsidRPr="009113D4" w:rsidRDefault="006D7358" w:rsidP="001D4571">
      <w:pPr>
        <w:pStyle w:val="BodyText2"/>
        <w:widowControl w:val="0"/>
        <w:spacing w:after="0" w:line="240" w:lineRule="auto"/>
        <w:rPr>
          <w:szCs w:val="22"/>
        </w:rPr>
      </w:pPr>
    </w:p>
    <w:p w:rsidR="006D7358" w:rsidRPr="009113D4" w:rsidRDefault="00AC337C" w:rsidP="001D4571">
      <w:pPr>
        <w:pStyle w:val="BodyText2"/>
        <w:widowControl w:val="0"/>
        <w:spacing w:after="0" w:line="240" w:lineRule="auto"/>
        <w:rPr>
          <w:szCs w:val="22"/>
        </w:rPr>
      </w:pPr>
      <w:r w:rsidRPr="009113D4">
        <w:rPr>
          <w:szCs w:val="22"/>
        </w:rPr>
        <w:t xml:space="preserve">Por </w:t>
      </w:r>
      <w:r w:rsidR="006D7358" w:rsidRPr="009113D4">
        <w:rPr>
          <w:szCs w:val="22"/>
        </w:rPr>
        <w:t xml:space="preserve">“apropiación indebida” </w:t>
      </w:r>
      <w:r w:rsidRPr="009113D4">
        <w:rPr>
          <w:szCs w:val="22"/>
        </w:rPr>
        <w:t xml:space="preserve">se entiende </w:t>
      </w:r>
      <w:r w:rsidR="006D7358" w:rsidRPr="009113D4">
        <w:rPr>
          <w:szCs w:val="22"/>
        </w:rPr>
        <w:t xml:space="preserve">la [adquisición] [utilización] de recursos genéticos[,sus derivados] [y] [o] </w:t>
      </w:r>
      <w:r w:rsidRPr="009113D4">
        <w:rPr>
          <w:szCs w:val="22"/>
        </w:rPr>
        <w:t>[</w:t>
      </w:r>
      <w:r w:rsidR="006D7358" w:rsidRPr="009113D4">
        <w:rPr>
          <w:szCs w:val="22"/>
        </w:rPr>
        <w:t>conocimientos tradicionales conexos</w:t>
      </w:r>
      <w:r w:rsidRPr="009113D4">
        <w:rPr>
          <w:szCs w:val="22"/>
        </w:rPr>
        <w:t>]</w:t>
      </w:r>
      <w:r w:rsidR="006D7358" w:rsidRPr="009113D4">
        <w:rPr>
          <w:szCs w:val="22"/>
        </w:rPr>
        <w:t xml:space="preserve">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6D7358" w:rsidRPr="009113D4" w:rsidRDefault="006D7358" w:rsidP="001D4571">
      <w:pPr>
        <w:pStyle w:val="BodyText2"/>
        <w:widowControl w:val="0"/>
        <w:spacing w:after="0" w:line="240" w:lineRule="auto"/>
        <w:rPr>
          <w:szCs w:val="22"/>
        </w:rPr>
      </w:pPr>
    </w:p>
    <w:p w:rsidR="006D7358" w:rsidRPr="009113D4" w:rsidRDefault="006D7358" w:rsidP="001D4571">
      <w:pPr>
        <w:pStyle w:val="BodyText2"/>
        <w:widowControl w:val="0"/>
        <w:spacing w:after="0" w:line="240" w:lineRule="auto"/>
        <w:rPr>
          <w:szCs w:val="22"/>
        </w:rPr>
      </w:pPr>
      <w:r w:rsidRPr="009113D4">
        <w:rPr>
          <w:szCs w:val="22"/>
        </w:rPr>
        <w:t>Opción 2</w:t>
      </w:r>
    </w:p>
    <w:p w:rsidR="006D7358" w:rsidRPr="009113D4" w:rsidRDefault="006D7358" w:rsidP="001D4571">
      <w:pPr>
        <w:pStyle w:val="BodyText2"/>
        <w:widowControl w:val="0"/>
        <w:spacing w:after="0" w:line="240" w:lineRule="auto"/>
        <w:rPr>
          <w:szCs w:val="22"/>
        </w:rPr>
      </w:pPr>
    </w:p>
    <w:p w:rsidR="006D7358" w:rsidRPr="009113D4" w:rsidRDefault="00AC337C" w:rsidP="001D4571">
      <w:pPr>
        <w:pStyle w:val="BodyText2"/>
        <w:widowControl w:val="0"/>
        <w:spacing w:after="0" w:line="240" w:lineRule="auto"/>
        <w:rPr>
          <w:szCs w:val="22"/>
        </w:rPr>
      </w:pPr>
      <w:r w:rsidRPr="009113D4">
        <w:rPr>
          <w:szCs w:val="22"/>
        </w:rPr>
        <w:t xml:space="preserve">Por </w:t>
      </w:r>
      <w:r w:rsidR="006D7358" w:rsidRPr="009113D4">
        <w:rPr>
          <w:szCs w:val="22"/>
        </w:rPr>
        <w:t xml:space="preserve">“apropiación indebida” </w:t>
      </w:r>
      <w:r w:rsidRPr="009113D4">
        <w:rPr>
          <w:szCs w:val="22"/>
        </w:rPr>
        <w:t xml:space="preserve">se entiende </w:t>
      </w:r>
      <w:r w:rsidR="006D7358" w:rsidRPr="009113D4">
        <w:rPr>
          <w:szCs w:val="22"/>
        </w:rPr>
        <w:t xml:space="preserve">el uso de los recursos </w:t>
      </w:r>
      <w:proofErr w:type="gramStart"/>
      <w:r w:rsidR="006D7358" w:rsidRPr="009113D4">
        <w:rPr>
          <w:szCs w:val="22"/>
        </w:rPr>
        <w:t>genéticos[</w:t>
      </w:r>
      <w:proofErr w:type="gramEnd"/>
      <w:r w:rsidR="006D7358" w:rsidRPr="009113D4">
        <w:rPr>
          <w:szCs w:val="22"/>
        </w:rPr>
        <w:t xml:space="preserve">, sus derivados] y/o </w:t>
      </w:r>
      <w:r w:rsidRPr="009113D4">
        <w:rPr>
          <w:szCs w:val="22"/>
        </w:rPr>
        <w:t xml:space="preserve">los </w:t>
      </w:r>
      <w:r w:rsidR="006D7358" w:rsidRPr="009113D4">
        <w:rPr>
          <w:szCs w:val="22"/>
        </w:rPr>
        <w:t xml:space="preserve">[conocimientos tradicionales conexos] [conocimientos tradicionales asociados a los recursos genéticos] de </w:t>
      </w:r>
      <w:r w:rsidRPr="009113D4">
        <w:rPr>
          <w:szCs w:val="22"/>
        </w:rPr>
        <w:t>terceros</w:t>
      </w:r>
      <w:r w:rsidR="006D7358" w:rsidRPr="009113D4">
        <w:rPr>
          <w:szCs w:val="22"/>
        </w:rPr>
        <w:t xml:space="preserve">, cuando los recursos genéticos o los conocimientos tradicionales hayan </w:t>
      </w:r>
      <w:r w:rsidR="006D7358" w:rsidRPr="009113D4">
        <w:rPr>
          <w:szCs w:val="22"/>
        </w:rPr>
        <w:lastRenderedPageBreak/>
        <w:t xml:space="preserve">sido adquiridos por el usuario al poseedor por medios indebidos o mediante abuso de confianza </w:t>
      </w:r>
      <w:r w:rsidR="001D4571" w:rsidRPr="009113D4">
        <w:rPr>
          <w:szCs w:val="22"/>
        </w:rPr>
        <w:t xml:space="preserve">que resulte </w:t>
      </w:r>
      <w:r w:rsidRPr="009113D4">
        <w:rPr>
          <w:szCs w:val="22"/>
        </w:rPr>
        <w:t>contrario a</w:t>
      </w:r>
      <w:r w:rsidR="006D7358" w:rsidRPr="009113D4">
        <w:rPr>
          <w:szCs w:val="22"/>
        </w:rPr>
        <w:t xml:space="preserve"> legislación nacional </w:t>
      </w:r>
      <w:r w:rsidRPr="009113D4">
        <w:rPr>
          <w:szCs w:val="22"/>
        </w:rPr>
        <w:t>d</w:t>
      </w:r>
      <w:r w:rsidR="006D7358" w:rsidRPr="009113D4">
        <w:rPr>
          <w:szCs w:val="22"/>
        </w:rPr>
        <w:t>e un país proveedor.  No constituirá apropiación indebida el uso de los recursos genéticos[, sus derivados] y [conocimientos tradicionales conexos]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conexos] [conocimientos tradicionales asociados a los recursos genéticos]</w:t>
      </w:r>
      <w:r w:rsidRPr="009113D4">
        <w:rPr>
          <w:szCs w:val="22"/>
        </w:rPr>
        <w:t>, así como la omisión</w:t>
      </w:r>
      <w:r w:rsidR="006D7358" w:rsidRPr="009113D4">
        <w:rPr>
          <w:szCs w:val="22"/>
        </w:rPr>
        <w:t xml:space="preserve"> de tomar medidas razonables de protección.]</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F05E29" w:rsidRPr="009113D4" w:rsidRDefault="00F05E29" w:rsidP="00502D9F">
      <w:pPr>
        <w:pStyle w:val="BodyText2"/>
        <w:widowControl w:val="0"/>
        <w:spacing w:after="0" w:line="240" w:lineRule="auto"/>
        <w:rPr>
          <w:b/>
          <w:szCs w:val="22"/>
        </w:rPr>
      </w:pPr>
      <w:r w:rsidRPr="009113D4">
        <w:rPr>
          <w:b/>
          <w:szCs w:val="22"/>
        </w:rPr>
        <w:t>[Oficina de propiedad intelectual] [Oficina de patentes]</w:t>
      </w:r>
    </w:p>
    <w:p w:rsidR="00F05E29" w:rsidRPr="009113D4" w:rsidRDefault="00F05E29" w:rsidP="00502D9F">
      <w:pPr>
        <w:pStyle w:val="BodyText2"/>
        <w:widowControl w:val="0"/>
        <w:spacing w:after="0" w:line="240" w:lineRule="auto"/>
        <w:rPr>
          <w:szCs w:val="22"/>
        </w:rPr>
      </w:pPr>
    </w:p>
    <w:p w:rsidR="00F05E29" w:rsidRPr="009113D4" w:rsidRDefault="00F05E29" w:rsidP="00502D9F">
      <w:pPr>
        <w:pStyle w:val="BodyText2"/>
        <w:widowControl w:val="0"/>
        <w:spacing w:after="0" w:line="240" w:lineRule="auto"/>
        <w:rPr>
          <w:szCs w:val="22"/>
        </w:rPr>
      </w:pPr>
      <w:r w:rsidRPr="009113D4">
        <w:rPr>
          <w:szCs w:val="22"/>
        </w:rPr>
        <w:t>Por [“Oficina de propiedad intelectual”] [“Oficina de patentes”] se entiende la autoridad de un Estado miembro encargada de la concesión de [derechos de propiedad intelectual] [patentes].]</w:t>
      </w:r>
    </w:p>
    <w:p w:rsidR="00F05E29" w:rsidRPr="009113D4" w:rsidRDefault="00F05E29" w:rsidP="00502D9F">
      <w:pPr>
        <w:pStyle w:val="BodyText2"/>
        <w:widowControl w:val="0"/>
        <w:spacing w:after="0" w:line="240" w:lineRule="auto"/>
        <w:rPr>
          <w:szCs w:val="22"/>
        </w:rPr>
      </w:pPr>
    </w:p>
    <w:p w:rsidR="00F05E29" w:rsidRPr="009113D4" w:rsidRDefault="00F05E29"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r w:rsidRPr="009113D4">
        <w:rPr>
          <w:b/>
          <w:szCs w:val="22"/>
        </w:rPr>
        <w:t>[Acceso [físico]</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b/>
          <w:szCs w:val="22"/>
        </w:rPr>
      </w:pPr>
      <w:r w:rsidRPr="009113D4">
        <w:rPr>
          <w:b/>
          <w:szCs w:val="22"/>
        </w:rPr>
        <w:t>[Fuente</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Opción 1</w:t>
      </w:r>
    </w:p>
    <w:p w:rsidR="006D7358" w:rsidRPr="009113D4" w:rsidRDefault="006D7358" w:rsidP="00502D9F">
      <w:pPr>
        <w:pStyle w:val="BodyText2"/>
        <w:widowControl w:val="0"/>
        <w:spacing w:after="0" w:line="240" w:lineRule="auto"/>
        <w:rPr>
          <w:szCs w:val="22"/>
        </w:rPr>
      </w:pPr>
    </w:p>
    <w:p w:rsidR="006D7358" w:rsidRPr="009113D4" w:rsidRDefault="00AC337C" w:rsidP="00502D9F">
      <w:pPr>
        <w:pStyle w:val="BodyText2"/>
        <w:widowControl w:val="0"/>
        <w:spacing w:after="0" w:line="240" w:lineRule="auto"/>
        <w:rPr>
          <w:szCs w:val="22"/>
        </w:rPr>
      </w:pPr>
      <w:r w:rsidRPr="009113D4">
        <w:rPr>
          <w:szCs w:val="22"/>
        </w:rPr>
        <w:t xml:space="preserve">Por </w:t>
      </w:r>
      <w:r w:rsidR="006D7358" w:rsidRPr="009113D4">
        <w:rPr>
          <w:szCs w:val="22"/>
        </w:rPr>
        <w:t xml:space="preserve">“fuente” </w:t>
      </w:r>
      <w:r w:rsidRPr="009113D4">
        <w:rPr>
          <w:szCs w:val="22"/>
        </w:rPr>
        <w:t xml:space="preserve">se entiende </w:t>
      </w:r>
      <w:r w:rsidR="006D7358" w:rsidRPr="009113D4">
        <w:rPr>
          <w:szCs w:val="22"/>
        </w:rPr>
        <w:t>toda fuente distinta del país de origen, de la que el solicitante haya adquirido los recursos genéticos, por ejemplo, un poseedor de recursos, un centro de investigación, un banco de genes o un jardín botánico.</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[Opción 2</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El término “fuente” debe considerarse en el sentido más amplio posible:</w:t>
      </w:r>
    </w:p>
    <w:p w:rsidR="006D7358" w:rsidRPr="009113D4" w:rsidRDefault="006D7358" w:rsidP="00502D9F">
      <w:pPr>
        <w:pStyle w:val="BodyText2"/>
        <w:widowControl w:val="0"/>
        <w:spacing w:after="0" w:line="240" w:lineRule="auto"/>
        <w:rPr>
          <w:szCs w:val="22"/>
        </w:rPr>
      </w:pPr>
    </w:p>
    <w:p w:rsidR="006D7358" w:rsidRPr="009113D4" w:rsidRDefault="006D7358" w:rsidP="00F27A18">
      <w:pPr>
        <w:pStyle w:val="BodyText2"/>
        <w:widowControl w:val="0"/>
        <w:tabs>
          <w:tab w:val="left" w:pos="550"/>
        </w:tabs>
        <w:spacing w:after="0" w:line="240" w:lineRule="auto"/>
        <w:rPr>
          <w:snapToGrid w:val="0"/>
          <w:szCs w:val="22"/>
        </w:rPr>
      </w:pPr>
      <w:r w:rsidRPr="009113D4">
        <w:rPr>
          <w:szCs w:val="22"/>
        </w:rPr>
        <w:t>i)</w:t>
      </w:r>
      <w:r w:rsidRPr="009113D4">
        <w:rPr>
          <w:szCs w:val="22"/>
        </w:rPr>
        <w:tab/>
        <w:t xml:space="preserve">fuentes principales, en particular [las Partes Contratantes] [los países] que aportan recursos genéticos, el </w:t>
      </w:r>
      <w:r w:rsidRPr="009113D4">
        <w:rPr>
          <w:snapToGrid w:val="0"/>
          <w:szCs w:val="22"/>
        </w:rPr>
        <w:t>sistema multilateral del ITPGRFA, las co</w:t>
      </w:r>
      <w:r w:rsidR="00F27A18" w:rsidRPr="009113D4">
        <w:rPr>
          <w:snapToGrid w:val="0"/>
          <w:szCs w:val="22"/>
        </w:rPr>
        <w:t>munidades indígenas y locales;  </w:t>
      </w:r>
      <w:r w:rsidRPr="009113D4">
        <w:rPr>
          <w:snapToGrid w:val="0"/>
          <w:szCs w:val="22"/>
        </w:rPr>
        <w:t>y</w:t>
      </w:r>
    </w:p>
    <w:p w:rsidR="006D7358" w:rsidRPr="009113D4" w:rsidRDefault="006D7358" w:rsidP="00502D9F">
      <w:pPr>
        <w:pStyle w:val="BodyText2"/>
        <w:widowControl w:val="0"/>
        <w:tabs>
          <w:tab w:val="left" w:pos="550"/>
          <w:tab w:val="left" w:pos="1100"/>
        </w:tabs>
        <w:spacing w:after="0" w:line="240" w:lineRule="auto"/>
        <w:rPr>
          <w:snapToGrid w:val="0"/>
          <w:szCs w:val="22"/>
        </w:rPr>
      </w:pPr>
    </w:p>
    <w:p w:rsidR="006D7358" w:rsidRPr="009113D4" w:rsidRDefault="006D7358" w:rsidP="00502D9F">
      <w:pPr>
        <w:pStyle w:val="BodyText2"/>
        <w:widowControl w:val="0"/>
        <w:tabs>
          <w:tab w:val="left" w:pos="550"/>
          <w:tab w:val="left" w:pos="1100"/>
        </w:tabs>
        <w:spacing w:after="0" w:line="240" w:lineRule="auto"/>
        <w:rPr>
          <w:snapToGrid w:val="0"/>
          <w:szCs w:val="22"/>
        </w:rPr>
      </w:pPr>
      <w:r w:rsidRPr="009113D4">
        <w:rPr>
          <w:snapToGrid w:val="0"/>
          <w:szCs w:val="22"/>
        </w:rPr>
        <w:t>ii)</w:t>
      </w:r>
      <w:r w:rsidRPr="009113D4">
        <w:rPr>
          <w:snapToGrid w:val="0"/>
          <w:szCs w:val="22"/>
        </w:rPr>
        <w:tab/>
      </w:r>
      <w:proofErr w:type="gramStart"/>
      <w:r w:rsidRPr="009113D4">
        <w:rPr>
          <w:snapToGrid w:val="0"/>
          <w:szCs w:val="22"/>
        </w:rPr>
        <w:t>fuentes</w:t>
      </w:r>
      <w:proofErr w:type="gramEnd"/>
      <w:r w:rsidRPr="009113D4">
        <w:rPr>
          <w:snapToGrid w:val="0"/>
          <w:szCs w:val="22"/>
        </w:rPr>
        <w:t xml:space="preserve"> secundarias, en especial las colecciones </w:t>
      </w:r>
      <w:r w:rsidRPr="009113D4">
        <w:rPr>
          <w:i/>
          <w:snapToGrid w:val="0"/>
          <w:szCs w:val="22"/>
        </w:rPr>
        <w:t>ex situ</w:t>
      </w:r>
      <w:r w:rsidRPr="009113D4">
        <w:rPr>
          <w:snapToGrid w:val="0"/>
          <w:szCs w:val="22"/>
        </w:rPr>
        <w:t xml:space="preserve"> y la bibliografía científica.]]</w:t>
      </w:r>
    </w:p>
    <w:p w:rsidR="006D7358" w:rsidRPr="009113D4" w:rsidRDefault="006D7358" w:rsidP="00502D9F">
      <w:pPr>
        <w:pStyle w:val="BodyText2"/>
        <w:widowControl w:val="0"/>
        <w:spacing w:after="0" w:line="240" w:lineRule="auto"/>
        <w:rPr>
          <w:snapToGrid w:val="0"/>
          <w:szCs w:val="22"/>
        </w:rPr>
      </w:pPr>
    </w:p>
    <w:p w:rsidR="006D7358" w:rsidRPr="009113D4" w:rsidRDefault="006D7358" w:rsidP="00502D9F">
      <w:pPr>
        <w:pStyle w:val="BodyText2"/>
        <w:widowControl w:val="0"/>
        <w:spacing w:after="0" w:line="240" w:lineRule="auto"/>
        <w:rPr>
          <w:snapToGrid w:val="0"/>
          <w:szCs w:val="22"/>
        </w:rPr>
      </w:pPr>
    </w:p>
    <w:p w:rsidR="006D7358" w:rsidRPr="009113D4" w:rsidRDefault="006D7358" w:rsidP="00502D9F">
      <w:pPr>
        <w:pStyle w:val="BodyText2"/>
        <w:widowControl w:val="0"/>
        <w:spacing w:after="0" w:line="240" w:lineRule="auto"/>
        <w:rPr>
          <w:b/>
          <w:szCs w:val="22"/>
        </w:rPr>
      </w:pPr>
      <w:r w:rsidRPr="009113D4">
        <w:rPr>
          <w:b/>
          <w:szCs w:val="22"/>
        </w:rPr>
        <w:t>Utilización</w:t>
      </w:r>
    </w:p>
    <w:p w:rsidR="006D7358" w:rsidRPr="009113D4" w:rsidRDefault="006D7358" w:rsidP="00502D9F">
      <w:pPr>
        <w:pStyle w:val="BodyText2"/>
        <w:widowControl w:val="0"/>
        <w:spacing w:after="0" w:line="240" w:lineRule="auto"/>
        <w:rPr>
          <w:b/>
          <w:szCs w:val="22"/>
        </w:rPr>
      </w:pPr>
    </w:p>
    <w:p w:rsidR="006D7358" w:rsidRPr="009113D4" w:rsidRDefault="006D7358" w:rsidP="00502D9F">
      <w:pPr>
        <w:pStyle w:val="BodyText2"/>
        <w:widowControl w:val="0"/>
        <w:spacing w:after="0" w:line="240" w:lineRule="auto"/>
        <w:rPr>
          <w:szCs w:val="22"/>
        </w:rPr>
      </w:pPr>
      <w:r w:rsidRPr="009113D4">
        <w:rPr>
          <w:szCs w:val="22"/>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[incluyendo mediante la aplicación de biotecnología] [conforme a la definición que se estipula en el </w:t>
      </w:r>
      <w:r w:rsidRPr="009113D4">
        <w:rPr>
          <w:snapToGrid w:val="0"/>
          <w:szCs w:val="24"/>
        </w:rPr>
        <w:t>artículo 2 del Convenio sobre la Diversidad Biológica</w:t>
      </w:r>
      <w:r w:rsidRPr="009113D4">
        <w:rPr>
          <w:szCs w:val="22"/>
        </w:rPr>
        <w:t>].]</w:t>
      </w:r>
    </w:p>
    <w:p w:rsidR="00502D9F" w:rsidRPr="009113D4" w:rsidRDefault="00502D9F">
      <w:pPr>
        <w:rPr>
          <w:szCs w:val="22"/>
        </w:rPr>
      </w:pPr>
      <w:r w:rsidRPr="009113D4">
        <w:rPr>
          <w:szCs w:val="22"/>
        </w:rPr>
        <w:br w:type="page"/>
      </w:r>
    </w:p>
    <w:p w:rsidR="006D7358" w:rsidRPr="009113D4" w:rsidRDefault="006D7358" w:rsidP="00502D9F">
      <w:pPr>
        <w:pStyle w:val="BodyText2"/>
        <w:widowControl w:val="0"/>
        <w:spacing w:after="0" w:line="240" w:lineRule="auto"/>
        <w:jc w:val="center"/>
        <w:rPr>
          <w:b/>
          <w:bCs/>
          <w:szCs w:val="22"/>
        </w:rPr>
      </w:pPr>
      <w:r w:rsidRPr="009113D4">
        <w:rPr>
          <w:b/>
          <w:bCs/>
          <w:szCs w:val="22"/>
        </w:rPr>
        <w:lastRenderedPageBreak/>
        <w:t>[PREÁMBULO</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[Velar por [alentar a] que se respeten [los derechos soberanos] [los derechos] de las comunidades locales [e] [y los pueblos] indígenas [así como el de [los pueblos] [</w:t>
      </w:r>
      <w:r w:rsidR="00AC337C" w:rsidRPr="009113D4">
        <w:rPr>
          <w:szCs w:val="22"/>
        </w:rPr>
        <w:t>que</w:t>
      </w:r>
      <w:r w:rsidRPr="009113D4">
        <w:rPr>
          <w:szCs w:val="22"/>
        </w:rPr>
        <w:t xml:space="preserve"> se hallen] bajo ocupación total o parcial] sobre sus recursos genéticos[, sus derivados]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Alentar a que se respeten las comunidades locales [e] [y los pueblos] indígenas.</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 xml:space="preserve">[El sistema [de propiedad intelectual] [de patentes] debe/deberá brindar seguridad jurídica a los usuarios y proveedores legítimos de los recursos </w:t>
      </w:r>
      <w:proofErr w:type="gramStart"/>
      <w:r w:rsidRPr="009113D4">
        <w:rPr>
          <w:szCs w:val="22"/>
        </w:rPr>
        <w:t>genéticos[</w:t>
      </w:r>
      <w:proofErr w:type="gramEnd"/>
      <w:r w:rsidRPr="009113D4">
        <w:rPr>
          <w:szCs w:val="22"/>
        </w:rPr>
        <w:t>, sus derivados] y/o [conocimientos tradicionales conexos] [conocimientos tradicionales asociados a los recursos genéticos].]</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 xml:space="preserve">[Reconocer la función del sistema de [propiedad intelectual] [patentes] de contribuir a fomentar la innovación [, y la trasferencia y difusión de tecnología] [en beneficio recíproco de los sectores interesados, proveedores, poseedores y usuarios de los recursos </w:t>
      </w:r>
      <w:proofErr w:type="gramStart"/>
      <w:r w:rsidRPr="009113D4">
        <w:rPr>
          <w:szCs w:val="22"/>
        </w:rPr>
        <w:t>genéticos[</w:t>
      </w:r>
      <w:proofErr w:type="gramEnd"/>
      <w:r w:rsidRPr="009113D4">
        <w:rPr>
          <w:szCs w:val="22"/>
        </w:rPr>
        <w:t>, sus derivados] y[/o] [conocimientos tradicionales conexos] [conocimientos tradicionales asociados a los recursos genéticos].]</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[Fomentar la transparencia y la difusión de información.]</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6D7358" w:rsidRPr="009113D4" w:rsidRDefault="006D7358" w:rsidP="00502D9F">
      <w:pPr>
        <w:pStyle w:val="BodyText2"/>
        <w:widowControl w:val="0"/>
        <w:spacing w:after="0" w:line="240" w:lineRule="auto"/>
        <w:rPr>
          <w:szCs w:val="22"/>
        </w:rPr>
      </w:pPr>
    </w:p>
    <w:p w:rsidR="006D7358" w:rsidRPr="009113D4" w:rsidRDefault="006D7358" w:rsidP="001D4571">
      <w:pPr>
        <w:pStyle w:val="BodyText2"/>
        <w:widowControl w:val="0"/>
        <w:spacing w:after="0" w:line="240" w:lineRule="auto"/>
        <w:rPr>
          <w:szCs w:val="22"/>
        </w:rPr>
      </w:pPr>
      <w:r w:rsidRPr="009113D4">
        <w:rPr>
          <w:szCs w:val="22"/>
        </w:rPr>
        <w:t xml:space="preserve">[Fomentar la protección [mediante patente] [mediante derechos de propiedad industrial] y el desarrollo de los recursos </w:t>
      </w:r>
      <w:proofErr w:type="gramStart"/>
      <w:r w:rsidRPr="009113D4">
        <w:rPr>
          <w:szCs w:val="22"/>
        </w:rPr>
        <w:t>genéticos[</w:t>
      </w:r>
      <w:proofErr w:type="gramEnd"/>
      <w:r w:rsidRPr="009113D4">
        <w:rPr>
          <w:szCs w:val="22"/>
        </w:rPr>
        <w:t>, sus derivados] y los [conocimientos tradicionales conexos] [conocimientos tradicionales asociados a los recursos genéticos] y alentar las actividades de investigación a escala internacional con la mirada puesta en la innovación.]</w:t>
      </w:r>
    </w:p>
    <w:p w:rsidR="006D7358" w:rsidRPr="009113D4" w:rsidRDefault="006D7358" w:rsidP="00502D9F">
      <w:pPr>
        <w:pStyle w:val="BodyText2"/>
        <w:widowControl w:val="0"/>
        <w:spacing w:after="0" w:line="240" w:lineRule="auto"/>
        <w:rPr>
          <w:szCs w:val="22"/>
        </w:rPr>
      </w:pPr>
    </w:p>
    <w:p w:rsidR="006D7358" w:rsidRPr="009113D4" w:rsidRDefault="006D7358" w:rsidP="001D4571">
      <w:pPr>
        <w:pStyle w:val="BodyText2"/>
        <w:widowControl w:val="0"/>
        <w:spacing w:after="0" w:line="240" w:lineRule="auto"/>
        <w:rPr>
          <w:szCs w:val="22"/>
        </w:rPr>
      </w:pPr>
      <w:r w:rsidRPr="009113D4">
        <w:rPr>
          <w:szCs w:val="22"/>
        </w:rPr>
        <w:t xml:space="preserve">[La divulgación de la fuente haría aumentar la confianza mutua entre las diversas partes interesadas en lo que respecta al acceso y la participación en los beneficios.  Todas las partes interesadas pueden ser proveedores y/o usuarios de recursos </w:t>
      </w:r>
      <w:proofErr w:type="gramStart"/>
      <w:r w:rsidRPr="009113D4">
        <w:rPr>
          <w:szCs w:val="22"/>
        </w:rPr>
        <w:t>genéticos[</w:t>
      </w:r>
      <w:proofErr w:type="gramEnd"/>
      <w:r w:rsidRPr="009113D4">
        <w:rPr>
          <w:szCs w:val="22"/>
        </w:rPr>
        <w:t>, sus derivados] y [conocimientos tradicionales conexos] [conocimientos tradicionales asociados a los recursos genéticos].  Por consiguiente, divulgar la fuente generará confianza mutua en la relación Norte-Sur.  Además, reforzará la complementariedad entre el sistema de acceso y participación en los beneficios y el sistema de [propiedad intelectual] [patentes].]</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[Velar por] [Recomendar] que no se [concedan patentes] [obtengan derechos de propiedad intelectual] sobre formas de vida, incluidos los seres humanos.]</w:t>
      </w:r>
    </w:p>
    <w:p w:rsidR="006D7358" w:rsidRPr="009113D4" w:rsidRDefault="006D7358" w:rsidP="00502D9F">
      <w:pPr>
        <w:pStyle w:val="BodyText2"/>
        <w:widowControl w:val="0"/>
        <w:spacing w:after="0" w:line="240" w:lineRule="auto"/>
        <w:rPr>
          <w:szCs w:val="22"/>
        </w:rPr>
      </w:pPr>
    </w:p>
    <w:p w:rsidR="006D7358" w:rsidRPr="009113D4" w:rsidRDefault="006D7358" w:rsidP="001D4571">
      <w:pPr>
        <w:pStyle w:val="BodyText2"/>
        <w:widowControl w:val="0"/>
        <w:spacing w:after="0" w:line="240" w:lineRule="auto"/>
        <w:rPr>
          <w:szCs w:val="22"/>
        </w:rPr>
      </w:pPr>
      <w:r w:rsidRPr="009113D4">
        <w:rPr>
          <w:szCs w:val="22"/>
        </w:rPr>
        <w:t xml:space="preserve">[Reconocer que quienes accedan </w:t>
      </w:r>
      <w:r w:rsidR="00AC337C" w:rsidRPr="009113D4">
        <w:rPr>
          <w:szCs w:val="22"/>
        </w:rPr>
        <w:t xml:space="preserve">en un país </w:t>
      </w:r>
      <w:r w:rsidRPr="009113D4">
        <w:rPr>
          <w:szCs w:val="22"/>
        </w:rPr>
        <w:t xml:space="preserve">a recursos </w:t>
      </w:r>
      <w:proofErr w:type="gramStart"/>
      <w:r w:rsidRPr="009113D4">
        <w:rPr>
          <w:szCs w:val="22"/>
        </w:rPr>
        <w:t>genéticos[</w:t>
      </w:r>
      <w:proofErr w:type="gramEnd"/>
      <w:r w:rsidRPr="009113D4">
        <w:rPr>
          <w:szCs w:val="22"/>
        </w:rPr>
        <w:t xml:space="preserve">, sus derivados] y [conocimientos tradicionales conexos] [conocimientos tradicionales asociados a los recursos genéticos], cuando así se exija, deben/deberán cumplir con la legislación nacional de ese país </w:t>
      </w:r>
      <w:r w:rsidR="00AC337C" w:rsidRPr="009113D4">
        <w:rPr>
          <w:szCs w:val="22"/>
        </w:rPr>
        <w:t>en virtud de</w:t>
      </w:r>
      <w:r w:rsidRPr="009113D4">
        <w:rPr>
          <w:szCs w:val="22"/>
        </w:rPr>
        <w:t xml:space="preserve"> la </w:t>
      </w:r>
      <w:r w:rsidR="00AC337C" w:rsidRPr="009113D4">
        <w:rPr>
          <w:szCs w:val="22"/>
        </w:rPr>
        <w:t>cual</w:t>
      </w:r>
      <w:r w:rsidRPr="009113D4">
        <w:rPr>
          <w:szCs w:val="22"/>
        </w:rPr>
        <w:t xml:space="preserve"> se protegen los recursos genéticos[, sus derivados] </w:t>
      </w:r>
      <w:r w:rsidR="00DA3BAF" w:rsidRPr="009113D4">
        <w:rPr>
          <w:szCs w:val="22"/>
        </w:rPr>
        <w:t>y los [conocimientos</w:t>
      </w:r>
      <w:r w:rsidRPr="009113D4">
        <w:rPr>
          <w:szCs w:val="22"/>
        </w:rPr>
        <w:t xml:space="preserve"> tradicionales conexos] [conocimientos tradicionales asociados a los recursos genéticos].]</w:t>
      </w:r>
    </w:p>
    <w:p w:rsidR="006D7358" w:rsidRPr="009113D4" w:rsidRDefault="006D7358" w:rsidP="00502D9F">
      <w:pPr>
        <w:pStyle w:val="BodyText2"/>
        <w:widowControl w:val="0"/>
        <w:spacing w:after="0" w:line="240" w:lineRule="auto"/>
        <w:rPr>
          <w:szCs w:val="22"/>
        </w:rPr>
      </w:pPr>
    </w:p>
    <w:p w:rsidR="006D7358" w:rsidRPr="009113D4" w:rsidRDefault="006D7358" w:rsidP="001D4571">
      <w:pPr>
        <w:pStyle w:val="BodyText2"/>
        <w:widowControl w:val="0"/>
        <w:spacing w:after="0" w:line="240" w:lineRule="auto"/>
        <w:rPr>
          <w:szCs w:val="22"/>
        </w:rPr>
      </w:pPr>
      <w:r w:rsidRPr="009113D4">
        <w:rPr>
          <w:szCs w:val="22"/>
        </w:rPr>
        <w:t>[Las oficinas de [P.I.] [</w:t>
      </w:r>
      <w:r w:rsidR="00AC337C" w:rsidRPr="009113D4">
        <w:rPr>
          <w:szCs w:val="22"/>
        </w:rPr>
        <w:t>patentes</w:t>
      </w:r>
      <w:r w:rsidRPr="009113D4">
        <w:rPr>
          <w:szCs w:val="22"/>
        </w:rPr>
        <w:t xml:space="preserve">] deben/deberán imponer un requisito obligatorio de divulgación, según se describe en el presente instrumento jurídico internacional, cuando el patentamiento de recursos </w:t>
      </w:r>
      <w:bookmarkStart w:id="0" w:name="_GoBack"/>
      <w:bookmarkEnd w:id="0"/>
      <w:r w:rsidRPr="009113D4">
        <w:rPr>
          <w:szCs w:val="22"/>
        </w:rPr>
        <w:t>genéticos perjudique los intereses de las comunidades locales [e] [y los pueblos] indígenas.]</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rPr>
          <w:szCs w:val="22"/>
        </w:rPr>
      </w:pPr>
      <w:r w:rsidRPr="009113D4">
        <w:rPr>
          <w:szCs w:val="22"/>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r w:rsidR="00AC337C" w:rsidRPr="009113D4">
        <w:rPr>
          <w:szCs w:val="22"/>
        </w:rPr>
        <w:t>.</w:t>
      </w:r>
      <w:r w:rsidRPr="009113D4">
        <w:rPr>
          <w:szCs w:val="22"/>
        </w:rPr>
        <w:t>]]</w:t>
      </w:r>
    </w:p>
    <w:p w:rsidR="006D7358" w:rsidRPr="009113D4" w:rsidRDefault="006D7358" w:rsidP="00502D9F">
      <w:pPr>
        <w:pStyle w:val="BodyText2"/>
        <w:widowControl w:val="0"/>
        <w:spacing w:after="0" w:line="240" w:lineRule="auto"/>
        <w:rPr>
          <w:szCs w:val="22"/>
        </w:rPr>
      </w:pPr>
    </w:p>
    <w:p w:rsidR="006D7358" w:rsidRPr="009113D4" w:rsidRDefault="006D7358" w:rsidP="00502D9F">
      <w:pPr>
        <w:pStyle w:val="BodyText2"/>
        <w:widowControl w:val="0"/>
        <w:spacing w:after="0" w:line="240" w:lineRule="auto"/>
      </w:pPr>
      <w:r w:rsidRPr="009113D4">
        <w:br w:type="page"/>
      </w:r>
    </w:p>
    <w:p w:rsidR="006D7358" w:rsidRPr="009113D4" w:rsidRDefault="006D7358" w:rsidP="00502D9F">
      <w:pPr>
        <w:widowControl w:val="0"/>
        <w:tabs>
          <w:tab w:val="num" w:pos="993"/>
        </w:tabs>
        <w:autoSpaceDE w:val="0"/>
        <w:autoSpaceDN w:val="0"/>
        <w:adjustRightInd w:val="0"/>
        <w:jc w:val="center"/>
        <w:rPr>
          <w:b/>
          <w:szCs w:val="22"/>
        </w:rPr>
      </w:pPr>
      <w:r w:rsidRPr="009113D4">
        <w:rPr>
          <w:b/>
          <w:szCs w:val="22"/>
        </w:rPr>
        <w:lastRenderedPageBreak/>
        <w:t>OBJETIVO [OBJETIVOS] DE POLÍTICA</w:t>
      </w:r>
    </w:p>
    <w:p w:rsidR="006D7358" w:rsidRPr="009113D4" w:rsidRDefault="006D7358" w:rsidP="00502D9F">
      <w:pPr>
        <w:widowControl w:val="0"/>
        <w:tabs>
          <w:tab w:val="num" w:pos="993"/>
        </w:tabs>
        <w:autoSpaceDE w:val="0"/>
        <w:autoSpaceDN w:val="0"/>
        <w:adjustRightInd w:val="0"/>
        <w:rPr>
          <w:szCs w:val="22"/>
        </w:rPr>
      </w:pPr>
    </w:p>
    <w:p w:rsidR="006D7358" w:rsidRPr="009113D4" w:rsidRDefault="006D7358" w:rsidP="00502D9F">
      <w:pPr>
        <w:widowControl w:val="0"/>
        <w:tabs>
          <w:tab w:val="num" w:pos="993"/>
        </w:tabs>
        <w:autoSpaceDE w:val="0"/>
        <w:autoSpaceDN w:val="0"/>
        <w:adjustRightInd w:val="0"/>
        <w:rPr>
          <w:szCs w:val="22"/>
        </w:rPr>
      </w:pPr>
    </w:p>
    <w:p w:rsidR="00E71A9B" w:rsidRPr="009113D4" w:rsidRDefault="006D7358" w:rsidP="00502D9F">
      <w:pPr>
        <w:widowControl w:val="0"/>
      </w:pPr>
      <w:r w:rsidRPr="009113D4">
        <w:rPr>
          <w:szCs w:val="22"/>
        </w:rPr>
        <w:t xml:space="preserve">[El objetivo del presente instrumento es [contribuir a </w:t>
      </w:r>
      <w:r w:rsidR="00AC337C" w:rsidRPr="009113D4">
        <w:rPr>
          <w:szCs w:val="22"/>
        </w:rPr>
        <w:t>que se impida</w:t>
      </w:r>
      <w:r w:rsidRPr="009113D4">
        <w:rPr>
          <w:szCs w:val="22"/>
        </w:rPr>
        <w:t xml:space="preserve">] [impedir] la [apropiación indebida] de los recursos </w:t>
      </w:r>
      <w:proofErr w:type="gramStart"/>
      <w:r w:rsidRPr="009113D4">
        <w:rPr>
          <w:szCs w:val="22"/>
        </w:rPr>
        <w:t>genéticos[</w:t>
      </w:r>
      <w:proofErr w:type="gramEnd"/>
      <w:r w:rsidRPr="009113D4">
        <w:rPr>
          <w:szCs w:val="22"/>
        </w:rPr>
        <w:t xml:space="preserve">, sus derivados] </w:t>
      </w:r>
      <w:r w:rsidR="00DA3BAF" w:rsidRPr="009113D4">
        <w:rPr>
          <w:szCs w:val="22"/>
        </w:rPr>
        <w:t>y los [conocimientos</w:t>
      </w:r>
      <w:r w:rsidRPr="009113D4">
        <w:rPr>
          <w:szCs w:val="22"/>
        </w:rPr>
        <w:t xml:space="preserve"> tradicionales conexos] [conocimientos tradicionales asociados a los recursos genéticos] [mediante el] [en el contexto del] sistema de derechos de [P.I.] [patente]</w:t>
      </w:r>
      <w:r w:rsidR="009632FD" w:rsidRPr="009113D4">
        <w:rPr>
          <w:szCs w:val="22"/>
        </w:rPr>
        <w:t>, de la forma siguiente</w:t>
      </w:r>
      <w:r w:rsidRPr="009113D4">
        <w:rPr>
          <w:szCs w:val="22"/>
        </w:rPr>
        <w:t>:</w:t>
      </w:r>
      <w:r w:rsidR="009632FD" w:rsidRPr="009113D4">
        <w:rPr>
          <w:szCs w:val="22"/>
        </w:rPr>
        <w:t>]</w:t>
      </w:r>
    </w:p>
    <w:p w:rsidR="00E71A9B" w:rsidRPr="009113D4" w:rsidRDefault="00E71A9B" w:rsidP="00502D9F">
      <w:pPr>
        <w:widowControl w:val="0"/>
      </w:pPr>
    </w:p>
    <w:p w:rsidR="00E71A9B" w:rsidRPr="009113D4" w:rsidRDefault="009632FD" w:rsidP="00502D9F">
      <w:pPr>
        <w:pStyle w:val="ListParagraph"/>
        <w:widowControl w:val="0"/>
        <w:numPr>
          <w:ilvl w:val="0"/>
          <w:numId w:val="7"/>
        </w:numPr>
      </w:pPr>
      <w:r w:rsidRPr="009113D4">
        <w:t>velando por que las oficinas de [P.I.]</w:t>
      </w:r>
      <w:r w:rsidR="009C2F24" w:rsidRPr="009113D4">
        <w:t xml:space="preserve"> [</w:t>
      </w:r>
      <w:r w:rsidR="00A73AF6" w:rsidRPr="009113D4">
        <w:t>p</w:t>
      </w:r>
      <w:r w:rsidR="009C2F24" w:rsidRPr="009113D4">
        <w:t>atent</w:t>
      </w:r>
      <w:r w:rsidRPr="009113D4">
        <w:t>es</w:t>
      </w:r>
      <w:r w:rsidR="009C2F24" w:rsidRPr="009113D4">
        <w:t>]</w:t>
      </w:r>
      <w:r w:rsidR="00982F64" w:rsidRPr="009113D4">
        <w:t xml:space="preserve"> </w:t>
      </w:r>
      <w:r w:rsidRPr="009113D4">
        <w:t>tengan acceso</w:t>
      </w:r>
      <w:r w:rsidR="00982F64" w:rsidRPr="009113D4">
        <w:t xml:space="preserve"> </w:t>
      </w:r>
      <w:r w:rsidRPr="009113D4">
        <w:t xml:space="preserve">a la información adecuada sobre los recursos genéticos[, sus derivados] </w:t>
      </w:r>
      <w:r w:rsidR="00DA3BAF" w:rsidRPr="009113D4">
        <w:t>y los [conocimientos</w:t>
      </w:r>
      <w:r w:rsidRPr="009113D4">
        <w:rPr>
          <w:szCs w:val="22"/>
        </w:rPr>
        <w:t xml:space="preserve"> tradicionales conexos] [conocimientos tradicionales asociados a los recursos genéticos]</w:t>
      </w:r>
      <w:r w:rsidR="00982F64" w:rsidRPr="009113D4">
        <w:t xml:space="preserve"> </w:t>
      </w:r>
      <w:r w:rsidRPr="009113D4">
        <w:t>para impedir la concesión errónea de derechos de [P.I.] [de patente]</w:t>
      </w:r>
      <w:r w:rsidR="00DA30F8" w:rsidRPr="009113D4">
        <w:t>;</w:t>
      </w:r>
    </w:p>
    <w:p w:rsidR="00E71A9B" w:rsidRPr="009113D4" w:rsidRDefault="00E34CB8" w:rsidP="00502D9F">
      <w:pPr>
        <w:pStyle w:val="ListParagraph"/>
        <w:widowControl w:val="0"/>
        <w:numPr>
          <w:ilvl w:val="0"/>
          <w:numId w:val="7"/>
        </w:numPr>
      </w:pPr>
      <w:r w:rsidRPr="009113D4">
        <w:t>[</w:t>
      </w:r>
      <w:r w:rsidR="009632FD" w:rsidRPr="009113D4">
        <w:t>mejorando la</w:t>
      </w:r>
      <w:r w:rsidR="009C4BB3" w:rsidRPr="009113D4">
        <w:t xml:space="preserve"> </w:t>
      </w:r>
      <w:r w:rsidR="003D3992" w:rsidRPr="009113D4">
        <w:t>transparencia</w:t>
      </w:r>
      <w:r w:rsidR="009C4BB3" w:rsidRPr="009113D4">
        <w:t xml:space="preserve"> </w:t>
      </w:r>
      <w:r w:rsidR="009632FD" w:rsidRPr="009113D4">
        <w:t>e</w:t>
      </w:r>
      <w:r w:rsidR="009C4BB3" w:rsidRPr="009113D4">
        <w:t xml:space="preserve">n </w:t>
      </w:r>
      <w:r w:rsidR="009632FD" w:rsidRPr="009113D4">
        <w:t xml:space="preserve">el sistema de </w:t>
      </w:r>
      <w:r w:rsidR="009C2F24" w:rsidRPr="009113D4">
        <w:t>[</w:t>
      </w:r>
      <w:r w:rsidR="009632FD" w:rsidRPr="009113D4">
        <w:t>P.I.</w:t>
      </w:r>
      <w:r w:rsidR="009C2F24" w:rsidRPr="009113D4">
        <w:t>]</w:t>
      </w:r>
      <w:r w:rsidR="00D11019" w:rsidRPr="009113D4">
        <w:t>[</w:t>
      </w:r>
      <w:r w:rsidR="00294B37" w:rsidRPr="009113D4">
        <w:t>p</w:t>
      </w:r>
      <w:r w:rsidR="00D11019" w:rsidRPr="009113D4">
        <w:t>atent</w:t>
      </w:r>
      <w:r w:rsidR="009632FD" w:rsidRPr="009113D4">
        <w:t>es</w:t>
      </w:r>
      <w:r w:rsidR="00D11019" w:rsidRPr="009113D4">
        <w:t xml:space="preserve">] </w:t>
      </w:r>
      <w:r w:rsidR="001456F1" w:rsidRPr="009113D4">
        <w:t>[</w:t>
      </w:r>
      <w:r w:rsidR="009632FD" w:rsidRPr="009113D4">
        <w:t>y de acceso y participación de los beneficios</w:t>
      </w:r>
      <w:r w:rsidR="001456F1" w:rsidRPr="009113D4">
        <w:t>]</w:t>
      </w:r>
      <w:r w:rsidRPr="009113D4">
        <w:t>]</w:t>
      </w:r>
      <w:r w:rsidR="00DA30F8" w:rsidRPr="009113D4">
        <w:t>;</w:t>
      </w:r>
      <w:r w:rsidR="009632FD" w:rsidRPr="009113D4">
        <w:t xml:space="preserve"> y</w:t>
      </w:r>
      <w:r w:rsidR="00BA07B1" w:rsidRPr="009113D4">
        <w:t>,</w:t>
      </w:r>
    </w:p>
    <w:p w:rsidR="00E71A9B" w:rsidRPr="009113D4" w:rsidRDefault="00F21276" w:rsidP="00502D9F">
      <w:pPr>
        <w:pStyle w:val="ListParagraph"/>
        <w:widowControl w:val="0"/>
        <w:numPr>
          <w:ilvl w:val="0"/>
          <w:numId w:val="7"/>
        </w:numPr>
      </w:pPr>
      <w:r w:rsidRPr="009113D4">
        <w:t>[</w:t>
      </w:r>
      <w:r w:rsidR="009632FD" w:rsidRPr="009113D4">
        <w:t>velando por</w:t>
      </w:r>
      <w:r w:rsidRPr="009113D4">
        <w:t>] [</w:t>
      </w:r>
      <w:r w:rsidR="009632FD" w:rsidRPr="009113D4">
        <w:t>fomentando</w:t>
      </w:r>
      <w:r w:rsidRPr="009113D4">
        <w:t>] [</w:t>
      </w:r>
      <w:r w:rsidR="00E34CB8" w:rsidRPr="009113D4">
        <w:t>facilita</w:t>
      </w:r>
      <w:r w:rsidR="009632FD" w:rsidRPr="009113D4">
        <w:t>ndo</w:t>
      </w:r>
      <w:r w:rsidRPr="009113D4">
        <w:t>]</w:t>
      </w:r>
      <w:r w:rsidR="009C4BB3" w:rsidRPr="009113D4">
        <w:t xml:space="preserve"> [</w:t>
      </w:r>
      <w:r w:rsidR="009632FD" w:rsidRPr="009113D4">
        <w:t xml:space="preserve">la </w:t>
      </w:r>
      <w:r w:rsidR="009C4BB3" w:rsidRPr="009113D4">
        <w:t>complementar</w:t>
      </w:r>
      <w:r w:rsidR="009632FD" w:rsidRPr="009113D4">
        <w:t>iedad</w:t>
      </w:r>
      <w:r w:rsidR="009C4BB3" w:rsidRPr="009113D4">
        <w:t>] [</w:t>
      </w:r>
      <w:r w:rsidR="009632FD" w:rsidRPr="009113D4">
        <w:t xml:space="preserve">el apoyo </w:t>
      </w:r>
      <w:r w:rsidR="00034A78" w:rsidRPr="009113D4">
        <w:t>mutu</w:t>
      </w:r>
      <w:r w:rsidR="009C4BB3" w:rsidRPr="009113D4">
        <w:t xml:space="preserve">o] </w:t>
      </w:r>
      <w:r w:rsidR="009632FD" w:rsidRPr="009113D4">
        <w:t xml:space="preserve">con los acuerdos </w:t>
      </w:r>
      <w:r w:rsidR="003D3992" w:rsidRPr="009113D4">
        <w:t>internacional</w:t>
      </w:r>
      <w:r w:rsidR="009C4BB3" w:rsidRPr="009113D4">
        <w:t xml:space="preserve"> </w:t>
      </w:r>
      <w:r w:rsidR="003D3992" w:rsidRPr="009113D4">
        <w:t xml:space="preserve">del ámbito de </w:t>
      </w:r>
      <w:r w:rsidR="009632FD" w:rsidRPr="009113D4">
        <w:t>la</w:t>
      </w:r>
      <w:r w:rsidR="009C4BB3" w:rsidRPr="009113D4">
        <w:t xml:space="preserve"> </w:t>
      </w:r>
      <w:r w:rsidR="003D3992" w:rsidRPr="009113D4">
        <w:t>protección</w:t>
      </w:r>
      <w:r w:rsidR="009C4BB3" w:rsidRPr="009113D4">
        <w:t xml:space="preserve"> </w:t>
      </w:r>
      <w:r w:rsidR="009632FD" w:rsidRPr="009113D4">
        <w:t xml:space="preserve">de los recursos </w:t>
      </w:r>
      <w:proofErr w:type="gramStart"/>
      <w:r w:rsidR="009632FD" w:rsidRPr="009113D4">
        <w:t>genéticos</w:t>
      </w:r>
      <w:r w:rsidR="003D3992" w:rsidRPr="009113D4">
        <w:rPr>
          <w:szCs w:val="22"/>
        </w:rPr>
        <w:t>[</w:t>
      </w:r>
      <w:proofErr w:type="gramEnd"/>
      <w:r w:rsidR="003D3992" w:rsidRPr="009113D4">
        <w:rPr>
          <w:szCs w:val="22"/>
        </w:rPr>
        <w:t>, sus derivados] y/o [los conocimientos tradicionales conexos] [los conocimientos tradicionales asociados a los recursos genéticos]</w:t>
      </w:r>
      <w:r w:rsidR="009C4BB3" w:rsidRPr="009113D4">
        <w:t xml:space="preserve"> </w:t>
      </w:r>
      <w:r w:rsidR="00C150F5" w:rsidRPr="009113D4">
        <w:t>[</w:t>
      </w:r>
      <w:r w:rsidR="003D3992" w:rsidRPr="009113D4">
        <w:t>y los del ámbito de la P.I.</w:t>
      </w:r>
      <w:r w:rsidR="00C150F5" w:rsidRPr="009113D4">
        <w:t>]</w:t>
      </w:r>
      <w:r w:rsidR="009C4BB3" w:rsidRPr="009113D4">
        <w:t>.</w:t>
      </w:r>
    </w:p>
    <w:p w:rsidR="00502D9F" w:rsidRPr="009113D4" w:rsidRDefault="00502D9F">
      <w:r w:rsidRPr="009113D4">
        <w:br w:type="page"/>
      </w:r>
    </w:p>
    <w:p w:rsidR="00E71A9B" w:rsidRPr="009113D4" w:rsidRDefault="00E71A9B" w:rsidP="00502D9F">
      <w:pPr>
        <w:widowControl w:val="0"/>
      </w:pPr>
    </w:p>
    <w:p w:rsidR="00E71A9B" w:rsidRPr="009113D4" w:rsidRDefault="00E71A9B" w:rsidP="00502D9F">
      <w:pPr>
        <w:widowControl w:val="0"/>
        <w:jc w:val="center"/>
        <w:rPr>
          <w:b/>
        </w:rPr>
      </w:pPr>
      <w:r w:rsidRPr="009113D4">
        <w:rPr>
          <w:b/>
        </w:rPr>
        <w:t>[ARTÍCULO 1]</w:t>
      </w:r>
    </w:p>
    <w:p w:rsidR="00E71A9B" w:rsidRPr="009113D4" w:rsidRDefault="007502A6" w:rsidP="00502D9F">
      <w:pPr>
        <w:widowControl w:val="0"/>
        <w:jc w:val="center"/>
        <w:rPr>
          <w:b/>
        </w:rPr>
      </w:pPr>
      <w:r w:rsidRPr="009113D4">
        <w:rPr>
          <w:b/>
        </w:rPr>
        <w:t>MATERIA OBJETO DEL INSTRUMENTO</w:t>
      </w:r>
    </w:p>
    <w:p w:rsidR="00E71A9B" w:rsidRPr="009113D4" w:rsidRDefault="00E71A9B" w:rsidP="00502D9F">
      <w:pPr>
        <w:widowControl w:val="0"/>
      </w:pPr>
    </w:p>
    <w:p w:rsidR="00E71A9B" w:rsidRPr="009113D4" w:rsidRDefault="002565F9" w:rsidP="00502D9F">
      <w:pPr>
        <w:widowControl w:val="0"/>
      </w:pPr>
      <w:r w:rsidRPr="009113D4">
        <w:t>1.1</w:t>
      </w:r>
      <w:r w:rsidRPr="009113D4">
        <w:tab/>
      </w:r>
      <w:r w:rsidR="00D11019" w:rsidRPr="009113D4">
        <w:t>[</w:t>
      </w:r>
      <w:r w:rsidR="007502A6" w:rsidRPr="009113D4">
        <w:t xml:space="preserve">El presente </w:t>
      </w:r>
      <w:r w:rsidR="00032AA6" w:rsidRPr="009113D4">
        <w:t>instrumento</w:t>
      </w:r>
      <w:r w:rsidR="007502A6" w:rsidRPr="009113D4">
        <w:t xml:space="preserve"> jurídico </w:t>
      </w:r>
      <w:r w:rsidR="00032AA6" w:rsidRPr="009113D4">
        <w:t>internacional</w:t>
      </w:r>
      <w:r w:rsidR="00616593" w:rsidRPr="009113D4">
        <w:t xml:space="preserve"> </w:t>
      </w:r>
      <w:r w:rsidR="00AC337C" w:rsidRPr="009113D4">
        <w:t>debe</w:t>
      </w:r>
      <w:r w:rsidR="00192C10" w:rsidRPr="009113D4">
        <w:t>/</w:t>
      </w:r>
      <w:r w:rsidR="00AC337C" w:rsidRPr="009113D4">
        <w:t>debe</w:t>
      </w:r>
      <w:r w:rsidR="007502A6" w:rsidRPr="009113D4">
        <w:t>rá</w:t>
      </w:r>
      <w:r w:rsidRPr="009113D4">
        <w:t xml:space="preserve"> </w:t>
      </w:r>
      <w:r w:rsidR="00AC337C" w:rsidRPr="009113D4">
        <w:t xml:space="preserve">aplicarse </w:t>
      </w:r>
      <w:r w:rsidRPr="009113D4">
        <w:t xml:space="preserve">a </w:t>
      </w:r>
      <w:r w:rsidR="007502A6" w:rsidRPr="009113D4">
        <w:t xml:space="preserve">cualquier derecho o [solicitud] [de </w:t>
      </w:r>
      <w:r w:rsidR="0075065D" w:rsidRPr="009113D4">
        <w:t xml:space="preserve">derechos de </w:t>
      </w:r>
      <w:r w:rsidR="007502A6" w:rsidRPr="009113D4">
        <w:t>P.I.] [</w:t>
      </w:r>
      <w:proofErr w:type="gramStart"/>
      <w:r w:rsidR="007502A6" w:rsidRPr="009113D4">
        <w:t>de</w:t>
      </w:r>
      <w:proofErr w:type="gramEnd"/>
      <w:r w:rsidR="007502A6" w:rsidRPr="009113D4">
        <w:t xml:space="preserve"> patente] [</w:t>
      </w:r>
      <w:r w:rsidR="00AC337C" w:rsidRPr="009113D4">
        <w:t xml:space="preserve">, </w:t>
      </w:r>
      <w:proofErr w:type="gramStart"/>
      <w:r w:rsidR="007502A6" w:rsidRPr="009113D4">
        <w:t>invención</w:t>
      </w:r>
      <w:proofErr w:type="gramEnd"/>
      <w:r w:rsidR="007502A6" w:rsidRPr="009113D4">
        <w:t xml:space="preserve"> reivindicada] [</w:t>
      </w:r>
      <w:proofErr w:type="gramStart"/>
      <w:r w:rsidR="007502A6" w:rsidRPr="009113D4">
        <w:t>deriva</w:t>
      </w:r>
      <w:r w:rsidRPr="009113D4">
        <w:t>d</w:t>
      </w:r>
      <w:r w:rsidR="007502A6" w:rsidRPr="009113D4">
        <w:t>a</w:t>
      </w:r>
      <w:proofErr w:type="gramEnd"/>
      <w:r w:rsidRPr="009113D4">
        <w:t xml:space="preserve"> </w:t>
      </w:r>
      <w:r w:rsidR="007502A6" w:rsidRPr="009113D4">
        <w:t>de</w:t>
      </w:r>
      <w:r w:rsidR="0033155D" w:rsidRPr="009113D4">
        <w:t>]</w:t>
      </w:r>
      <w:r w:rsidRPr="009113D4">
        <w:t xml:space="preserve"> [</w:t>
      </w:r>
      <w:proofErr w:type="gramStart"/>
      <w:r w:rsidR="007502A6" w:rsidRPr="009113D4">
        <w:t>la</w:t>
      </w:r>
      <w:proofErr w:type="gramEnd"/>
      <w:r w:rsidR="007502A6" w:rsidRPr="009113D4">
        <w:t xml:space="preserve"> </w:t>
      </w:r>
      <w:r w:rsidR="00032AA6" w:rsidRPr="009113D4">
        <w:t>utilización</w:t>
      </w:r>
      <w:r w:rsidRPr="009113D4">
        <w:t xml:space="preserve"> </w:t>
      </w:r>
      <w:r w:rsidR="007502A6" w:rsidRPr="009113D4">
        <w:t>de</w:t>
      </w:r>
      <w:r w:rsidRPr="009113D4">
        <w:t>]</w:t>
      </w:r>
      <w:r w:rsidR="00E34CB8" w:rsidRPr="009113D4">
        <w:t xml:space="preserve"> [</w:t>
      </w:r>
      <w:proofErr w:type="gramStart"/>
      <w:r w:rsidRPr="009113D4">
        <w:t>direct</w:t>
      </w:r>
      <w:r w:rsidR="007502A6" w:rsidRPr="009113D4">
        <w:t>amente</w:t>
      </w:r>
      <w:proofErr w:type="gramEnd"/>
      <w:r w:rsidR="007502A6" w:rsidRPr="009113D4">
        <w:t xml:space="preserve"> basada</w:t>
      </w:r>
      <w:r w:rsidRPr="009113D4">
        <w:t xml:space="preserve"> </w:t>
      </w:r>
      <w:r w:rsidR="007502A6" w:rsidRPr="009113D4">
        <w:t>e</w:t>
      </w:r>
      <w:r w:rsidRPr="009113D4">
        <w:t xml:space="preserve">n] </w:t>
      </w:r>
      <w:r w:rsidR="00032AA6" w:rsidRPr="009113D4">
        <w:t>recursos genéticos[, sus derivados] y [conocimientos tradicionales conexos] [conocimientos tradicionales asociados a los recursos genéticos]</w:t>
      </w:r>
      <w:r w:rsidR="00D11019" w:rsidRPr="009113D4">
        <w:t xml:space="preserve">. </w:t>
      </w:r>
      <w:r w:rsidR="00032AA6" w:rsidRPr="009113D4">
        <w:t xml:space="preserve"> </w:t>
      </w:r>
      <w:r w:rsidR="00D11019" w:rsidRPr="009113D4">
        <w:t>[</w:t>
      </w:r>
      <w:r w:rsidR="00032AA6" w:rsidRPr="009113D4">
        <w:t>El presente</w:t>
      </w:r>
      <w:r w:rsidR="00D11019" w:rsidRPr="009113D4">
        <w:t xml:space="preserve"> </w:t>
      </w:r>
      <w:r w:rsidR="00032AA6" w:rsidRPr="009113D4">
        <w:t>instrumento</w:t>
      </w:r>
      <w:r w:rsidR="00D11019" w:rsidRPr="009113D4">
        <w:t xml:space="preserve"> </w:t>
      </w:r>
      <w:r w:rsidR="00032AA6" w:rsidRPr="009113D4">
        <w:t xml:space="preserve">se </w:t>
      </w:r>
      <w:r w:rsidR="00D11019" w:rsidRPr="009113D4">
        <w:t>apli</w:t>
      </w:r>
      <w:r w:rsidR="00032AA6" w:rsidRPr="009113D4">
        <w:t>ca</w:t>
      </w:r>
      <w:r w:rsidR="00D11019" w:rsidRPr="009113D4">
        <w:t xml:space="preserve"> </w:t>
      </w:r>
      <w:r w:rsidR="00032AA6" w:rsidRPr="009113D4">
        <w:t>a</w:t>
      </w:r>
      <w:r w:rsidR="00D11019" w:rsidRPr="009113D4">
        <w:t xml:space="preserve"> </w:t>
      </w:r>
      <w:r w:rsidR="00032AA6" w:rsidRPr="009113D4">
        <w:t xml:space="preserve">los recursos </w:t>
      </w:r>
      <w:proofErr w:type="gramStart"/>
      <w:r w:rsidR="00032AA6" w:rsidRPr="009113D4">
        <w:t>genéticos[</w:t>
      </w:r>
      <w:proofErr w:type="gramEnd"/>
      <w:r w:rsidR="00032AA6" w:rsidRPr="009113D4">
        <w:t xml:space="preserve">, sus derivados] </w:t>
      </w:r>
      <w:r w:rsidR="00DA3BAF" w:rsidRPr="009113D4">
        <w:t>y los [conocimientos</w:t>
      </w:r>
      <w:r w:rsidR="00032AA6" w:rsidRPr="009113D4">
        <w:t xml:space="preserve"> tradicionales conexos] [conocimientos tradicionales asociados a los recursos genéticos</w:t>
      </w:r>
      <w:r w:rsidR="00910B50" w:rsidRPr="009113D4">
        <w:t>]</w:t>
      </w:r>
      <w:r w:rsidR="00D11019" w:rsidRPr="009113D4">
        <w:t>.]</w:t>
      </w:r>
    </w:p>
    <w:p w:rsidR="00E71A9B" w:rsidRPr="009113D4" w:rsidRDefault="00E71A9B" w:rsidP="00502D9F">
      <w:pPr>
        <w:widowControl w:val="0"/>
      </w:pPr>
    </w:p>
    <w:p w:rsidR="00E71A9B" w:rsidRPr="009113D4" w:rsidRDefault="00E71A9B" w:rsidP="00502D9F">
      <w:pPr>
        <w:widowControl w:val="0"/>
      </w:pPr>
    </w:p>
    <w:p w:rsidR="00E71A9B" w:rsidRPr="009113D4" w:rsidRDefault="00E71A9B" w:rsidP="00502D9F">
      <w:pPr>
        <w:widowControl w:val="0"/>
        <w:jc w:val="center"/>
        <w:rPr>
          <w:b/>
        </w:rPr>
      </w:pPr>
      <w:r w:rsidRPr="009113D4">
        <w:rPr>
          <w:b/>
        </w:rPr>
        <w:t>[ARTÍCULO 2]</w:t>
      </w:r>
    </w:p>
    <w:p w:rsidR="00E71A9B" w:rsidRPr="009113D4" w:rsidRDefault="00BF1CB4" w:rsidP="00502D9F">
      <w:pPr>
        <w:widowControl w:val="0"/>
        <w:jc w:val="center"/>
        <w:rPr>
          <w:b/>
        </w:rPr>
      </w:pPr>
      <w:r w:rsidRPr="009113D4">
        <w:rPr>
          <w:b/>
        </w:rPr>
        <w:t>[</w:t>
      </w:r>
      <w:r w:rsidR="00032AA6" w:rsidRPr="009113D4">
        <w:rPr>
          <w:b/>
        </w:rPr>
        <w:t>ALCANCE DEL INSTRUMENTO</w:t>
      </w:r>
    </w:p>
    <w:p w:rsidR="00E71A9B" w:rsidRPr="009113D4" w:rsidRDefault="00E71A9B" w:rsidP="00502D9F">
      <w:pPr>
        <w:widowControl w:val="0"/>
        <w:tabs>
          <w:tab w:val="left" w:pos="1770"/>
        </w:tabs>
      </w:pPr>
    </w:p>
    <w:p w:rsidR="00E71A9B" w:rsidRPr="009113D4" w:rsidRDefault="00D7435D" w:rsidP="00502D9F">
      <w:pPr>
        <w:widowControl w:val="0"/>
      </w:pPr>
      <w:r w:rsidRPr="009113D4">
        <w:t>2</w:t>
      </w:r>
      <w:r w:rsidR="002565F9" w:rsidRPr="009113D4">
        <w:t>.1</w:t>
      </w:r>
      <w:r w:rsidR="002565F9" w:rsidRPr="009113D4">
        <w:tab/>
      </w:r>
      <w:r w:rsidR="00680895" w:rsidRPr="009113D4">
        <w:t>[</w:t>
      </w:r>
      <w:r w:rsidR="00032AA6" w:rsidRPr="009113D4">
        <w:t>El presente</w:t>
      </w:r>
      <w:r w:rsidRPr="009113D4">
        <w:t xml:space="preserve"> </w:t>
      </w:r>
      <w:r w:rsidR="00DA3BAF" w:rsidRPr="009113D4">
        <w:t>instrumento</w:t>
      </w:r>
      <w:r w:rsidRPr="009113D4">
        <w:t xml:space="preserve"> </w:t>
      </w:r>
      <w:r w:rsidR="00032AA6" w:rsidRPr="009113D4">
        <w:t>contempla</w:t>
      </w:r>
      <w:r w:rsidR="00CC1EB6" w:rsidRPr="009113D4">
        <w:t xml:space="preserve"> me</w:t>
      </w:r>
      <w:r w:rsidR="00032AA6" w:rsidRPr="009113D4">
        <w:t>didas</w:t>
      </w:r>
      <w:r w:rsidR="00CC1EB6" w:rsidRPr="009113D4">
        <w:t xml:space="preserve"> </w:t>
      </w:r>
      <w:r w:rsidR="00032AA6" w:rsidRPr="009113D4">
        <w:t>destinadas a</w:t>
      </w:r>
      <w:r w:rsidR="00911E04" w:rsidRPr="009113D4">
        <w:t>]</w:t>
      </w:r>
      <w:r w:rsidR="00CC1EB6" w:rsidRPr="009113D4">
        <w:t xml:space="preserve"> </w:t>
      </w:r>
      <w:r w:rsidR="00911E04" w:rsidRPr="009113D4">
        <w:t>[</w:t>
      </w:r>
      <w:r w:rsidR="00DA3BAF" w:rsidRPr="009113D4">
        <w:t>respaldar que se impida la apropiación indebida de recursos genéticos</w:t>
      </w:r>
      <w:r w:rsidR="00811AEE" w:rsidRPr="009113D4">
        <w:t>,</w:t>
      </w:r>
      <w:r w:rsidR="00CC1EB6" w:rsidRPr="009113D4">
        <w:t xml:space="preserve"> </w:t>
      </w:r>
      <w:r w:rsidR="00811AEE" w:rsidRPr="009113D4">
        <w:t>[</w:t>
      </w:r>
      <w:r w:rsidR="00DA3BAF" w:rsidRPr="009113D4">
        <w:t>partes y componentes genéticos</w:t>
      </w:r>
      <w:r w:rsidR="00811AEE" w:rsidRPr="009113D4">
        <w:t xml:space="preserve">] </w:t>
      </w:r>
      <w:r w:rsidR="00CC1EB6" w:rsidRPr="009113D4">
        <w:t>[</w:t>
      </w:r>
      <w:r w:rsidR="00DA3BAF" w:rsidRPr="009113D4">
        <w:t>sus derivados</w:t>
      </w:r>
      <w:r w:rsidR="0075065D" w:rsidRPr="009113D4">
        <w:t>]</w:t>
      </w:r>
      <w:r w:rsidR="00DA3BAF" w:rsidRPr="009113D4">
        <w:t xml:space="preserve"> y [conocimientos tradicionales conexos] [conocimientos tradicionales asociados a los recursos genéticos]</w:t>
      </w:r>
      <w:r w:rsidR="00E34CB8" w:rsidRPr="009113D4">
        <w:t xml:space="preserve"> </w:t>
      </w:r>
      <w:r w:rsidR="00DA3BAF" w:rsidRPr="009113D4">
        <w:t>mediante el sistema de [P.I.]</w:t>
      </w:r>
      <w:r w:rsidR="00034A78" w:rsidRPr="009113D4">
        <w:t xml:space="preserve"> </w:t>
      </w:r>
      <w:r w:rsidR="00620755" w:rsidRPr="009113D4">
        <w:t>[</w:t>
      </w:r>
      <w:r w:rsidR="00294B37" w:rsidRPr="009113D4">
        <w:t>p</w:t>
      </w:r>
      <w:r w:rsidR="00620755" w:rsidRPr="009113D4">
        <w:t>atent</w:t>
      </w:r>
      <w:r w:rsidR="00DA3BAF" w:rsidRPr="009113D4">
        <w:t>es</w:t>
      </w:r>
      <w:r w:rsidR="00620755" w:rsidRPr="009113D4">
        <w:t>]</w:t>
      </w:r>
      <w:r w:rsidR="00CC1EB6" w:rsidRPr="009113D4">
        <w:t>.</w:t>
      </w:r>
      <w:r w:rsidR="00680895" w:rsidRPr="009113D4">
        <w:t>]</w:t>
      </w:r>
      <w:r w:rsidR="00D11019" w:rsidRPr="009113D4">
        <w:t xml:space="preserve"> [, </w:t>
      </w:r>
      <w:proofErr w:type="gramStart"/>
      <w:r w:rsidR="00DA3BAF" w:rsidRPr="009113D4">
        <w:t>y</w:t>
      </w:r>
      <w:proofErr w:type="gramEnd"/>
      <w:r w:rsidR="00DA3BAF" w:rsidRPr="009113D4">
        <w:t xml:space="preserve"> ello </w:t>
      </w:r>
      <w:r w:rsidR="00D11019" w:rsidRPr="009113D4">
        <w:t>inclu</w:t>
      </w:r>
      <w:r w:rsidR="00DA3BAF" w:rsidRPr="009113D4">
        <w:t>ye</w:t>
      </w:r>
      <w:r w:rsidR="00911E04" w:rsidRPr="009113D4">
        <w:t>]</w:t>
      </w:r>
      <w:r w:rsidR="00680895" w:rsidRPr="009113D4">
        <w:t xml:space="preserve"> </w:t>
      </w:r>
      <w:r w:rsidR="00911E04" w:rsidRPr="009113D4">
        <w:t>[</w:t>
      </w:r>
      <w:proofErr w:type="gramStart"/>
      <w:r w:rsidR="00DA3BAF" w:rsidRPr="009113D4">
        <w:t>impedir</w:t>
      </w:r>
      <w:proofErr w:type="gramEnd"/>
      <w:r w:rsidR="00DA3BAF" w:rsidRPr="009113D4">
        <w:t xml:space="preserve"> el patentamiento de recursos genéticos[, sus derivados] y [conocimientos tradicionales conexos] [conocimientos tradicionales asociados a los recursos genéticos]</w:t>
      </w:r>
      <w:r w:rsidR="00680895" w:rsidRPr="009113D4">
        <w:t xml:space="preserve"> </w:t>
      </w:r>
      <w:r w:rsidR="00DA3BAF" w:rsidRPr="009113D4">
        <w:t xml:space="preserve">que no hayan sido inventados por el solicitante o el titular de una patente </w:t>
      </w:r>
      <w:r w:rsidR="00680895" w:rsidRPr="009113D4">
        <w:t xml:space="preserve">o no </w:t>
      </w:r>
      <w:r w:rsidR="00DA3BAF" w:rsidRPr="009113D4">
        <w:t>supongan actividad inventiva</w:t>
      </w:r>
      <w:r w:rsidR="00680895" w:rsidRPr="009113D4">
        <w:t xml:space="preserve"> </w:t>
      </w:r>
      <w:r w:rsidR="00DA3BAF" w:rsidRPr="009113D4">
        <w:t>respecto de los recursos genéticos [, sus derivados] y los [conocimientos tradicionales conexos] [conocimientos tradicionales asociados a los recursos genéticos]</w:t>
      </w:r>
      <w:r w:rsidR="00414011" w:rsidRPr="009113D4">
        <w:t>]</w:t>
      </w:r>
      <w:r w:rsidR="00680895" w:rsidRPr="009113D4">
        <w:t>.</w:t>
      </w:r>
      <w:r w:rsidR="00D11019" w:rsidRPr="009113D4">
        <w:t>]</w:t>
      </w:r>
    </w:p>
    <w:p w:rsidR="00E71A9B" w:rsidRPr="009113D4" w:rsidRDefault="00E71A9B" w:rsidP="00502D9F">
      <w:pPr>
        <w:widowControl w:val="0"/>
      </w:pPr>
    </w:p>
    <w:p w:rsidR="00E71A9B" w:rsidRPr="009113D4" w:rsidRDefault="00E71A9B" w:rsidP="00502D9F">
      <w:pPr>
        <w:widowControl w:val="0"/>
        <w:jc w:val="center"/>
        <w:rPr>
          <w:b/>
        </w:rPr>
      </w:pPr>
    </w:p>
    <w:p w:rsidR="00E71A9B" w:rsidRPr="009113D4" w:rsidRDefault="00E71A9B" w:rsidP="00502D9F">
      <w:pPr>
        <w:widowControl w:val="0"/>
        <w:jc w:val="center"/>
        <w:rPr>
          <w:b/>
        </w:rPr>
      </w:pPr>
      <w:r w:rsidRPr="009113D4">
        <w:rPr>
          <w:b/>
        </w:rPr>
        <w:t>[ARTÍCULO 3]</w:t>
      </w:r>
    </w:p>
    <w:p w:rsidR="00E71A9B" w:rsidRPr="009113D4" w:rsidRDefault="0075065D" w:rsidP="00502D9F">
      <w:pPr>
        <w:widowControl w:val="0"/>
        <w:jc w:val="center"/>
        <w:rPr>
          <w:b/>
        </w:rPr>
      </w:pPr>
      <w:r w:rsidRPr="009113D4">
        <w:rPr>
          <w:b/>
        </w:rPr>
        <w:t>REQUISITOS DE DIVULGACIÓN</w:t>
      </w:r>
    </w:p>
    <w:p w:rsidR="00E71A9B" w:rsidRPr="009113D4" w:rsidRDefault="00E71A9B" w:rsidP="00502D9F">
      <w:pPr>
        <w:widowControl w:val="0"/>
        <w:rPr>
          <w:b/>
        </w:rPr>
      </w:pPr>
    </w:p>
    <w:p w:rsidR="00E71A9B" w:rsidRPr="009113D4" w:rsidRDefault="000B3EB7" w:rsidP="00502D9F">
      <w:pPr>
        <w:widowControl w:val="0"/>
      </w:pPr>
      <w:r w:rsidRPr="009113D4">
        <w:t>3.1</w:t>
      </w:r>
      <w:r w:rsidR="002565F9" w:rsidRPr="009113D4">
        <w:tab/>
      </w:r>
      <w:r w:rsidR="0075065D" w:rsidRPr="009113D4">
        <w:t>Cuando, en una solicitud de [derechos de P.I.] [</w:t>
      </w:r>
      <w:proofErr w:type="gramStart"/>
      <w:r w:rsidR="0075065D" w:rsidRPr="009113D4">
        <w:t>patente</w:t>
      </w:r>
      <w:proofErr w:type="gramEnd"/>
      <w:r w:rsidR="0075065D" w:rsidRPr="009113D4">
        <w:t>], la</w:t>
      </w:r>
      <w:r w:rsidR="00594794" w:rsidRPr="009113D4">
        <w:t xml:space="preserve"> </w:t>
      </w:r>
      <w:r w:rsidR="00BF1CB4" w:rsidRPr="009113D4">
        <w:t>[</w:t>
      </w:r>
      <w:r w:rsidR="002B785F" w:rsidRPr="009113D4">
        <w:t>mater</w:t>
      </w:r>
      <w:r w:rsidR="0075065D" w:rsidRPr="009113D4">
        <w:t>ia</w:t>
      </w:r>
      <w:r w:rsidR="00BF1CB4" w:rsidRPr="009113D4">
        <w:t>] [</w:t>
      </w:r>
      <w:r w:rsidR="0075065D" w:rsidRPr="009113D4">
        <w:t>invención reivindicada</w:t>
      </w:r>
      <w:r w:rsidR="00BF1CB4" w:rsidRPr="009113D4">
        <w:t>]</w:t>
      </w:r>
      <w:r w:rsidR="00594794" w:rsidRPr="009113D4">
        <w:t xml:space="preserve"> </w:t>
      </w:r>
      <w:r w:rsidR="005D100F" w:rsidRPr="009113D4">
        <w:t>[</w:t>
      </w:r>
      <w:r w:rsidR="00594794" w:rsidRPr="009113D4">
        <w:t>inclu</w:t>
      </w:r>
      <w:r w:rsidR="0075065D" w:rsidRPr="009113D4">
        <w:t>ya la</w:t>
      </w:r>
      <w:r w:rsidR="002472CB" w:rsidRPr="009113D4">
        <w:t xml:space="preserve"> </w:t>
      </w:r>
      <w:r w:rsidR="008D51CA" w:rsidRPr="009113D4">
        <w:t>utilización</w:t>
      </w:r>
      <w:r w:rsidR="002472CB" w:rsidRPr="009113D4">
        <w:t xml:space="preserve"> </w:t>
      </w:r>
      <w:r w:rsidR="0075065D" w:rsidRPr="009113D4">
        <w:t>de</w:t>
      </w:r>
      <w:r w:rsidR="005D100F" w:rsidRPr="009113D4">
        <w:t>] [</w:t>
      </w:r>
      <w:r w:rsidR="0075065D" w:rsidRPr="009113D4">
        <w:t>esté basada directamente en</w:t>
      </w:r>
      <w:r w:rsidR="005D100F" w:rsidRPr="009113D4">
        <w:t>]</w:t>
      </w:r>
      <w:r w:rsidR="00734020" w:rsidRPr="009113D4">
        <w:t xml:space="preserve"> [</w:t>
      </w:r>
      <w:r w:rsidR="0075065D" w:rsidRPr="009113D4">
        <w:t>haya sido elaborada conscientemente a partir de</w:t>
      </w:r>
      <w:r w:rsidR="00734020" w:rsidRPr="009113D4">
        <w:t>]</w:t>
      </w:r>
      <w:r w:rsidR="00594794" w:rsidRPr="009113D4">
        <w:t xml:space="preserve"> </w:t>
      </w:r>
      <w:r w:rsidR="00D70133" w:rsidRPr="009113D4">
        <w:t>recursos genéticos[, sus derivados] y [conocimientos tradicionales conexos] [conocimientos tradicionales asociados a los recursos genéticos]</w:t>
      </w:r>
      <w:r w:rsidR="00AC337C" w:rsidRPr="009113D4">
        <w:t>,</w:t>
      </w:r>
      <w:r w:rsidR="005E7C2E" w:rsidRPr="009113D4">
        <w:t xml:space="preserve"> </w:t>
      </w:r>
      <w:r w:rsidR="00D70133" w:rsidRPr="009113D4">
        <w:t>las Partes Contratantes deben</w:t>
      </w:r>
      <w:r w:rsidR="00192C10" w:rsidRPr="009113D4">
        <w:t>/</w:t>
      </w:r>
      <w:r w:rsidR="00D70133" w:rsidRPr="009113D4">
        <w:t>deberán exigir a los solicitantes</w:t>
      </w:r>
      <w:r w:rsidR="0024402E" w:rsidRPr="009113D4">
        <w:t>:</w:t>
      </w:r>
    </w:p>
    <w:p w:rsidR="00E71A9B" w:rsidRPr="009113D4" w:rsidRDefault="00E71A9B" w:rsidP="00502D9F">
      <w:pPr>
        <w:widowControl w:val="0"/>
      </w:pPr>
    </w:p>
    <w:p w:rsidR="00E71A9B" w:rsidRPr="009113D4" w:rsidRDefault="00D70133" w:rsidP="006C769F">
      <w:pPr>
        <w:pStyle w:val="ListParagraph"/>
        <w:widowControl w:val="0"/>
        <w:numPr>
          <w:ilvl w:val="0"/>
          <w:numId w:val="18"/>
        </w:numPr>
        <w:ind w:left="426" w:hanging="426"/>
      </w:pPr>
      <w:r w:rsidRPr="009113D4">
        <w:t xml:space="preserve">Que divulguen </w:t>
      </w:r>
      <w:r w:rsidR="00AC337C" w:rsidRPr="009113D4">
        <w:t>[</w:t>
      </w:r>
      <w:r w:rsidRPr="009113D4">
        <w:t>el país de origen</w:t>
      </w:r>
      <w:r w:rsidR="00E34CB8" w:rsidRPr="009113D4">
        <w:t xml:space="preserve"> </w:t>
      </w:r>
      <w:r w:rsidR="00BF1CB4" w:rsidRPr="009113D4">
        <w:t>[</w:t>
      </w:r>
      <w:r w:rsidRPr="009113D4">
        <w:t>y</w:t>
      </w:r>
      <w:r w:rsidR="00BF1CB4" w:rsidRPr="009113D4">
        <w:t>]</w:t>
      </w:r>
      <w:r w:rsidR="00314714" w:rsidRPr="009113D4">
        <w:t>]</w:t>
      </w:r>
      <w:r w:rsidR="003F508E" w:rsidRPr="009113D4">
        <w:t xml:space="preserve"> [</w:t>
      </w:r>
      <w:r w:rsidR="00E34CB8" w:rsidRPr="009113D4">
        <w:t>o</w:t>
      </w:r>
      <w:r w:rsidRPr="009113D4">
        <w:t>, de no conocerse</w:t>
      </w:r>
      <w:r w:rsidR="00E001C2" w:rsidRPr="009113D4">
        <w:t xml:space="preserve"> éste</w:t>
      </w:r>
      <w:r w:rsidR="003F508E" w:rsidRPr="009113D4">
        <w:t xml:space="preserve">,] </w:t>
      </w:r>
      <w:r w:rsidRPr="009113D4">
        <w:t xml:space="preserve">la fuente de los recursos </w:t>
      </w:r>
      <w:proofErr w:type="gramStart"/>
      <w:r w:rsidRPr="009113D4">
        <w:t>genéticos[</w:t>
      </w:r>
      <w:proofErr w:type="gramEnd"/>
      <w:r w:rsidRPr="009113D4">
        <w:t>, sus derivados] y los [conocimientos tradicionales conexos] [conocimientos tradicionales asociados a los recursos genéticos]</w:t>
      </w:r>
      <w:r w:rsidR="009126C5" w:rsidRPr="009113D4">
        <w:t>.</w:t>
      </w:r>
    </w:p>
    <w:p w:rsidR="00E71A9B" w:rsidRPr="009113D4" w:rsidRDefault="003F508E" w:rsidP="006C769F">
      <w:pPr>
        <w:pStyle w:val="ListParagraph"/>
        <w:widowControl w:val="0"/>
        <w:numPr>
          <w:ilvl w:val="0"/>
          <w:numId w:val="18"/>
        </w:numPr>
        <w:ind w:left="426" w:hanging="426"/>
      </w:pPr>
      <w:r w:rsidRPr="009113D4">
        <w:t>[</w:t>
      </w:r>
      <w:r w:rsidR="00D70133" w:rsidRPr="009113D4">
        <w:t>Que proporcionen información pertinente</w:t>
      </w:r>
      <w:r w:rsidR="00DA30F8" w:rsidRPr="009113D4">
        <w:t xml:space="preserve">, </w:t>
      </w:r>
      <w:r w:rsidR="00D70133" w:rsidRPr="009113D4">
        <w:t>según lo exija la normativa</w:t>
      </w:r>
      <w:r w:rsidRPr="009113D4">
        <w:t xml:space="preserve"> </w:t>
      </w:r>
      <w:r w:rsidR="00D70133" w:rsidRPr="009113D4">
        <w:t>nacional</w:t>
      </w:r>
      <w:r w:rsidR="0024402E" w:rsidRPr="009113D4">
        <w:t xml:space="preserve"> </w:t>
      </w:r>
      <w:r w:rsidR="00AC337C" w:rsidRPr="009113D4">
        <w:t>que ri</w:t>
      </w:r>
      <w:r w:rsidR="001D4571" w:rsidRPr="009113D4">
        <w:t>ge</w:t>
      </w:r>
      <w:r w:rsidR="00D70133" w:rsidRPr="009113D4">
        <w:t xml:space="preserve"> la </w:t>
      </w:r>
      <w:r w:rsidR="00A73AF6" w:rsidRPr="009113D4">
        <w:t>o</w:t>
      </w:r>
      <w:r w:rsidRPr="009113D4">
        <w:t>fic</w:t>
      </w:r>
      <w:r w:rsidR="00D70133" w:rsidRPr="009113D4">
        <w:t>ina de [P.I.] [patentes]</w:t>
      </w:r>
      <w:r w:rsidR="008E169D" w:rsidRPr="009113D4">
        <w:t xml:space="preserve">, </w:t>
      </w:r>
      <w:r w:rsidR="00D70133" w:rsidRPr="009113D4">
        <w:t>sobre el cumplimiento de los requisitos de acceso y participación en los beneficios, incluido el consentimiento fundamentado previo</w:t>
      </w:r>
      <w:r w:rsidR="009126C5" w:rsidRPr="009113D4">
        <w:t>,</w:t>
      </w:r>
      <w:r w:rsidR="0024402E" w:rsidRPr="009113D4">
        <w:t xml:space="preserve"> </w:t>
      </w:r>
      <w:r w:rsidRPr="009113D4">
        <w:t>[</w:t>
      </w:r>
      <w:r w:rsidR="00D70133" w:rsidRPr="009113D4">
        <w:t>e</w:t>
      </w:r>
      <w:r w:rsidRPr="009113D4">
        <w:t xml:space="preserve">n particular </w:t>
      </w:r>
      <w:r w:rsidR="00D70133" w:rsidRPr="009113D4">
        <w:t xml:space="preserve">de </w:t>
      </w:r>
      <w:r w:rsidR="00D70133" w:rsidRPr="009113D4">
        <w:rPr>
          <w:szCs w:val="22"/>
        </w:rPr>
        <w:t>las comunidades locales [e] [y los pueblos] indígenas</w:t>
      </w:r>
      <w:r w:rsidRPr="009113D4">
        <w:t xml:space="preserve">], </w:t>
      </w:r>
      <w:r w:rsidR="00D70133" w:rsidRPr="009113D4">
        <w:t>cuando proceda</w:t>
      </w:r>
      <w:r w:rsidR="009126C5" w:rsidRPr="009113D4">
        <w:t>.</w:t>
      </w:r>
      <w:r w:rsidRPr="009113D4">
        <w:t>]</w:t>
      </w:r>
    </w:p>
    <w:p w:rsidR="00E71A9B" w:rsidRPr="009113D4" w:rsidRDefault="00D70133" w:rsidP="006C769F">
      <w:pPr>
        <w:pStyle w:val="ListParagraph"/>
        <w:widowControl w:val="0"/>
        <w:numPr>
          <w:ilvl w:val="0"/>
          <w:numId w:val="18"/>
        </w:numPr>
        <w:ind w:left="426" w:hanging="426"/>
      </w:pPr>
      <w:r w:rsidRPr="009113D4">
        <w:t>Si no se conoce la fuente y/o el país de origen</w:t>
      </w:r>
      <w:r w:rsidR="005D100F" w:rsidRPr="009113D4">
        <w:t>,</w:t>
      </w:r>
      <w:r w:rsidR="000B3EB7" w:rsidRPr="009113D4">
        <w:t xml:space="preserve"> </w:t>
      </w:r>
      <w:r w:rsidRPr="009113D4">
        <w:t>un</w:t>
      </w:r>
      <w:r w:rsidR="000B3EB7" w:rsidRPr="009113D4">
        <w:t xml:space="preserve">a </w:t>
      </w:r>
      <w:r w:rsidRPr="009113D4">
        <w:t>declaración</w:t>
      </w:r>
      <w:r w:rsidR="000B3EB7" w:rsidRPr="009113D4">
        <w:t xml:space="preserve"> </w:t>
      </w:r>
      <w:r w:rsidRPr="009113D4">
        <w:t>en ese sentido</w:t>
      </w:r>
      <w:r w:rsidR="000B3EB7" w:rsidRPr="009113D4">
        <w:t>.</w:t>
      </w:r>
    </w:p>
    <w:p w:rsidR="00E71A9B" w:rsidRPr="009113D4" w:rsidRDefault="00E71A9B" w:rsidP="00502D9F">
      <w:pPr>
        <w:widowControl w:val="0"/>
      </w:pPr>
    </w:p>
    <w:p w:rsidR="00E71A9B" w:rsidRPr="009113D4" w:rsidRDefault="000B3EB7" w:rsidP="00502D9F">
      <w:pPr>
        <w:widowControl w:val="0"/>
      </w:pPr>
      <w:r w:rsidRPr="009113D4">
        <w:t>3.2</w:t>
      </w:r>
      <w:r w:rsidR="002565F9" w:rsidRPr="009113D4">
        <w:tab/>
      </w:r>
      <w:r w:rsidR="00D70133" w:rsidRPr="009113D4">
        <w:t xml:space="preserve">El </w:t>
      </w:r>
      <w:r w:rsidR="0080743A" w:rsidRPr="009113D4">
        <w:t>requisito</w:t>
      </w:r>
      <w:r w:rsidR="00D70133" w:rsidRPr="009113D4">
        <w:t xml:space="preserve"> de divulgación no </w:t>
      </w:r>
      <w:r w:rsidR="002472CB" w:rsidRPr="009113D4">
        <w:t>[</w:t>
      </w:r>
      <w:r w:rsidR="00D70133" w:rsidRPr="009113D4">
        <w:t>debe</w:t>
      </w:r>
      <w:r w:rsidR="00192C10" w:rsidRPr="009113D4">
        <w:t>/</w:t>
      </w:r>
      <w:r w:rsidR="00D70133" w:rsidRPr="009113D4">
        <w:t>deberá</w:t>
      </w:r>
      <w:r w:rsidR="00AC337C" w:rsidRPr="009113D4">
        <w:t xml:space="preserve"> obligar</w:t>
      </w:r>
      <w:r w:rsidR="002472CB" w:rsidRPr="009113D4">
        <w:t>] [</w:t>
      </w:r>
      <w:r w:rsidR="00D70133" w:rsidRPr="009113D4">
        <w:t>obliga</w:t>
      </w:r>
      <w:r w:rsidR="002472CB" w:rsidRPr="009113D4">
        <w:t>]</w:t>
      </w:r>
      <w:r w:rsidR="002565F9" w:rsidRPr="009113D4">
        <w:t xml:space="preserve"> </w:t>
      </w:r>
      <w:r w:rsidR="00D70133" w:rsidRPr="009113D4">
        <w:t xml:space="preserve">a las oficinas de </w:t>
      </w:r>
      <w:r w:rsidR="00FE5DE4" w:rsidRPr="009113D4">
        <w:t>[</w:t>
      </w:r>
      <w:r w:rsidR="00D70133" w:rsidRPr="009113D4">
        <w:t>P.I.</w:t>
      </w:r>
      <w:r w:rsidR="002565F9" w:rsidRPr="009113D4">
        <w:t>] [patent</w:t>
      </w:r>
      <w:r w:rsidR="00D70133" w:rsidRPr="009113D4">
        <w:t>es</w:t>
      </w:r>
      <w:r w:rsidR="002565F9" w:rsidRPr="009113D4">
        <w:t>]</w:t>
      </w:r>
      <w:r w:rsidR="00D70133" w:rsidRPr="009113D4">
        <w:t xml:space="preserve"> a verificar el contenido de la divulgación</w:t>
      </w:r>
      <w:r w:rsidR="002565F9" w:rsidRPr="009113D4">
        <w:t>.</w:t>
      </w:r>
      <w:r w:rsidR="00353EB2" w:rsidRPr="009113D4">
        <w:t xml:space="preserve"> </w:t>
      </w:r>
      <w:r w:rsidR="00D70133" w:rsidRPr="009113D4">
        <w:t xml:space="preserve"> </w:t>
      </w:r>
      <w:r w:rsidR="00353EB2" w:rsidRPr="009113D4">
        <w:t>[</w:t>
      </w:r>
      <w:r w:rsidR="00D70133" w:rsidRPr="009113D4">
        <w:t>Sin embargo, se exig</w:t>
      </w:r>
      <w:r w:rsidR="0080743A" w:rsidRPr="009113D4">
        <w:t>irá</w:t>
      </w:r>
      <w:r w:rsidR="00D70133" w:rsidRPr="009113D4">
        <w:t xml:space="preserve"> a las oficinas de </w:t>
      </w:r>
      <w:r w:rsidR="00715528" w:rsidRPr="009113D4">
        <w:t>[</w:t>
      </w:r>
      <w:r w:rsidR="00D70133" w:rsidRPr="009113D4">
        <w:t>P.I.</w:t>
      </w:r>
      <w:r w:rsidR="00715528" w:rsidRPr="009113D4">
        <w:t>]</w:t>
      </w:r>
      <w:r w:rsidR="00353EB2" w:rsidRPr="009113D4">
        <w:t xml:space="preserve"> </w:t>
      </w:r>
      <w:r w:rsidR="00E3746E" w:rsidRPr="009113D4">
        <w:t>[</w:t>
      </w:r>
      <w:r w:rsidR="00294B37" w:rsidRPr="009113D4">
        <w:t>p</w:t>
      </w:r>
      <w:r w:rsidR="00E3746E" w:rsidRPr="009113D4">
        <w:t>atent</w:t>
      </w:r>
      <w:r w:rsidR="00D70133" w:rsidRPr="009113D4">
        <w:t>es</w:t>
      </w:r>
      <w:r w:rsidR="00E3746E" w:rsidRPr="009113D4">
        <w:t>]</w:t>
      </w:r>
      <w:r w:rsidR="00353EB2" w:rsidRPr="009113D4">
        <w:t xml:space="preserve"> </w:t>
      </w:r>
      <w:r w:rsidR="00D70133" w:rsidRPr="009113D4">
        <w:t xml:space="preserve">que proporcionen a los solicitantes de </w:t>
      </w:r>
      <w:r w:rsidR="0080743A" w:rsidRPr="009113D4">
        <w:t>[derechos de P.I.] [</w:t>
      </w:r>
      <w:proofErr w:type="gramStart"/>
      <w:r w:rsidR="0080743A" w:rsidRPr="009113D4">
        <w:t>patentes</w:t>
      </w:r>
      <w:proofErr w:type="gramEnd"/>
      <w:r w:rsidR="0080743A" w:rsidRPr="009113D4">
        <w:t>] orientación eficaz acerca de la forma de cumplir con los requisitos de divulgación</w:t>
      </w:r>
      <w:r w:rsidR="00353EB2" w:rsidRPr="009113D4">
        <w:t xml:space="preserve">, </w:t>
      </w:r>
      <w:r w:rsidR="0080743A" w:rsidRPr="009113D4">
        <w:t xml:space="preserve">y </w:t>
      </w:r>
      <w:r w:rsidR="00AC337C" w:rsidRPr="009113D4">
        <w:t xml:space="preserve">les </w:t>
      </w:r>
      <w:r w:rsidR="0080743A" w:rsidRPr="009113D4">
        <w:t xml:space="preserve">den la oportunidad de obtener de las oficinas de </w:t>
      </w:r>
      <w:r w:rsidR="00715528" w:rsidRPr="009113D4">
        <w:t>[</w:t>
      </w:r>
      <w:r w:rsidR="0080743A" w:rsidRPr="009113D4">
        <w:t>P.I.</w:t>
      </w:r>
      <w:r w:rsidR="00715528" w:rsidRPr="009113D4">
        <w:t xml:space="preserve">] </w:t>
      </w:r>
      <w:r w:rsidR="00294B37" w:rsidRPr="009113D4">
        <w:t>[</w:t>
      </w:r>
      <w:r w:rsidR="00353EB2" w:rsidRPr="009113D4">
        <w:t>patent</w:t>
      </w:r>
      <w:r w:rsidR="0080743A" w:rsidRPr="009113D4">
        <w:t>e</w:t>
      </w:r>
      <w:r w:rsidR="00AC337C" w:rsidRPr="009113D4">
        <w:t>s</w:t>
      </w:r>
      <w:r w:rsidR="00294B37" w:rsidRPr="009113D4">
        <w:t>]</w:t>
      </w:r>
      <w:r w:rsidR="00353EB2" w:rsidRPr="009113D4">
        <w:t xml:space="preserve"> </w:t>
      </w:r>
      <w:r w:rsidR="0080743A" w:rsidRPr="009113D4">
        <w:t>un</w:t>
      </w:r>
      <w:r w:rsidR="00353EB2" w:rsidRPr="009113D4">
        <w:t xml:space="preserve">a </w:t>
      </w:r>
      <w:r w:rsidR="0080743A" w:rsidRPr="009113D4">
        <w:t>decisión favorable</w:t>
      </w:r>
      <w:r w:rsidR="00353EB2" w:rsidRPr="009113D4">
        <w:t xml:space="preserve"> </w:t>
      </w:r>
      <w:r w:rsidR="0080743A" w:rsidRPr="009113D4">
        <w:t>en el sentido de que se han cumplido los requisitos de divulgación</w:t>
      </w:r>
      <w:r w:rsidR="00353EB2" w:rsidRPr="009113D4">
        <w:t>.]</w:t>
      </w:r>
    </w:p>
    <w:p w:rsidR="00E71A9B" w:rsidRPr="009113D4" w:rsidRDefault="00E71A9B" w:rsidP="00502D9F">
      <w:pPr>
        <w:widowControl w:val="0"/>
      </w:pPr>
    </w:p>
    <w:p w:rsidR="00E71A9B" w:rsidRPr="009113D4" w:rsidRDefault="007E1A4D" w:rsidP="00502D9F">
      <w:pPr>
        <w:widowControl w:val="0"/>
      </w:pPr>
      <w:r w:rsidRPr="009113D4">
        <w:t>3.3</w:t>
      </w:r>
      <w:r w:rsidRPr="009113D4">
        <w:tab/>
      </w:r>
      <w:r w:rsidR="00AC337C" w:rsidRPr="009113D4">
        <w:t>Debe</w:t>
      </w:r>
      <w:r w:rsidR="0080743A" w:rsidRPr="009113D4">
        <w:t>/</w:t>
      </w:r>
      <w:r w:rsidR="00AC337C" w:rsidRPr="009113D4">
        <w:t xml:space="preserve">Deberá </w:t>
      </w:r>
      <w:r w:rsidR="0080743A" w:rsidRPr="009113D4">
        <w:t>introducir</w:t>
      </w:r>
      <w:r w:rsidR="00AC337C" w:rsidRPr="009113D4">
        <w:t>se</w:t>
      </w:r>
      <w:r w:rsidR="0080743A" w:rsidRPr="009113D4">
        <w:t xml:space="preserve"> un procedimiento sencillo de notificación en las oficinas de [patentes] [P.I.] </w:t>
      </w:r>
      <w:r w:rsidR="00E001C2" w:rsidRPr="009113D4">
        <w:t>que reciben un</w:t>
      </w:r>
      <w:r w:rsidR="00950092" w:rsidRPr="009113D4">
        <w:t xml:space="preserve">a </w:t>
      </w:r>
      <w:r w:rsidR="00E001C2" w:rsidRPr="009113D4">
        <w:t>declaración</w:t>
      </w:r>
      <w:r w:rsidR="00076995" w:rsidRPr="009113D4">
        <w:t>.</w:t>
      </w:r>
      <w:r w:rsidRPr="009113D4">
        <w:t xml:space="preserve"> </w:t>
      </w:r>
      <w:r w:rsidR="00E001C2" w:rsidRPr="009113D4">
        <w:t xml:space="preserve"> </w:t>
      </w:r>
      <w:r w:rsidRPr="009113D4">
        <w:t>[</w:t>
      </w:r>
      <w:r w:rsidR="00E001C2" w:rsidRPr="009113D4">
        <w:t xml:space="preserve">Cabría seleccionar, en particular, el mecanismo de facilitación del CDB/ITPGRFA como organismo central al que las oficinas de [P.I.] [patentes] </w:t>
      </w:r>
      <w:r w:rsidR="00E001C2" w:rsidRPr="009113D4">
        <w:lastRenderedPageBreak/>
        <w:t>podrían enviar la información disponible.</w:t>
      </w:r>
      <w:r w:rsidRPr="009113D4">
        <w:t>]</w:t>
      </w:r>
    </w:p>
    <w:p w:rsidR="00E71A9B" w:rsidRPr="009113D4" w:rsidRDefault="00E71A9B" w:rsidP="00502D9F">
      <w:pPr>
        <w:widowControl w:val="0"/>
      </w:pPr>
    </w:p>
    <w:p w:rsidR="00E71A9B" w:rsidRPr="009113D4" w:rsidRDefault="00734020" w:rsidP="00502D9F">
      <w:pPr>
        <w:widowControl w:val="0"/>
      </w:pPr>
      <w:r w:rsidRPr="009113D4">
        <w:t>3.</w:t>
      </w:r>
      <w:r w:rsidR="007E1A4D" w:rsidRPr="009113D4">
        <w:t>4</w:t>
      </w:r>
      <w:r w:rsidR="000B3EB7" w:rsidRPr="009113D4">
        <w:tab/>
      </w:r>
      <w:r w:rsidR="008A7BD0" w:rsidRPr="009113D4">
        <w:t>[</w:t>
      </w:r>
      <w:r w:rsidR="00E001C2" w:rsidRPr="009113D4">
        <w:t>Las Partes Contratantes deben</w:t>
      </w:r>
      <w:r w:rsidR="00192C10" w:rsidRPr="009113D4">
        <w:t>/</w:t>
      </w:r>
      <w:r w:rsidR="00E001C2" w:rsidRPr="009113D4">
        <w:t>deberán poner a disposición del público</w:t>
      </w:r>
      <w:r w:rsidR="000B3EB7" w:rsidRPr="009113D4">
        <w:t xml:space="preserve"> </w:t>
      </w:r>
      <w:r w:rsidR="00E001C2" w:rsidRPr="009113D4">
        <w:t>la información divulgada en el momento de la publicación</w:t>
      </w:r>
      <w:r w:rsidR="00542F7E" w:rsidRPr="009113D4">
        <w:t>.</w:t>
      </w:r>
      <w:r w:rsidR="008A7BD0" w:rsidRPr="009113D4">
        <w:t>]</w:t>
      </w:r>
    </w:p>
    <w:p w:rsidR="00E71A9B" w:rsidRPr="009113D4" w:rsidRDefault="00E71A9B" w:rsidP="00502D9F">
      <w:pPr>
        <w:widowControl w:val="0"/>
      </w:pPr>
    </w:p>
    <w:p w:rsidR="00E71A9B" w:rsidRPr="009113D4" w:rsidRDefault="007E1A4D" w:rsidP="00502D9F">
      <w:pPr>
        <w:widowControl w:val="0"/>
      </w:pPr>
      <w:r w:rsidRPr="009113D4">
        <w:t>3.5</w:t>
      </w:r>
      <w:r w:rsidR="003F508E" w:rsidRPr="009113D4">
        <w:tab/>
      </w:r>
      <w:r w:rsidR="00E001C2" w:rsidRPr="009113D4">
        <w:t>[Los recursos genéticos y [</w:t>
      </w:r>
      <w:r w:rsidR="00AC337C" w:rsidRPr="009113D4">
        <w:t xml:space="preserve">sus </w:t>
      </w:r>
      <w:r w:rsidR="00E001C2" w:rsidRPr="009113D4">
        <w:t xml:space="preserve">derivados] tal como se encuentran en la naturaleza o aislados de ella no deben/deberán considerarse [invenciones] [P.I.] y, por lo tanto, no deben/deberán concederse derechos de [P.I.] </w:t>
      </w:r>
      <w:r w:rsidR="00AC337C" w:rsidRPr="009113D4">
        <w:t xml:space="preserve">[patente] </w:t>
      </w:r>
      <w:r w:rsidR="00E001C2" w:rsidRPr="009113D4">
        <w:t>sobre ellos</w:t>
      </w:r>
      <w:r w:rsidR="003F508E" w:rsidRPr="009113D4">
        <w:t>.]</w:t>
      </w:r>
      <w:r w:rsidR="002472CB" w:rsidRPr="009113D4">
        <w:t>]</w:t>
      </w:r>
    </w:p>
    <w:p w:rsidR="00E71A9B" w:rsidRPr="009113D4" w:rsidRDefault="00E71A9B" w:rsidP="00502D9F">
      <w:pPr>
        <w:widowControl w:val="0"/>
      </w:pPr>
    </w:p>
    <w:p w:rsidR="00E71A9B" w:rsidRPr="009113D4" w:rsidRDefault="00E71A9B" w:rsidP="00502D9F">
      <w:pPr>
        <w:widowControl w:val="0"/>
      </w:pPr>
    </w:p>
    <w:p w:rsidR="00E71A9B" w:rsidRPr="009113D4" w:rsidRDefault="00E71A9B" w:rsidP="00502D9F">
      <w:pPr>
        <w:widowControl w:val="0"/>
        <w:jc w:val="center"/>
        <w:rPr>
          <w:b/>
        </w:rPr>
      </w:pPr>
      <w:r w:rsidRPr="009113D4">
        <w:rPr>
          <w:b/>
        </w:rPr>
        <w:t>[ARTÍCULO 4]</w:t>
      </w:r>
    </w:p>
    <w:p w:rsidR="00E71A9B" w:rsidRPr="009113D4" w:rsidRDefault="00E71A9B" w:rsidP="00502D9F">
      <w:pPr>
        <w:widowControl w:val="0"/>
        <w:jc w:val="center"/>
        <w:rPr>
          <w:b/>
        </w:rPr>
      </w:pPr>
      <w:r w:rsidRPr="009113D4">
        <w:rPr>
          <w:b/>
        </w:rPr>
        <w:t>EXCEPCIONES Y LIMITACIONES</w:t>
      </w:r>
    </w:p>
    <w:p w:rsidR="00E71A9B" w:rsidRPr="009113D4" w:rsidRDefault="00E71A9B" w:rsidP="00502D9F">
      <w:pPr>
        <w:widowControl w:val="0"/>
      </w:pPr>
    </w:p>
    <w:p w:rsidR="00E71A9B" w:rsidRPr="009113D4" w:rsidRDefault="002472CB" w:rsidP="00502D9F">
      <w:pPr>
        <w:widowControl w:val="0"/>
      </w:pPr>
      <w:r w:rsidRPr="009113D4">
        <w:t>4.1</w:t>
      </w:r>
      <w:r w:rsidRPr="009113D4">
        <w:tab/>
      </w:r>
      <w:r w:rsidR="00E001C2" w:rsidRPr="009113D4">
        <w:t xml:space="preserve">El requisito de divulgación respecto de [la P.I. relacionada] [las patentes relacionadas] con recursos </w:t>
      </w:r>
      <w:proofErr w:type="gramStart"/>
      <w:r w:rsidR="00E001C2" w:rsidRPr="009113D4">
        <w:t>genéticos[</w:t>
      </w:r>
      <w:proofErr w:type="gramEnd"/>
      <w:r w:rsidR="00E001C2" w:rsidRPr="009113D4">
        <w:t>, sus derivados] y [conocimientos tradicionales conexos] [conocimientos tradicionales asociados a los recursos genéticos] no debe/deberá aplicarse a lo siguiente:</w:t>
      </w:r>
    </w:p>
    <w:p w:rsidR="00E71A9B" w:rsidRPr="009113D4" w:rsidRDefault="00E71A9B" w:rsidP="00F27A18">
      <w:pPr>
        <w:widowControl w:val="0"/>
      </w:pPr>
    </w:p>
    <w:p w:rsidR="00E71A9B" w:rsidRPr="009113D4" w:rsidRDefault="0022239A" w:rsidP="00F27A18">
      <w:pPr>
        <w:pStyle w:val="ListParagraph"/>
        <w:widowControl w:val="0"/>
        <w:numPr>
          <w:ilvl w:val="0"/>
          <w:numId w:val="22"/>
        </w:numPr>
        <w:ind w:left="0" w:firstLine="0"/>
      </w:pPr>
      <w:r w:rsidRPr="009113D4">
        <w:t>[</w:t>
      </w:r>
      <w:r w:rsidR="00E001C2" w:rsidRPr="009113D4">
        <w:t>todos los [recursos genéticos humanos</w:t>
      </w:r>
      <w:r w:rsidR="00127585" w:rsidRPr="009113D4">
        <w:t>] [recursos genéticos tomados de seres humanos]</w:t>
      </w:r>
      <w:r w:rsidR="00E001C2" w:rsidRPr="009113D4">
        <w:t xml:space="preserve"> </w:t>
      </w:r>
      <w:r w:rsidR="00502D9F" w:rsidRPr="009113D4">
        <w:t>[</w:t>
      </w:r>
      <w:r w:rsidR="00E001C2" w:rsidRPr="009113D4">
        <w:t>incluidos los patógenos humanos</w:t>
      </w:r>
      <w:r w:rsidR="00127585" w:rsidRPr="009113D4">
        <w:t>]</w:t>
      </w:r>
      <w:r w:rsidR="002472CB" w:rsidRPr="009113D4">
        <w:t>;</w:t>
      </w:r>
      <w:r w:rsidRPr="009113D4">
        <w:t>]</w:t>
      </w:r>
    </w:p>
    <w:p w:rsidR="00E71A9B" w:rsidRPr="009113D4" w:rsidRDefault="00E71A9B" w:rsidP="00F27A18">
      <w:pPr>
        <w:pStyle w:val="ListParagraph"/>
        <w:widowControl w:val="0"/>
        <w:numPr>
          <w:ilvl w:val="0"/>
          <w:numId w:val="22"/>
        </w:numPr>
        <w:ind w:left="0" w:firstLine="0"/>
      </w:pPr>
      <w:r w:rsidRPr="009113D4">
        <w:t>[derivados];</w:t>
      </w:r>
    </w:p>
    <w:p w:rsidR="00E71A9B" w:rsidRPr="009113D4" w:rsidRDefault="00127585" w:rsidP="00F27A18">
      <w:pPr>
        <w:pStyle w:val="ListParagraph"/>
        <w:widowControl w:val="0"/>
        <w:numPr>
          <w:ilvl w:val="0"/>
          <w:numId w:val="22"/>
        </w:numPr>
        <w:ind w:left="0" w:firstLine="0"/>
      </w:pPr>
      <w:r w:rsidRPr="009113D4">
        <w:t>[</w:t>
      </w:r>
      <w:r w:rsidR="00E71A9B" w:rsidRPr="009113D4">
        <w:t>productos básicos</w:t>
      </w:r>
      <w:r w:rsidRPr="009113D4">
        <w:t>]</w:t>
      </w:r>
      <w:r w:rsidR="00E71A9B" w:rsidRPr="009113D4">
        <w:t>;</w:t>
      </w:r>
    </w:p>
    <w:p w:rsidR="00E71A9B" w:rsidRPr="009113D4" w:rsidRDefault="00127585" w:rsidP="00F27A18">
      <w:pPr>
        <w:pStyle w:val="ListParagraph"/>
        <w:widowControl w:val="0"/>
        <w:numPr>
          <w:ilvl w:val="0"/>
          <w:numId w:val="22"/>
        </w:numPr>
        <w:ind w:left="0" w:firstLine="0"/>
      </w:pPr>
      <w:r w:rsidRPr="009113D4">
        <w:t>[</w:t>
      </w:r>
      <w:r w:rsidR="00E71A9B" w:rsidRPr="009113D4">
        <w:t>conocimientos tradicionales que formen parte del dominio público</w:t>
      </w:r>
      <w:r w:rsidRPr="009113D4">
        <w:t>]</w:t>
      </w:r>
      <w:r w:rsidR="00E71A9B" w:rsidRPr="009113D4">
        <w:t>;</w:t>
      </w:r>
    </w:p>
    <w:p w:rsidR="00E71A9B" w:rsidRPr="009113D4" w:rsidRDefault="00715528" w:rsidP="00F27A18">
      <w:pPr>
        <w:pStyle w:val="ListParagraph"/>
        <w:widowControl w:val="0"/>
        <w:numPr>
          <w:ilvl w:val="0"/>
          <w:numId w:val="22"/>
        </w:numPr>
        <w:ind w:left="0" w:firstLine="0"/>
      </w:pPr>
      <w:r w:rsidRPr="009113D4">
        <w:t>[</w:t>
      </w:r>
      <w:r w:rsidR="00127585" w:rsidRPr="009113D4">
        <w:t>recursos genéticos procedentes de zonas que se encuentran fuera de las jurisdicciones nacionales</w:t>
      </w:r>
      <w:r w:rsidR="003573D0" w:rsidRPr="009113D4">
        <w:t xml:space="preserve"> [</w:t>
      </w:r>
      <w:r w:rsidR="00127585" w:rsidRPr="009113D4">
        <w:t>y zonas económicas</w:t>
      </w:r>
      <w:r w:rsidR="003573D0" w:rsidRPr="009113D4">
        <w:t>]</w:t>
      </w:r>
      <w:r w:rsidRPr="009113D4">
        <w:t>]</w:t>
      </w:r>
      <w:r w:rsidR="002472CB" w:rsidRPr="009113D4">
        <w:t>;</w:t>
      </w:r>
      <w:r w:rsidR="00127585" w:rsidRPr="009113D4">
        <w:t xml:space="preserve"> y</w:t>
      </w:r>
    </w:p>
    <w:p w:rsidR="00E71A9B" w:rsidRPr="009113D4" w:rsidRDefault="00BF1CB4" w:rsidP="00F27A18">
      <w:pPr>
        <w:pStyle w:val="ListParagraph"/>
        <w:widowControl w:val="0"/>
        <w:numPr>
          <w:ilvl w:val="0"/>
          <w:numId w:val="22"/>
        </w:numPr>
        <w:ind w:left="0" w:firstLine="0"/>
      </w:pPr>
      <w:r w:rsidRPr="009113D4">
        <w:t>[</w:t>
      </w:r>
      <w:r w:rsidR="00127585" w:rsidRPr="009113D4">
        <w:t>todos los recursos</w:t>
      </w:r>
      <w:r w:rsidR="002472CB" w:rsidRPr="009113D4">
        <w:t xml:space="preserve"> </w:t>
      </w:r>
      <w:r w:rsidR="00127585" w:rsidRPr="009113D4">
        <w:t>genéticos</w:t>
      </w:r>
      <w:r w:rsidR="002472CB" w:rsidRPr="009113D4">
        <w:t xml:space="preserve"> </w:t>
      </w:r>
      <w:r w:rsidR="003573D0" w:rsidRPr="009113D4">
        <w:t>[</w:t>
      </w:r>
      <w:r w:rsidR="002472CB" w:rsidRPr="009113D4">
        <w:t>a</w:t>
      </w:r>
      <w:r w:rsidR="00127585" w:rsidRPr="009113D4">
        <w:t>d</w:t>
      </w:r>
      <w:r w:rsidR="002472CB" w:rsidRPr="009113D4">
        <w:t>quir</w:t>
      </w:r>
      <w:r w:rsidR="00127585" w:rsidRPr="009113D4">
        <w:t>i</w:t>
      </w:r>
      <w:r w:rsidR="002472CB" w:rsidRPr="009113D4">
        <w:t>d</w:t>
      </w:r>
      <w:r w:rsidR="00127585" w:rsidRPr="009113D4">
        <w:t>os</w:t>
      </w:r>
      <w:r w:rsidR="003573D0" w:rsidRPr="009113D4">
        <w:t>] [</w:t>
      </w:r>
      <w:r w:rsidR="00127585" w:rsidRPr="009113D4">
        <w:t>a los que se haya tenido acceso</w:t>
      </w:r>
      <w:r w:rsidR="003573D0" w:rsidRPr="009113D4">
        <w:t>]</w:t>
      </w:r>
      <w:r w:rsidR="002472CB" w:rsidRPr="009113D4">
        <w:t xml:space="preserve"> </w:t>
      </w:r>
      <w:r w:rsidR="00127585" w:rsidRPr="009113D4">
        <w:t>antes de</w:t>
      </w:r>
      <w:r w:rsidR="002472CB" w:rsidRPr="009113D4">
        <w:t xml:space="preserve"> </w:t>
      </w:r>
      <w:r w:rsidR="00303561" w:rsidRPr="009113D4">
        <w:t>[</w:t>
      </w:r>
      <w:r w:rsidR="00127585" w:rsidRPr="009113D4">
        <w:t>la entrada en vigor del Convenio sobre la Diversidad Biológica</w:t>
      </w:r>
      <w:r w:rsidR="002472CB" w:rsidRPr="009113D4">
        <w:t>]</w:t>
      </w:r>
      <w:r w:rsidR="00303561" w:rsidRPr="009113D4">
        <w:t xml:space="preserve"> </w:t>
      </w:r>
      <w:r w:rsidR="003573D0" w:rsidRPr="009113D4">
        <w:t>[</w:t>
      </w:r>
      <w:r w:rsidR="00127585" w:rsidRPr="009113D4">
        <w:t xml:space="preserve">antes del </w:t>
      </w:r>
      <w:r w:rsidR="00303561" w:rsidRPr="009113D4">
        <w:t>29</w:t>
      </w:r>
      <w:r w:rsidR="00127585" w:rsidRPr="009113D4">
        <w:t xml:space="preserve"> de diciembre de</w:t>
      </w:r>
      <w:r w:rsidR="00303561" w:rsidRPr="009113D4">
        <w:t xml:space="preserve"> 1993]</w:t>
      </w:r>
      <w:r w:rsidR="00811AEE" w:rsidRPr="009113D4">
        <w:t>.</w:t>
      </w:r>
      <w:r w:rsidRPr="009113D4">
        <w:t>]</w:t>
      </w:r>
    </w:p>
    <w:p w:rsidR="00E71A9B" w:rsidRPr="009113D4" w:rsidRDefault="00E71A9B" w:rsidP="00F27A18">
      <w:pPr>
        <w:pStyle w:val="ListParagraph"/>
        <w:widowControl w:val="0"/>
        <w:ind w:left="0"/>
      </w:pPr>
    </w:p>
    <w:p w:rsidR="00E71A9B" w:rsidRPr="009113D4" w:rsidRDefault="00811AEE" w:rsidP="00502D9F">
      <w:pPr>
        <w:widowControl w:val="0"/>
      </w:pPr>
      <w:r w:rsidRPr="009113D4">
        <w:t>4.2</w:t>
      </w:r>
      <w:r w:rsidRPr="009113D4">
        <w:tab/>
      </w:r>
      <w:r w:rsidR="003573D0" w:rsidRPr="009113D4">
        <w:t>[</w:t>
      </w:r>
      <w:r w:rsidR="00127585" w:rsidRPr="009113D4">
        <w:t>Los Estados miembros no deben/deberán imponer los requisitos de divulgación previsto</w:t>
      </w:r>
      <w:r w:rsidR="00AC337C" w:rsidRPr="009113D4">
        <w:t>s</w:t>
      </w:r>
      <w:r w:rsidR="00127585" w:rsidRPr="009113D4">
        <w:t xml:space="preserve"> en el presente</w:t>
      </w:r>
      <w:r w:rsidR="00303561" w:rsidRPr="009113D4">
        <w:t xml:space="preserve"> </w:t>
      </w:r>
      <w:r w:rsidR="00127585" w:rsidRPr="009113D4">
        <w:t>instrumento</w:t>
      </w:r>
      <w:r w:rsidR="00303561" w:rsidRPr="009113D4">
        <w:t xml:space="preserve"> </w:t>
      </w:r>
      <w:r w:rsidR="00AC337C" w:rsidRPr="009113D4">
        <w:t>en relación con</w:t>
      </w:r>
      <w:r w:rsidR="00127585" w:rsidRPr="009113D4">
        <w:t xml:space="preserve"> las solicitudes de </w:t>
      </w:r>
      <w:r w:rsidR="00303561" w:rsidRPr="009113D4">
        <w:t>[</w:t>
      </w:r>
      <w:r w:rsidR="00127585" w:rsidRPr="009113D4">
        <w:t>derechos de P.I.</w:t>
      </w:r>
      <w:r w:rsidR="00303561" w:rsidRPr="009113D4">
        <w:t>] [</w:t>
      </w:r>
      <w:proofErr w:type="gramStart"/>
      <w:r w:rsidR="00A73AF6" w:rsidRPr="009113D4">
        <w:t>p</w:t>
      </w:r>
      <w:r w:rsidR="00303561" w:rsidRPr="009113D4">
        <w:t>atent</w:t>
      </w:r>
      <w:r w:rsidR="00127585" w:rsidRPr="009113D4">
        <w:t>e</w:t>
      </w:r>
      <w:proofErr w:type="gramEnd"/>
      <w:r w:rsidR="00303561" w:rsidRPr="009113D4">
        <w:t xml:space="preserve">] </w:t>
      </w:r>
      <w:r w:rsidR="00127585" w:rsidRPr="009113D4">
        <w:t>presentadas antes de la entrada en vigor del presente</w:t>
      </w:r>
      <w:r w:rsidR="00303561" w:rsidRPr="009113D4">
        <w:t xml:space="preserve"> </w:t>
      </w:r>
      <w:r w:rsidR="00127585" w:rsidRPr="009113D4">
        <w:t>instrumento</w:t>
      </w:r>
      <w:r w:rsidR="0001387A" w:rsidRPr="009113D4">
        <w:t>[</w:t>
      </w:r>
      <w:r w:rsidR="00303561" w:rsidRPr="009113D4">
        <w:t xml:space="preserve">, </w:t>
      </w:r>
      <w:r w:rsidR="00127585" w:rsidRPr="009113D4">
        <w:t>con sujeción a la legislación nacional vigente antes de la entrada en vigor del presente</w:t>
      </w:r>
      <w:r w:rsidR="00F83E23" w:rsidRPr="009113D4">
        <w:t xml:space="preserve"> </w:t>
      </w:r>
      <w:r w:rsidR="00127585" w:rsidRPr="009113D4">
        <w:t>instrumento</w:t>
      </w:r>
      <w:r w:rsidR="0001387A" w:rsidRPr="009113D4">
        <w:t>]</w:t>
      </w:r>
      <w:r w:rsidR="00AD267A" w:rsidRPr="009113D4">
        <w:t>.]]</w:t>
      </w:r>
    </w:p>
    <w:p w:rsidR="00E71A9B" w:rsidRPr="009113D4" w:rsidRDefault="00E71A9B" w:rsidP="00502D9F">
      <w:pPr>
        <w:widowControl w:val="0"/>
      </w:pPr>
    </w:p>
    <w:p w:rsidR="00E71A9B" w:rsidRPr="009113D4" w:rsidRDefault="00E71A9B" w:rsidP="00502D9F">
      <w:pPr>
        <w:widowControl w:val="0"/>
        <w:rPr>
          <w:b/>
        </w:rPr>
      </w:pPr>
    </w:p>
    <w:p w:rsidR="00E71A9B" w:rsidRPr="009113D4" w:rsidRDefault="00E71A9B" w:rsidP="00502D9F">
      <w:pPr>
        <w:widowControl w:val="0"/>
        <w:jc w:val="center"/>
        <w:rPr>
          <w:b/>
        </w:rPr>
      </w:pPr>
      <w:r w:rsidRPr="009113D4">
        <w:rPr>
          <w:b/>
        </w:rPr>
        <w:t>[ARTÍCULO 5]</w:t>
      </w:r>
    </w:p>
    <w:p w:rsidR="00E71A9B" w:rsidRPr="009113D4" w:rsidRDefault="00127585" w:rsidP="00502D9F">
      <w:pPr>
        <w:widowControl w:val="0"/>
        <w:jc w:val="center"/>
        <w:rPr>
          <w:b/>
        </w:rPr>
      </w:pPr>
      <w:r w:rsidRPr="009113D4">
        <w:rPr>
          <w:b/>
        </w:rPr>
        <w:t>[RELACIÓN CON EL [PCT] Y EL [PLT]</w:t>
      </w:r>
    </w:p>
    <w:p w:rsidR="00E71A9B" w:rsidRPr="009113D4" w:rsidRDefault="00E71A9B" w:rsidP="00502D9F">
      <w:pPr>
        <w:widowControl w:val="0"/>
        <w:rPr>
          <w:b/>
        </w:rPr>
      </w:pPr>
    </w:p>
    <w:p w:rsidR="00E71A9B" w:rsidRPr="009113D4" w:rsidRDefault="00E71A9B" w:rsidP="00502D9F">
      <w:pPr>
        <w:widowControl w:val="0"/>
      </w:pPr>
      <w:r w:rsidRPr="009113D4">
        <w:t>5.1</w:t>
      </w:r>
      <w:r w:rsidR="00127585" w:rsidRPr="009113D4">
        <w:tab/>
      </w:r>
      <w:r w:rsidRPr="009113D4">
        <w:t>El [PCT] y el [PLT] se modificarán para [incluir] [</w:t>
      </w:r>
      <w:r w:rsidR="00AC337C" w:rsidRPr="009113D4">
        <w:t>posibilitar a</w:t>
      </w:r>
      <w:r w:rsidRPr="009113D4">
        <w:t xml:space="preserve"> las Partes en el [PCT] y el [PLT] </w:t>
      </w:r>
      <w:r w:rsidR="00AC337C" w:rsidRPr="009113D4">
        <w:t xml:space="preserve">que </w:t>
      </w:r>
      <w:r w:rsidRPr="009113D4">
        <w:t xml:space="preserve">contemplen en su legislación nacional] un requisito de divulgación obligatoria del origen y la fuente de los recursos </w:t>
      </w:r>
      <w:proofErr w:type="gramStart"/>
      <w:r w:rsidRPr="009113D4">
        <w:t>genéticos[</w:t>
      </w:r>
      <w:proofErr w:type="gramEnd"/>
      <w:r w:rsidRPr="009113D4">
        <w:t>, sus derivados] y los [conocimientos tradicionales conexos] [conocimientos tradicionales asociados a los recursos genéticos].</w:t>
      </w:r>
      <w:r w:rsidR="00F92A36" w:rsidRPr="009113D4">
        <w:t xml:space="preserve"> </w:t>
      </w:r>
      <w:r w:rsidRPr="009113D4">
        <w:t xml:space="preserve">Entre las modificaciones </w:t>
      </w:r>
      <w:r w:rsidR="00AC337C" w:rsidRPr="009113D4">
        <w:t>cabe/</w:t>
      </w:r>
      <w:r w:rsidRPr="009113D4">
        <w:t>cabrá incluir la exigencia de que se confirme que se obtuvo el consentimiento fundamentado previo, y se pruebe que la participación en los beneficios se rige por condiciones mutuamente convenidas con el país de origen.]</w:t>
      </w:r>
    </w:p>
    <w:p w:rsidR="00E71A9B" w:rsidRPr="009113D4" w:rsidRDefault="00E71A9B" w:rsidP="00502D9F">
      <w:pPr>
        <w:widowControl w:val="0"/>
      </w:pPr>
    </w:p>
    <w:p w:rsidR="00E71A9B" w:rsidRPr="009113D4" w:rsidRDefault="00E71A9B" w:rsidP="00502D9F">
      <w:pPr>
        <w:widowControl w:val="0"/>
        <w:rPr>
          <w:b/>
        </w:rPr>
      </w:pPr>
    </w:p>
    <w:p w:rsidR="00E71A9B" w:rsidRPr="009113D4" w:rsidRDefault="00E71A9B" w:rsidP="00502D9F">
      <w:pPr>
        <w:widowControl w:val="0"/>
        <w:jc w:val="center"/>
        <w:rPr>
          <w:b/>
        </w:rPr>
      </w:pPr>
      <w:r w:rsidRPr="009113D4">
        <w:rPr>
          <w:b/>
        </w:rPr>
        <w:t>[ARTÍCULO 6]</w:t>
      </w:r>
    </w:p>
    <w:p w:rsidR="00E71A9B" w:rsidRPr="009113D4" w:rsidRDefault="00B67279" w:rsidP="00502D9F">
      <w:pPr>
        <w:widowControl w:val="0"/>
        <w:jc w:val="center"/>
        <w:rPr>
          <w:b/>
        </w:rPr>
      </w:pPr>
      <w:r w:rsidRPr="009113D4">
        <w:rPr>
          <w:b/>
        </w:rPr>
        <w:t>SANCIONES Y RECURSOS</w:t>
      </w:r>
    </w:p>
    <w:p w:rsidR="00E71A9B" w:rsidRPr="009113D4" w:rsidRDefault="00E71A9B" w:rsidP="00502D9F">
      <w:pPr>
        <w:widowControl w:val="0"/>
      </w:pPr>
    </w:p>
    <w:p w:rsidR="00E71A9B" w:rsidRPr="009113D4" w:rsidRDefault="0015739E" w:rsidP="00502D9F">
      <w:pPr>
        <w:widowControl w:val="0"/>
      </w:pPr>
      <w:r w:rsidRPr="009113D4">
        <w:t>6</w:t>
      </w:r>
      <w:r w:rsidR="00111F0F" w:rsidRPr="009113D4">
        <w:t>.</w:t>
      </w:r>
      <w:r w:rsidR="00CA0B44" w:rsidRPr="009113D4">
        <w:t>1</w:t>
      </w:r>
      <w:r w:rsidR="002565F9" w:rsidRPr="009113D4">
        <w:tab/>
        <w:t>[[</w:t>
      </w:r>
      <w:r w:rsidR="00AC337C" w:rsidRPr="009113D4">
        <w:t xml:space="preserve">Las </w:t>
      </w:r>
      <w:r w:rsidR="00B67279" w:rsidRPr="009113D4">
        <w:t>Partes</w:t>
      </w:r>
      <w:r w:rsidR="002565F9" w:rsidRPr="009113D4">
        <w:t>] [</w:t>
      </w:r>
      <w:r w:rsidR="00AC337C" w:rsidRPr="009113D4">
        <w:t xml:space="preserve">Los </w:t>
      </w:r>
      <w:r w:rsidR="00B67279" w:rsidRPr="009113D4">
        <w:t>países</w:t>
      </w:r>
      <w:r w:rsidR="002565F9" w:rsidRPr="009113D4">
        <w:t xml:space="preserve">] </w:t>
      </w:r>
      <w:r w:rsidR="00B67279" w:rsidRPr="009113D4">
        <w:t>deben</w:t>
      </w:r>
      <w:r w:rsidR="00192C10" w:rsidRPr="009113D4">
        <w:t>/</w:t>
      </w:r>
      <w:r w:rsidR="00B67279" w:rsidRPr="009113D4">
        <w:t>deberán</w:t>
      </w:r>
      <w:r w:rsidR="002565F9" w:rsidRPr="009113D4">
        <w:t xml:space="preserve"> </w:t>
      </w:r>
      <w:r w:rsidR="00B67279" w:rsidRPr="009113D4">
        <w:t>establecer</w:t>
      </w:r>
      <w:r w:rsidR="00804C37" w:rsidRPr="009113D4">
        <w:t xml:space="preserve"> </w:t>
      </w:r>
      <w:r w:rsidR="00B67279" w:rsidRPr="009113D4">
        <w:t xml:space="preserve">disposiciones legales y administrativas </w:t>
      </w:r>
      <w:r w:rsidR="002565F9" w:rsidRPr="009113D4">
        <w:t>a</w:t>
      </w:r>
      <w:r w:rsidR="00B67279" w:rsidRPr="009113D4">
        <w:t>decuadas, eficaces y proporcionadas</w:t>
      </w:r>
      <w:r w:rsidR="002565F9" w:rsidRPr="009113D4">
        <w:t xml:space="preserve"> </w:t>
      </w:r>
      <w:r w:rsidR="00E8576A" w:rsidRPr="009113D4">
        <w:t xml:space="preserve">para </w:t>
      </w:r>
      <w:r w:rsidR="00AC337C" w:rsidRPr="009113D4">
        <w:t>hacer frente al incumplimiento d</w:t>
      </w:r>
      <w:r w:rsidR="00E8576A" w:rsidRPr="009113D4">
        <w:t>el párrafo </w:t>
      </w:r>
      <w:proofErr w:type="gramStart"/>
      <w:r w:rsidR="00804C37" w:rsidRPr="009113D4">
        <w:t>3.1</w:t>
      </w:r>
      <w:r w:rsidR="0022239A" w:rsidRPr="009113D4">
        <w:t>[</w:t>
      </w:r>
      <w:proofErr w:type="gramEnd"/>
      <w:r w:rsidR="00E8576A" w:rsidRPr="009113D4">
        <w:t>, con inclusión de mecanismos de solución de controversias</w:t>
      </w:r>
      <w:r w:rsidR="0022239A" w:rsidRPr="009113D4">
        <w:t>]</w:t>
      </w:r>
      <w:r w:rsidR="002C34B3" w:rsidRPr="009113D4">
        <w:t xml:space="preserve">. </w:t>
      </w:r>
      <w:r w:rsidR="00E8576A" w:rsidRPr="009113D4">
        <w:t xml:space="preserve"> Con sujeción a lo dispuesto en la legislación nacional</w:t>
      </w:r>
      <w:r w:rsidR="00885C13" w:rsidRPr="009113D4">
        <w:t xml:space="preserve">, </w:t>
      </w:r>
      <w:r w:rsidR="00E8576A" w:rsidRPr="009113D4">
        <w:t>las sanciones</w:t>
      </w:r>
      <w:r w:rsidR="000E4282" w:rsidRPr="009113D4">
        <w:t xml:space="preserve"> </w:t>
      </w:r>
      <w:r w:rsidR="00E8576A" w:rsidRPr="009113D4">
        <w:t>y los recursos</w:t>
      </w:r>
      <w:r w:rsidR="000E4282" w:rsidRPr="009113D4">
        <w:t xml:space="preserve"> </w:t>
      </w:r>
      <w:r w:rsidR="00645703" w:rsidRPr="009113D4">
        <w:t>[</w:t>
      </w:r>
      <w:r w:rsidR="00E8576A" w:rsidRPr="009113D4">
        <w:t>deben</w:t>
      </w:r>
      <w:r w:rsidR="00192C10" w:rsidRPr="009113D4">
        <w:t>/</w:t>
      </w:r>
      <w:r w:rsidR="00E8576A" w:rsidRPr="009113D4">
        <w:t>deberán</w:t>
      </w:r>
      <w:r w:rsidR="00645703" w:rsidRPr="009113D4">
        <w:t>] [</w:t>
      </w:r>
      <w:r w:rsidR="00E8576A" w:rsidRPr="009113D4">
        <w:t>pueden</w:t>
      </w:r>
      <w:r w:rsidR="00645703" w:rsidRPr="009113D4">
        <w:t>]</w:t>
      </w:r>
      <w:r w:rsidR="002E59AC" w:rsidRPr="009113D4">
        <w:t xml:space="preserve"> </w:t>
      </w:r>
      <w:r w:rsidR="002940CA" w:rsidRPr="009113D4">
        <w:t>[</w:t>
      </w:r>
      <w:r w:rsidR="002C34B3" w:rsidRPr="009113D4">
        <w:t>inclu</w:t>
      </w:r>
      <w:r w:rsidR="00E8576A" w:rsidRPr="009113D4">
        <w:t>ir</w:t>
      </w:r>
      <w:r w:rsidR="00885C13" w:rsidRPr="009113D4">
        <w:t xml:space="preserve">, </w:t>
      </w:r>
      <w:r w:rsidR="00E8576A" w:rsidRPr="009113D4">
        <w:t>entre otras cosas</w:t>
      </w:r>
      <w:r w:rsidR="002940CA" w:rsidRPr="009113D4">
        <w:t xml:space="preserve">] </w:t>
      </w:r>
      <w:r w:rsidR="0032045A" w:rsidRPr="009113D4">
        <w:t>consistir en</w:t>
      </w:r>
      <w:r w:rsidR="002C34B3" w:rsidRPr="009113D4">
        <w:t>:</w:t>
      </w:r>
    </w:p>
    <w:p w:rsidR="00E71A9B" w:rsidRPr="009113D4" w:rsidRDefault="00E71A9B" w:rsidP="00502D9F">
      <w:pPr>
        <w:widowControl w:val="0"/>
      </w:pPr>
    </w:p>
    <w:p w:rsidR="00E71A9B" w:rsidRPr="009113D4" w:rsidRDefault="0032045A" w:rsidP="001D4571">
      <w:pPr>
        <w:pStyle w:val="ListParagraph"/>
        <w:keepNext/>
        <w:widowControl w:val="0"/>
        <w:numPr>
          <w:ilvl w:val="0"/>
          <w:numId w:val="23"/>
        </w:numPr>
        <w:ind w:left="567" w:hanging="567"/>
      </w:pPr>
      <w:r w:rsidRPr="009113D4">
        <w:lastRenderedPageBreak/>
        <w:t>Antes de la concesión</w:t>
      </w:r>
      <w:r w:rsidR="00AC337C" w:rsidRPr="009113D4">
        <w:t>:</w:t>
      </w:r>
    </w:p>
    <w:p w:rsidR="00E71A9B" w:rsidRPr="009113D4" w:rsidRDefault="0032045A" w:rsidP="001D4571">
      <w:pPr>
        <w:pStyle w:val="ListParagraph"/>
        <w:keepNext/>
        <w:widowControl w:val="0"/>
        <w:numPr>
          <w:ilvl w:val="0"/>
          <w:numId w:val="15"/>
        </w:numPr>
      </w:pPr>
      <w:r w:rsidRPr="009113D4">
        <w:t xml:space="preserve">Impedir que prosiga la tramitación de solicitudes de </w:t>
      </w:r>
      <w:r w:rsidR="00E3746E" w:rsidRPr="009113D4">
        <w:t>[</w:t>
      </w:r>
      <w:r w:rsidRPr="009113D4">
        <w:t>P.I.</w:t>
      </w:r>
      <w:r w:rsidR="00E3746E" w:rsidRPr="009113D4">
        <w:t>] [</w:t>
      </w:r>
      <w:r w:rsidR="00A73AF6" w:rsidRPr="009113D4">
        <w:t>p</w:t>
      </w:r>
      <w:r w:rsidR="00E3746E" w:rsidRPr="009113D4">
        <w:t>atent</w:t>
      </w:r>
      <w:r w:rsidRPr="009113D4">
        <w:t>e</w:t>
      </w:r>
      <w:r w:rsidR="00E3746E" w:rsidRPr="009113D4">
        <w:t>]</w:t>
      </w:r>
      <w:r w:rsidR="00FE5DE4" w:rsidRPr="009113D4">
        <w:t xml:space="preserve"> </w:t>
      </w:r>
      <w:r w:rsidRPr="009113D4">
        <w:t>hasta tanto no se cumplan los requisitos de divulgación</w:t>
      </w:r>
      <w:r w:rsidR="002E59AC" w:rsidRPr="009113D4">
        <w:t>.</w:t>
      </w:r>
    </w:p>
    <w:p w:rsidR="00E71A9B" w:rsidRPr="009113D4" w:rsidRDefault="00A25872" w:rsidP="00502D9F">
      <w:pPr>
        <w:pStyle w:val="ListParagraph"/>
        <w:widowControl w:val="0"/>
        <w:numPr>
          <w:ilvl w:val="0"/>
          <w:numId w:val="15"/>
        </w:numPr>
      </w:pPr>
      <w:r w:rsidRPr="009113D4">
        <w:t xml:space="preserve">Que una oficina de </w:t>
      </w:r>
      <w:r w:rsidR="00E3746E" w:rsidRPr="009113D4">
        <w:t>[P</w:t>
      </w:r>
      <w:r w:rsidRPr="009113D4">
        <w:t>.I.</w:t>
      </w:r>
      <w:r w:rsidR="00E3746E" w:rsidRPr="009113D4">
        <w:t>] [</w:t>
      </w:r>
      <w:r w:rsidR="00A73AF6" w:rsidRPr="009113D4">
        <w:t>p</w:t>
      </w:r>
      <w:r w:rsidR="00E3746E" w:rsidRPr="009113D4">
        <w:t>atent</w:t>
      </w:r>
      <w:r w:rsidRPr="009113D4">
        <w:t>e</w:t>
      </w:r>
      <w:r w:rsidR="00E3746E" w:rsidRPr="009113D4">
        <w:t>]</w:t>
      </w:r>
      <w:r w:rsidR="00734020" w:rsidRPr="009113D4">
        <w:t xml:space="preserve"> considere </w:t>
      </w:r>
      <w:r w:rsidRPr="009113D4">
        <w:t xml:space="preserve">que la solicitud ha sido retirada </w:t>
      </w:r>
      <w:r w:rsidR="0022239A" w:rsidRPr="009113D4">
        <w:t>[</w:t>
      </w:r>
      <w:r w:rsidRPr="009113D4">
        <w:t>de conformidad con la legislación nacional</w:t>
      </w:r>
      <w:r w:rsidR="0022239A" w:rsidRPr="009113D4">
        <w:t>]</w:t>
      </w:r>
      <w:r w:rsidR="00076995" w:rsidRPr="009113D4">
        <w:t>.</w:t>
      </w:r>
    </w:p>
    <w:p w:rsidR="00E71A9B" w:rsidRPr="009113D4" w:rsidRDefault="00A25872" w:rsidP="00502D9F">
      <w:pPr>
        <w:pStyle w:val="ListParagraph"/>
        <w:widowControl w:val="0"/>
        <w:numPr>
          <w:ilvl w:val="0"/>
          <w:numId w:val="15"/>
        </w:numPr>
      </w:pPr>
      <w:r w:rsidRPr="009113D4">
        <w:t xml:space="preserve">Impedir que se conceda o denegar </w:t>
      </w:r>
      <w:r w:rsidR="00E3746E" w:rsidRPr="009113D4">
        <w:t>[</w:t>
      </w:r>
      <w:r w:rsidRPr="009113D4">
        <w:t>una derecho de P.I.</w:t>
      </w:r>
      <w:r w:rsidR="00E3746E" w:rsidRPr="009113D4">
        <w:t>] [</w:t>
      </w:r>
      <w:r w:rsidRPr="009113D4">
        <w:t xml:space="preserve">una </w:t>
      </w:r>
      <w:r w:rsidR="00A73AF6" w:rsidRPr="009113D4">
        <w:t>p</w:t>
      </w:r>
      <w:r w:rsidR="00E3746E" w:rsidRPr="009113D4">
        <w:t>atent</w:t>
      </w:r>
      <w:r w:rsidRPr="009113D4">
        <w:t>e</w:t>
      </w:r>
      <w:r w:rsidR="00E3746E" w:rsidRPr="009113D4">
        <w:t>]</w:t>
      </w:r>
      <w:r w:rsidR="002E59AC" w:rsidRPr="009113D4">
        <w:t>.</w:t>
      </w:r>
    </w:p>
    <w:p w:rsidR="00E71A9B" w:rsidRPr="009113D4" w:rsidRDefault="00E71A9B" w:rsidP="00502D9F">
      <w:pPr>
        <w:pStyle w:val="ListParagraph"/>
        <w:widowControl w:val="0"/>
        <w:ind w:left="360"/>
      </w:pPr>
    </w:p>
    <w:p w:rsidR="00E71A9B" w:rsidRPr="009113D4" w:rsidRDefault="00885C13" w:rsidP="00F27A18">
      <w:pPr>
        <w:pStyle w:val="ListParagraph"/>
        <w:widowControl w:val="0"/>
        <w:numPr>
          <w:ilvl w:val="0"/>
          <w:numId w:val="23"/>
        </w:numPr>
        <w:ind w:left="567" w:hanging="567"/>
      </w:pPr>
      <w:r w:rsidRPr="009113D4">
        <w:t>[</w:t>
      </w:r>
      <w:r w:rsidR="00A25872" w:rsidRPr="009113D4">
        <w:t>Después de la concesión</w:t>
      </w:r>
      <w:r w:rsidR="00AC337C" w:rsidRPr="009113D4">
        <w:t>:</w:t>
      </w:r>
    </w:p>
    <w:p w:rsidR="00E71A9B" w:rsidRPr="009113D4" w:rsidRDefault="00E71A9B" w:rsidP="00502D9F">
      <w:pPr>
        <w:pStyle w:val="ListParagraph"/>
        <w:widowControl w:val="0"/>
        <w:numPr>
          <w:ilvl w:val="0"/>
          <w:numId w:val="14"/>
        </w:numPr>
      </w:pPr>
      <w:r w:rsidRPr="009113D4">
        <w:t>La publicación de decisiones judiciales en relación con la no divulgación.</w:t>
      </w:r>
      <w:r w:rsidR="00885C13" w:rsidRPr="009113D4">
        <w:t xml:space="preserve"> </w:t>
      </w:r>
    </w:p>
    <w:p w:rsidR="00E71A9B" w:rsidRPr="009113D4" w:rsidRDefault="00885C13" w:rsidP="00502D9F">
      <w:pPr>
        <w:pStyle w:val="ListParagraph"/>
        <w:widowControl w:val="0"/>
        <w:numPr>
          <w:ilvl w:val="0"/>
          <w:numId w:val="14"/>
        </w:numPr>
      </w:pPr>
      <w:r w:rsidRPr="009113D4">
        <w:t>[</w:t>
      </w:r>
      <w:r w:rsidR="00A25872" w:rsidRPr="009113D4">
        <w:t>Multas o la adecuada compensación de los daños y perjuicios</w:t>
      </w:r>
      <w:r w:rsidR="00005492" w:rsidRPr="009113D4">
        <w:t>, inclu</w:t>
      </w:r>
      <w:r w:rsidR="00A25872" w:rsidRPr="009113D4">
        <w:t>ido el pago de regalías</w:t>
      </w:r>
      <w:r w:rsidR="008A6DA8" w:rsidRPr="009113D4">
        <w:t>.</w:t>
      </w:r>
      <w:r w:rsidRPr="009113D4">
        <w:t>]</w:t>
      </w:r>
    </w:p>
    <w:p w:rsidR="00E71A9B" w:rsidRPr="009113D4" w:rsidRDefault="00AC337C" w:rsidP="00502D9F">
      <w:pPr>
        <w:pStyle w:val="ListParagraph"/>
        <w:widowControl w:val="0"/>
        <w:numPr>
          <w:ilvl w:val="0"/>
          <w:numId w:val="14"/>
        </w:numPr>
      </w:pPr>
      <w:r w:rsidRPr="009113D4">
        <w:t xml:space="preserve">Podrán </w:t>
      </w:r>
      <w:r w:rsidR="00A25872" w:rsidRPr="009113D4">
        <w:t>tomarse en consideración</w:t>
      </w:r>
      <w:r w:rsidRPr="009113D4">
        <w:t xml:space="preserve"> otras medidas [incluida la revocación]</w:t>
      </w:r>
      <w:r w:rsidR="00A25872" w:rsidRPr="009113D4">
        <w:t>, en función de las circunstancias del caso</w:t>
      </w:r>
      <w:r w:rsidR="00D8020B" w:rsidRPr="009113D4">
        <w:t xml:space="preserve">, </w:t>
      </w:r>
      <w:r w:rsidR="00A25872" w:rsidRPr="009113D4">
        <w:t>de conformidad con la legislación</w:t>
      </w:r>
      <w:r w:rsidR="00D8020B" w:rsidRPr="009113D4">
        <w:t xml:space="preserve"> </w:t>
      </w:r>
      <w:r w:rsidR="00A25872" w:rsidRPr="009113D4">
        <w:t>nacional</w:t>
      </w:r>
      <w:r w:rsidR="00645703" w:rsidRPr="009113D4">
        <w:t>.</w:t>
      </w:r>
      <w:r w:rsidR="00773821" w:rsidRPr="009113D4">
        <w:t>]</w:t>
      </w:r>
      <w:r w:rsidR="0022239A" w:rsidRPr="009113D4">
        <w:t>]</w:t>
      </w:r>
    </w:p>
    <w:p w:rsidR="00E71A9B" w:rsidRPr="009113D4" w:rsidRDefault="00E71A9B" w:rsidP="00502D9F">
      <w:pPr>
        <w:widowControl w:val="0"/>
      </w:pPr>
    </w:p>
    <w:p w:rsidR="00E71A9B" w:rsidRPr="009113D4" w:rsidRDefault="0015739E" w:rsidP="00502D9F">
      <w:pPr>
        <w:widowControl w:val="0"/>
        <w:rPr>
          <w:i/>
        </w:rPr>
      </w:pPr>
      <w:r w:rsidRPr="009113D4">
        <w:t>6</w:t>
      </w:r>
      <w:r w:rsidR="00CA0B44" w:rsidRPr="009113D4">
        <w:t>.2</w:t>
      </w:r>
      <w:r w:rsidR="00111F0F" w:rsidRPr="009113D4">
        <w:tab/>
      </w:r>
      <w:r w:rsidR="00701DC8" w:rsidRPr="009113D4">
        <w:t>[</w:t>
      </w:r>
      <w:r w:rsidR="00A25872" w:rsidRPr="009113D4">
        <w:t xml:space="preserve">El incumplimiento del requisito de </w:t>
      </w:r>
      <w:proofErr w:type="gramStart"/>
      <w:r w:rsidR="00A25872" w:rsidRPr="009113D4">
        <w:t>divulgación[</w:t>
      </w:r>
      <w:proofErr w:type="gramEnd"/>
      <w:r w:rsidR="00A25872" w:rsidRPr="009113D4">
        <w:t>, en ausencia de fraude,] no afectará la validez o fuerza ejecutiva de los derechos de [P.I.] [de patente] concedidos.]</w:t>
      </w:r>
    </w:p>
    <w:p w:rsidR="00E71A9B" w:rsidRPr="009113D4" w:rsidRDefault="00E71A9B" w:rsidP="00502D9F">
      <w:pPr>
        <w:widowControl w:val="0"/>
        <w:rPr>
          <w:i/>
        </w:rPr>
      </w:pPr>
    </w:p>
    <w:p w:rsidR="00E71A9B" w:rsidRPr="009113D4" w:rsidRDefault="00E71A9B" w:rsidP="00502D9F">
      <w:pPr>
        <w:widowControl w:val="0"/>
        <w:jc w:val="center"/>
        <w:rPr>
          <w:b/>
        </w:rPr>
      </w:pPr>
    </w:p>
    <w:p w:rsidR="00E71A9B" w:rsidRPr="009113D4" w:rsidRDefault="00E71A9B" w:rsidP="00502D9F">
      <w:pPr>
        <w:widowControl w:val="0"/>
        <w:jc w:val="center"/>
        <w:rPr>
          <w:b/>
        </w:rPr>
      </w:pPr>
      <w:r w:rsidRPr="009113D4">
        <w:rPr>
          <w:b/>
        </w:rPr>
        <w:t>[ARTÍCULO 7]</w:t>
      </w:r>
    </w:p>
    <w:p w:rsidR="00E71A9B" w:rsidRPr="009113D4" w:rsidRDefault="00111F0F" w:rsidP="00502D9F">
      <w:pPr>
        <w:widowControl w:val="0"/>
        <w:jc w:val="center"/>
        <w:rPr>
          <w:b/>
        </w:rPr>
      </w:pPr>
      <w:r w:rsidRPr="009113D4">
        <w:rPr>
          <w:b/>
        </w:rPr>
        <w:t>[</w:t>
      </w:r>
      <w:r w:rsidR="007D5FF5" w:rsidRPr="009113D4">
        <w:rPr>
          <w:b/>
        </w:rPr>
        <w:t>AUSENCIA DE REQUISITO DE NUEVA DIVULGACIÓN</w:t>
      </w:r>
    </w:p>
    <w:p w:rsidR="00E71A9B" w:rsidRPr="009113D4" w:rsidRDefault="00E71A9B" w:rsidP="00502D9F">
      <w:pPr>
        <w:widowControl w:val="0"/>
      </w:pPr>
    </w:p>
    <w:p w:rsidR="00E71A9B" w:rsidRPr="009113D4" w:rsidRDefault="0015739E" w:rsidP="00502D9F">
      <w:pPr>
        <w:widowControl w:val="0"/>
      </w:pPr>
      <w:r w:rsidRPr="009113D4">
        <w:t>7</w:t>
      </w:r>
      <w:r w:rsidR="0084115A" w:rsidRPr="009113D4">
        <w:t>.1</w:t>
      </w:r>
      <w:r w:rsidR="0084115A" w:rsidRPr="009113D4">
        <w:tab/>
      </w:r>
      <w:r w:rsidR="007D5FF5" w:rsidRPr="009113D4">
        <w:t>Podrá exigirse a los solicitantes</w:t>
      </w:r>
      <w:r w:rsidR="007370F7" w:rsidRPr="009113D4">
        <w:t xml:space="preserve"> </w:t>
      </w:r>
      <w:r w:rsidR="007D5FF5" w:rsidRPr="009113D4">
        <w:t>de derechos de [P.I.] [patente] únicamente que declaren dónde puede obtenerse el recurso genético s</w:t>
      </w:r>
      <w:r w:rsidR="007370F7" w:rsidRPr="009113D4">
        <w:t>i</w:t>
      </w:r>
      <w:r w:rsidR="007D5FF5" w:rsidRPr="009113D4">
        <w:t xml:space="preserve"> esa información es necesaria para que un experto en la materia pueda realizar la </w:t>
      </w:r>
      <w:r w:rsidR="007C7BC1" w:rsidRPr="009113D4">
        <w:t>invención</w:t>
      </w:r>
      <w:r w:rsidR="007370F7" w:rsidRPr="009113D4">
        <w:t>.</w:t>
      </w:r>
      <w:r w:rsidR="00353EB2" w:rsidRPr="009113D4">
        <w:t xml:space="preserve"> </w:t>
      </w:r>
      <w:r w:rsidR="007D5FF5" w:rsidRPr="009113D4">
        <w:t xml:space="preserve"> Por lo tanto, no pueden imponerse requisitos de divulgación a los solicitantes o titulares de patente</w:t>
      </w:r>
      <w:r w:rsidR="00353EB2" w:rsidRPr="009113D4">
        <w:t xml:space="preserve"> </w:t>
      </w:r>
      <w:r w:rsidR="007C7BC1" w:rsidRPr="009113D4">
        <w:t>respecto</w:t>
      </w:r>
      <w:r w:rsidR="007D5FF5" w:rsidRPr="009113D4">
        <w:t xml:space="preserve"> de </w:t>
      </w:r>
      <w:r w:rsidR="007C7BC1" w:rsidRPr="009113D4">
        <w:t>patentes</w:t>
      </w:r>
      <w:r w:rsidR="00353EB2" w:rsidRPr="009113D4">
        <w:t xml:space="preserve"> rela</w:t>
      </w:r>
      <w:r w:rsidR="007D5FF5" w:rsidRPr="009113D4">
        <w:t>cionadas con</w:t>
      </w:r>
      <w:r w:rsidR="00AD267A" w:rsidRPr="009113D4">
        <w:t xml:space="preserve"> </w:t>
      </w:r>
      <w:r w:rsidR="007D5FF5" w:rsidRPr="009113D4">
        <w:t xml:space="preserve">recursos </w:t>
      </w:r>
      <w:proofErr w:type="gramStart"/>
      <w:r w:rsidR="007D5FF5" w:rsidRPr="009113D4">
        <w:t>genéticos[</w:t>
      </w:r>
      <w:proofErr w:type="gramEnd"/>
      <w:r w:rsidR="007D5FF5" w:rsidRPr="009113D4">
        <w:t>, sus derivados] y los [conocimientos tradicionales conexos] [conocimientos tradicionales asociados a los recursos genéticos]</w:t>
      </w:r>
      <w:r w:rsidR="00353EB2" w:rsidRPr="009113D4">
        <w:t xml:space="preserve">, </w:t>
      </w:r>
      <w:r w:rsidR="007D5FF5" w:rsidRPr="009113D4">
        <w:t>p</w:t>
      </w:r>
      <w:r w:rsidR="00353EB2" w:rsidRPr="009113D4">
        <w:t xml:space="preserve">or </w:t>
      </w:r>
      <w:r w:rsidR="007D5FF5" w:rsidRPr="009113D4">
        <w:t xml:space="preserve">motivos que no sean los que se relacionan con la novedad, la </w:t>
      </w:r>
      <w:r w:rsidR="007C7BC1" w:rsidRPr="009113D4">
        <w:t>actividad</w:t>
      </w:r>
      <w:r w:rsidR="00353EB2" w:rsidRPr="009113D4">
        <w:t xml:space="preserve"> </w:t>
      </w:r>
      <w:r w:rsidR="007C7BC1" w:rsidRPr="009113D4">
        <w:t>inventiva</w:t>
      </w:r>
      <w:r w:rsidR="00353EB2" w:rsidRPr="009113D4">
        <w:t xml:space="preserve">, </w:t>
      </w:r>
      <w:r w:rsidR="007D5FF5" w:rsidRPr="009113D4">
        <w:t xml:space="preserve">la aplicación </w:t>
      </w:r>
      <w:r w:rsidR="00353EB2" w:rsidRPr="009113D4">
        <w:t xml:space="preserve">industrial o </w:t>
      </w:r>
      <w:r w:rsidR="007C7BC1" w:rsidRPr="009113D4">
        <w:t>la habilitación</w:t>
      </w:r>
      <w:r w:rsidR="00353EB2" w:rsidRPr="009113D4">
        <w:t>.</w:t>
      </w:r>
      <w:r w:rsidR="005E7C2E" w:rsidRPr="009113D4">
        <w:t>]</w:t>
      </w:r>
    </w:p>
    <w:p w:rsidR="00E71A9B" w:rsidRPr="009113D4" w:rsidRDefault="00E71A9B" w:rsidP="00502D9F">
      <w:pPr>
        <w:widowControl w:val="0"/>
      </w:pPr>
    </w:p>
    <w:p w:rsidR="00E71A9B" w:rsidRPr="009113D4" w:rsidRDefault="00E71A9B" w:rsidP="00502D9F">
      <w:pPr>
        <w:widowControl w:val="0"/>
      </w:pPr>
    </w:p>
    <w:p w:rsidR="00E71A9B" w:rsidRPr="009113D4" w:rsidRDefault="00E71A9B" w:rsidP="00502D9F">
      <w:pPr>
        <w:widowControl w:val="0"/>
      </w:pPr>
    </w:p>
    <w:p w:rsidR="00E71A9B" w:rsidRPr="009113D4" w:rsidRDefault="007C7BC1" w:rsidP="00502D9F">
      <w:pPr>
        <w:widowControl w:val="0"/>
        <w:jc w:val="center"/>
        <w:rPr>
          <w:b/>
        </w:rPr>
      </w:pPr>
      <w:r w:rsidRPr="009113D4">
        <w:rPr>
          <w:b/>
        </w:rPr>
        <w:t>[MEDIDAS PREVENTIVAS</w:t>
      </w:r>
      <w:r w:rsidR="00E71A9B" w:rsidRPr="009113D4">
        <w:rPr>
          <w:rStyle w:val="FootnoteReference"/>
          <w:b/>
        </w:rPr>
        <w:footnoteReference w:id="2"/>
      </w:r>
    </w:p>
    <w:p w:rsidR="00E71A9B" w:rsidRPr="009113D4" w:rsidRDefault="00E71A9B" w:rsidP="00502D9F">
      <w:pPr>
        <w:widowControl w:val="0"/>
      </w:pPr>
    </w:p>
    <w:p w:rsidR="00E71A9B" w:rsidRPr="009113D4" w:rsidRDefault="00E71A9B" w:rsidP="00502D9F">
      <w:pPr>
        <w:widowControl w:val="0"/>
        <w:rPr>
          <w:b/>
        </w:rPr>
      </w:pPr>
    </w:p>
    <w:p w:rsidR="00E71A9B" w:rsidRPr="009113D4" w:rsidRDefault="00E71A9B" w:rsidP="00502D9F">
      <w:pPr>
        <w:widowControl w:val="0"/>
        <w:jc w:val="center"/>
        <w:rPr>
          <w:b/>
        </w:rPr>
      </w:pPr>
      <w:r w:rsidRPr="009113D4">
        <w:rPr>
          <w:b/>
        </w:rPr>
        <w:t>[ARTÍCULO 8]</w:t>
      </w:r>
    </w:p>
    <w:p w:rsidR="00E71A9B" w:rsidRPr="009113D4" w:rsidRDefault="007C7BC1" w:rsidP="00502D9F">
      <w:pPr>
        <w:widowControl w:val="0"/>
        <w:jc w:val="center"/>
        <w:rPr>
          <w:b/>
        </w:rPr>
      </w:pPr>
      <w:r w:rsidRPr="009113D4">
        <w:rPr>
          <w:b/>
        </w:rPr>
        <w:t>DILIGENCIA DEBIDA</w:t>
      </w:r>
    </w:p>
    <w:p w:rsidR="00E71A9B" w:rsidRPr="009113D4" w:rsidRDefault="00E71A9B" w:rsidP="00502D9F">
      <w:pPr>
        <w:widowControl w:val="0"/>
      </w:pPr>
    </w:p>
    <w:p w:rsidR="00E71A9B" w:rsidRPr="009113D4" w:rsidRDefault="0015739E" w:rsidP="00502D9F">
      <w:pPr>
        <w:widowControl w:val="0"/>
      </w:pPr>
      <w:r w:rsidRPr="009113D4">
        <w:t>8</w:t>
      </w:r>
      <w:r w:rsidR="00CA0B44" w:rsidRPr="009113D4">
        <w:t>.1</w:t>
      </w:r>
      <w:r w:rsidR="0084115A" w:rsidRPr="009113D4">
        <w:tab/>
      </w:r>
      <w:r w:rsidR="009567BD" w:rsidRPr="009113D4">
        <w:t>Los Estados miembros deben/deberán</w:t>
      </w:r>
      <w:r w:rsidR="00353EB2" w:rsidRPr="009113D4">
        <w:t xml:space="preserve"> </w:t>
      </w:r>
      <w:r w:rsidR="009567BD" w:rsidRPr="009113D4">
        <w:t>alentar al establecimiento o establecer un sistema justo y razonable de diligencia debida</w:t>
      </w:r>
      <w:r w:rsidR="00353EB2" w:rsidRPr="009113D4">
        <w:t xml:space="preserve"> </w:t>
      </w:r>
      <w:r w:rsidR="009567BD" w:rsidRPr="009113D4">
        <w:t>para determinar que el acceso a los recursos</w:t>
      </w:r>
      <w:r w:rsidR="00353EB2" w:rsidRPr="009113D4">
        <w:t xml:space="preserve"> </w:t>
      </w:r>
      <w:r w:rsidR="009567BD" w:rsidRPr="009113D4">
        <w:t>genéticos</w:t>
      </w:r>
      <w:r w:rsidR="00353EB2" w:rsidRPr="009113D4">
        <w:t xml:space="preserve"> </w:t>
      </w:r>
      <w:r w:rsidR="009567BD" w:rsidRPr="009113D4">
        <w:t>protegido</w:t>
      </w:r>
      <w:r w:rsidR="00353EB2" w:rsidRPr="009113D4">
        <w:t xml:space="preserve">s </w:t>
      </w:r>
      <w:r w:rsidR="009567BD" w:rsidRPr="009113D4">
        <w:t>se hizo de conformidad con la legislación o los requisitos reglamentarios vigentes en materia de acceso y participación en los beneficios.</w:t>
      </w:r>
    </w:p>
    <w:p w:rsidR="00E71A9B" w:rsidRPr="009113D4" w:rsidRDefault="00E71A9B" w:rsidP="00502D9F">
      <w:pPr>
        <w:widowControl w:val="0"/>
      </w:pPr>
    </w:p>
    <w:p w:rsidR="00E71A9B" w:rsidRPr="009113D4" w:rsidRDefault="009567BD" w:rsidP="006C769F">
      <w:pPr>
        <w:pStyle w:val="ListParagraph"/>
        <w:widowControl w:val="0"/>
        <w:numPr>
          <w:ilvl w:val="0"/>
          <w:numId w:val="21"/>
        </w:numPr>
      </w:pPr>
      <w:r w:rsidRPr="009113D4">
        <w:t>Debe/deberá utilizarse una base de datos como</w:t>
      </w:r>
      <w:r w:rsidR="00353EB2" w:rsidRPr="009113D4">
        <w:t xml:space="preserve"> </w:t>
      </w:r>
      <w:r w:rsidR="005623D2" w:rsidRPr="009113D4">
        <w:t>mecanismo</w:t>
      </w:r>
      <w:r w:rsidR="00353EB2" w:rsidRPr="009113D4">
        <w:t xml:space="preserve"> </w:t>
      </w:r>
      <w:r w:rsidRPr="009113D4">
        <w:t>para permitir la supervisión del cumplimiento de esos</w:t>
      </w:r>
      <w:r w:rsidR="005623D2" w:rsidRPr="009113D4">
        <w:t xml:space="preserve"> </w:t>
      </w:r>
      <w:r w:rsidRPr="009113D4">
        <w:t>requisitos de</w:t>
      </w:r>
      <w:r w:rsidR="00353EB2" w:rsidRPr="009113D4">
        <w:t xml:space="preserve"> </w:t>
      </w:r>
      <w:r w:rsidR="005623D2" w:rsidRPr="009113D4">
        <w:t>diligencia</w:t>
      </w:r>
      <w:r w:rsidR="00353EB2" w:rsidRPr="009113D4">
        <w:t xml:space="preserve"> </w:t>
      </w:r>
      <w:r w:rsidRPr="009113D4">
        <w:t xml:space="preserve">debida de </w:t>
      </w:r>
      <w:r w:rsidR="005623D2" w:rsidRPr="009113D4">
        <w:t>conformidad con la legislación nacional</w:t>
      </w:r>
      <w:r w:rsidR="002A2DAF" w:rsidRPr="009113D4">
        <w:t>.</w:t>
      </w:r>
      <w:r w:rsidR="005623D2" w:rsidRPr="009113D4">
        <w:t xml:space="preserve"> Sin embargo, no debe/deberá obligarse a los Estados miembros a establecer esas bases de datos</w:t>
      </w:r>
      <w:r w:rsidR="00353EB2" w:rsidRPr="009113D4">
        <w:t>.</w:t>
      </w:r>
    </w:p>
    <w:p w:rsidR="00E71A9B" w:rsidRPr="009113D4" w:rsidRDefault="00E71A9B" w:rsidP="00502D9F">
      <w:pPr>
        <w:widowControl w:val="0"/>
      </w:pPr>
    </w:p>
    <w:p w:rsidR="00E71A9B" w:rsidRPr="009113D4" w:rsidRDefault="005623D2" w:rsidP="001D4571">
      <w:pPr>
        <w:pStyle w:val="ListParagraph"/>
        <w:keepLines/>
        <w:widowControl w:val="0"/>
        <w:numPr>
          <w:ilvl w:val="0"/>
          <w:numId w:val="21"/>
        </w:numPr>
      </w:pPr>
      <w:r w:rsidRPr="009113D4">
        <w:lastRenderedPageBreak/>
        <w:t xml:space="preserve">Esas bases de datos deben/deberán ser </w:t>
      </w:r>
      <w:r w:rsidR="00435DFE" w:rsidRPr="009113D4">
        <w:t>accesibles</w:t>
      </w:r>
      <w:r w:rsidRPr="009113D4">
        <w:t xml:space="preserve"> a los eventuales licenciatarios de </w:t>
      </w:r>
      <w:r w:rsidR="000B24B9" w:rsidRPr="009113D4">
        <w:t>una patente</w:t>
      </w:r>
      <w:r w:rsidR="00353EB2" w:rsidRPr="009113D4">
        <w:t xml:space="preserve"> </w:t>
      </w:r>
      <w:r w:rsidR="000B24B9" w:rsidRPr="009113D4">
        <w:t xml:space="preserve">para confirmar </w:t>
      </w:r>
      <w:r w:rsidR="00435DFE" w:rsidRPr="009113D4">
        <w:t>la legitimidad de la cadena de la titularidad de los recursos genéticos</w:t>
      </w:r>
      <w:r w:rsidR="00353EB2" w:rsidRPr="009113D4">
        <w:t xml:space="preserve"> </w:t>
      </w:r>
      <w:r w:rsidR="00435DFE" w:rsidRPr="009113D4">
        <w:t>protegidos en los que se basa una patente</w:t>
      </w:r>
      <w:r w:rsidR="00353EB2" w:rsidRPr="009113D4">
        <w:t>.</w:t>
      </w:r>
      <w:r w:rsidR="005E7C2E" w:rsidRPr="009113D4">
        <w:t>]</w:t>
      </w:r>
    </w:p>
    <w:p w:rsidR="00E71A9B" w:rsidRPr="009113D4" w:rsidRDefault="00E71A9B" w:rsidP="001D4571">
      <w:pPr>
        <w:keepLines/>
        <w:widowControl w:val="0"/>
      </w:pPr>
    </w:p>
    <w:p w:rsidR="00E71A9B" w:rsidRPr="009113D4" w:rsidRDefault="00E71A9B" w:rsidP="001D4571">
      <w:pPr>
        <w:widowControl w:val="0"/>
        <w:rPr>
          <w:b/>
        </w:rPr>
      </w:pPr>
    </w:p>
    <w:p w:rsidR="00E71A9B" w:rsidRPr="009113D4" w:rsidRDefault="00E71A9B" w:rsidP="00502D9F">
      <w:pPr>
        <w:widowControl w:val="0"/>
        <w:jc w:val="center"/>
        <w:rPr>
          <w:b/>
        </w:rPr>
      </w:pPr>
      <w:r w:rsidRPr="009113D4">
        <w:rPr>
          <w:b/>
        </w:rPr>
        <w:t>[ARTÍCULO 9]</w:t>
      </w:r>
    </w:p>
    <w:p w:rsidR="00E71A9B" w:rsidRPr="009113D4" w:rsidRDefault="0022239A" w:rsidP="00502D9F">
      <w:pPr>
        <w:widowControl w:val="0"/>
        <w:jc w:val="center"/>
        <w:rPr>
          <w:b/>
        </w:rPr>
      </w:pPr>
      <w:r w:rsidRPr="009113D4">
        <w:rPr>
          <w:b/>
        </w:rPr>
        <w:t>[</w:t>
      </w:r>
      <w:r w:rsidR="00435DFE" w:rsidRPr="009113D4">
        <w:rPr>
          <w:b/>
        </w:rPr>
        <w:t xml:space="preserve">EVITAR LA CONCESIÓN ERRÓNEA DE </w:t>
      </w:r>
      <w:r w:rsidR="00AE5006" w:rsidRPr="009113D4">
        <w:rPr>
          <w:b/>
        </w:rPr>
        <w:t>PATENT</w:t>
      </w:r>
      <w:r w:rsidR="00EE1EFA" w:rsidRPr="009113D4">
        <w:rPr>
          <w:b/>
        </w:rPr>
        <w:t>E</w:t>
      </w:r>
      <w:r w:rsidR="00AE5006" w:rsidRPr="009113D4">
        <w:rPr>
          <w:b/>
        </w:rPr>
        <w:t>S</w:t>
      </w:r>
      <w:r w:rsidR="00E853A7" w:rsidRPr="009113D4">
        <w:rPr>
          <w:b/>
        </w:rPr>
        <w:t xml:space="preserve"> </w:t>
      </w:r>
      <w:r w:rsidR="00435DFE" w:rsidRPr="009113D4">
        <w:rPr>
          <w:b/>
        </w:rPr>
        <w:t xml:space="preserve">Y </w:t>
      </w:r>
      <w:r w:rsidR="00FE0A9A" w:rsidRPr="009113D4">
        <w:rPr>
          <w:b/>
        </w:rPr>
        <w:t>CÓDIGOS DE CONDUCTA VOLUNTARIOS</w:t>
      </w:r>
    </w:p>
    <w:p w:rsidR="00E71A9B" w:rsidRPr="009113D4" w:rsidRDefault="00E71A9B" w:rsidP="00502D9F">
      <w:pPr>
        <w:widowControl w:val="0"/>
        <w:rPr>
          <w:i/>
        </w:rPr>
      </w:pPr>
    </w:p>
    <w:p w:rsidR="00E71A9B" w:rsidRPr="009113D4" w:rsidRDefault="0015739E" w:rsidP="00502D9F">
      <w:pPr>
        <w:widowControl w:val="0"/>
      </w:pPr>
      <w:r w:rsidRPr="009113D4">
        <w:t>9</w:t>
      </w:r>
      <w:r w:rsidR="00111F0F" w:rsidRPr="009113D4">
        <w:t>.</w:t>
      </w:r>
      <w:r w:rsidRPr="009113D4">
        <w:t>1</w:t>
      </w:r>
      <w:r w:rsidR="00111F0F" w:rsidRPr="009113D4">
        <w:tab/>
      </w:r>
      <w:r w:rsidR="00EE1EFA" w:rsidRPr="009113D4">
        <w:t>Los Estados miembros deben/deberán:</w:t>
      </w:r>
    </w:p>
    <w:p w:rsidR="00E71A9B" w:rsidRPr="009113D4" w:rsidRDefault="00E71A9B" w:rsidP="00502D9F">
      <w:pPr>
        <w:widowControl w:val="0"/>
      </w:pPr>
    </w:p>
    <w:p w:rsidR="00E71A9B" w:rsidRPr="009113D4" w:rsidRDefault="00EE1EFA" w:rsidP="00F27A18">
      <w:pPr>
        <w:pStyle w:val="ListParagraph"/>
        <w:widowControl w:val="0"/>
        <w:numPr>
          <w:ilvl w:val="0"/>
          <w:numId w:val="24"/>
        </w:numPr>
      </w:pPr>
      <w:r w:rsidRPr="009113D4">
        <w:t>Adoptar medidas</w:t>
      </w:r>
      <w:r w:rsidR="00485B4C" w:rsidRPr="009113D4">
        <w:t xml:space="preserve"> </w:t>
      </w:r>
      <w:r w:rsidR="00F9107A" w:rsidRPr="009113D4">
        <w:t>legales</w:t>
      </w:r>
      <w:r w:rsidR="00485B4C" w:rsidRPr="009113D4">
        <w:t xml:space="preserve">, </w:t>
      </w:r>
      <w:r w:rsidR="00F9107A" w:rsidRPr="009113D4">
        <w:t>administrativas</w:t>
      </w:r>
      <w:r w:rsidR="00485B4C" w:rsidRPr="009113D4">
        <w:t xml:space="preserve"> </w:t>
      </w:r>
      <w:r w:rsidRPr="009113D4">
        <w:t>o de política</w:t>
      </w:r>
      <w:r w:rsidR="00485B4C" w:rsidRPr="009113D4">
        <w:t xml:space="preserve">, </w:t>
      </w:r>
      <w:r w:rsidRPr="009113D4">
        <w:t>según proceda y de conformidad con la legislación nacional</w:t>
      </w:r>
      <w:r w:rsidR="00485B4C" w:rsidRPr="009113D4">
        <w:t xml:space="preserve">, </w:t>
      </w:r>
      <w:r w:rsidRPr="009113D4">
        <w:t xml:space="preserve">para evitar la concesión </w:t>
      </w:r>
      <w:r w:rsidR="00F9107A" w:rsidRPr="009113D4">
        <w:t>errónea</w:t>
      </w:r>
      <w:r w:rsidRPr="009113D4">
        <w:t xml:space="preserve"> de patentes con </w:t>
      </w:r>
      <w:r w:rsidR="00F9107A" w:rsidRPr="009113D4">
        <w:t>respecto</w:t>
      </w:r>
      <w:r w:rsidRPr="009113D4">
        <w:t xml:space="preserve"> a invenciones reivindicadas que incluyan recursos genéticos[, sus derivados] y [conocimientos tradicionales conexos] [conocimientos tradicionales asociados a los recursos genéticos] cuando,</w:t>
      </w:r>
      <w:r w:rsidR="00485B4C" w:rsidRPr="009113D4">
        <w:t xml:space="preserve"> </w:t>
      </w:r>
      <w:r w:rsidRPr="009113D4">
        <w:t xml:space="preserve">en virtud de la legislación </w:t>
      </w:r>
      <w:r w:rsidR="00F9107A" w:rsidRPr="009113D4">
        <w:t>nacional</w:t>
      </w:r>
      <w:r w:rsidR="00485B4C" w:rsidRPr="009113D4">
        <w:t xml:space="preserve">, </w:t>
      </w:r>
      <w:r w:rsidRPr="009113D4">
        <w:t>esos recursos genéticos[, sus derivados] y los [conocimientos tradicionales conexos] [conocimientos tradicionales asociados a los recursos genéticos]:</w:t>
      </w:r>
    </w:p>
    <w:p w:rsidR="00E71A9B" w:rsidRPr="009113D4" w:rsidRDefault="00E71A9B" w:rsidP="00502D9F">
      <w:pPr>
        <w:widowControl w:val="0"/>
      </w:pPr>
    </w:p>
    <w:p w:rsidR="00E71A9B" w:rsidRPr="009113D4" w:rsidRDefault="00F9107A" w:rsidP="00F27A18">
      <w:pPr>
        <w:pStyle w:val="ListParagraph"/>
        <w:widowControl w:val="0"/>
        <w:numPr>
          <w:ilvl w:val="0"/>
          <w:numId w:val="25"/>
        </w:numPr>
        <w:ind w:left="1701" w:hanging="561"/>
      </w:pPr>
      <w:r w:rsidRPr="009113D4">
        <w:t>anticipen un</w:t>
      </w:r>
      <w:r w:rsidR="00485B4C" w:rsidRPr="009113D4">
        <w:t xml:space="preserve">a </w:t>
      </w:r>
      <w:r w:rsidR="00345232" w:rsidRPr="009113D4">
        <w:t>invención</w:t>
      </w:r>
      <w:r w:rsidR="00485B4C" w:rsidRPr="009113D4">
        <w:t xml:space="preserve"> </w:t>
      </w:r>
      <w:r w:rsidRPr="009113D4">
        <w:t xml:space="preserve">reivindicada </w:t>
      </w:r>
      <w:r w:rsidR="00485B4C" w:rsidRPr="009113D4">
        <w:t>(</w:t>
      </w:r>
      <w:r w:rsidRPr="009113D4">
        <w:t>ausencia de novedad</w:t>
      </w:r>
      <w:r w:rsidR="00485B4C" w:rsidRPr="009113D4">
        <w:t>);</w:t>
      </w:r>
      <w:r w:rsidRPr="009113D4">
        <w:t xml:space="preserve"> </w:t>
      </w:r>
      <w:r w:rsidR="00485B4C" w:rsidRPr="009113D4">
        <w:t xml:space="preserve"> o</w:t>
      </w:r>
    </w:p>
    <w:p w:rsidR="00E71A9B" w:rsidRPr="009113D4" w:rsidRDefault="00E71A9B" w:rsidP="00F27A18">
      <w:pPr>
        <w:pStyle w:val="ListParagraph"/>
        <w:widowControl w:val="0"/>
        <w:numPr>
          <w:ilvl w:val="0"/>
          <w:numId w:val="25"/>
        </w:numPr>
        <w:ind w:left="1701" w:hanging="561"/>
      </w:pPr>
      <w:r w:rsidRPr="009113D4">
        <w:t>hagan evidente la invención reivindicada (que sea evidente o no implique actividad inventiva).</w:t>
      </w:r>
      <w:r w:rsidR="00485B4C" w:rsidRPr="009113D4">
        <w:t xml:space="preserve"> </w:t>
      </w:r>
    </w:p>
    <w:p w:rsidR="00E71A9B" w:rsidRPr="009113D4" w:rsidRDefault="00E71A9B" w:rsidP="00502D9F">
      <w:pPr>
        <w:widowControl w:val="0"/>
      </w:pPr>
    </w:p>
    <w:p w:rsidR="00E71A9B" w:rsidRPr="009113D4" w:rsidRDefault="00F9107A" w:rsidP="00F27A18">
      <w:pPr>
        <w:pStyle w:val="ListParagraph"/>
        <w:widowControl w:val="0"/>
        <w:numPr>
          <w:ilvl w:val="0"/>
          <w:numId w:val="24"/>
        </w:numPr>
      </w:pPr>
      <w:r w:rsidRPr="009113D4">
        <w:t xml:space="preserve">Adoptar medidas legales, administrativas o de política, según proceda y de conformidad con la legislación nacional, </w:t>
      </w:r>
      <w:r w:rsidR="000C6583" w:rsidRPr="009113D4">
        <w:t>que permitan</w:t>
      </w:r>
      <w:r w:rsidRPr="009113D4">
        <w:t xml:space="preserve"> a terceros </w:t>
      </w:r>
      <w:r w:rsidR="000C6583" w:rsidRPr="009113D4">
        <w:t>cuestionar</w:t>
      </w:r>
      <w:r w:rsidRPr="009113D4">
        <w:t xml:space="preserve"> la validez de una</w:t>
      </w:r>
      <w:r w:rsidR="00485B4C" w:rsidRPr="009113D4">
        <w:t xml:space="preserve"> </w:t>
      </w:r>
      <w:r w:rsidRPr="009113D4">
        <w:t>patente</w:t>
      </w:r>
      <w:r w:rsidR="00485B4C" w:rsidRPr="009113D4">
        <w:t xml:space="preserve">, </w:t>
      </w:r>
      <w:r w:rsidRPr="009113D4">
        <w:t>presentando el estado de la técnica</w:t>
      </w:r>
      <w:r w:rsidR="00485B4C" w:rsidRPr="009113D4">
        <w:t xml:space="preserve">, </w:t>
      </w:r>
      <w:r w:rsidRPr="009113D4">
        <w:t xml:space="preserve">con respecto a </w:t>
      </w:r>
      <w:r w:rsidR="00F27A18" w:rsidRPr="009113D4">
        <w:t>invenciones</w:t>
      </w:r>
      <w:r w:rsidR="00485B4C" w:rsidRPr="009113D4">
        <w:t xml:space="preserve"> </w:t>
      </w:r>
      <w:r w:rsidRPr="009113D4">
        <w:t xml:space="preserve">que </w:t>
      </w:r>
      <w:r w:rsidR="00F27A18" w:rsidRPr="009113D4">
        <w:t>incluyen</w:t>
      </w:r>
      <w:r w:rsidRPr="009113D4">
        <w:t xml:space="preserve"> recursos </w:t>
      </w:r>
      <w:proofErr w:type="gramStart"/>
      <w:r w:rsidRPr="009113D4">
        <w:t>genéticos[</w:t>
      </w:r>
      <w:proofErr w:type="gramEnd"/>
      <w:r w:rsidRPr="009113D4">
        <w:t>, sus derivados] y [conocimientos tradicionales conexos] [conocimientos tradicionales asociados a los recursos genéticos]</w:t>
      </w:r>
      <w:r w:rsidR="00485B4C" w:rsidRPr="009113D4">
        <w:t>.</w:t>
      </w:r>
    </w:p>
    <w:p w:rsidR="00E71A9B" w:rsidRPr="009113D4" w:rsidRDefault="00E71A9B" w:rsidP="00502D9F">
      <w:pPr>
        <w:widowControl w:val="0"/>
      </w:pPr>
    </w:p>
    <w:p w:rsidR="00E71A9B" w:rsidRPr="009113D4" w:rsidRDefault="00353EB2" w:rsidP="00F27A18">
      <w:pPr>
        <w:pStyle w:val="ListParagraph"/>
        <w:widowControl w:val="0"/>
        <w:numPr>
          <w:ilvl w:val="0"/>
          <w:numId w:val="24"/>
        </w:numPr>
      </w:pPr>
      <w:r w:rsidRPr="009113D4">
        <w:t>[</w:t>
      </w:r>
      <w:r w:rsidR="000C6583" w:rsidRPr="009113D4">
        <w:t xml:space="preserve">Alentar, según proceda, la elaboración y el uso de códigos de conducta voluntarios y directrices para los usuarios acerca de la </w:t>
      </w:r>
      <w:r w:rsidR="00F27A18" w:rsidRPr="009113D4">
        <w:t>protección</w:t>
      </w:r>
      <w:r w:rsidR="002A2DAF" w:rsidRPr="009113D4">
        <w:t xml:space="preserve"> </w:t>
      </w:r>
      <w:r w:rsidR="000C6583" w:rsidRPr="009113D4">
        <w:t>de los recursos genéticos [, sus derivados] y los [conocimientos tradicionales conexos] [conocimientos tradicionales asociados a los recursos genéticos]</w:t>
      </w:r>
      <w:r w:rsidR="00485B4C" w:rsidRPr="009113D4">
        <w:t>.</w:t>
      </w:r>
      <w:r w:rsidRPr="009113D4">
        <w:t>]</w:t>
      </w:r>
    </w:p>
    <w:p w:rsidR="00E71A9B" w:rsidRPr="009113D4" w:rsidRDefault="00E71A9B" w:rsidP="00502D9F">
      <w:pPr>
        <w:pStyle w:val="ListParagraph"/>
        <w:widowControl w:val="0"/>
      </w:pPr>
    </w:p>
    <w:p w:rsidR="00E71A9B" w:rsidRPr="009113D4" w:rsidRDefault="000C6583" w:rsidP="00F27A18">
      <w:pPr>
        <w:pStyle w:val="ListParagraph"/>
        <w:widowControl w:val="0"/>
        <w:numPr>
          <w:ilvl w:val="0"/>
          <w:numId w:val="24"/>
        </w:numPr>
      </w:pPr>
      <w:r w:rsidRPr="009113D4">
        <w:t xml:space="preserve">Facilitar, según proceda, la creación, </w:t>
      </w:r>
      <w:r w:rsidR="00A20A78" w:rsidRPr="009113D4">
        <w:t xml:space="preserve">el </w:t>
      </w:r>
      <w:r w:rsidRPr="009113D4">
        <w:t xml:space="preserve">intercambio y </w:t>
      </w:r>
      <w:r w:rsidR="00A20A78" w:rsidRPr="009113D4">
        <w:t xml:space="preserve">la </w:t>
      </w:r>
      <w:r w:rsidRPr="009113D4">
        <w:t xml:space="preserve">difusión de bases de datos de recursos </w:t>
      </w:r>
      <w:proofErr w:type="gramStart"/>
      <w:r w:rsidRPr="009113D4">
        <w:t>genéticos[</w:t>
      </w:r>
      <w:proofErr w:type="gramEnd"/>
      <w:r w:rsidRPr="009113D4">
        <w:t>, sus derivados] y [conocimientos tradicionales conexos] [conocimientos tradicionales asociados a los recursos genéticos], y el acceso a dichas bases de datos</w:t>
      </w:r>
      <w:r w:rsidR="00E853A7" w:rsidRPr="009113D4">
        <w:t xml:space="preserve"> </w:t>
      </w:r>
      <w:r w:rsidRPr="009113D4">
        <w:t>para su utilización por las oficinas de patentes</w:t>
      </w:r>
      <w:r w:rsidR="00E853A7" w:rsidRPr="009113D4">
        <w:t>.</w:t>
      </w:r>
      <w:r w:rsidR="00C23AB5" w:rsidRPr="009113D4">
        <w:t>]</w:t>
      </w:r>
      <w:r w:rsidR="00485B4C" w:rsidRPr="009113D4">
        <w:t xml:space="preserve"> </w:t>
      </w:r>
    </w:p>
    <w:p w:rsidR="00E71A9B" w:rsidRPr="009113D4" w:rsidRDefault="00E71A9B" w:rsidP="00502D9F">
      <w:pPr>
        <w:widowControl w:val="0"/>
        <w:ind w:left="720"/>
      </w:pPr>
    </w:p>
    <w:p w:rsidR="00E71A9B" w:rsidRPr="009113D4" w:rsidRDefault="00E71A9B" w:rsidP="00502D9F">
      <w:pPr>
        <w:widowControl w:val="0"/>
        <w:rPr>
          <w:b/>
        </w:rPr>
      </w:pPr>
    </w:p>
    <w:p w:rsidR="00E71A9B" w:rsidRPr="009113D4" w:rsidRDefault="000C6583" w:rsidP="00502D9F">
      <w:pPr>
        <w:widowControl w:val="0"/>
        <w:rPr>
          <w:b/>
        </w:rPr>
      </w:pPr>
      <w:r w:rsidRPr="009113D4">
        <w:rPr>
          <w:b/>
        </w:rPr>
        <w:t>SISTEMAS DE BÚSQUEDA EN BASES DE DATOS</w:t>
      </w:r>
    </w:p>
    <w:p w:rsidR="00E71A9B" w:rsidRPr="009113D4" w:rsidRDefault="00E71A9B" w:rsidP="00502D9F">
      <w:pPr>
        <w:widowControl w:val="0"/>
      </w:pPr>
    </w:p>
    <w:p w:rsidR="00E71A9B" w:rsidRPr="009113D4" w:rsidRDefault="0015739E" w:rsidP="00502D9F">
      <w:pPr>
        <w:widowControl w:val="0"/>
      </w:pPr>
      <w:r w:rsidRPr="009113D4">
        <w:t>9.2</w:t>
      </w:r>
      <w:r w:rsidR="00F27A18" w:rsidRPr="009113D4">
        <w:tab/>
      </w:r>
      <w:r w:rsidR="000C6583" w:rsidRPr="009113D4">
        <w:t>Se alienta a los miembros a facilitar</w:t>
      </w:r>
      <w:r w:rsidR="00C8609E" w:rsidRPr="009113D4">
        <w:t xml:space="preserve"> e</w:t>
      </w:r>
      <w:r w:rsidR="000C6583" w:rsidRPr="009113D4">
        <w:t>l</w:t>
      </w:r>
      <w:r w:rsidR="00C8609E" w:rsidRPr="009113D4">
        <w:t xml:space="preserve"> establ</w:t>
      </w:r>
      <w:r w:rsidR="000C6583" w:rsidRPr="009113D4">
        <w:t xml:space="preserve">ecimiento de bases de datos sobre recursos </w:t>
      </w:r>
      <w:proofErr w:type="gramStart"/>
      <w:r w:rsidR="000C6583" w:rsidRPr="009113D4">
        <w:t>genéticos[</w:t>
      </w:r>
      <w:proofErr w:type="gramEnd"/>
      <w:r w:rsidR="000C6583" w:rsidRPr="009113D4">
        <w:t>, sus derivados] y [conocimientos tradicionales conexos] [conocimientos tradicionales asociados a los recursos genéticos] a los fines de la búsqueda y el examen de las solicitudes de patente</w:t>
      </w:r>
      <w:r w:rsidR="00C8609E" w:rsidRPr="009113D4">
        <w:t xml:space="preserve">, </w:t>
      </w:r>
      <w:r w:rsidR="000C6583" w:rsidRPr="009113D4">
        <w:t>e</w:t>
      </w:r>
      <w:r w:rsidR="00C8609E" w:rsidRPr="009113D4">
        <w:t xml:space="preserve">n consulta </w:t>
      </w:r>
      <w:r w:rsidR="000C6583" w:rsidRPr="009113D4">
        <w:t>con los sectores interesados pertinentes y teniendo en cuenta sus circunstancias nacionales</w:t>
      </w:r>
      <w:r w:rsidR="00C8609E" w:rsidRPr="009113D4">
        <w:t>, as</w:t>
      </w:r>
      <w:r w:rsidR="000C6583" w:rsidRPr="009113D4">
        <w:t>í como las</w:t>
      </w:r>
      <w:r w:rsidR="00C8609E" w:rsidRPr="009113D4">
        <w:t xml:space="preserve"> </w:t>
      </w:r>
      <w:r w:rsidR="000C6583" w:rsidRPr="009113D4">
        <w:t>consideraciones siguientes:</w:t>
      </w:r>
    </w:p>
    <w:p w:rsidR="00E71A9B" w:rsidRPr="009113D4" w:rsidRDefault="00E71A9B" w:rsidP="00502D9F">
      <w:pPr>
        <w:widowControl w:val="0"/>
      </w:pPr>
    </w:p>
    <w:p w:rsidR="00E71A9B" w:rsidRPr="009113D4" w:rsidRDefault="000C6583" w:rsidP="00F27A18">
      <w:pPr>
        <w:pStyle w:val="ListParagraph"/>
        <w:widowControl w:val="0"/>
        <w:numPr>
          <w:ilvl w:val="0"/>
          <w:numId w:val="26"/>
        </w:numPr>
        <w:ind w:left="709" w:hanging="349"/>
      </w:pPr>
      <w:r w:rsidRPr="009113D4">
        <w:t>Con miras a la compatibilidad</w:t>
      </w:r>
      <w:r w:rsidR="00A20A78" w:rsidRPr="009113D4">
        <w:t xml:space="preserve"> mutua</w:t>
      </w:r>
      <w:r w:rsidRPr="009113D4">
        <w:t>, las bases de datos deben/deberán cumplir con normas mínimas y estructura de contenido.</w:t>
      </w:r>
    </w:p>
    <w:p w:rsidR="00E71A9B" w:rsidRPr="009113D4" w:rsidRDefault="00E71A9B" w:rsidP="00502D9F">
      <w:pPr>
        <w:widowControl w:val="0"/>
        <w:ind w:left="360"/>
      </w:pPr>
    </w:p>
    <w:p w:rsidR="00E71A9B" w:rsidRPr="009113D4" w:rsidRDefault="000C6583" w:rsidP="00F27A18">
      <w:pPr>
        <w:pStyle w:val="ListParagraph"/>
        <w:widowControl w:val="0"/>
        <w:numPr>
          <w:ilvl w:val="0"/>
          <w:numId w:val="26"/>
        </w:numPr>
      </w:pPr>
      <w:r w:rsidRPr="009113D4">
        <w:t>Deben/deberán crearse las salvaguardias adecuada</w:t>
      </w:r>
      <w:r w:rsidR="00A20A78" w:rsidRPr="009113D4">
        <w:t>s</w:t>
      </w:r>
      <w:r w:rsidRPr="009113D4">
        <w:t>, de conformidad con la legislación nacional</w:t>
      </w:r>
      <w:r w:rsidR="00C8609E" w:rsidRPr="009113D4">
        <w:t>.</w:t>
      </w:r>
    </w:p>
    <w:p w:rsidR="00E71A9B" w:rsidRPr="009113D4" w:rsidRDefault="00E71A9B" w:rsidP="00502D9F">
      <w:pPr>
        <w:widowControl w:val="0"/>
        <w:ind w:left="360"/>
      </w:pPr>
    </w:p>
    <w:p w:rsidR="00E71A9B" w:rsidRPr="009113D4" w:rsidRDefault="000C6583" w:rsidP="00F27A18">
      <w:pPr>
        <w:pStyle w:val="ListParagraph"/>
        <w:widowControl w:val="0"/>
        <w:numPr>
          <w:ilvl w:val="0"/>
          <w:numId w:val="26"/>
        </w:numPr>
      </w:pPr>
      <w:r w:rsidRPr="009113D4">
        <w:t>Podrán accede</w:t>
      </w:r>
      <w:r w:rsidR="00A20A78" w:rsidRPr="009113D4">
        <w:t>r</w:t>
      </w:r>
      <w:r w:rsidRPr="009113D4">
        <w:t xml:space="preserve"> a esas bases de datos las oficinas de patentes y otros usuarios autorizados</w:t>
      </w:r>
      <w:r w:rsidR="00C8609E" w:rsidRPr="009113D4">
        <w:t>.</w:t>
      </w:r>
    </w:p>
    <w:p w:rsidR="00E71A9B" w:rsidRPr="009113D4" w:rsidRDefault="00E71A9B" w:rsidP="00F27A18">
      <w:pPr>
        <w:widowControl w:val="0"/>
      </w:pPr>
    </w:p>
    <w:p w:rsidR="00E71A9B" w:rsidRPr="009113D4" w:rsidRDefault="00E71A9B" w:rsidP="00502D9F">
      <w:pPr>
        <w:widowControl w:val="0"/>
        <w:rPr>
          <w:b/>
        </w:rPr>
      </w:pPr>
    </w:p>
    <w:p w:rsidR="00E71A9B" w:rsidRPr="009113D4" w:rsidRDefault="004B2B19" w:rsidP="0060786E">
      <w:pPr>
        <w:keepNext/>
        <w:widowControl w:val="0"/>
        <w:rPr>
          <w:b/>
        </w:rPr>
      </w:pPr>
      <w:r w:rsidRPr="009113D4">
        <w:rPr>
          <w:b/>
        </w:rPr>
        <w:t>PORTAL</w:t>
      </w:r>
      <w:r w:rsidR="00F21790" w:rsidRPr="009113D4">
        <w:rPr>
          <w:b/>
        </w:rPr>
        <w:t xml:space="preserve"> DEL</w:t>
      </w:r>
      <w:r w:rsidRPr="009113D4">
        <w:rPr>
          <w:b/>
        </w:rPr>
        <w:t xml:space="preserve"> SIT</w:t>
      </w:r>
      <w:r w:rsidR="00F21790" w:rsidRPr="009113D4">
        <w:rPr>
          <w:b/>
        </w:rPr>
        <w:t>IO WEB DE LA OMPI</w:t>
      </w:r>
    </w:p>
    <w:p w:rsidR="00E71A9B" w:rsidRPr="009113D4" w:rsidRDefault="00E71A9B" w:rsidP="0060786E">
      <w:pPr>
        <w:keepNext/>
        <w:widowControl w:val="0"/>
      </w:pPr>
    </w:p>
    <w:p w:rsidR="00E71A9B" w:rsidRPr="009113D4" w:rsidRDefault="0015739E" w:rsidP="0060786E">
      <w:pPr>
        <w:keepNext/>
        <w:widowControl w:val="0"/>
      </w:pPr>
      <w:r w:rsidRPr="009113D4">
        <w:t>9.3</w:t>
      </w:r>
      <w:r w:rsidR="00F27A18" w:rsidRPr="009113D4">
        <w:tab/>
      </w:r>
      <w:r w:rsidR="00F21790" w:rsidRPr="009113D4">
        <w:t xml:space="preserve">Los </w:t>
      </w:r>
      <w:r w:rsidR="00345232" w:rsidRPr="009113D4">
        <w:t>Estados</w:t>
      </w:r>
      <w:r w:rsidR="00F21790" w:rsidRPr="009113D4">
        <w:t xml:space="preserve"> miembros deben/deberán establecer un sistema de búsqueda en bases de datos (e</w:t>
      </w:r>
      <w:r w:rsidR="00A20A78" w:rsidRPr="009113D4">
        <w:t>l Portal de la OMPI) que vincule</w:t>
      </w:r>
      <w:r w:rsidR="00F21790" w:rsidRPr="009113D4">
        <w:t xml:space="preserve"> las bases de datos de los miembros de la OMPI que contengan información sobre los recursos</w:t>
      </w:r>
      <w:r w:rsidR="00111F0F" w:rsidRPr="009113D4">
        <w:t xml:space="preserve"> </w:t>
      </w:r>
      <w:r w:rsidR="00F21790" w:rsidRPr="009113D4">
        <w:t>genéticos</w:t>
      </w:r>
      <w:r w:rsidR="00897934" w:rsidRPr="009113D4">
        <w:t>, [</w:t>
      </w:r>
      <w:r w:rsidR="00F21790" w:rsidRPr="009113D4">
        <w:t>sus derivados</w:t>
      </w:r>
      <w:r w:rsidR="00897934" w:rsidRPr="009113D4">
        <w:t xml:space="preserve">] </w:t>
      </w:r>
      <w:r w:rsidR="00F21790" w:rsidRPr="009113D4">
        <w:t xml:space="preserve">y los [conocimientos tradicionales conexos] [conocimientos tradicionales asociados a los recursos genéticos], que no sean secretos, </w:t>
      </w:r>
      <w:r w:rsidR="001D4571" w:rsidRPr="009113D4">
        <w:t xml:space="preserve">que se encuentren </w:t>
      </w:r>
      <w:r w:rsidR="00F21790" w:rsidRPr="009113D4">
        <w:t>dentro de su</w:t>
      </w:r>
      <w:r w:rsidR="00111F0F" w:rsidRPr="009113D4">
        <w:t xml:space="preserve"> </w:t>
      </w:r>
      <w:r w:rsidR="00345232" w:rsidRPr="009113D4">
        <w:t>territorio</w:t>
      </w:r>
      <w:r w:rsidR="00111F0F" w:rsidRPr="009113D4">
        <w:t xml:space="preserve">. </w:t>
      </w:r>
      <w:r w:rsidR="00F21790" w:rsidRPr="009113D4">
        <w:t xml:space="preserve"> El Portal de la OMPI permitirá a los examinadores accede</w:t>
      </w:r>
      <w:r w:rsidR="00A20A78" w:rsidRPr="009113D4">
        <w:t>r</w:t>
      </w:r>
      <w:r w:rsidR="00F21790" w:rsidRPr="009113D4">
        <w:t xml:space="preserve"> directamente y recuperar los datos de las bases de datos nacionales</w:t>
      </w:r>
      <w:r w:rsidR="00AE5006" w:rsidRPr="009113D4">
        <w:t>.</w:t>
      </w:r>
      <w:r w:rsidR="00F21790" w:rsidRPr="009113D4">
        <w:t xml:space="preserve"> </w:t>
      </w:r>
      <w:r w:rsidR="00AE5006" w:rsidRPr="009113D4">
        <w:t xml:space="preserve"> </w:t>
      </w:r>
      <w:r w:rsidR="00F21790" w:rsidRPr="009113D4">
        <w:t>Asimismo, el Portal de la OMPI incluirá las salvaguardias adecuadas</w:t>
      </w:r>
      <w:r w:rsidR="00353EB2" w:rsidRPr="009113D4">
        <w:t>.</w:t>
      </w:r>
      <w:r w:rsidR="003912BF" w:rsidRPr="009113D4">
        <w:t>]</w:t>
      </w:r>
    </w:p>
    <w:p w:rsidR="00E71A9B" w:rsidRPr="009113D4" w:rsidRDefault="00E71A9B" w:rsidP="00502D9F">
      <w:pPr>
        <w:widowControl w:val="0"/>
      </w:pPr>
    </w:p>
    <w:p w:rsidR="00E71A9B" w:rsidRPr="009113D4" w:rsidRDefault="00E71A9B" w:rsidP="00502D9F">
      <w:pPr>
        <w:widowControl w:val="0"/>
      </w:pPr>
    </w:p>
    <w:p w:rsidR="00E71A9B" w:rsidRPr="009113D4" w:rsidRDefault="00E71A9B" w:rsidP="00502D9F">
      <w:pPr>
        <w:widowControl w:val="0"/>
        <w:jc w:val="center"/>
        <w:rPr>
          <w:b/>
        </w:rPr>
      </w:pPr>
      <w:r w:rsidRPr="009113D4">
        <w:rPr>
          <w:b/>
        </w:rPr>
        <w:t>[ARTÍCULO 10]</w:t>
      </w:r>
    </w:p>
    <w:p w:rsidR="00E71A9B" w:rsidRPr="009113D4" w:rsidRDefault="00E71A9B" w:rsidP="00502D9F">
      <w:pPr>
        <w:widowControl w:val="0"/>
        <w:jc w:val="center"/>
        <w:rPr>
          <w:b/>
        </w:rPr>
      </w:pPr>
      <w:r w:rsidRPr="009113D4">
        <w:rPr>
          <w:b/>
        </w:rPr>
        <w:t>RELACIÓN CON OTROS ACUERDOS INTERNACIONALES</w:t>
      </w:r>
    </w:p>
    <w:p w:rsidR="00E71A9B" w:rsidRPr="009113D4" w:rsidRDefault="00E71A9B" w:rsidP="00502D9F">
      <w:pPr>
        <w:widowControl w:val="0"/>
        <w:jc w:val="center"/>
        <w:rPr>
          <w:b/>
        </w:rPr>
      </w:pPr>
    </w:p>
    <w:p w:rsidR="00E71A9B" w:rsidRPr="009113D4" w:rsidRDefault="00B44BA2" w:rsidP="00502D9F">
      <w:pPr>
        <w:widowControl w:val="0"/>
      </w:pPr>
      <w:r w:rsidRPr="009113D4">
        <w:t>10.1</w:t>
      </w:r>
      <w:r w:rsidR="00F27A18" w:rsidRPr="009113D4">
        <w:tab/>
      </w:r>
      <w:r w:rsidR="00FF5AD3" w:rsidRPr="009113D4">
        <w:t xml:space="preserve">El presente </w:t>
      </w:r>
      <w:r w:rsidR="00345232" w:rsidRPr="009113D4">
        <w:t>instrumento</w:t>
      </w:r>
      <w:r w:rsidR="00FF5AD3" w:rsidRPr="009113D4">
        <w:t xml:space="preserve"> debe/deberá establecer una relación de apoyo recíproco [entre los derechos de [propiedad intelectual] [patente] [basados directamente en] [que atañen a] [la utilización de] recursos </w:t>
      </w:r>
      <w:proofErr w:type="gramStart"/>
      <w:r w:rsidR="00FF5AD3" w:rsidRPr="009113D4">
        <w:t>genéticos[</w:t>
      </w:r>
      <w:proofErr w:type="gramEnd"/>
      <w:r w:rsidR="00FF5AD3" w:rsidRPr="009113D4">
        <w:t>,sus derivados] y [conocimientos tradicionales conexos] [conocimientos tradicionales asociados a los recursos genéticos] y los acuerdos y tratados internacionales vigentes.</w:t>
      </w:r>
    </w:p>
    <w:p w:rsidR="00E71A9B" w:rsidRPr="009113D4" w:rsidRDefault="00E71A9B" w:rsidP="00502D9F">
      <w:pPr>
        <w:widowControl w:val="0"/>
      </w:pPr>
    </w:p>
    <w:p w:rsidR="00E71A9B" w:rsidRPr="009113D4" w:rsidRDefault="00B44BA2" w:rsidP="00502D9F">
      <w:pPr>
        <w:widowControl w:val="0"/>
      </w:pPr>
      <w:r w:rsidRPr="009113D4">
        <w:t>10.2</w:t>
      </w:r>
      <w:r w:rsidR="00F27A18" w:rsidRPr="009113D4">
        <w:tab/>
      </w:r>
      <w:r w:rsidR="00715528" w:rsidRPr="009113D4">
        <w:t>[</w:t>
      </w:r>
      <w:r w:rsidR="00FF5AD3" w:rsidRPr="009113D4">
        <w:t>El presente</w:t>
      </w:r>
      <w:r w:rsidRPr="009113D4">
        <w:t xml:space="preserve"> </w:t>
      </w:r>
      <w:r w:rsidR="00345232" w:rsidRPr="009113D4">
        <w:t>instrumento</w:t>
      </w:r>
      <w:r w:rsidRPr="009113D4">
        <w:t xml:space="preserve"> </w:t>
      </w:r>
      <w:r w:rsidR="00FF5AD3" w:rsidRPr="009113D4">
        <w:t>debe/deberá tener carácter complementario y no se prevé que modifique otros acuerdos sobre materia relacionada</w:t>
      </w:r>
      <w:r w:rsidRPr="009113D4">
        <w:t xml:space="preserve">, </w:t>
      </w:r>
      <w:r w:rsidR="00FF5AD3" w:rsidRPr="009113D4">
        <w:t>y debe/deberá</w:t>
      </w:r>
      <w:r w:rsidRPr="009113D4">
        <w:t xml:space="preserve"> </w:t>
      </w:r>
      <w:r w:rsidR="00FF5AD3" w:rsidRPr="009113D4">
        <w:t>respaldar, e</w:t>
      </w:r>
      <w:r w:rsidRPr="009113D4">
        <w:t>n particular,</w:t>
      </w:r>
      <w:r w:rsidR="00F75579" w:rsidRPr="009113D4">
        <w:t xml:space="preserve"> </w:t>
      </w:r>
      <w:r w:rsidR="00FF5AD3" w:rsidRPr="009113D4">
        <w:t>el artículo 31 de la Declaración de las Naciones Unidas sobre los Derechos de los Pueblos Indígenas</w:t>
      </w:r>
      <w:r w:rsidRPr="009113D4">
        <w:t>.</w:t>
      </w:r>
      <w:r w:rsidR="00715528" w:rsidRPr="009113D4">
        <w:t>]</w:t>
      </w:r>
    </w:p>
    <w:p w:rsidR="00E71A9B" w:rsidRPr="009113D4" w:rsidRDefault="00E71A9B" w:rsidP="00502D9F">
      <w:pPr>
        <w:widowControl w:val="0"/>
      </w:pPr>
    </w:p>
    <w:p w:rsidR="00E71A9B" w:rsidRPr="009113D4" w:rsidRDefault="00E71A9B" w:rsidP="00502D9F">
      <w:pPr>
        <w:widowControl w:val="0"/>
        <w:rPr>
          <w:b/>
        </w:rPr>
      </w:pPr>
    </w:p>
    <w:p w:rsidR="00E71A9B" w:rsidRPr="009113D4" w:rsidRDefault="00E71A9B" w:rsidP="00502D9F">
      <w:pPr>
        <w:widowControl w:val="0"/>
        <w:jc w:val="center"/>
        <w:rPr>
          <w:b/>
        </w:rPr>
      </w:pPr>
      <w:r w:rsidRPr="009113D4">
        <w:rPr>
          <w:b/>
        </w:rPr>
        <w:t>[ARTÍCULO 11]</w:t>
      </w:r>
    </w:p>
    <w:p w:rsidR="00E71A9B" w:rsidRPr="009113D4" w:rsidRDefault="00E71A9B" w:rsidP="00502D9F">
      <w:pPr>
        <w:widowControl w:val="0"/>
        <w:jc w:val="center"/>
        <w:rPr>
          <w:b/>
        </w:rPr>
      </w:pPr>
      <w:r w:rsidRPr="009113D4">
        <w:rPr>
          <w:b/>
        </w:rPr>
        <w:t>COOPERACIÓN INTERNACIONAL</w:t>
      </w:r>
    </w:p>
    <w:p w:rsidR="00E71A9B" w:rsidRPr="009113D4" w:rsidRDefault="00E71A9B" w:rsidP="00502D9F">
      <w:pPr>
        <w:widowControl w:val="0"/>
      </w:pPr>
    </w:p>
    <w:p w:rsidR="00E71A9B" w:rsidRPr="009113D4" w:rsidRDefault="00CA0B44" w:rsidP="00502D9F">
      <w:pPr>
        <w:widowControl w:val="0"/>
        <w:jc w:val="center"/>
      </w:pPr>
      <w:r w:rsidRPr="009113D4">
        <w:t>1</w:t>
      </w:r>
      <w:r w:rsidR="007733AD" w:rsidRPr="009113D4">
        <w:t>1</w:t>
      </w:r>
      <w:r w:rsidR="002565F9" w:rsidRPr="009113D4">
        <w:t>.1</w:t>
      </w:r>
      <w:r w:rsidR="002565F9" w:rsidRPr="009113D4">
        <w:tab/>
        <w:t>[[</w:t>
      </w:r>
      <w:r w:rsidR="00FF5AD3" w:rsidRPr="009113D4">
        <w:t xml:space="preserve">Los órganos pertinentes de la OMPI deben/deberán alentar a los miembros del Tratado de Cooperación en </w:t>
      </w:r>
      <w:r w:rsidR="00345232" w:rsidRPr="009113D4">
        <w:t>materia</w:t>
      </w:r>
      <w:r w:rsidR="00FF5AD3" w:rsidRPr="009113D4">
        <w:t xml:space="preserve"> de Patentes a</w:t>
      </w:r>
      <w:r w:rsidR="007733AD" w:rsidRPr="009113D4">
        <w:t>]</w:t>
      </w:r>
      <w:r w:rsidR="002565F9" w:rsidRPr="009113D4">
        <w:t xml:space="preserve"> </w:t>
      </w:r>
      <w:r w:rsidR="007733AD" w:rsidRPr="009113D4">
        <w:t>[</w:t>
      </w:r>
      <w:r w:rsidR="00FF5AD3" w:rsidRPr="009113D4">
        <w:t xml:space="preserve">El Grupo de </w:t>
      </w:r>
      <w:r w:rsidR="00345232" w:rsidRPr="009113D4">
        <w:t>Trabajo</w:t>
      </w:r>
      <w:r w:rsidR="00FF5AD3" w:rsidRPr="009113D4">
        <w:t xml:space="preserve"> sobre la </w:t>
      </w:r>
      <w:r w:rsidR="00345232" w:rsidRPr="009113D4">
        <w:t>Reforma</w:t>
      </w:r>
      <w:r w:rsidR="007733AD" w:rsidRPr="009113D4">
        <w:t xml:space="preserve"> </w:t>
      </w:r>
      <w:r w:rsidR="00FF5AD3" w:rsidRPr="009113D4">
        <w:t>del PCT debe/deberá</w:t>
      </w:r>
      <w:r w:rsidR="007733AD" w:rsidRPr="009113D4">
        <w:t xml:space="preserve">] </w:t>
      </w:r>
      <w:r w:rsidR="00FF5AD3" w:rsidRPr="009113D4">
        <w:t xml:space="preserve">elaborar una serie de </w:t>
      </w:r>
      <w:r w:rsidR="00345232" w:rsidRPr="009113D4">
        <w:t>directrices</w:t>
      </w:r>
      <w:r w:rsidR="00FF5AD3" w:rsidRPr="009113D4">
        <w:t xml:space="preserve"> para </w:t>
      </w:r>
      <w:r w:rsidR="00A24F94" w:rsidRPr="009113D4">
        <w:t>[</w:t>
      </w:r>
      <w:r w:rsidR="00FF5AD3" w:rsidRPr="009113D4">
        <w:t xml:space="preserve">la búsqueda y el </w:t>
      </w:r>
      <w:r w:rsidR="00345232" w:rsidRPr="009113D4">
        <w:t>examen</w:t>
      </w:r>
      <w:r w:rsidR="00FF5AD3" w:rsidRPr="009113D4">
        <w:t xml:space="preserve"> de las solicitudes relacionadas con recursos genéticos[, sus derivados] y [conocimientos tradicionales conexos] [conocimientos tradicionales asociados a los recursos genéticos]</w:t>
      </w:r>
      <w:r w:rsidR="002565F9" w:rsidRPr="009113D4">
        <w:t xml:space="preserve">] </w:t>
      </w:r>
      <w:r w:rsidR="00A24F94" w:rsidRPr="009113D4">
        <w:t>[</w:t>
      </w:r>
      <w:r w:rsidR="00A20A78" w:rsidRPr="009113D4">
        <w:t xml:space="preserve">la </w:t>
      </w:r>
      <w:r w:rsidR="00FF5AD3" w:rsidRPr="009113D4">
        <w:t xml:space="preserve">divulgación </w:t>
      </w:r>
      <w:r w:rsidR="00345232" w:rsidRPr="009113D4">
        <w:t>administrativa</w:t>
      </w:r>
      <w:r w:rsidR="002565F9" w:rsidRPr="009113D4">
        <w:t xml:space="preserve"> </w:t>
      </w:r>
      <w:r w:rsidR="00FF5AD3" w:rsidRPr="009113D4">
        <w:t xml:space="preserve">del </w:t>
      </w:r>
      <w:r w:rsidR="00345232" w:rsidRPr="009113D4">
        <w:t>origen</w:t>
      </w:r>
      <w:r w:rsidR="002565F9" w:rsidRPr="009113D4">
        <w:t xml:space="preserve"> o</w:t>
      </w:r>
      <w:r w:rsidR="00FF5AD3" w:rsidRPr="009113D4">
        <w:t xml:space="preserve"> la fuente</w:t>
      </w:r>
      <w:r w:rsidR="00A24F94" w:rsidRPr="009113D4">
        <w:t>]</w:t>
      </w:r>
      <w:r w:rsidR="002565F9" w:rsidRPr="009113D4">
        <w:t xml:space="preserve"> </w:t>
      </w:r>
      <w:r w:rsidR="00FF5AD3" w:rsidRPr="009113D4">
        <w:t>por las Administraciones internacionales de búsqueda y examen en virtud del Tratado de Cooperación en materia de Patentes</w:t>
      </w:r>
      <w:r w:rsidR="00F75579" w:rsidRPr="009113D4">
        <w:t>].</w:t>
      </w:r>
    </w:p>
    <w:p w:rsidR="00E71A9B" w:rsidRPr="009113D4" w:rsidRDefault="00E71A9B" w:rsidP="00502D9F">
      <w:pPr>
        <w:widowControl w:val="0"/>
        <w:jc w:val="center"/>
      </w:pPr>
    </w:p>
    <w:p w:rsidR="00E71A9B" w:rsidRPr="009113D4" w:rsidRDefault="00E71A9B" w:rsidP="00502D9F">
      <w:pPr>
        <w:widowControl w:val="0"/>
        <w:jc w:val="center"/>
      </w:pPr>
    </w:p>
    <w:p w:rsidR="00E71A9B" w:rsidRPr="009113D4" w:rsidRDefault="00E71A9B" w:rsidP="00502D9F">
      <w:pPr>
        <w:widowControl w:val="0"/>
        <w:jc w:val="center"/>
        <w:rPr>
          <w:b/>
        </w:rPr>
      </w:pPr>
      <w:r w:rsidRPr="009113D4">
        <w:rPr>
          <w:b/>
        </w:rPr>
        <w:t>[ARTÍCULO 12]</w:t>
      </w:r>
    </w:p>
    <w:p w:rsidR="00E71A9B" w:rsidRPr="009113D4" w:rsidRDefault="00E71A9B" w:rsidP="00502D9F">
      <w:pPr>
        <w:widowControl w:val="0"/>
        <w:jc w:val="center"/>
        <w:rPr>
          <w:b/>
        </w:rPr>
      </w:pPr>
      <w:r w:rsidRPr="009113D4">
        <w:rPr>
          <w:b/>
        </w:rPr>
        <w:t>COOPERACIÓN TRANSFRONTERIZA</w:t>
      </w:r>
    </w:p>
    <w:p w:rsidR="00E71A9B" w:rsidRPr="009113D4" w:rsidRDefault="00E71A9B" w:rsidP="00502D9F">
      <w:pPr>
        <w:widowControl w:val="0"/>
      </w:pPr>
    </w:p>
    <w:p w:rsidR="00E71A9B" w:rsidRPr="009113D4" w:rsidRDefault="00F27A18" w:rsidP="00502D9F">
      <w:pPr>
        <w:widowControl w:val="0"/>
      </w:pPr>
      <w:r w:rsidRPr="009113D4">
        <w:t>12.1</w:t>
      </w:r>
      <w:r w:rsidRPr="009113D4">
        <w:tab/>
      </w:r>
      <w:r w:rsidR="00E71A9B" w:rsidRPr="009113D4">
        <w:t xml:space="preserve">[En los casos en los que los mismos recursos genéticos [, sus derivados] y [los conocimientos tradicionales conexos] [los conocimientos tradicionales asociados a recursos genéticos] se encuentren en condiciones </w:t>
      </w:r>
      <w:r w:rsidR="00E71A9B" w:rsidRPr="009113D4">
        <w:rPr>
          <w:i/>
        </w:rPr>
        <w:t>in situ</w:t>
      </w:r>
      <w:r w:rsidR="00E71A9B" w:rsidRPr="009113D4">
        <w:t xml:space="preserve"> en el territorio de más de una Parte, esas Partes se esforzarán por cooperar, según sea apropiado, con la participación de las comunidades locales [e] [y pueblos] indígenas [interesados] [interesadas], cuando proceda, mediante la adopción de medidas que hagan uso de las leyes y </w:t>
      </w:r>
      <w:r w:rsidR="00A20A78" w:rsidRPr="009113D4">
        <w:t xml:space="preserve">los </w:t>
      </w:r>
      <w:r w:rsidR="00E71A9B" w:rsidRPr="009113D4">
        <w:t>protocolos consuetudinarios, que respalden los objetivos del presente instrumento y de la legislación nacional y no sean contrarias a ellos.]</w:t>
      </w:r>
    </w:p>
    <w:p w:rsidR="00E71A9B" w:rsidRPr="009113D4" w:rsidRDefault="00E71A9B" w:rsidP="00502D9F">
      <w:pPr>
        <w:widowControl w:val="0"/>
      </w:pPr>
    </w:p>
    <w:p w:rsidR="00F27A18" w:rsidRPr="009113D4" w:rsidRDefault="00F27A18">
      <w:r w:rsidRPr="009113D4">
        <w:br w:type="page"/>
      </w:r>
    </w:p>
    <w:p w:rsidR="00E71A9B" w:rsidRPr="009113D4" w:rsidRDefault="00E71A9B" w:rsidP="00502D9F">
      <w:pPr>
        <w:widowControl w:val="0"/>
      </w:pPr>
    </w:p>
    <w:p w:rsidR="00E71A9B" w:rsidRPr="009113D4" w:rsidRDefault="00E71A9B" w:rsidP="00502D9F">
      <w:pPr>
        <w:widowControl w:val="0"/>
        <w:jc w:val="center"/>
        <w:rPr>
          <w:b/>
        </w:rPr>
      </w:pPr>
      <w:r w:rsidRPr="009113D4">
        <w:rPr>
          <w:b/>
        </w:rPr>
        <w:t>[ARTÍCULO 13]</w:t>
      </w:r>
    </w:p>
    <w:p w:rsidR="00E71A9B" w:rsidRPr="009113D4" w:rsidRDefault="00E71A9B" w:rsidP="00502D9F">
      <w:pPr>
        <w:widowControl w:val="0"/>
        <w:jc w:val="center"/>
        <w:rPr>
          <w:b/>
        </w:rPr>
      </w:pPr>
      <w:r w:rsidRPr="009113D4">
        <w:rPr>
          <w:b/>
        </w:rPr>
        <w:t>ASISTENCIA TÉCNICA, COOPERACIÓN Y CREACIÓN DE CAPACIDAD</w:t>
      </w:r>
    </w:p>
    <w:p w:rsidR="00E71A9B" w:rsidRPr="009113D4" w:rsidRDefault="00E71A9B" w:rsidP="00502D9F">
      <w:pPr>
        <w:widowControl w:val="0"/>
      </w:pPr>
    </w:p>
    <w:p w:rsidR="00E71A9B" w:rsidRPr="009113D4" w:rsidRDefault="00CA0B44" w:rsidP="00502D9F">
      <w:pPr>
        <w:widowControl w:val="0"/>
      </w:pPr>
      <w:r w:rsidRPr="009113D4">
        <w:t>1</w:t>
      </w:r>
      <w:r w:rsidR="007733AD" w:rsidRPr="009113D4">
        <w:t>3</w:t>
      </w:r>
      <w:r w:rsidR="002565F9" w:rsidRPr="009113D4">
        <w:t>.1</w:t>
      </w:r>
      <w:r w:rsidR="002565F9" w:rsidRPr="009113D4">
        <w:tab/>
        <w:t>[</w:t>
      </w:r>
      <w:r w:rsidR="009245D3" w:rsidRPr="009113D4">
        <w:t>Los órganos pertinentes de la OMPI</w:t>
      </w:r>
      <w:r w:rsidR="002565F9" w:rsidRPr="009113D4">
        <w:t xml:space="preserve"> </w:t>
      </w:r>
      <w:r w:rsidR="00A24F94" w:rsidRPr="009113D4">
        <w:t>[</w:t>
      </w:r>
      <w:r w:rsidR="009245D3" w:rsidRPr="009113D4">
        <w:t>deben</w:t>
      </w:r>
      <w:r w:rsidR="00192C10" w:rsidRPr="009113D4">
        <w:t>/</w:t>
      </w:r>
      <w:r w:rsidR="009245D3" w:rsidRPr="009113D4">
        <w:t>deberán</w:t>
      </w:r>
      <w:r w:rsidR="00A24F94" w:rsidRPr="009113D4">
        <w:t>]] [</w:t>
      </w:r>
      <w:r w:rsidR="009245D3" w:rsidRPr="009113D4">
        <w:t>La OMPI debe</w:t>
      </w:r>
      <w:r w:rsidR="00192C10" w:rsidRPr="009113D4">
        <w:t>/</w:t>
      </w:r>
      <w:r w:rsidR="009245D3" w:rsidRPr="009113D4">
        <w:t>deberá</w:t>
      </w:r>
      <w:r w:rsidR="00A24F94" w:rsidRPr="009113D4">
        <w:t>]</w:t>
      </w:r>
      <w:r w:rsidR="009245D3" w:rsidRPr="009113D4">
        <w:t xml:space="preserve"> prever formas de elaborar, financiar y poner en práctica las disposiciones del presente instrumento</w:t>
      </w:r>
      <w:r w:rsidR="002565F9" w:rsidRPr="009113D4">
        <w:t>.</w:t>
      </w:r>
      <w:r w:rsidR="009245D3" w:rsidRPr="009113D4">
        <w:t xml:space="preserve"> </w:t>
      </w:r>
      <w:r w:rsidR="002565F9" w:rsidRPr="009113D4">
        <w:t xml:space="preserve"> </w:t>
      </w:r>
      <w:r w:rsidR="009245D3" w:rsidRPr="009113D4">
        <w:t>La OMPI</w:t>
      </w:r>
      <w:r w:rsidR="002565F9" w:rsidRPr="009113D4">
        <w:t xml:space="preserve"> </w:t>
      </w:r>
      <w:r w:rsidR="00A24F94" w:rsidRPr="009113D4">
        <w:t>[</w:t>
      </w:r>
      <w:r w:rsidR="009245D3" w:rsidRPr="009113D4">
        <w:t>debe/deberá</w:t>
      </w:r>
      <w:r w:rsidR="00A24F94" w:rsidRPr="009113D4">
        <w:t>]</w:t>
      </w:r>
      <w:r w:rsidR="002565F9" w:rsidRPr="009113D4">
        <w:t xml:space="preserve"> pro</w:t>
      </w:r>
      <w:r w:rsidR="009245D3" w:rsidRPr="009113D4">
        <w:t>porcionar</w:t>
      </w:r>
      <w:r w:rsidR="002565F9" w:rsidRPr="009113D4">
        <w:t xml:space="preserve"> </w:t>
      </w:r>
      <w:r w:rsidR="009245D3" w:rsidRPr="009113D4">
        <w:t xml:space="preserve">asistencia técnica, </w:t>
      </w:r>
      <w:r w:rsidR="00345232" w:rsidRPr="009113D4">
        <w:t>cooperación</w:t>
      </w:r>
      <w:r w:rsidR="002565F9" w:rsidRPr="009113D4">
        <w:t xml:space="preserve">, </w:t>
      </w:r>
      <w:r w:rsidR="009245D3" w:rsidRPr="009113D4">
        <w:t xml:space="preserve">fortalecimiento de las capacidades y apoyo </w:t>
      </w:r>
      <w:r w:rsidR="00345232" w:rsidRPr="009113D4">
        <w:t>financiero, con</w:t>
      </w:r>
      <w:r w:rsidR="009245D3" w:rsidRPr="009113D4">
        <w:t xml:space="preserve"> sujeción a los recursos presupuestarios, a los países en desarrollo, en </w:t>
      </w:r>
      <w:r w:rsidR="00A20A78" w:rsidRPr="009113D4">
        <w:t>particular,</w:t>
      </w:r>
      <w:r w:rsidR="009245D3" w:rsidRPr="009113D4">
        <w:t xml:space="preserve"> los países </w:t>
      </w:r>
      <w:r w:rsidR="00345232" w:rsidRPr="009113D4">
        <w:t>menos</w:t>
      </w:r>
      <w:r w:rsidR="009245D3" w:rsidRPr="009113D4">
        <w:t xml:space="preserve"> adelantados, para la aplicación de las obligaciones previstas en el presente</w:t>
      </w:r>
      <w:r w:rsidR="00A20A78" w:rsidRPr="009113D4">
        <w:t xml:space="preserve"> instrumento</w:t>
      </w:r>
      <w:r w:rsidR="002565F9" w:rsidRPr="009113D4">
        <w:t>.]</w:t>
      </w:r>
    </w:p>
    <w:p w:rsidR="00E71A9B" w:rsidRPr="009113D4" w:rsidRDefault="00E71A9B" w:rsidP="00502D9F">
      <w:pPr>
        <w:widowControl w:val="0"/>
      </w:pPr>
    </w:p>
    <w:p w:rsidR="00E71A9B" w:rsidRPr="009113D4" w:rsidRDefault="00E71A9B" w:rsidP="00502D9F">
      <w:pPr>
        <w:widowControl w:val="0"/>
      </w:pPr>
    </w:p>
    <w:p w:rsidR="00E71A9B" w:rsidRPr="009113D4" w:rsidRDefault="00E71A9B" w:rsidP="00502D9F">
      <w:pPr>
        <w:widowControl w:val="0"/>
        <w:ind w:left="5533"/>
      </w:pPr>
      <w:r w:rsidRPr="009113D4">
        <w:t>[</w:t>
      </w:r>
      <w:r w:rsidR="009245D3" w:rsidRPr="009113D4">
        <w:t>Fin del documento</w:t>
      </w:r>
      <w:r w:rsidRPr="009113D4">
        <w:t>]</w:t>
      </w:r>
    </w:p>
    <w:sectPr w:rsidR="00E71A9B" w:rsidRPr="009113D4" w:rsidSect="003F6121">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1C2" w:rsidRDefault="00E001C2">
      <w:r>
        <w:separator/>
      </w:r>
    </w:p>
  </w:endnote>
  <w:endnote w:type="continuationSeparator" w:id="0">
    <w:p w:rsidR="00E001C2" w:rsidRDefault="00E001C2" w:rsidP="003B38C1">
      <w:r>
        <w:separator/>
      </w:r>
    </w:p>
    <w:p w:rsidR="00E001C2" w:rsidRPr="003B38C1" w:rsidRDefault="00E001C2" w:rsidP="003B38C1">
      <w:pPr>
        <w:spacing w:after="60"/>
        <w:rPr>
          <w:sz w:val="17"/>
        </w:rPr>
      </w:pPr>
      <w:r>
        <w:rPr>
          <w:sz w:val="17"/>
        </w:rPr>
        <w:t>[Endnote continued from previous page]</w:t>
      </w:r>
    </w:p>
  </w:endnote>
  <w:endnote w:type="continuationNotice" w:id="1">
    <w:p w:rsidR="00E001C2" w:rsidRPr="003B38C1" w:rsidRDefault="00E001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1C2" w:rsidRDefault="00E001C2">
      <w:r>
        <w:separator/>
      </w:r>
    </w:p>
  </w:footnote>
  <w:footnote w:type="continuationSeparator" w:id="0">
    <w:p w:rsidR="00E001C2" w:rsidRDefault="00E001C2" w:rsidP="008B60B2">
      <w:r>
        <w:separator/>
      </w:r>
    </w:p>
    <w:p w:rsidR="00E001C2" w:rsidRPr="00ED77FB" w:rsidRDefault="00E001C2" w:rsidP="008B60B2">
      <w:pPr>
        <w:spacing w:after="60"/>
        <w:rPr>
          <w:sz w:val="17"/>
          <w:szCs w:val="17"/>
        </w:rPr>
      </w:pPr>
      <w:r w:rsidRPr="00ED77FB">
        <w:rPr>
          <w:sz w:val="17"/>
          <w:szCs w:val="17"/>
        </w:rPr>
        <w:t>[Footnote continued from previous page]</w:t>
      </w:r>
    </w:p>
  </w:footnote>
  <w:footnote w:type="continuationNotice" w:id="1">
    <w:p w:rsidR="00E001C2" w:rsidRPr="00ED77FB" w:rsidRDefault="00E001C2" w:rsidP="008B60B2">
      <w:pPr>
        <w:spacing w:before="60"/>
        <w:jc w:val="right"/>
        <w:rPr>
          <w:sz w:val="17"/>
          <w:szCs w:val="17"/>
        </w:rPr>
      </w:pPr>
      <w:r w:rsidRPr="00ED77FB">
        <w:rPr>
          <w:sz w:val="17"/>
          <w:szCs w:val="17"/>
        </w:rPr>
        <w:t>[Footnote continued on next page]</w:t>
      </w:r>
    </w:p>
  </w:footnote>
  <w:footnote w:id="2">
    <w:p w:rsidR="00E001C2" w:rsidRPr="000C6583" w:rsidRDefault="00E001C2" w:rsidP="00E71A9B">
      <w:pPr>
        <w:pStyle w:val="FootnoteText"/>
        <w:rPr>
          <w:lang w:val="es-ES_tradnl"/>
        </w:rPr>
      </w:pPr>
      <w:r>
        <w:rPr>
          <w:rStyle w:val="FootnoteReference"/>
        </w:rPr>
        <w:footnoteRef/>
      </w:r>
      <w:r w:rsidRPr="00502D9F">
        <w:t xml:space="preserve"> </w:t>
      </w:r>
      <w:r w:rsidR="00435DFE" w:rsidRPr="00502D9F">
        <w:tab/>
      </w:r>
      <w:r w:rsidRPr="00F27A18">
        <w:rPr>
          <w:bCs/>
        </w:rPr>
        <w:t xml:space="preserve">Nota de los facilitadores.  </w:t>
      </w:r>
      <w:r w:rsidR="00345232" w:rsidRPr="00F27A18">
        <w:rPr>
          <w:bCs/>
          <w:lang w:val="es-ES_tradnl"/>
        </w:rPr>
        <w:t>Los</w:t>
      </w:r>
      <w:r w:rsidR="00345232">
        <w:rPr>
          <w:lang w:val="es-ES_tradnl"/>
        </w:rPr>
        <w:t xml:space="preserve"> miembros</w:t>
      </w:r>
      <w:r w:rsidRPr="000C6583">
        <w:rPr>
          <w:lang w:val="es-ES_tradnl"/>
        </w:rPr>
        <w:t xml:space="preserve"> </w:t>
      </w:r>
      <w:r w:rsidR="00435DFE" w:rsidRPr="000C6583">
        <w:rPr>
          <w:lang w:val="es-ES_tradnl"/>
        </w:rPr>
        <w:t xml:space="preserve">deberán tener presente que algunos </w:t>
      </w:r>
      <w:r w:rsidR="00345232" w:rsidRPr="000C6583">
        <w:rPr>
          <w:lang w:val="es-ES_tradnl"/>
        </w:rPr>
        <w:t>miembros</w:t>
      </w:r>
      <w:r w:rsidR="00435DFE" w:rsidRPr="000C6583">
        <w:rPr>
          <w:lang w:val="es-ES_tradnl"/>
        </w:rPr>
        <w:t xml:space="preserve"> consideran que las medidas preventivas constituyen una opción </w:t>
      </w:r>
      <w:r w:rsidR="00345232" w:rsidRPr="000C6583">
        <w:rPr>
          <w:lang w:val="es-ES_tradnl"/>
        </w:rPr>
        <w:t>alternativa</w:t>
      </w:r>
      <w:r w:rsidR="00435DFE" w:rsidRPr="000C6583">
        <w:rPr>
          <w:lang w:val="es-ES_tradnl"/>
        </w:rPr>
        <w:t xml:space="preserve"> a la divulgación, mientras que otros las consideran como una opción </w:t>
      </w:r>
      <w:r w:rsidR="00345232" w:rsidRPr="000C6583">
        <w:rPr>
          <w:lang w:val="es-ES_tradnl"/>
        </w:rPr>
        <w:t>complementaria</w:t>
      </w:r>
      <w:r w:rsidRPr="000C658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54808"/>
      <w:docPartObj>
        <w:docPartGallery w:val="Page Numbers (Top of Page)"/>
        <w:docPartUnique/>
      </w:docPartObj>
    </w:sdtPr>
    <w:sdtEndPr/>
    <w:sdtContent>
      <w:p w:rsidR="003F6121" w:rsidRDefault="001A47A0">
        <w:pPr>
          <w:pStyle w:val="Header"/>
          <w:jc w:val="right"/>
        </w:pPr>
        <w:proofErr w:type="gramStart"/>
        <w:r>
          <w:t>página</w:t>
        </w:r>
        <w:proofErr w:type="gramEnd"/>
        <w:r>
          <w:t xml:space="preserve"> </w:t>
        </w:r>
        <w:r w:rsidR="003F6121">
          <w:fldChar w:fldCharType="begin"/>
        </w:r>
        <w:r w:rsidR="003F6121">
          <w:instrText>PAGE   \* MERGEFORMAT</w:instrText>
        </w:r>
        <w:r w:rsidR="003F6121">
          <w:fldChar w:fldCharType="separate"/>
        </w:r>
        <w:r w:rsidR="009113D4">
          <w:rPr>
            <w:noProof/>
          </w:rPr>
          <w:t>6</w:t>
        </w:r>
        <w:r w:rsidR="003F6121">
          <w:fldChar w:fldCharType="end"/>
        </w:r>
      </w:p>
    </w:sdtContent>
  </w:sdt>
  <w:p w:rsidR="003F6121" w:rsidRDefault="003F6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1C2" w:rsidRDefault="00E001C2" w:rsidP="0084139A">
    <w:pPr>
      <w:pStyle w:val="Header"/>
      <w:jc w:val="right"/>
      <w:rPr>
        <w:lang w:val="es-ES_tradnl"/>
      </w:rPr>
    </w:pPr>
  </w:p>
  <w:p w:rsidR="003F6121" w:rsidRPr="00F270FA" w:rsidRDefault="003F6121" w:rsidP="008413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5A436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833ABF"/>
    <w:multiLevelType w:val="hybridMultilevel"/>
    <w:tmpl w:val="14AECB8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075B45"/>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E55EB"/>
    <w:multiLevelType w:val="hybridMultilevel"/>
    <w:tmpl w:val="5656976C"/>
    <w:lvl w:ilvl="0" w:tplc="FE6C05BC">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CEE163E"/>
    <w:multiLevelType w:val="hybridMultilevel"/>
    <w:tmpl w:val="199CC2A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D65B58"/>
    <w:multiLevelType w:val="hybridMultilevel"/>
    <w:tmpl w:val="733A1658"/>
    <w:lvl w:ilvl="0" w:tplc="B86A57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B86C62"/>
    <w:multiLevelType w:val="hybridMultilevel"/>
    <w:tmpl w:val="C610C59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2D0341"/>
    <w:multiLevelType w:val="hybridMultilevel"/>
    <w:tmpl w:val="B42EE620"/>
    <w:lvl w:ilvl="0" w:tplc="177E8A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03BD9"/>
    <w:multiLevelType w:val="hybridMultilevel"/>
    <w:tmpl w:val="8F124E94"/>
    <w:lvl w:ilvl="0" w:tplc="AA32F1CA">
      <w:start w:val="1"/>
      <w:numFmt w:val="lowerRoman"/>
      <w:lvlText w:val="%1)"/>
      <w:lvlJc w:val="left"/>
      <w:pPr>
        <w:ind w:left="1860" w:hanging="72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13">
    <w:nsid w:val="34C24469"/>
    <w:multiLevelType w:val="hybridMultilevel"/>
    <w:tmpl w:val="674EB932"/>
    <w:lvl w:ilvl="0" w:tplc="D6DC42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A8417C"/>
    <w:multiLevelType w:val="hybridMultilevel"/>
    <w:tmpl w:val="FC086266"/>
    <w:lvl w:ilvl="0" w:tplc="4F0CE0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A816C5E"/>
    <w:multiLevelType w:val="hybridMultilevel"/>
    <w:tmpl w:val="66A8BF3E"/>
    <w:lvl w:ilvl="0" w:tplc="182A786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4AE75338"/>
    <w:multiLevelType w:val="hybridMultilevel"/>
    <w:tmpl w:val="6A6AC3AC"/>
    <w:lvl w:ilvl="0" w:tplc="976A5C2C">
      <w:start w:val="1"/>
      <w:numFmt w:val="lowerLetter"/>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BE73E9"/>
    <w:multiLevelType w:val="hybridMultilevel"/>
    <w:tmpl w:val="F822D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01065F"/>
    <w:multiLevelType w:val="hybridMultilevel"/>
    <w:tmpl w:val="CBA4F77E"/>
    <w:lvl w:ilvl="0" w:tplc="D68E8F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F6B3D3C"/>
    <w:multiLevelType w:val="hybridMultilevel"/>
    <w:tmpl w:val="6A6AC3AC"/>
    <w:lvl w:ilvl="0" w:tplc="976A5C2C">
      <w:start w:val="1"/>
      <w:numFmt w:val="lowerLetter"/>
      <w:lvlText w:val="(%1)"/>
      <w:lvlJc w:val="left"/>
      <w:pPr>
        <w:ind w:left="1494" w:hanging="36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23">
    <w:nsid w:val="7A60056B"/>
    <w:multiLevelType w:val="hybridMultilevel"/>
    <w:tmpl w:val="CFFC6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7F00AA"/>
    <w:multiLevelType w:val="hybridMultilevel"/>
    <w:tmpl w:val="75BAFD64"/>
    <w:lvl w:ilvl="0" w:tplc="B86A5746">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7D586B2C"/>
    <w:multiLevelType w:val="hybridMultilevel"/>
    <w:tmpl w:val="68ECBAAE"/>
    <w:lvl w:ilvl="0" w:tplc="862016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2"/>
  </w:num>
  <w:num w:numId="6">
    <w:abstractNumId w:val="9"/>
  </w:num>
  <w:num w:numId="7">
    <w:abstractNumId w:val="20"/>
  </w:num>
  <w:num w:numId="8">
    <w:abstractNumId w:val="5"/>
  </w:num>
  <w:num w:numId="9">
    <w:abstractNumId w:val="17"/>
  </w:num>
  <w:num w:numId="10">
    <w:abstractNumId w:val="4"/>
  </w:num>
  <w:num w:numId="11">
    <w:abstractNumId w:val="11"/>
  </w:num>
  <w:num w:numId="12">
    <w:abstractNumId w:val="1"/>
  </w:num>
  <w:num w:numId="13">
    <w:abstractNumId w:val="7"/>
  </w:num>
  <w:num w:numId="14">
    <w:abstractNumId w:val="24"/>
  </w:num>
  <w:num w:numId="15">
    <w:abstractNumId w:val="8"/>
  </w:num>
  <w:num w:numId="16">
    <w:abstractNumId w:val="22"/>
  </w:num>
  <w:num w:numId="17">
    <w:abstractNumId w:val="19"/>
  </w:num>
  <w:num w:numId="18">
    <w:abstractNumId w:val="23"/>
  </w:num>
  <w:num w:numId="19">
    <w:abstractNumId w:val="16"/>
  </w:num>
  <w:num w:numId="20">
    <w:abstractNumId w:val="21"/>
  </w:num>
  <w:num w:numId="21">
    <w:abstractNumId w:val="25"/>
  </w:num>
  <w:num w:numId="22">
    <w:abstractNumId w:val="14"/>
  </w:num>
  <w:num w:numId="23">
    <w:abstractNumId w:val="13"/>
  </w:num>
  <w:num w:numId="24">
    <w:abstractNumId w:val="10"/>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AMPARO GRTKF|Administrative\Meetings|Budget and Finance\Meetings|Copyright\Meetings|IP in General\Meetings|WorkspaceSTS\Draft\BudgetFinance\Budget_2012_13|WorkspaceSTS\Draft\BudgetFinance\PPR_2010_11|WorkspaceSTS\Draft\AmparoBou|WorkspaceSTS\Draft\C|WorkspaceSTS\Draft\CDIP|WorkspaceSTS\Draft\IP Advantages|WorkspaceSTS\Draft\Job 34167|WorkspaceSTS\Draft\Madrid Yearly Review 2013|WorkspaceSTS\Draft\Nilo|WorkspaceSTS\Draft\Países|WorkspaceSTS\Draft\QA|WorkspaceSTS\Draft\ReportAssemblies2012|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C0572C"/>
    <w:rsid w:val="00005492"/>
    <w:rsid w:val="0001387A"/>
    <w:rsid w:val="00024A23"/>
    <w:rsid w:val="00032AA6"/>
    <w:rsid w:val="00034A78"/>
    <w:rsid w:val="00043CAA"/>
    <w:rsid w:val="00075432"/>
    <w:rsid w:val="00076995"/>
    <w:rsid w:val="000968ED"/>
    <w:rsid w:val="000B24B9"/>
    <w:rsid w:val="000B3EB7"/>
    <w:rsid w:val="000C6583"/>
    <w:rsid w:val="000E2AF1"/>
    <w:rsid w:val="000E4282"/>
    <w:rsid w:val="000F5E56"/>
    <w:rsid w:val="001000C5"/>
    <w:rsid w:val="00106B05"/>
    <w:rsid w:val="00111F0F"/>
    <w:rsid w:val="00127585"/>
    <w:rsid w:val="001362EE"/>
    <w:rsid w:val="001456F1"/>
    <w:rsid w:val="0015739E"/>
    <w:rsid w:val="00170CE9"/>
    <w:rsid w:val="001832A6"/>
    <w:rsid w:val="00190246"/>
    <w:rsid w:val="00192C10"/>
    <w:rsid w:val="001A009B"/>
    <w:rsid w:val="001A47A0"/>
    <w:rsid w:val="001C78BB"/>
    <w:rsid w:val="001D4571"/>
    <w:rsid w:val="001E21FD"/>
    <w:rsid w:val="0022239A"/>
    <w:rsid w:val="00227A25"/>
    <w:rsid w:val="00230DEA"/>
    <w:rsid w:val="002324A5"/>
    <w:rsid w:val="0024402E"/>
    <w:rsid w:val="002472CB"/>
    <w:rsid w:val="002565F9"/>
    <w:rsid w:val="00257AAA"/>
    <w:rsid w:val="002634C4"/>
    <w:rsid w:val="00266399"/>
    <w:rsid w:val="00267A27"/>
    <w:rsid w:val="00274C32"/>
    <w:rsid w:val="002928D3"/>
    <w:rsid w:val="002940CA"/>
    <w:rsid w:val="00294B37"/>
    <w:rsid w:val="002A2DAF"/>
    <w:rsid w:val="002A4E07"/>
    <w:rsid w:val="002B785F"/>
    <w:rsid w:val="002C34B3"/>
    <w:rsid w:val="002D4937"/>
    <w:rsid w:val="002D4FF9"/>
    <w:rsid w:val="002E59AC"/>
    <w:rsid w:val="002F1FE6"/>
    <w:rsid w:val="002F4E68"/>
    <w:rsid w:val="00303561"/>
    <w:rsid w:val="00312F7F"/>
    <w:rsid w:val="00314714"/>
    <w:rsid w:val="0032045A"/>
    <w:rsid w:val="0032159B"/>
    <w:rsid w:val="0033155D"/>
    <w:rsid w:val="00345232"/>
    <w:rsid w:val="00353EB2"/>
    <w:rsid w:val="003573D0"/>
    <w:rsid w:val="00361450"/>
    <w:rsid w:val="003614AB"/>
    <w:rsid w:val="003673CF"/>
    <w:rsid w:val="00370840"/>
    <w:rsid w:val="00381323"/>
    <w:rsid w:val="003845C1"/>
    <w:rsid w:val="003912BF"/>
    <w:rsid w:val="003A08D0"/>
    <w:rsid w:val="003A1920"/>
    <w:rsid w:val="003A6F89"/>
    <w:rsid w:val="003B38C1"/>
    <w:rsid w:val="003D3992"/>
    <w:rsid w:val="003F109E"/>
    <w:rsid w:val="003F508E"/>
    <w:rsid w:val="003F6121"/>
    <w:rsid w:val="00403E0B"/>
    <w:rsid w:val="00414011"/>
    <w:rsid w:val="00423E3E"/>
    <w:rsid w:val="00427AF4"/>
    <w:rsid w:val="00435DFE"/>
    <w:rsid w:val="004647DA"/>
    <w:rsid w:val="00474062"/>
    <w:rsid w:val="00474CB3"/>
    <w:rsid w:val="00477D6B"/>
    <w:rsid w:val="00485B4C"/>
    <w:rsid w:val="004A6709"/>
    <w:rsid w:val="004B2B19"/>
    <w:rsid w:val="004D5950"/>
    <w:rsid w:val="005019FF"/>
    <w:rsid w:val="00502D9F"/>
    <w:rsid w:val="00513B09"/>
    <w:rsid w:val="005218E5"/>
    <w:rsid w:val="0053057A"/>
    <w:rsid w:val="00530E95"/>
    <w:rsid w:val="00535684"/>
    <w:rsid w:val="00542F7E"/>
    <w:rsid w:val="00544223"/>
    <w:rsid w:val="00560A29"/>
    <w:rsid w:val="005623D2"/>
    <w:rsid w:val="00587D31"/>
    <w:rsid w:val="005928B1"/>
    <w:rsid w:val="00594794"/>
    <w:rsid w:val="005B6A80"/>
    <w:rsid w:val="005C0BC4"/>
    <w:rsid w:val="005C6649"/>
    <w:rsid w:val="005D100F"/>
    <w:rsid w:val="005E7C2E"/>
    <w:rsid w:val="005F0E91"/>
    <w:rsid w:val="005F6861"/>
    <w:rsid w:val="00605827"/>
    <w:rsid w:val="0060786E"/>
    <w:rsid w:val="00616593"/>
    <w:rsid w:val="00620755"/>
    <w:rsid w:val="00623670"/>
    <w:rsid w:val="00627E8C"/>
    <w:rsid w:val="00645703"/>
    <w:rsid w:val="00646050"/>
    <w:rsid w:val="006516BA"/>
    <w:rsid w:val="006713CA"/>
    <w:rsid w:val="00674D53"/>
    <w:rsid w:val="00676C5C"/>
    <w:rsid w:val="00680895"/>
    <w:rsid w:val="006C769F"/>
    <w:rsid w:val="006D7358"/>
    <w:rsid w:val="00701DC8"/>
    <w:rsid w:val="00715528"/>
    <w:rsid w:val="00725DD5"/>
    <w:rsid w:val="00730606"/>
    <w:rsid w:val="00734020"/>
    <w:rsid w:val="00735826"/>
    <w:rsid w:val="007370F7"/>
    <w:rsid w:val="00742DEF"/>
    <w:rsid w:val="007502A6"/>
    <w:rsid w:val="0075065D"/>
    <w:rsid w:val="007733AD"/>
    <w:rsid w:val="00773821"/>
    <w:rsid w:val="007A3AB2"/>
    <w:rsid w:val="007C7BC1"/>
    <w:rsid w:val="007D0158"/>
    <w:rsid w:val="007D1613"/>
    <w:rsid w:val="007D578D"/>
    <w:rsid w:val="007D5FF5"/>
    <w:rsid w:val="007E1A4D"/>
    <w:rsid w:val="00804C37"/>
    <w:rsid w:val="0080743A"/>
    <w:rsid w:val="00811AEE"/>
    <w:rsid w:val="00832E32"/>
    <w:rsid w:val="0084115A"/>
    <w:rsid w:val="0084139A"/>
    <w:rsid w:val="00845DE9"/>
    <w:rsid w:val="0086675D"/>
    <w:rsid w:val="0087778D"/>
    <w:rsid w:val="00885C13"/>
    <w:rsid w:val="00897934"/>
    <w:rsid w:val="008A549D"/>
    <w:rsid w:val="008A6D26"/>
    <w:rsid w:val="008A6DA8"/>
    <w:rsid w:val="008A7BD0"/>
    <w:rsid w:val="008B2CC1"/>
    <w:rsid w:val="008B60B2"/>
    <w:rsid w:val="008B6839"/>
    <w:rsid w:val="008D51CA"/>
    <w:rsid w:val="008E169D"/>
    <w:rsid w:val="008E5B81"/>
    <w:rsid w:val="0090731E"/>
    <w:rsid w:val="009109FE"/>
    <w:rsid w:val="00910B50"/>
    <w:rsid w:val="009113D4"/>
    <w:rsid w:val="00911E04"/>
    <w:rsid w:val="009126C5"/>
    <w:rsid w:val="00916EE2"/>
    <w:rsid w:val="009245D3"/>
    <w:rsid w:val="009262EC"/>
    <w:rsid w:val="00933A20"/>
    <w:rsid w:val="00950092"/>
    <w:rsid w:val="009567BD"/>
    <w:rsid w:val="009632FD"/>
    <w:rsid w:val="00965833"/>
    <w:rsid w:val="00966A22"/>
    <w:rsid w:val="0096722F"/>
    <w:rsid w:val="00972305"/>
    <w:rsid w:val="00980843"/>
    <w:rsid w:val="00982F64"/>
    <w:rsid w:val="00986B95"/>
    <w:rsid w:val="00992487"/>
    <w:rsid w:val="009C20CA"/>
    <w:rsid w:val="009C2F24"/>
    <w:rsid w:val="009C2F4C"/>
    <w:rsid w:val="009C4BB3"/>
    <w:rsid w:val="009E2791"/>
    <w:rsid w:val="009E3F6F"/>
    <w:rsid w:val="009F499F"/>
    <w:rsid w:val="00A20A78"/>
    <w:rsid w:val="00A24F94"/>
    <w:rsid w:val="00A25872"/>
    <w:rsid w:val="00A326F8"/>
    <w:rsid w:val="00A400F8"/>
    <w:rsid w:val="00A42DAF"/>
    <w:rsid w:val="00A45BD8"/>
    <w:rsid w:val="00A64A5D"/>
    <w:rsid w:val="00A67457"/>
    <w:rsid w:val="00A73AF6"/>
    <w:rsid w:val="00A869B7"/>
    <w:rsid w:val="00A871B7"/>
    <w:rsid w:val="00AA2FD3"/>
    <w:rsid w:val="00AC205C"/>
    <w:rsid w:val="00AC337C"/>
    <w:rsid w:val="00AC4669"/>
    <w:rsid w:val="00AD267A"/>
    <w:rsid w:val="00AD62B7"/>
    <w:rsid w:val="00AE5006"/>
    <w:rsid w:val="00AF0A6B"/>
    <w:rsid w:val="00B05A69"/>
    <w:rsid w:val="00B26188"/>
    <w:rsid w:val="00B44BA2"/>
    <w:rsid w:val="00B50104"/>
    <w:rsid w:val="00B67279"/>
    <w:rsid w:val="00B859AF"/>
    <w:rsid w:val="00B9734B"/>
    <w:rsid w:val="00BA07B1"/>
    <w:rsid w:val="00BE2570"/>
    <w:rsid w:val="00BF18B1"/>
    <w:rsid w:val="00BF1CB4"/>
    <w:rsid w:val="00BF211D"/>
    <w:rsid w:val="00C0572C"/>
    <w:rsid w:val="00C11BFE"/>
    <w:rsid w:val="00C131C1"/>
    <w:rsid w:val="00C150F5"/>
    <w:rsid w:val="00C23AB5"/>
    <w:rsid w:val="00C2594E"/>
    <w:rsid w:val="00C515C4"/>
    <w:rsid w:val="00C67266"/>
    <w:rsid w:val="00C8609E"/>
    <w:rsid w:val="00CA0B44"/>
    <w:rsid w:val="00CA59B8"/>
    <w:rsid w:val="00CA59CD"/>
    <w:rsid w:val="00CC1EB6"/>
    <w:rsid w:val="00CC5A09"/>
    <w:rsid w:val="00CD0FC9"/>
    <w:rsid w:val="00CF7637"/>
    <w:rsid w:val="00D11019"/>
    <w:rsid w:val="00D215D5"/>
    <w:rsid w:val="00D232CD"/>
    <w:rsid w:val="00D45252"/>
    <w:rsid w:val="00D665A5"/>
    <w:rsid w:val="00D70133"/>
    <w:rsid w:val="00D71B4D"/>
    <w:rsid w:val="00D7435D"/>
    <w:rsid w:val="00D8020B"/>
    <w:rsid w:val="00D93671"/>
    <w:rsid w:val="00D93D55"/>
    <w:rsid w:val="00DA30F8"/>
    <w:rsid w:val="00DA3BAF"/>
    <w:rsid w:val="00DC510F"/>
    <w:rsid w:val="00DF65D1"/>
    <w:rsid w:val="00E001C2"/>
    <w:rsid w:val="00E0108B"/>
    <w:rsid w:val="00E23A9A"/>
    <w:rsid w:val="00E31C04"/>
    <w:rsid w:val="00E335C4"/>
    <w:rsid w:val="00E335FE"/>
    <w:rsid w:val="00E34CB8"/>
    <w:rsid w:val="00E3746E"/>
    <w:rsid w:val="00E4680B"/>
    <w:rsid w:val="00E53EC2"/>
    <w:rsid w:val="00E577C7"/>
    <w:rsid w:val="00E62320"/>
    <w:rsid w:val="00E71A9B"/>
    <w:rsid w:val="00E853A7"/>
    <w:rsid w:val="00E8576A"/>
    <w:rsid w:val="00EC0322"/>
    <w:rsid w:val="00EC4E49"/>
    <w:rsid w:val="00ED0E57"/>
    <w:rsid w:val="00ED465F"/>
    <w:rsid w:val="00ED53DC"/>
    <w:rsid w:val="00ED77FB"/>
    <w:rsid w:val="00EE1EFA"/>
    <w:rsid w:val="00EE45FA"/>
    <w:rsid w:val="00EF345E"/>
    <w:rsid w:val="00F05E29"/>
    <w:rsid w:val="00F21276"/>
    <w:rsid w:val="00F21790"/>
    <w:rsid w:val="00F270FA"/>
    <w:rsid w:val="00F27A18"/>
    <w:rsid w:val="00F311E0"/>
    <w:rsid w:val="00F52D95"/>
    <w:rsid w:val="00F66152"/>
    <w:rsid w:val="00F75579"/>
    <w:rsid w:val="00F7743D"/>
    <w:rsid w:val="00F83AAC"/>
    <w:rsid w:val="00F83E23"/>
    <w:rsid w:val="00F9107A"/>
    <w:rsid w:val="00F92A36"/>
    <w:rsid w:val="00FA45E6"/>
    <w:rsid w:val="00FC5C17"/>
    <w:rsid w:val="00FE0A9A"/>
    <w:rsid w:val="00FE5DE4"/>
    <w:rsid w:val="00FF29ED"/>
    <w:rsid w:val="00FF5AD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BF21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BF211D"/>
    <w:rPr>
      <w:rFonts w:ascii="Tahoma" w:eastAsia="SimSun" w:hAnsi="Tahoma" w:cs="Tahoma"/>
      <w:sz w:val="16"/>
      <w:szCs w:val="16"/>
      <w:lang w:eastAsia="zh-CN"/>
    </w:rPr>
  </w:style>
  <w:style w:type="paragraph" w:customStyle="1" w:styleId="DecisionInvitingPara">
    <w:name w:val="Decision Inviting Para."/>
    <w:basedOn w:val="Normal"/>
    <w:rsid w:val="00B50104"/>
    <w:pPr>
      <w:ind w:left="5534"/>
    </w:pPr>
    <w:rPr>
      <w:i/>
    </w:rPr>
  </w:style>
  <w:style w:type="character" w:customStyle="1" w:styleId="FootnoteTextChar">
    <w:name w:val="Footnote Text Char"/>
    <w:basedOn w:val="DefaultParagraphFont"/>
    <w:link w:val="FootnoteText"/>
    <w:semiHidden/>
    <w:rsid w:val="00C515C4"/>
    <w:rPr>
      <w:rFonts w:ascii="Arial" w:eastAsia="SimSun" w:hAnsi="Arial" w:cs="Arial"/>
      <w:sz w:val="18"/>
      <w:lang w:eastAsia="zh-CN"/>
    </w:rPr>
  </w:style>
  <w:style w:type="character" w:styleId="FootnoteReference">
    <w:name w:val="footnote reference"/>
    <w:rsid w:val="00C515C4"/>
    <w:rPr>
      <w:vertAlign w:val="superscript"/>
    </w:rPr>
  </w:style>
  <w:style w:type="paragraph" w:styleId="ListParagraph">
    <w:name w:val="List Paragraph"/>
    <w:basedOn w:val="Normal"/>
    <w:uiPriority w:val="34"/>
    <w:qFormat/>
    <w:rsid w:val="00982F64"/>
    <w:pPr>
      <w:ind w:left="720"/>
      <w:contextualSpacing/>
    </w:pPr>
  </w:style>
  <w:style w:type="character" w:customStyle="1" w:styleId="HeaderChar">
    <w:name w:val="Header Char"/>
    <w:basedOn w:val="DefaultParagraphFont"/>
    <w:link w:val="Header"/>
    <w:uiPriority w:val="99"/>
    <w:rsid w:val="009262EC"/>
    <w:rPr>
      <w:rFonts w:ascii="Arial" w:eastAsia="SimSun" w:hAnsi="Arial" w:cs="Arial"/>
      <w:sz w:val="22"/>
      <w:lang w:eastAsia="zh-CN"/>
    </w:rPr>
  </w:style>
  <w:style w:type="character" w:styleId="CommentReference">
    <w:name w:val="annotation reference"/>
    <w:basedOn w:val="DefaultParagraphFont"/>
    <w:rsid w:val="00E53EC2"/>
    <w:rPr>
      <w:sz w:val="16"/>
      <w:szCs w:val="16"/>
    </w:rPr>
  </w:style>
  <w:style w:type="paragraph" w:styleId="CommentSubject">
    <w:name w:val="annotation subject"/>
    <w:basedOn w:val="CommentText"/>
    <w:next w:val="CommentText"/>
    <w:link w:val="CommentSubjectChar"/>
    <w:rsid w:val="00E53EC2"/>
    <w:rPr>
      <w:b/>
      <w:bCs/>
      <w:sz w:val="20"/>
    </w:rPr>
  </w:style>
  <w:style w:type="character" w:customStyle="1" w:styleId="CommentTextChar">
    <w:name w:val="Comment Text Char"/>
    <w:basedOn w:val="DefaultParagraphFont"/>
    <w:link w:val="CommentText"/>
    <w:semiHidden/>
    <w:rsid w:val="00E53EC2"/>
    <w:rPr>
      <w:rFonts w:ascii="Arial" w:eastAsia="SimSun" w:hAnsi="Arial" w:cs="Arial"/>
      <w:sz w:val="18"/>
      <w:lang w:eastAsia="zh-CN"/>
    </w:rPr>
  </w:style>
  <w:style w:type="character" w:customStyle="1" w:styleId="CommentSubjectChar">
    <w:name w:val="Comment Subject Char"/>
    <w:basedOn w:val="CommentTextChar"/>
    <w:link w:val="CommentSubject"/>
    <w:rsid w:val="00E53EC2"/>
    <w:rPr>
      <w:rFonts w:ascii="Arial" w:eastAsia="SimSun" w:hAnsi="Arial" w:cs="Arial"/>
      <w:b/>
      <w:bCs/>
      <w:sz w:val="18"/>
      <w:lang w:eastAsia="zh-CN"/>
    </w:rPr>
  </w:style>
  <w:style w:type="paragraph" w:styleId="BodyText2">
    <w:name w:val="Body Text 2"/>
    <w:basedOn w:val="Normal"/>
    <w:link w:val="BodyText2Char"/>
    <w:rsid w:val="006D7358"/>
    <w:pPr>
      <w:spacing w:after="120" w:line="480" w:lineRule="auto"/>
    </w:pPr>
  </w:style>
  <w:style w:type="character" w:customStyle="1" w:styleId="BodyText2Char">
    <w:name w:val="Body Text 2 Char"/>
    <w:basedOn w:val="DefaultParagraphFont"/>
    <w:link w:val="BodyText2"/>
    <w:rsid w:val="006D735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BF21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BF211D"/>
    <w:rPr>
      <w:rFonts w:ascii="Tahoma" w:eastAsia="SimSun" w:hAnsi="Tahoma" w:cs="Tahoma"/>
      <w:sz w:val="16"/>
      <w:szCs w:val="16"/>
      <w:lang w:eastAsia="zh-CN"/>
    </w:rPr>
  </w:style>
  <w:style w:type="paragraph" w:customStyle="1" w:styleId="DecisionInvitingPara">
    <w:name w:val="Decision Inviting Para."/>
    <w:basedOn w:val="Normal"/>
    <w:rsid w:val="00B50104"/>
    <w:pPr>
      <w:ind w:left="5534"/>
    </w:pPr>
    <w:rPr>
      <w:i/>
    </w:rPr>
  </w:style>
  <w:style w:type="character" w:customStyle="1" w:styleId="FootnoteTextChar">
    <w:name w:val="Footnote Text Char"/>
    <w:basedOn w:val="DefaultParagraphFont"/>
    <w:link w:val="FootnoteText"/>
    <w:semiHidden/>
    <w:rsid w:val="00C515C4"/>
    <w:rPr>
      <w:rFonts w:ascii="Arial" w:eastAsia="SimSun" w:hAnsi="Arial" w:cs="Arial"/>
      <w:sz w:val="18"/>
      <w:lang w:eastAsia="zh-CN"/>
    </w:rPr>
  </w:style>
  <w:style w:type="character" w:styleId="FootnoteReference">
    <w:name w:val="footnote reference"/>
    <w:rsid w:val="00C515C4"/>
    <w:rPr>
      <w:vertAlign w:val="superscript"/>
    </w:rPr>
  </w:style>
  <w:style w:type="paragraph" w:styleId="ListParagraph">
    <w:name w:val="List Paragraph"/>
    <w:basedOn w:val="Normal"/>
    <w:uiPriority w:val="34"/>
    <w:qFormat/>
    <w:rsid w:val="00982F64"/>
    <w:pPr>
      <w:ind w:left="720"/>
      <w:contextualSpacing/>
    </w:pPr>
  </w:style>
  <w:style w:type="character" w:customStyle="1" w:styleId="HeaderChar">
    <w:name w:val="Header Char"/>
    <w:basedOn w:val="DefaultParagraphFont"/>
    <w:link w:val="Header"/>
    <w:uiPriority w:val="99"/>
    <w:rsid w:val="009262EC"/>
    <w:rPr>
      <w:rFonts w:ascii="Arial" w:eastAsia="SimSun" w:hAnsi="Arial" w:cs="Arial"/>
      <w:sz w:val="22"/>
      <w:lang w:eastAsia="zh-CN"/>
    </w:rPr>
  </w:style>
  <w:style w:type="character" w:styleId="CommentReference">
    <w:name w:val="annotation reference"/>
    <w:basedOn w:val="DefaultParagraphFont"/>
    <w:rsid w:val="00E53EC2"/>
    <w:rPr>
      <w:sz w:val="16"/>
      <w:szCs w:val="16"/>
    </w:rPr>
  </w:style>
  <w:style w:type="paragraph" w:styleId="CommentSubject">
    <w:name w:val="annotation subject"/>
    <w:basedOn w:val="CommentText"/>
    <w:next w:val="CommentText"/>
    <w:link w:val="CommentSubjectChar"/>
    <w:rsid w:val="00E53EC2"/>
    <w:rPr>
      <w:b/>
      <w:bCs/>
      <w:sz w:val="20"/>
    </w:rPr>
  </w:style>
  <w:style w:type="character" w:customStyle="1" w:styleId="CommentTextChar">
    <w:name w:val="Comment Text Char"/>
    <w:basedOn w:val="DefaultParagraphFont"/>
    <w:link w:val="CommentText"/>
    <w:semiHidden/>
    <w:rsid w:val="00E53EC2"/>
    <w:rPr>
      <w:rFonts w:ascii="Arial" w:eastAsia="SimSun" w:hAnsi="Arial" w:cs="Arial"/>
      <w:sz w:val="18"/>
      <w:lang w:eastAsia="zh-CN"/>
    </w:rPr>
  </w:style>
  <w:style w:type="character" w:customStyle="1" w:styleId="CommentSubjectChar">
    <w:name w:val="Comment Subject Char"/>
    <w:basedOn w:val="CommentTextChar"/>
    <w:link w:val="CommentSubject"/>
    <w:rsid w:val="00E53EC2"/>
    <w:rPr>
      <w:rFonts w:ascii="Arial" w:eastAsia="SimSun" w:hAnsi="Arial" w:cs="Arial"/>
      <w:b/>
      <w:bCs/>
      <w:sz w:val="18"/>
      <w:lang w:eastAsia="zh-CN"/>
    </w:rPr>
  </w:style>
  <w:style w:type="paragraph" w:styleId="BodyText2">
    <w:name w:val="Body Text 2"/>
    <w:basedOn w:val="Normal"/>
    <w:link w:val="BodyText2Char"/>
    <w:rsid w:val="006D7358"/>
    <w:pPr>
      <w:spacing w:after="120" w:line="480" w:lineRule="auto"/>
    </w:pPr>
  </w:style>
  <w:style w:type="character" w:customStyle="1" w:styleId="BodyText2Char">
    <w:name w:val="Body Text 2 Char"/>
    <w:basedOn w:val="DefaultParagraphFont"/>
    <w:link w:val="BodyText2"/>
    <w:rsid w:val="006D735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14011">
      <w:bodyDiv w:val="1"/>
      <w:marLeft w:val="0"/>
      <w:marRight w:val="0"/>
      <w:marTop w:val="0"/>
      <w:marBottom w:val="0"/>
      <w:divBdr>
        <w:top w:val="none" w:sz="0" w:space="0" w:color="auto"/>
        <w:left w:val="none" w:sz="0" w:space="0" w:color="auto"/>
        <w:bottom w:val="none" w:sz="0" w:space="0" w:color="auto"/>
        <w:right w:val="none" w:sz="0" w:space="0" w:color="auto"/>
      </w:divBdr>
    </w:div>
    <w:div w:id="20101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E987C-AA28-4FE1-9975-D5FB0C4F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3754</Words>
  <Characters>23095</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ZOGRAFOS JOHNSSON Daphne</dc:creator>
  <cp:lastModifiedBy>CEVALLOS DUQUE Nilo</cp:lastModifiedBy>
  <cp:revision>14</cp:revision>
  <cp:lastPrinted>2014-03-10T08:45:00Z</cp:lastPrinted>
  <dcterms:created xsi:type="dcterms:W3CDTF">2014-03-10T07:57:00Z</dcterms:created>
  <dcterms:modified xsi:type="dcterms:W3CDTF">2014-03-10T13:23:00Z</dcterms:modified>
</cp:coreProperties>
</file>