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ayout w:type="fixed"/>
        <w:tblLook w:val="01E0" w:firstRow="1" w:lastRow="1" w:firstColumn="1" w:lastColumn="1" w:noHBand="0" w:noVBand="0"/>
      </w:tblPr>
      <w:tblGrid>
        <w:gridCol w:w="1890"/>
        <w:gridCol w:w="2610"/>
        <w:gridCol w:w="2666"/>
        <w:gridCol w:w="2014"/>
      </w:tblGrid>
      <w:tr w:rsidR="008B2CC1" w:rsidRPr="008B2CC1" w14:paraId="6C3A40E4" w14:textId="77777777" w:rsidTr="00D00967">
        <w:trPr>
          <w:trHeight w:hRule="exact" w:val="680"/>
        </w:trPr>
        <w:tc>
          <w:tcPr>
            <w:tcW w:w="9180" w:type="dxa"/>
            <w:gridSpan w:val="4"/>
            <w:tcMar>
              <w:left w:w="0" w:type="dxa"/>
              <w:right w:w="0" w:type="dxa"/>
            </w:tcMar>
          </w:tcPr>
          <w:p w14:paraId="71B5F30D" w14:textId="77777777" w:rsidR="008B2CC1" w:rsidRPr="00605827" w:rsidRDefault="008B2CC1" w:rsidP="00A8244E">
            <w:pPr>
              <w:jc w:val="right"/>
              <w:rPr>
                <w:b/>
                <w:sz w:val="40"/>
                <w:szCs w:val="40"/>
              </w:rPr>
            </w:pPr>
            <w:r w:rsidRPr="00605827">
              <w:rPr>
                <w:b/>
                <w:sz w:val="40"/>
                <w:szCs w:val="40"/>
              </w:rPr>
              <w:t>E</w:t>
            </w:r>
          </w:p>
        </w:tc>
      </w:tr>
      <w:tr w:rsidR="00DE5E0A" w:rsidRPr="008B2CC1" w14:paraId="3DE1C5FF" w14:textId="77777777" w:rsidTr="00D00967">
        <w:trPr>
          <w:trHeight w:val="1587"/>
        </w:trPr>
        <w:tc>
          <w:tcPr>
            <w:tcW w:w="1890" w:type="dxa"/>
            <w:tcMar>
              <w:left w:w="0" w:type="dxa"/>
              <w:bottom w:w="0" w:type="dxa"/>
              <w:right w:w="0" w:type="dxa"/>
            </w:tcMar>
            <w:vAlign w:val="center"/>
          </w:tcPr>
          <w:p w14:paraId="11D85EBF" w14:textId="030EE3DA" w:rsidR="000D422C" w:rsidRDefault="00350E6E" w:rsidP="00970F81">
            <w:r w:rsidRPr="00BD4EBF">
              <w:rPr>
                <w:caps/>
                <w:noProof/>
                <w:sz w:val="15"/>
                <w:lang w:eastAsia="en-US"/>
              </w:rPr>
              <w:drawing>
                <wp:anchor distT="0" distB="0" distL="114300" distR="114300" simplePos="0" relativeHeight="251658240" behindDoc="0" locked="0" layoutInCell="1" allowOverlap="1" wp14:anchorId="3A13AEC2" wp14:editId="0F93ED14">
                  <wp:simplePos x="0" y="0"/>
                  <wp:positionH relativeFrom="column">
                    <wp:posOffset>-1933</wp:posOffset>
                  </wp:positionH>
                  <wp:positionV relativeFrom="paragraph">
                    <wp:posOffset>313386</wp:posOffset>
                  </wp:positionV>
                  <wp:extent cx="2889250" cy="278130"/>
                  <wp:effectExtent l="0" t="0" r="6350" b="7620"/>
                  <wp:wrapNone/>
                  <wp:docPr id="4" name="Picture 4" descr="C:\Users\zografos\AppData\Local\Microsoft\Windows\INetCache\Content.Outlook\E6TIBN2Q\goc_fip_e_2c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ografos\AppData\Local\Microsoft\Windows\INetCache\Content.Outlook\E6TIBN2Q\goc_fip_e_2c_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250" cy="278130"/>
                          </a:xfrm>
                          <a:prstGeom prst="rect">
                            <a:avLst/>
                          </a:prstGeom>
                          <a:noFill/>
                          <a:ln>
                            <a:noFill/>
                          </a:ln>
                        </pic:spPr>
                      </pic:pic>
                    </a:graphicData>
                  </a:graphic>
                </wp:anchor>
              </w:drawing>
            </w:r>
          </w:p>
          <w:p w14:paraId="34B778DD" w14:textId="0AA9E201" w:rsidR="00A274FD" w:rsidRPr="002333B5" w:rsidRDefault="00A274FD" w:rsidP="00970F81">
            <w:pPr>
              <w:rPr>
                <w:b/>
                <w:sz w:val="12"/>
                <w:szCs w:val="12"/>
              </w:rPr>
            </w:pPr>
          </w:p>
        </w:tc>
        <w:tc>
          <w:tcPr>
            <w:tcW w:w="2610" w:type="dxa"/>
            <w:tcMar>
              <w:left w:w="0" w:type="dxa"/>
              <w:right w:w="0" w:type="dxa"/>
            </w:tcMar>
            <w:vAlign w:val="center"/>
          </w:tcPr>
          <w:p w14:paraId="7DA487F4" w14:textId="77777777" w:rsidR="00DE5E0A" w:rsidRPr="008B2CC1" w:rsidRDefault="00DE5E0A" w:rsidP="00970F81">
            <w:pPr>
              <w:ind w:left="90"/>
            </w:pPr>
          </w:p>
        </w:tc>
        <w:tc>
          <w:tcPr>
            <w:tcW w:w="2666" w:type="dxa"/>
            <w:tcMar>
              <w:left w:w="0" w:type="dxa"/>
              <w:right w:w="0" w:type="dxa"/>
            </w:tcMar>
            <w:vAlign w:val="center"/>
          </w:tcPr>
          <w:p w14:paraId="2C009B65" w14:textId="77777777" w:rsidR="00DE5E0A" w:rsidRPr="008B2CC1" w:rsidRDefault="00D00967" w:rsidP="00AD3BC3">
            <w:r>
              <w:rPr>
                <w:noProof/>
                <w:lang w:eastAsia="en-US"/>
              </w:rPr>
              <w:t xml:space="preserve">   </w:t>
            </w:r>
            <w:r w:rsidR="002333B5">
              <w:rPr>
                <w:noProof/>
                <w:lang w:eastAsia="en-US"/>
              </w:rPr>
              <w:t xml:space="preserve">  </w:t>
            </w:r>
            <w:r>
              <w:rPr>
                <w:noProof/>
                <w:lang w:eastAsia="en-US"/>
              </w:rPr>
              <w:t xml:space="preserve">  </w:t>
            </w:r>
            <w:r w:rsidR="002333B5" w:rsidRPr="00423C97">
              <w:rPr>
                <w:sz w:val="12"/>
                <w:szCs w:val="12"/>
              </w:rPr>
              <w:t xml:space="preserve"> </w:t>
            </w:r>
            <w:r w:rsidR="002333B5">
              <w:rPr>
                <w:sz w:val="12"/>
                <w:szCs w:val="12"/>
              </w:rPr>
              <w:br/>
            </w:r>
          </w:p>
        </w:tc>
        <w:tc>
          <w:tcPr>
            <w:tcW w:w="2014" w:type="dxa"/>
            <w:vMerge w:val="restart"/>
            <w:tcMar>
              <w:left w:w="0" w:type="dxa"/>
              <w:right w:w="0" w:type="dxa"/>
            </w:tcMar>
          </w:tcPr>
          <w:p w14:paraId="2E563FFE" w14:textId="77777777" w:rsidR="00DE5E0A" w:rsidRPr="008B2CC1" w:rsidRDefault="00F4329C" w:rsidP="00275A1E">
            <w:pPr>
              <w:jc w:val="right"/>
            </w:pPr>
            <w:r>
              <w:rPr>
                <w:noProof/>
                <w:lang w:eastAsia="en-US"/>
              </w:rPr>
              <w:drawing>
                <wp:inline distT="0" distB="0" distL="0" distR="0" wp14:anchorId="7B0274CE" wp14:editId="2847EC43">
                  <wp:extent cx="1371600" cy="978377"/>
                  <wp:effectExtent l="0" t="0" r="0" b="0"/>
                  <wp:docPr id="20" name="Picture 20"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978377"/>
                          </a:xfrm>
                          <a:prstGeom prst="rect">
                            <a:avLst/>
                          </a:prstGeom>
                          <a:noFill/>
                          <a:ln>
                            <a:noFill/>
                          </a:ln>
                        </pic:spPr>
                      </pic:pic>
                    </a:graphicData>
                  </a:graphic>
                </wp:inline>
              </w:drawing>
            </w:r>
          </w:p>
        </w:tc>
      </w:tr>
      <w:tr w:rsidR="00DE5E0A" w:rsidRPr="008B2CC1" w14:paraId="62CB50BD" w14:textId="77777777" w:rsidTr="00D00967">
        <w:tc>
          <w:tcPr>
            <w:tcW w:w="1890" w:type="dxa"/>
            <w:tcMar>
              <w:left w:w="0" w:type="dxa"/>
              <w:bottom w:w="0" w:type="dxa"/>
              <w:right w:w="113" w:type="dxa"/>
            </w:tcMar>
          </w:tcPr>
          <w:p w14:paraId="19758F7F" w14:textId="77777777" w:rsidR="00BD06DF" w:rsidRPr="00A84FDA" w:rsidRDefault="00BD06DF" w:rsidP="00A8244E">
            <w:pPr>
              <w:rPr>
                <w:caps/>
                <w:sz w:val="15"/>
              </w:rPr>
            </w:pPr>
          </w:p>
        </w:tc>
        <w:tc>
          <w:tcPr>
            <w:tcW w:w="2610" w:type="dxa"/>
            <w:tcMar>
              <w:left w:w="0" w:type="dxa"/>
              <w:right w:w="113" w:type="dxa"/>
            </w:tcMar>
          </w:tcPr>
          <w:p w14:paraId="4E0EB608" w14:textId="77777777" w:rsidR="000A6985" w:rsidRPr="00A84FDA" w:rsidRDefault="000A6985" w:rsidP="00A8244E">
            <w:pPr>
              <w:rPr>
                <w:caps/>
                <w:sz w:val="15"/>
              </w:rPr>
            </w:pPr>
          </w:p>
        </w:tc>
        <w:tc>
          <w:tcPr>
            <w:tcW w:w="2666" w:type="dxa"/>
            <w:tcMar>
              <w:left w:w="0" w:type="dxa"/>
              <w:right w:w="113" w:type="dxa"/>
            </w:tcMar>
          </w:tcPr>
          <w:p w14:paraId="256A21E8" w14:textId="77777777" w:rsidR="003967B5" w:rsidRPr="00A84FDA" w:rsidRDefault="003967B5" w:rsidP="00A8244E">
            <w:pPr>
              <w:rPr>
                <w:caps/>
                <w:sz w:val="15"/>
              </w:rPr>
            </w:pPr>
          </w:p>
        </w:tc>
        <w:tc>
          <w:tcPr>
            <w:tcW w:w="2014" w:type="dxa"/>
            <w:vMerge/>
            <w:tcMar>
              <w:left w:w="0" w:type="dxa"/>
              <w:right w:w="0" w:type="dxa"/>
            </w:tcMar>
          </w:tcPr>
          <w:p w14:paraId="73A38251" w14:textId="77777777" w:rsidR="00DE5E0A" w:rsidRDefault="00DE5E0A" w:rsidP="00A8244E"/>
        </w:tc>
      </w:tr>
      <w:tr w:rsidR="001F26A6" w:rsidRPr="001832A6" w14:paraId="7473A7F5" w14:textId="77777777" w:rsidTr="00D00967">
        <w:trPr>
          <w:trHeight w:hRule="exact" w:val="170"/>
        </w:trPr>
        <w:tc>
          <w:tcPr>
            <w:tcW w:w="9180" w:type="dxa"/>
            <w:gridSpan w:val="4"/>
            <w:tcBorders>
              <w:bottom w:val="single" w:sz="4" w:space="0" w:color="auto"/>
            </w:tcBorders>
            <w:tcMar>
              <w:top w:w="0" w:type="dxa"/>
              <w:left w:w="0" w:type="dxa"/>
              <w:bottom w:w="0" w:type="dxa"/>
              <w:right w:w="0" w:type="dxa"/>
            </w:tcMar>
            <w:vAlign w:val="center"/>
          </w:tcPr>
          <w:p w14:paraId="2CE5517B" w14:textId="77777777" w:rsidR="001F26A6" w:rsidRPr="00A84FDA" w:rsidRDefault="001F26A6" w:rsidP="00A8244E">
            <w:pPr>
              <w:rPr>
                <w:caps/>
                <w:szCs w:val="22"/>
              </w:rPr>
            </w:pPr>
          </w:p>
        </w:tc>
      </w:tr>
      <w:tr w:rsidR="000A46A9" w:rsidRPr="001832A6" w14:paraId="46E322F3" w14:textId="77777777" w:rsidTr="00D00967">
        <w:trPr>
          <w:trHeight w:hRule="exact" w:val="611"/>
        </w:trPr>
        <w:tc>
          <w:tcPr>
            <w:tcW w:w="9180" w:type="dxa"/>
            <w:gridSpan w:val="4"/>
            <w:tcBorders>
              <w:top w:val="single" w:sz="4" w:space="0" w:color="auto"/>
            </w:tcBorders>
            <w:tcMar>
              <w:top w:w="28" w:type="dxa"/>
              <w:left w:w="0" w:type="dxa"/>
              <w:bottom w:w="28" w:type="dxa"/>
              <w:right w:w="0" w:type="dxa"/>
            </w:tcMar>
            <w:vAlign w:val="center"/>
          </w:tcPr>
          <w:p w14:paraId="13FF5EC3" w14:textId="77777777" w:rsidR="000A46A9" w:rsidRPr="000A46A9" w:rsidRDefault="00E01F67" w:rsidP="00A8244E">
            <w:pPr>
              <w:rPr>
                <w:b/>
                <w:caps/>
                <w:sz w:val="24"/>
              </w:rPr>
            </w:pPr>
            <w:r>
              <w:rPr>
                <w:b/>
                <w:caps/>
                <w:sz w:val="24"/>
              </w:rPr>
              <w:t>workshop</w:t>
            </w:r>
          </w:p>
        </w:tc>
      </w:tr>
      <w:tr w:rsidR="008B2CC1" w:rsidRPr="00372293" w14:paraId="03228F34" w14:textId="77777777" w:rsidTr="00D00967">
        <w:trPr>
          <w:trHeight w:hRule="exact" w:val="340"/>
        </w:trPr>
        <w:tc>
          <w:tcPr>
            <w:tcW w:w="9180" w:type="dxa"/>
            <w:gridSpan w:val="4"/>
            <w:tcBorders>
              <w:top w:val="single" w:sz="4" w:space="0" w:color="auto"/>
            </w:tcBorders>
            <w:tcMar>
              <w:top w:w="170" w:type="dxa"/>
              <w:left w:w="0" w:type="dxa"/>
              <w:right w:w="0" w:type="dxa"/>
            </w:tcMar>
            <w:vAlign w:val="bottom"/>
          </w:tcPr>
          <w:p w14:paraId="12C0A264" w14:textId="055B6018" w:rsidR="008B2CC1" w:rsidRPr="00372293" w:rsidRDefault="00D638B8" w:rsidP="00515B49">
            <w:pPr>
              <w:jc w:val="right"/>
              <w:rPr>
                <w:rFonts w:ascii="Arial Black" w:hAnsi="Arial Black"/>
                <w:caps/>
                <w:sz w:val="15"/>
                <w:lang w:val="sv-SE"/>
              </w:rPr>
            </w:pPr>
            <w:bookmarkStart w:id="0" w:name="Code"/>
            <w:bookmarkEnd w:id="0"/>
            <w:r w:rsidRPr="00372293">
              <w:rPr>
                <w:rFonts w:ascii="Arial Black" w:hAnsi="Arial Black"/>
                <w:caps/>
                <w:sz w:val="15"/>
                <w:lang w:val="sv-SE"/>
              </w:rPr>
              <w:t>WIPO/IPTK/YFB/19/INF/</w:t>
            </w:r>
            <w:r w:rsidR="00515B49">
              <w:rPr>
                <w:rFonts w:ascii="Arial Black" w:hAnsi="Arial Black"/>
                <w:caps/>
                <w:sz w:val="15"/>
                <w:lang w:val="sv-SE"/>
              </w:rPr>
              <w:t>3</w:t>
            </w:r>
          </w:p>
        </w:tc>
      </w:tr>
      <w:tr w:rsidR="008B2CC1" w:rsidRPr="00372293" w14:paraId="262F9DBF" w14:textId="77777777" w:rsidTr="00D00967">
        <w:trPr>
          <w:trHeight w:hRule="exact" w:val="170"/>
        </w:trPr>
        <w:tc>
          <w:tcPr>
            <w:tcW w:w="9180" w:type="dxa"/>
            <w:gridSpan w:val="4"/>
            <w:noWrap/>
            <w:tcMar>
              <w:left w:w="0" w:type="dxa"/>
              <w:right w:w="0" w:type="dxa"/>
            </w:tcMar>
            <w:vAlign w:val="bottom"/>
          </w:tcPr>
          <w:p w14:paraId="5FDC6C32" w14:textId="0D3097AD" w:rsidR="008B2CC1" w:rsidRPr="00372293" w:rsidRDefault="008B2CC1" w:rsidP="00A16AEC">
            <w:pPr>
              <w:jc w:val="right"/>
              <w:rPr>
                <w:rFonts w:ascii="Arial Black" w:hAnsi="Arial Black"/>
                <w:caps/>
                <w:sz w:val="15"/>
              </w:rPr>
            </w:pPr>
            <w:r w:rsidRPr="00372293">
              <w:rPr>
                <w:rFonts w:ascii="Arial Black" w:hAnsi="Arial Black"/>
                <w:caps/>
                <w:sz w:val="15"/>
              </w:rPr>
              <w:t xml:space="preserve">ORIGINAL: </w:t>
            </w:r>
            <w:bookmarkStart w:id="1" w:name="Original"/>
            <w:bookmarkEnd w:id="1"/>
            <w:r w:rsidR="00E01F67" w:rsidRPr="00372293">
              <w:rPr>
                <w:rFonts w:ascii="Arial Black" w:hAnsi="Arial Black"/>
                <w:caps/>
                <w:sz w:val="15"/>
              </w:rPr>
              <w:t>ENGLISH</w:t>
            </w:r>
          </w:p>
        </w:tc>
      </w:tr>
      <w:tr w:rsidR="008B2CC1" w:rsidRPr="00372293" w14:paraId="6667BCBD" w14:textId="77777777" w:rsidTr="00D00967">
        <w:trPr>
          <w:trHeight w:hRule="exact" w:val="198"/>
        </w:trPr>
        <w:tc>
          <w:tcPr>
            <w:tcW w:w="9180" w:type="dxa"/>
            <w:gridSpan w:val="4"/>
            <w:tcMar>
              <w:left w:w="0" w:type="dxa"/>
              <w:right w:w="0" w:type="dxa"/>
            </w:tcMar>
            <w:vAlign w:val="bottom"/>
          </w:tcPr>
          <w:p w14:paraId="0BC3823B" w14:textId="626B121E" w:rsidR="008B2CC1" w:rsidRPr="00372293" w:rsidRDefault="008B2CC1" w:rsidP="00372293">
            <w:pPr>
              <w:jc w:val="right"/>
              <w:rPr>
                <w:rFonts w:ascii="Arial Black" w:hAnsi="Arial Black"/>
                <w:caps/>
                <w:sz w:val="15"/>
              </w:rPr>
            </w:pPr>
            <w:r w:rsidRPr="00372293">
              <w:rPr>
                <w:rFonts w:ascii="Arial Black" w:hAnsi="Arial Black"/>
                <w:caps/>
                <w:sz w:val="15"/>
              </w:rPr>
              <w:t xml:space="preserve">DATE: </w:t>
            </w:r>
            <w:bookmarkStart w:id="2" w:name="Date"/>
            <w:bookmarkEnd w:id="2"/>
            <w:r w:rsidR="00372293" w:rsidRPr="00372293">
              <w:rPr>
                <w:rFonts w:ascii="Arial Black" w:hAnsi="Arial Black"/>
                <w:caps/>
                <w:sz w:val="15"/>
              </w:rPr>
              <w:t>May</w:t>
            </w:r>
            <w:r w:rsidR="0079358D" w:rsidRPr="00372293">
              <w:rPr>
                <w:rFonts w:ascii="Arial Black" w:hAnsi="Arial Black"/>
                <w:caps/>
                <w:sz w:val="15"/>
              </w:rPr>
              <w:t xml:space="preserve"> </w:t>
            </w:r>
            <w:r w:rsidR="00C73685">
              <w:rPr>
                <w:rFonts w:ascii="Arial Black" w:hAnsi="Arial Black"/>
                <w:caps/>
                <w:sz w:val="15"/>
              </w:rPr>
              <w:t>9</w:t>
            </w:r>
            <w:r w:rsidR="00E01F67" w:rsidRPr="00372293">
              <w:rPr>
                <w:rFonts w:ascii="Arial Black" w:hAnsi="Arial Black"/>
                <w:caps/>
                <w:sz w:val="15"/>
              </w:rPr>
              <w:t>, 201</w:t>
            </w:r>
            <w:r w:rsidR="00723AC2" w:rsidRPr="00372293">
              <w:rPr>
                <w:rFonts w:ascii="Arial Black" w:hAnsi="Arial Black"/>
                <w:caps/>
                <w:sz w:val="15"/>
              </w:rPr>
              <w:t>9</w:t>
            </w:r>
          </w:p>
        </w:tc>
      </w:tr>
    </w:tbl>
    <w:p w14:paraId="34C09E6A" w14:textId="77777777" w:rsidR="008B2CC1" w:rsidRPr="008B2CC1" w:rsidRDefault="008B2CC1" w:rsidP="001D7119"/>
    <w:p w14:paraId="5C8A16BB" w14:textId="77777777" w:rsidR="008B2CC1" w:rsidRPr="008B2CC1" w:rsidRDefault="008B2CC1" w:rsidP="001D7119"/>
    <w:p w14:paraId="3896F60D" w14:textId="77777777" w:rsidR="008B2CC1" w:rsidRPr="008B2CC1" w:rsidRDefault="008B2CC1" w:rsidP="001D7119"/>
    <w:p w14:paraId="126A1CB4" w14:textId="77777777" w:rsidR="008B2CC1" w:rsidRPr="008B2CC1" w:rsidRDefault="008B2CC1" w:rsidP="001D7119"/>
    <w:p w14:paraId="0BDBDFEA" w14:textId="77777777" w:rsidR="008B2CC1" w:rsidRPr="008B2CC1" w:rsidRDefault="008B2CC1" w:rsidP="001D7119"/>
    <w:p w14:paraId="0D29C22B" w14:textId="77777777" w:rsidR="00E01F67" w:rsidRPr="00D01454" w:rsidRDefault="00E01F67" w:rsidP="00E01F67">
      <w:pPr>
        <w:rPr>
          <w:szCs w:val="22"/>
        </w:rPr>
      </w:pPr>
      <w:r w:rsidRPr="00D01454">
        <w:rPr>
          <w:b/>
          <w:sz w:val="28"/>
          <w:szCs w:val="28"/>
        </w:rPr>
        <w:t>Practical Workshop on Intellectual Property, Traditional Knowledge</w:t>
      </w:r>
      <w:r w:rsidR="00723AC2" w:rsidRPr="00723AC2">
        <w:rPr>
          <w:b/>
          <w:sz w:val="28"/>
          <w:szCs w:val="28"/>
        </w:rPr>
        <w:t xml:space="preserve"> </w:t>
      </w:r>
      <w:r w:rsidR="00723AC2" w:rsidRPr="00445007">
        <w:rPr>
          <w:b/>
          <w:sz w:val="28"/>
          <w:szCs w:val="28"/>
        </w:rPr>
        <w:t>and Traditional Cultural Expressions</w:t>
      </w:r>
      <w:r w:rsidR="00723AC2">
        <w:rPr>
          <w:b/>
          <w:sz w:val="28"/>
          <w:szCs w:val="28"/>
        </w:rPr>
        <w:t xml:space="preserve"> for Countries from the Arctic Region</w:t>
      </w:r>
    </w:p>
    <w:p w14:paraId="160A9AE7" w14:textId="77777777" w:rsidR="00E01F67" w:rsidRDefault="00E01F67" w:rsidP="00E01F67"/>
    <w:p w14:paraId="2FE55AFF" w14:textId="77777777" w:rsidR="00E01F67" w:rsidRDefault="00E01F67" w:rsidP="00E01F67"/>
    <w:p w14:paraId="0CE0C2A1" w14:textId="77777777" w:rsidR="00E01F67" w:rsidRPr="003845C1" w:rsidRDefault="00E01F67" w:rsidP="00E01F67">
      <w:proofErr w:type="gramStart"/>
      <w:r>
        <w:t>organized</w:t>
      </w:r>
      <w:proofErr w:type="gramEnd"/>
      <w:r>
        <w:t xml:space="preserve"> by </w:t>
      </w:r>
      <w:r>
        <w:br/>
        <w:t>the World Intellectual Property Organization (WIPO)</w:t>
      </w:r>
    </w:p>
    <w:p w14:paraId="259753BC" w14:textId="77777777" w:rsidR="00E01F67" w:rsidRDefault="00E01F67" w:rsidP="00E01F67"/>
    <w:p w14:paraId="39742472" w14:textId="77777777" w:rsidR="00723AC2" w:rsidRDefault="00723AC2" w:rsidP="00723AC2">
      <w:proofErr w:type="gramStart"/>
      <w:r>
        <w:t>and</w:t>
      </w:r>
      <w:proofErr w:type="gramEnd"/>
    </w:p>
    <w:p w14:paraId="37A6F864" w14:textId="77777777" w:rsidR="00723AC2" w:rsidRDefault="00723AC2" w:rsidP="00723AC2">
      <w:proofErr w:type="gramStart"/>
      <w:r>
        <w:t>the</w:t>
      </w:r>
      <w:proofErr w:type="gramEnd"/>
      <w:r>
        <w:t xml:space="preserve"> Government of Canada</w:t>
      </w:r>
    </w:p>
    <w:p w14:paraId="1B93D90A" w14:textId="77777777" w:rsidR="00723AC2" w:rsidRDefault="00723AC2" w:rsidP="00723AC2"/>
    <w:p w14:paraId="11FA1DC4" w14:textId="77777777" w:rsidR="00723AC2" w:rsidRDefault="001A7ADA" w:rsidP="00723AC2">
      <w:proofErr w:type="gramStart"/>
      <w:r>
        <w:t>in</w:t>
      </w:r>
      <w:proofErr w:type="gramEnd"/>
      <w:r>
        <w:t xml:space="preserve"> cooperation with</w:t>
      </w:r>
      <w:r w:rsidR="00723AC2">
        <w:t xml:space="preserve"> </w:t>
      </w:r>
      <w:r w:rsidR="00723AC2">
        <w:br/>
      </w:r>
      <w:r w:rsidR="00723AC2">
        <w:rPr>
          <w:lang w:val="en-CA"/>
        </w:rPr>
        <w:t xml:space="preserve">Nunavut </w:t>
      </w:r>
      <w:proofErr w:type="spellStart"/>
      <w:r w:rsidR="00723AC2">
        <w:rPr>
          <w:lang w:val="en-CA"/>
        </w:rPr>
        <w:t>Tunngavik</w:t>
      </w:r>
      <w:proofErr w:type="spellEnd"/>
      <w:r w:rsidR="00723AC2">
        <w:rPr>
          <w:lang w:val="en-CA"/>
        </w:rPr>
        <w:t xml:space="preserve"> Inc.</w:t>
      </w:r>
    </w:p>
    <w:p w14:paraId="4354A678" w14:textId="77777777" w:rsidR="00E01F67" w:rsidRDefault="00E01F67" w:rsidP="00E01F67"/>
    <w:p w14:paraId="21832143" w14:textId="77777777" w:rsidR="00723AC2" w:rsidRPr="003845C1" w:rsidRDefault="00723AC2" w:rsidP="00E01F67"/>
    <w:p w14:paraId="3E9FCEBF" w14:textId="77777777" w:rsidR="00E01F67" w:rsidRDefault="00723AC2" w:rsidP="00E01F67">
      <w:r w:rsidRPr="001D4F23">
        <w:rPr>
          <w:b/>
          <w:sz w:val="24"/>
        </w:rPr>
        <w:t xml:space="preserve">Iqaluit, Canada, </w:t>
      </w:r>
      <w:r>
        <w:rPr>
          <w:b/>
          <w:sz w:val="24"/>
        </w:rPr>
        <w:t>May 14-16, 2019</w:t>
      </w:r>
    </w:p>
    <w:p w14:paraId="13CB5333" w14:textId="77777777" w:rsidR="00E01F67" w:rsidRPr="008B2CC1" w:rsidRDefault="00E01F67" w:rsidP="00E01F67"/>
    <w:p w14:paraId="7A438EE2" w14:textId="65D65086" w:rsidR="00E01F67" w:rsidRDefault="00E01F67" w:rsidP="00E01F67"/>
    <w:p w14:paraId="69DC0243" w14:textId="77777777" w:rsidR="00DC5372" w:rsidRPr="008B2CC1" w:rsidRDefault="00DC5372" w:rsidP="00E01F67"/>
    <w:p w14:paraId="0CCD7F9F" w14:textId="77D18A2D" w:rsidR="00E01F67" w:rsidRDefault="005114F8" w:rsidP="00E01F67">
      <w:bookmarkStart w:id="3" w:name="TitleOfDoc"/>
      <w:bookmarkEnd w:id="3"/>
      <w:r>
        <w:t>ABBREVIATIONS, GLOSSARY AND SUGGESTED READING LIST</w:t>
      </w:r>
    </w:p>
    <w:p w14:paraId="42A5B2A1" w14:textId="77777777" w:rsidR="0079358D" w:rsidRPr="008B2CC1" w:rsidRDefault="0079358D" w:rsidP="00E01F67"/>
    <w:p w14:paraId="69C2A958" w14:textId="3221ED66" w:rsidR="00E01F67" w:rsidRPr="008B2CC1" w:rsidRDefault="00E01F67" w:rsidP="00E01F67">
      <w:pPr>
        <w:rPr>
          <w:i/>
        </w:rPr>
      </w:pPr>
      <w:bookmarkStart w:id="4" w:name="Prepared"/>
      <w:bookmarkEnd w:id="4"/>
      <w:proofErr w:type="gramStart"/>
      <w:r>
        <w:rPr>
          <w:i/>
        </w:rPr>
        <w:t>prepared</w:t>
      </w:r>
      <w:proofErr w:type="gramEnd"/>
      <w:r>
        <w:rPr>
          <w:i/>
        </w:rPr>
        <w:t xml:space="preserve"> by the International Bureau of WIPO</w:t>
      </w:r>
      <w:r w:rsidR="00DC5372">
        <w:rPr>
          <w:i/>
        </w:rPr>
        <w:t xml:space="preserve"> </w:t>
      </w:r>
    </w:p>
    <w:p w14:paraId="6BE79385" w14:textId="77777777" w:rsidR="00E01F67" w:rsidRDefault="00E01F67" w:rsidP="00E01F67"/>
    <w:p w14:paraId="2E134D81" w14:textId="77777777" w:rsidR="00E01F67" w:rsidRDefault="00E01F67" w:rsidP="00E01F67"/>
    <w:p w14:paraId="35910ED4" w14:textId="77777777" w:rsidR="00E01F67" w:rsidRDefault="00E01F67" w:rsidP="00E01F67"/>
    <w:p w14:paraId="18F2A100" w14:textId="77777777" w:rsidR="00E01F67" w:rsidRDefault="00E01F67" w:rsidP="00E01F67"/>
    <w:p w14:paraId="03180F0A" w14:textId="4D55CAF1" w:rsidR="001432A2" w:rsidRDefault="00E01F67" w:rsidP="0079358D">
      <w:pPr>
        <w:rPr>
          <w:szCs w:val="22"/>
        </w:rPr>
      </w:pPr>
      <w:r>
        <w:br w:type="page"/>
      </w:r>
      <w:r w:rsidR="0079358D" w:rsidRPr="00E247AF">
        <w:rPr>
          <w:szCs w:val="22"/>
        </w:rPr>
        <w:lastRenderedPageBreak/>
        <w:t>1.</w:t>
      </w:r>
      <w:r w:rsidR="0079358D" w:rsidRPr="00E247AF">
        <w:rPr>
          <w:szCs w:val="22"/>
        </w:rPr>
        <w:tab/>
      </w:r>
      <w:r w:rsidR="004D3E03">
        <w:rPr>
          <w:b/>
          <w:szCs w:val="22"/>
        </w:rPr>
        <w:t>ABBRE</w:t>
      </w:r>
      <w:bookmarkStart w:id="5" w:name="_GoBack"/>
      <w:bookmarkEnd w:id="5"/>
      <w:r w:rsidR="001432A2" w:rsidRPr="001432A2">
        <w:rPr>
          <w:b/>
          <w:szCs w:val="22"/>
        </w:rPr>
        <w:t>VIATIONS</w:t>
      </w:r>
    </w:p>
    <w:p w14:paraId="5D579B97" w14:textId="525CD190" w:rsidR="001432A2" w:rsidRDefault="001432A2" w:rsidP="001432A2">
      <w:pPr>
        <w:spacing w:after="200"/>
      </w:pPr>
    </w:p>
    <w:p w14:paraId="6EE344FA" w14:textId="77777777" w:rsidR="001432A2" w:rsidRDefault="001432A2" w:rsidP="001432A2">
      <w:pPr>
        <w:spacing w:after="200"/>
      </w:pPr>
      <w:r>
        <w:t>GI</w:t>
      </w:r>
      <w:r>
        <w:tab/>
      </w:r>
      <w:r>
        <w:tab/>
        <w:t>geographical indication</w:t>
      </w:r>
    </w:p>
    <w:p w14:paraId="0ECE4112" w14:textId="77777777" w:rsidR="001432A2" w:rsidRDefault="001432A2" w:rsidP="001432A2">
      <w:pPr>
        <w:spacing w:after="200"/>
      </w:pPr>
      <w:r>
        <w:t>ICH</w:t>
      </w:r>
      <w:r>
        <w:tab/>
      </w:r>
      <w:r>
        <w:tab/>
        <w:t>intangible cultural heritage</w:t>
      </w:r>
    </w:p>
    <w:p w14:paraId="19A3153A" w14:textId="77777777" w:rsidR="001432A2" w:rsidRDefault="001432A2" w:rsidP="001432A2">
      <w:pPr>
        <w:spacing w:after="200"/>
        <w:ind w:left="1134" w:hanging="1134"/>
      </w:pPr>
      <w:r>
        <w:t>IGC</w:t>
      </w:r>
      <w:r>
        <w:tab/>
        <w:t>WIPO Intergovernmental Committee on Intellectual Property and Genetic Resources, Traditional Knowledge and Folklore</w:t>
      </w:r>
    </w:p>
    <w:p w14:paraId="207202B3" w14:textId="31872AF3" w:rsidR="001432A2" w:rsidRDefault="001432A2" w:rsidP="001432A2">
      <w:pPr>
        <w:spacing w:after="200"/>
      </w:pPr>
      <w:r>
        <w:t>IP</w:t>
      </w:r>
      <w:r>
        <w:tab/>
      </w:r>
      <w:r>
        <w:tab/>
        <w:t>intellectual property</w:t>
      </w:r>
    </w:p>
    <w:p w14:paraId="298786A4" w14:textId="40D972F2" w:rsidR="005114F8" w:rsidRDefault="005114F8" w:rsidP="001432A2">
      <w:pPr>
        <w:spacing w:after="200"/>
      </w:pPr>
      <w:r>
        <w:t>IPRs</w:t>
      </w:r>
      <w:r>
        <w:tab/>
      </w:r>
      <w:r>
        <w:tab/>
        <w:t>intellectual property rights</w:t>
      </w:r>
    </w:p>
    <w:p w14:paraId="50DE6272" w14:textId="78F9F10C" w:rsidR="001432A2" w:rsidRDefault="00EA63C8" w:rsidP="001432A2">
      <w:pPr>
        <w:spacing w:after="200"/>
      </w:pPr>
      <w:r>
        <w:t>IPLCs</w:t>
      </w:r>
      <w:r>
        <w:tab/>
        <w:t>Indigenous peoples and local c</w:t>
      </w:r>
      <w:r w:rsidR="001432A2">
        <w:t xml:space="preserve">ommunities </w:t>
      </w:r>
    </w:p>
    <w:p w14:paraId="7E738BF2" w14:textId="77777777" w:rsidR="001432A2" w:rsidRDefault="001432A2" w:rsidP="001432A2">
      <w:pPr>
        <w:spacing w:after="200"/>
      </w:pPr>
      <w:r>
        <w:t>TCEs</w:t>
      </w:r>
      <w:r>
        <w:tab/>
      </w:r>
      <w:r>
        <w:tab/>
        <w:t>traditional cultural expressions/expressions of folklore</w:t>
      </w:r>
    </w:p>
    <w:p w14:paraId="31CCCFA1" w14:textId="77777777" w:rsidR="001432A2" w:rsidRDefault="001432A2" w:rsidP="001432A2">
      <w:pPr>
        <w:spacing w:after="200"/>
      </w:pPr>
      <w:r>
        <w:t>TK</w:t>
      </w:r>
      <w:r>
        <w:tab/>
      </w:r>
      <w:r>
        <w:tab/>
        <w:t>traditional knowledge</w:t>
      </w:r>
    </w:p>
    <w:p w14:paraId="19463220" w14:textId="77777777" w:rsidR="001432A2" w:rsidRDefault="001432A2" w:rsidP="001432A2">
      <w:pPr>
        <w:spacing w:after="200"/>
      </w:pPr>
      <w:r>
        <w:t>TM</w:t>
      </w:r>
      <w:r>
        <w:tab/>
      </w:r>
      <w:r>
        <w:tab/>
        <w:t>trademark</w:t>
      </w:r>
    </w:p>
    <w:p w14:paraId="34FDB8E9" w14:textId="77777777" w:rsidR="001432A2" w:rsidRDefault="001432A2" w:rsidP="001432A2">
      <w:pPr>
        <w:spacing w:after="200"/>
      </w:pPr>
      <w:r>
        <w:t>WIPO</w:t>
      </w:r>
      <w:r>
        <w:tab/>
        <w:t>World Intellectual Property Organization</w:t>
      </w:r>
    </w:p>
    <w:p w14:paraId="0758418E" w14:textId="77777777" w:rsidR="001432A2" w:rsidRDefault="001432A2" w:rsidP="0079358D">
      <w:pPr>
        <w:rPr>
          <w:szCs w:val="22"/>
        </w:rPr>
      </w:pPr>
    </w:p>
    <w:p w14:paraId="38A7F4E7" w14:textId="77777777" w:rsidR="001432A2" w:rsidRDefault="001432A2" w:rsidP="0079358D">
      <w:pPr>
        <w:rPr>
          <w:szCs w:val="22"/>
        </w:rPr>
      </w:pPr>
    </w:p>
    <w:p w14:paraId="2F174981" w14:textId="43A60FFB" w:rsidR="0079358D" w:rsidRPr="00E247AF" w:rsidRDefault="001432A2" w:rsidP="0079358D">
      <w:pPr>
        <w:rPr>
          <w:szCs w:val="22"/>
        </w:rPr>
      </w:pPr>
      <w:r>
        <w:rPr>
          <w:szCs w:val="22"/>
        </w:rPr>
        <w:t xml:space="preserve">2. </w:t>
      </w:r>
      <w:r>
        <w:rPr>
          <w:szCs w:val="22"/>
        </w:rPr>
        <w:tab/>
      </w:r>
      <w:r>
        <w:rPr>
          <w:b/>
          <w:szCs w:val="22"/>
        </w:rPr>
        <w:t>GLOSSARY</w:t>
      </w:r>
    </w:p>
    <w:p w14:paraId="6EE64254" w14:textId="264AE86C" w:rsidR="001432A2" w:rsidRDefault="001432A2" w:rsidP="001432A2">
      <w:pPr>
        <w:rPr>
          <w:b/>
        </w:rPr>
      </w:pPr>
    </w:p>
    <w:p w14:paraId="1F99F67D" w14:textId="61B513E9" w:rsidR="00600253" w:rsidRPr="00600253" w:rsidRDefault="001432A2" w:rsidP="001432A2">
      <w:pPr>
        <w:rPr>
          <w:u w:val="single"/>
        </w:rPr>
      </w:pPr>
      <w:r w:rsidRPr="00600253">
        <w:rPr>
          <w:b/>
          <w:u w:val="single"/>
        </w:rPr>
        <w:t>Beneficiaries</w:t>
      </w:r>
    </w:p>
    <w:p w14:paraId="17F2D2CC" w14:textId="77777777" w:rsidR="00600253" w:rsidRDefault="00600253" w:rsidP="001432A2"/>
    <w:p w14:paraId="08074A60" w14:textId="484D861C" w:rsidR="001432A2" w:rsidRDefault="001432A2" w:rsidP="001432A2">
      <w: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005114F8">
        <w:t xml:space="preserve">  </w:t>
      </w:r>
      <w:r>
        <w:t>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w:t>
      </w:r>
      <w:r w:rsidR="00EA63C8">
        <w:t xml:space="preserve">  </w:t>
      </w:r>
      <w:r>
        <w:t>Discussions on the issue have noted that the term could include indigenous peoples, indigenous communities, local communities, traditional communities, cultural communities, nations, individuals, groups, families, and minorities.</w:t>
      </w:r>
    </w:p>
    <w:p w14:paraId="33B3878E" w14:textId="4AF744ED" w:rsidR="001432A2" w:rsidRDefault="001432A2" w:rsidP="001432A2">
      <w:pPr>
        <w:rPr>
          <w:b/>
        </w:rPr>
      </w:pPr>
    </w:p>
    <w:p w14:paraId="0295C817" w14:textId="77777777" w:rsidR="00600253" w:rsidRPr="00600253" w:rsidRDefault="001432A2" w:rsidP="001432A2">
      <w:pPr>
        <w:rPr>
          <w:b/>
          <w:u w:val="single"/>
        </w:rPr>
      </w:pPr>
      <w:r w:rsidRPr="00600253">
        <w:rPr>
          <w:b/>
          <w:u w:val="single"/>
        </w:rPr>
        <w:t>Copyright</w:t>
      </w:r>
    </w:p>
    <w:p w14:paraId="02309D04" w14:textId="77777777" w:rsidR="00600253" w:rsidRDefault="00600253" w:rsidP="001432A2">
      <w:pPr>
        <w:rPr>
          <w:b/>
        </w:rPr>
      </w:pPr>
    </w:p>
    <w:p w14:paraId="5C8AFDA5" w14:textId="7BB24C93" w:rsidR="001432A2" w:rsidRDefault="001432A2" w:rsidP="001432A2">
      <w:r w:rsidRPr="00C53965">
        <w:t>Copyright (or author’s right) is a legal term used to describe the rights that creators have over their literary and artistic works. Works covered by copyright range from books, music, paintings, sculpture, and films, to computer programs, databases, advertisements, maps, and technical drawings.</w:t>
      </w:r>
    </w:p>
    <w:p w14:paraId="295C9355" w14:textId="13843DBA" w:rsidR="001432A2" w:rsidRDefault="001432A2" w:rsidP="001432A2">
      <w:pPr>
        <w:rPr>
          <w:b/>
        </w:rPr>
      </w:pPr>
    </w:p>
    <w:p w14:paraId="5B02CC0F" w14:textId="77777777" w:rsidR="00600253" w:rsidRPr="00600253" w:rsidRDefault="00232E15" w:rsidP="00232E15">
      <w:pPr>
        <w:rPr>
          <w:u w:val="single"/>
        </w:rPr>
      </w:pPr>
      <w:r w:rsidRPr="00600253">
        <w:rPr>
          <w:b/>
          <w:u w:val="single"/>
        </w:rPr>
        <w:t>Continuing customary use</w:t>
      </w:r>
    </w:p>
    <w:p w14:paraId="349E862F" w14:textId="77777777" w:rsidR="00600253" w:rsidRDefault="00600253" w:rsidP="00232E15"/>
    <w:p w14:paraId="61BBE5A0" w14:textId="45938DEF" w:rsidR="00232E15" w:rsidRDefault="00600253" w:rsidP="00232E15">
      <w:r>
        <w:t>R</w:t>
      </w:r>
      <w:r w:rsidR="00232E15">
        <w:t>efers to the persistence and living nature in the use of traditional knowledge and/or traditional cultural expressions by indigenous communities in accordance with their own customary laws and practices.</w:t>
      </w:r>
    </w:p>
    <w:p w14:paraId="5340B826" w14:textId="77777777" w:rsidR="00232E15" w:rsidRDefault="00232E15" w:rsidP="001432A2">
      <w:pPr>
        <w:rPr>
          <w:b/>
        </w:rPr>
      </w:pPr>
    </w:p>
    <w:p w14:paraId="0FCD4C4B" w14:textId="77777777" w:rsidR="00EA63C8" w:rsidRDefault="00EA63C8">
      <w:pPr>
        <w:rPr>
          <w:b/>
          <w:u w:val="single"/>
        </w:rPr>
      </w:pPr>
      <w:r>
        <w:rPr>
          <w:b/>
          <w:u w:val="single"/>
        </w:rPr>
        <w:br w:type="page"/>
      </w:r>
    </w:p>
    <w:p w14:paraId="06B28EE0" w14:textId="48B9826C" w:rsidR="00600253" w:rsidRPr="00600253" w:rsidRDefault="00232E15" w:rsidP="00232E15">
      <w:pPr>
        <w:rPr>
          <w:u w:val="single"/>
        </w:rPr>
      </w:pPr>
      <w:r w:rsidRPr="00600253">
        <w:rPr>
          <w:b/>
          <w:u w:val="single"/>
        </w:rPr>
        <w:lastRenderedPageBreak/>
        <w:t>Cultural expressions</w:t>
      </w:r>
    </w:p>
    <w:p w14:paraId="1FB2E686" w14:textId="77777777" w:rsidR="00600253" w:rsidRDefault="00600253" w:rsidP="00232E15"/>
    <w:p w14:paraId="29AA7AA4" w14:textId="5D22EB8A" w:rsidR="00232E15" w:rsidRDefault="00232E15" w:rsidP="00232E15">
      <w:r w:rsidRPr="00016E9A">
        <w:t xml:space="preserve">Article 4(3) of the </w:t>
      </w:r>
      <w:r w:rsidRPr="00141A0C">
        <w:rPr>
          <w:i/>
        </w:rPr>
        <w:t>UNESCO Convention on the Protection and Promotion of the Diversity of Cultural Expressions</w:t>
      </w:r>
      <w:r w:rsidRPr="00016E9A">
        <w:t xml:space="preserve"> (2005) defines cultural expressions as “those expressions that result from the creativity of individuals, groups and societies, and that have cultural content.”</w:t>
      </w:r>
    </w:p>
    <w:p w14:paraId="2E6B5A18" w14:textId="77777777" w:rsidR="00232E15" w:rsidRDefault="00232E15" w:rsidP="001432A2">
      <w:pPr>
        <w:rPr>
          <w:b/>
        </w:rPr>
      </w:pPr>
    </w:p>
    <w:p w14:paraId="05C81477" w14:textId="77777777" w:rsidR="00600253" w:rsidRPr="00600253" w:rsidRDefault="001432A2" w:rsidP="001432A2">
      <w:pPr>
        <w:rPr>
          <w:u w:val="single"/>
        </w:rPr>
      </w:pPr>
      <w:r w:rsidRPr="00600253">
        <w:rPr>
          <w:b/>
          <w:u w:val="single"/>
        </w:rPr>
        <w:t>Customary law and practices</w:t>
      </w:r>
    </w:p>
    <w:p w14:paraId="3C4F8919" w14:textId="77777777" w:rsidR="00600253" w:rsidRDefault="00600253" w:rsidP="001432A2"/>
    <w:p w14:paraId="5B318938" w14:textId="53AD5981" w:rsidR="001432A2" w:rsidRDefault="001432A2" w:rsidP="001432A2">
      <w:r>
        <w:t>Black’s Law Dictionary defines “customary law” as law “consisting of customs that are accepted as legal requirements or obligatory rules of conduct; 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 (Protection Rights over Traditional Knowledge: Implications of Customary Laws and Practices, Research Planning Workshop, Cusco, Peru, 20-25 May, 2005.)</w:t>
      </w:r>
    </w:p>
    <w:p w14:paraId="4F856C27" w14:textId="77777777" w:rsidR="001432A2" w:rsidRDefault="001432A2" w:rsidP="001432A2">
      <w:pPr>
        <w:rPr>
          <w:b/>
        </w:rPr>
      </w:pPr>
    </w:p>
    <w:p w14:paraId="10245043" w14:textId="77777777" w:rsidR="00600253" w:rsidRPr="00600253" w:rsidRDefault="001432A2" w:rsidP="001432A2">
      <w:pPr>
        <w:rPr>
          <w:u w:val="single"/>
        </w:rPr>
      </w:pPr>
      <w:r w:rsidRPr="00600253">
        <w:rPr>
          <w:b/>
          <w:u w:val="single"/>
        </w:rPr>
        <w:t>Customary practices</w:t>
      </w:r>
    </w:p>
    <w:p w14:paraId="452E9AA6" w14:textId="77777777" w:rsidR="00600253" w:rsidRDefault="00600253" w:rsidP="001432A2"/>
    <w:p w14:paraId="166A00DD" w14:textId="167E55E2" w:rsidR="001432A2" w:rsidRDefault="00600253" w:rsidP="001432A2">
      <w:r>
        <w:t>M</w:t>
      </w:r>
      <w:r w:rsidR="001432A2">
        <w:t>ay be described as the acts and uses governing and guiding aspects of a community’s life. Customary practices are engrained within the community and embedded in the way it lives and works.</w:t>
      </w:r>
    </w:p>
    <w:p w14:paraId="55DE4FAE" w14:textId="15CFAED2" w:rsidR="001432A2" w:rsidRDefault="001432A2" w:rsidP="001432A2">
      <w:pPr>
        <w:rPr>
          <w:b/>
        </w:rPr>
      </w:pPr>
    </w:p>
    <w:p w14:paraId="359A0407" w14:textId="77777777" w:rsidR="00600253" w:rsidRPr="00600253" w:rsidRDefault="001432A2" w:rsidP="001432A2">
      <w:pPr>
        <w:rPr>
          <w:u w:val="single"/>
        </w:rPr>
      </w:pPr>
      <w:r w:rsidRPr="00600253">
        <w:rPr>
          <w:b/>
          <w:u w:val="single"/>
        </w:rPr>
        <w:t>Customary context</w:t>
      </w:r>
    </w:p>
    <w:p w14:paraId="5E08C30A" w14:textId="77777777" w:rsidR="00600253" w:rsidRDefault="00600253" w:rsidP="001432A2"/>
    <w:p w14:paraId="65806623" w14:textId="41AE7D46" w:rsidR="001432A2" w:rsidRDefault="001432A2" w:rsidP="001432A2">
      <w:r w:rsidRPr="00141A0C">
        <w:t>"Customary context" refers to the utilization of traditional knowledge or cultural expressions in accordance with the practices of everyday life of the community, such as, for instance, usual ways of selling copies of tangible expressions of folklore by local craftsmen.</w:t>
      </w:r>
      <w:r>
        <w:t xml:space="preserve"> </w:t>
      </w:r>
      <w:r w:rsidRPr="00141A0C">
        <w:t xml:space="preserve"> (Model Provisions for National Laws on the Protection of Expressions of Folklore against Illicit Exploitation and Other Prejudicial Actions, 1982, Part III, para. 42.) (See also Traditional Context)</w:t>
      </w:r>
      <w:r>
        <w:t>.</w:t>
      </w:r>
    </w:p>
    <w:p w14:paraId="738BE7EE" w14:textId="1206DF7C" w:rsidR="001432A2" w:rsidRDefault="001432A2" w:rsidP="001432A2">
      <w:pPr>
        <w:rPr>
          <w:b/>
        </w:rPr>
      </w:pPr>
    </w:p>
    <w:p w14:paraId="03CEE902" w14:textId="77777777" w:rsidR="00600253" w:rsidRPr="00600253" w:rsidRDefault="001432A2" w:rsidP="001432A2">
      <w:pPr>
        <w:rPr>
          <w:b/>
          <w:u w:val="single"/>
        </w:rPr>
      </w:pPr>
      <w:r w:rsidRPr="00600253">
        <w:rPr>
          <w:b/>
          <w:u w:val="single"/>
        </w:rPr>
        <w:t>Geographical indication (GI)</w:t>
      </w:r>
    </w:p>
    <w:p w14:paraId="4410714D" w14:textId="77777777" w:rsidR="00600253" w:rsidRDefault="00600253" w:rsidP="001432A2">
      <w:pPr>
        <w:rPr>
          <w:b/>
        </w:rPr>
      </w:pPr>
    </w:p>
    <w:p w14:paraId="3943E374" w14:textId="63AB7766" w:rsidR="001432A2" w:rsidRDefault="001432A2" w:rsidP="001432A2">
      <w:r w:rsidRPr="00C53965">
        <w:t>A geographical indication (GI) is a sign used on products that have a specific geographical origin and possess qualities or a reputation that are due to that origin.</w:t>
      </w:r>
    </w:p>
    <w:p w14:paraId="62848627" w14:textId="77777777" w:rsidR="001432A2" w:rsidRDefault="001432A2" w:rsidP="001432A2">
      <w:pPr>
        <w:rPr>
          <w:b/>
        </w:rPr>
      </w:pPr>
    </w:p>
    <w:p w14:paraId="56E48469" w14:textId="77777777" w:rsidR="00600253" w:rsidRPr="00600253" w:rsidRDefault="001432A2" w:rsidP="001432A2">
      <w:pPr>
        <w:rPr>
          <w:b/>
          <w:u w:val="single"/>
        </w:rPr>
      </w:pPr>
      <w:r w:rsidRPr="00600253">
        <w:rPr>
          <w:b/>
          <w:u w:val="single"/>
        </w:rPr>
        <w:t>Industrial design</w:t>
      </w:r>
    </w:p>
    <w:p w14:paraId="70403CFE" w14:textId="77777777" w:rsidR="00600253" w:rsidRDefault="00600253" w:rsidP="001432A2">
      <w:pPr>
        <w:rPr>
          <w:b/>
        </w:rPr>
      </w:pPr>
    </w:p>
    <w:p w14:paraId="7C79AF61" w14:textId="337D7D64" w:rsidR="001432A2" w:rsidRPr="00C53965" w:rsidRDefault="001432A2" w:rsidP="001432A2">
      <w:r>
        <w:t>In a legal sense, an industrial design constitutes the ornamental or aesthetic aspect of an article.  An industrial design may consist of three dimensional features, such as the shape of an article, or two dimensional features, such as patterns, lines or color.</w:t>
      </w:r>
    </w:p>
    <w:p w14:paraId="250AA8D3" w14:textId="77777777" w:rsidR="001432A2" w:rsidRDefault="001432A2" w:rsidP="001432A2">
      <w:pPr>
        <w:rPr>
          <w:b/>
        </w:rPr>
      </w:pPr>
    </w:p>
    <w:p w14:paraId="691D464D" w14:textId="77777777" w:rsidR="00600253" w:rsidRPr="00600253" w:rsidRDefault="001432A2" w:rsidP="001432A2">
      <w:pPr>
        <w:rPr>
          <w:b/>
          <w:u w:val="single"/>
        </w:rPr>
      </w:pPr>
      <w:r w:rsidRPr="00600253">
        <w:rPr>
          <w:b/>
          <w:u w:val="single"/>
        </w:rPr>
        <w:t>Intellectual property (IP)</w:t>
      </w:r>
    </w:p>
    <w:p w14:paraId="76305DAB" w14:textId="77777777" w:rsidR="00600253" w:rsidRDefault="00600253" w:rsidP="001432A2">
      <w:pPr>
        <w:rPr>
          <w:b/>
        </w:rPr>
      </w:pPr>
    </w:p>
    <w:p w14:paraId="634A1F10" w14:textId="73CC0D8A" w:rsidR="001432A2" w:rsidRDefault="001432A2" w:rsidP="001432A2">
      <w:r>
        <w:t xml:space="preserve">IP refers to </w:t>
      </w:r>
      <w:r w:rsidRPr="00D23E19">
        <w:t>creations of the mind, such as inventions; literary and artistic works; designs; and symbols, names and images used in commerce.</w:t>
      </w:r>
    </w:p>
    <w:p w14:paraId="5F9C6DEC" w14:textId="77777777" w:rsidR="001432A2" w:rsidRDefault="001432A2" w:rsidP="001432A2">
      <w:pPr>
        <w:rPr>
          <w:b/>
        </w:rPr>
      </w:pPr>
    </w:p>
    <w:p w14:paraId="17EC0FC3" w14:textId="77777777" w:rsidR="00600253" w:rsidRPr="00600253" w:rsidRDefault="001432A2" w:rsidP="001432A2">
      <w:pPr>
        <w:rPr>
          <w:b/>
          <w:u w:val="single"/>
        </w:rPr>
      </w:pPr>
      <w:r w:rsidRPr="00600253">
        <w:rPr>
          <w:b/>
          <w:u w:val="single"/>
        </w:rPr>
        <w:t>Intellectual property rights (IPRs)</w:t>
      </w:r>
    </w:p>
    <w:p w14:paraId="362E2D46" w14:textId="77777777" w:rsidR="00600253" w:rsidRDefault="00600253" w:rsidP="001432A2">
      <w:pPr>
        <w:rPr>
          <w:b/>
        </w:rPr>
      </w:pPr>
    </w:p>
    <w:p w14:paraId="2D968859" w14:textId="770FDA14" w:rsidR="001432A2" w:rsidRDefault="001432A2" w:rsidP="001432A2">
      <w:r>
        <w:t>IPRs are like any other property right.  They allow creators, or owners, of patents, trademarks or copyrighted works to benefit from their own work or investment in a creation.</w:t>
      </w:r>
    </w:p>
    <w:p w14:paraId="595347E8" w14:textId="77777777" w:rsidR="001432A2" w:rsidRDefault="001432A2" w:rsidP="001432A2">
      <w:pPr>
        <w:rPr>
          <w:b/>
        </w:rPr>
      </w:pPr>
    </w:p>
    <w:p w14:paraId="2F964BD1" w14:textId="77777777" w:rsidR="005114F8" w:rsidRDefault="005114F8">
      <w:pPr>
        <w:rPr>
          <w:b/>
          <w:u w:val="single"/>
        </w:rPr>
      </w:pPr>
      <w:r>
        <w:rPr>
          <w:b/>
          <w:u w:val="single"/>
        </w:rPr>
        <w:br w:type="page"/>
      </w:r>
    </w:p>
    <w:p w14:paraId="4E2AF338" w14:textId="01583282" w:rsidR="00600253" w:rsidRDefault="001432A2" w:rsidP="001432A2">
      <w:pPr>
        <w:rPr>
          <w:b/>
        </w:rPr>
      </w:pPr>
      <w:r w:rsidRPr="00600253">
        <w:rPr>
          <w:b/>
          <w:u w:val="single"/>
        </w:rPr>
        <w:lastRenderedPageBreak/>
        <w:t>Patent</w:t>
      </w:r>
    </w:p>
    <w:p w14:paraId="0EEFDEEB" w14:textId="77777777" w:rsidR="00600253" w:rsidRDefault="00600253" w:rsidP="001432A2">
      <w:pPr>
        <w:rPr>
          <w:b/>
        </w:rPr>
      </w:pPr>
    </w:p>
    <w:p w14:paraId="02F98884" w14:textId="7E013234" w:rsidR="001432A2" w:rsidRDefault="001432A2" w:rsidP="001432A2">
      <w:r w:rsidRPr="00C53965">
        <w:t>A patent is an exclusive right granted for an invention, which is a product or a process that provides, in general, a new way of doing something, or offers a new technical solution to a problem.</w:t>
      </w:r>
    </w:p>
    <w:p w14:paraId="15B84E3A" w14:textId="77777777" w:rsidR="000776D8" w:rsidRDefault="000776D8" w:rsidP="000776D8">
      <w:pPr>
        <w:rPr>
          <w:b/>
        </w:rPr>
      </w:pPr>
    </w:p>
    <w:p w14:paraId="5AFFC2BB" w14:textId="77777777" w:rsidR="00600253" w:rsidRDefault="000776D8" w:rsidP="000776D8">
      <w:pPr>
        <w:rPr>
          <w:b/>
          <w:u w:val="single"/>
        </w:rPr>
      </w:pPr>
      <w:r w:rsidRPr="00600253">
        <w:rPr>
          <w:b/>
          <w:u w:val="single"/>
        </w:rPr>
        <w:t>P</w:t>
      </w:r>
      <w:r w:rsidR="001432A2" w:rsidRPr="00600253">
        <w:rPr>
          <w:b/>
          <w:u w:val="single"/>
        </w:rPr>
        <w:t>rior art</w:t>
      </w:r>
    </w:p>
    <w:p w14:paraId="3B7C6A38" w14:textId="77777777" w:rsidR="00600253" w:rsidRDefault="00600253" w:rsidP="000776D8">
      <w:pPr>
        <w:rPr>
          <w:b/>
          <w:u w:val="single"/>
        </w:rPr>
      </w:pPr>
    </w:p>
    <w:p w14:paraId="39F6DCB0" w14:textId="5B6E8F4D" w:rsidR="001432A2" w:rsidRPr="000776D8" w:rsidRDefault="001432A2" w:rsidP="000776D8">
      <w:r w:rsidRPr="000776D8">
        <w:t>Prior art is, in general, all the knowledge that existed prior to the relevant filing or priority date of a patent application, whether it existed by way of written and oral disclosure.</w:t>
      </w:r>
    </w:p>
    <w:p w14:paraId="3796DE7A" w14:textId="77777777" w:rsidR="001432A2" w:rsidRDefault="001432A2" w:rsidP="001432A2">
      <w:pPr>
        <w:rPr>
          <w:b/>
        </w:rPr>
      </w:pPr>
    </w:p>
    <w:p w14:paraId="4E4DF01C" w14:textId="77777777" w:rsidR="00600253" w:rsidRDefault="001432A2" w:rsidP="001432A2">
      <w:pPr>
        <w:rPr>
          <w:b/>
          <w:u w:val="single"/>
        </w:rPr>
      </w:pPr>
      <w:r w:rsidRPr="00600253">
        <w:rPr>
          <w:b/>
          <w:u w:val="single"/>
        </w:rPr>
        <w:t>Protection</w:t>
      </w:r>
    </w:p>
    <w:p w14:paraId="76414079" w14:textId="77777777" w:rsidR="00600253" w:rsidRDefault="00600253" w:rsidP="001432A2">
      <w:pPr>
        <w:rPr>
          <w:b/>
          <w:u w:val="single"/>
        </w:rPr>
      </w:pPr>
    </w:p>
    <w:p w14:paraId="4E7D1046" w14:textId="70F15B1C" w:rsidR="001432A2" w:rsidRDefault="001432A2" w:rsidP="001432A2">
      <w:r>
        <w:t>“Protection” in the work of the IGC has tended to refer to protection of traditional knowledge and traditional cultural expressions against some form of unauthorized use by third parties. Two forms of protection have been developed and applied.</w:t>
      </w:r>
    </w:p>
    <w:p w14:paraId="4B0C977B" w14:textId="77777777" w:rsidR="005F3550" w:rsidRDefault="005F3550" w:rsidP="001432A2">
      <w:pPr>
        <w:rPr>
          <w:b/>
          <w:i/>
        </w:rPr>
      </w:pPr>
    </w:p>
    <w:p w14:paraId="6F1CAE64" w14:textId="77777777" w:rsidR="00600253" w:rsidRPr="00600253" w:rsidRDefault="001432A2" w:rsidP="001432A2">
      <w:pPr>
        <w:rPr>
          <w:b/>
          <w:u w:val="single"/>
        </w:rPr>
      </w:pPr>
      <w:r w:rsidRPr="00600253">
        <w:rPr>
          <w:b/>
          <w:u w:val="single"/>
        </w:rPr>
        <w:t>Sui Generis</w:t>
      </w:r>
    </w:p>
    <w:p w14:paraId="5E024C8F" w14:textId="77777777" w:rsidR="00600253" w:rsidRDefault="00600253" w:rsidP="001432A2">
      <w:pPr>
        <w:rPr>
          <w:b/>
        </w:rPr>
      </w:pPr>
    </w:p>
    <w:p w14:paraId="2EE63116" w14:textId="73069155" w:rsidR="001432A2" w:rsidRDefault="001432A2" w:rsidP="001432A2">
      <w:r>
        <w:t>Black’s Law Dictionary defines “</w:t>
      </w:r>
      <w:proofErr w:type="gramStart"/>
      <w:r>
        <w:t>sui</w:t>
      </w:r>
      <w:proofErr w:type="gramEnd"/>
      <w:r>
        <w:t xml:space="preserve"> generis” as “[Latin “of its own kind”] of its own kind or class; unique or peculiar.  The term is used in intellectual property law to describe a regime designed to protect rights that fall outside the traditional patent, trademark, copyright, and trade-secret doctrines.  For instance, a database may not be protected by copyright law if its content is not original, but it could be protected by a sui generis sta</w:t>
      </w:r>
      <w:r w:rsidR="00232E15">
        <w:t>tute designed for that purpose.</w:t>
      </w:r>
      <w:r>
        <w:t xml:space="preserve"> Examples include plant breeders’ rights – as reflected in the International Convention on the Protection of New Varieties of Plants, 1991 (“the UPOV Convention) – and the intellectual property protection of integrated circuits – as reflected in the Treaty on Intellectual Property in respect of Integrated circuits, 1989 </w:t>
      </w:r>
    </w:p>
    <w:p w14:paraId="5EC90B54" w14:textId="77777777" w:rsidR="001432A2" w:rsidRDefault="001432A2" w:rsidP="001432A2">
      <w:pPr>
        <w:rPr>
          <w:b/>
        </w:rPr>
      </w:pPr>
    </w:p>
    <w:p w14:paraId="679C4B78" w14:textId="72889AFE" w:rsidR="00600253" w:rsidRDefault="001432A2" w:rsidP="001432A2">
      <w:pPr>
        <w:rPr>
          <w:b/>
        </w:rPr>
      </w:pPr>
      <w:r w:rsidRPr="00600253">
        <w:rPr>
          <w:b/>
          <w:u w:val="single"/>
        </w:rPr>
        <w:t>Trademark</w:t>
      </w:r>
      <w:r w:rsidR="00EA63C8">
        <w:rPr>
          <w:b/>
          <w:u w:val="single"/>
        </w:rPr>
        <w:t xml:space="preserve"> (TM)</w:t>
      </w:r>
    </w:p>
    <w:p w14:paraId="1ADE1DD6" w14:textId="77777777" w:rsidR="00600253" w:rsidRDefault="00600253" w:rsidP="001432A2"/>
    <w:p w14:paraId="270A82BA" w14:textId="1566913A" w:rsidR="001432A2" w:rsidRDefault="001432A2" w:rsidP="001432A2">
      <w:r w:rsidRPr="00C53965">
        <w:t>A trademark is a sign capable of distinguishing the goods or services of one enterprise from those of other enterprises.</w:t>
      </w:r>
    </w:p>
    <w:p w14:paraId="1B1F4185" w14:textId="77777777" w:rsidR="001432A2" w:rsidRDefault="001432A2" w:rsidP="001432A2">
      <w:pPr>
        <w:rPr>
          <w:b/>
        </w:rPr>
      </w:pPr>
    </w:p>
    <w:p w14:paraId="0C3BADF6" w14:textId="44DBB78E" w:rsidR="00600253" w:rsidRDefault="001432A2" w:rsidP="001432A2">
      <w:pPr>
        <w:rPr>
          <w:b/>
          <w:u w:val="single"/>
        </w:rPr>
      </w:pPr>
      <w:r w:rsidRPr="00600253">
        <w:rPr>
          <w:b/>
          <w:u w:val="single"/>
        </w:rPr>
        <w:t>Traditional cultural expressions (TCEs) (as known as expressions of folklore</w:t>
      </w:r>
      <w:r w:rsidR="005114F8">
        <w:rPr>
          <w:b/>
          <w:u w:val="single"/>
        </w:rPr>
        <w:t>)</w:t>
      </w:r>
    </w:p>
    <w:p w14:paraId="1682856A" w14:textId="77777777" w:rsidR="00600253" w:rsidRDefault="00600253" w:rsidP="001432A2">
      <w:pPr>
        <w:rPr>
          <w:b/>
          <w:u w:val="single"/>
        </w:rPr>
      </w:pPr>
    </w:p>
    <w:p w14:paraId="5945F282" w14:textId="5135C2E4" w:rsidR="001432A2" w:rsidRPr="00600253" w:rsidRDefault="001432A2" w:rsidP="001432A2">
      <w:pPr>
        <w:rPr>
          <w:b/>
          <w:u w:val="single"/>
        </w:rPr>
      </w:pPr>
      <w:r>
        <w:t>TCEs refer to f</w:t>
      </w:r>
      <w:r w:rsidRPr="00A25982">
        <w:t>orms in which traditional culture is expressed; passed down from generation to generation, they form part of the identity and heritage of a traditional or indigenous community.</w:t>
      </w:r>
    </w:p>
    <w:p w14:paraId="152CEA9F" w14:textId="77777777" w:rsidR="001432A2" w:rsidRDefault="001432A2" w:rsidP="001432A2">
      <w:pPr>
        <w:rPr>
          <w:b/>
        </w:rPr>
      </w:pPr>
    </w:p>
    <w:p w14:paraId="71E483E4" w14:textId="77777777" w:rsidR="00600253" w:rsidRDefault="001432A2" w:rsidP="001432A2">
      <w:pPr>
        <w:rPr>
          <w:b/>
          <w:szCs w:val="22"/>
          <w:u w:val="single"/>
        </w:rPr>
      </w:pPr>
      <w:r w:rsidRPr="00600253">
        <w:rPr>
          <w:b/>
          <w:szCs w:val="22"/>
          <w:u w:val="single"/>
        </w:rPr>
        <w:t>Traditional knowledge (TK)</w:t>
      </w:r>
    </w:p>
    <w:p w14:paraId="614490B2" w14:textId="77777777" w:rsidR="00600253" w:rsidRDefault="00600253" w:rsidP="001432A2"/>
    <w:p w14:paraId="6B75565E" w14:textId="2D52EC6B" w:rsidR="001432A2" w:rsidRDefault="001432A2" w:rsidP="001432A2">
      <w:r>
        <w:t>TK refers to a</w:t>
      </w:r>
      <w:r w:rsidRPr="00C53965">
        <w:t xml:space="preserve"> living body of knowledge that is developed, sustained and passed on from generation to generation within a community, often forming part of its cultural or spiritual identity.</w:t>
      </w:r>
    </w:p>
    <w:p w14:paraId="0F7F38A1" w14:textId="6F47E224" w:rsidR="001432A2" w:rsidRDefault="001432A2" w:rsidP="001432A2"/>
    <w:p w14:paraId="78A83989" w14:textId="77777777" w:rsidR="00A15915" w:rsidRDefault="00A15915" w:rsidP="00A15915">
      <w:pPr>
        <w:rPr>
          <w:szCs w:val="22"/>
        </w:rPr>
      </w:pPr>
    </w:p>
    <w:p w14:paraId="68B447FC" w14:textId="64F745D3" w:rsidR="00A15915" w:rsidRPr="00E247AF" w:rsidRDefault="00A15915" w:rsidP="00A15915">
      <w:pPr>
        <w:rPr>
          <w:szCs w:val="22"/>
        </w:rPr>
      </w:pPr>
      <w:r>
        <w:rPr>
          <w:szCs w:val="22"/>
        </w:rPr>
        <w:t xml:space="preserve">2. </w:t>
      </w:r>
      <w:r>
        <w:rPr>
          <w:szCs w:val="22"/>
        </w:rPr>
        <w:tab/>
      </w:r>
      <w:r w:rsidR="00760771">
        <w:rPr>
          <w:b/>
          <w:szCs w:val="22"/>
        </w:rPr>
        <w:t>SUGGESTED</w:t>
      </w:r>
      <w:r w:rsidR="00760771" w:rsidRPr="00760771">
        <w:rPr>
          <w:b/>
          <w:szCs w:val="22"/>
        </w:rPr>
        <w:t xml:space="preserve"> </w:t>
      </w:r>
      <w:r w:rsidR="00760771">
        <w:rPr>
          <w:b/>
          <w:szCs w:val="22"/>
        </w:rPr>
        <w:t xml:space="preserve">READING </w:t>
      </w:r>
      <w:r>
        <w:rPr>
          <w:b/>
          <w:szCs w:val="22"/>
        </w:rPr>
        <w:t>LIST</w:t>
      </w:r>
    </w:p>
    <w:p w14:paraId="33BB74A4" w14:textId="1C416551" w:rsidR="00A15915" w:rsidRDefault="00A15915" w:rsidP="001432A2"/>
    <w:p w14:paraId="61F14178" w14:textId="77777777" w:rsidR="00372293" w:rsidRDefault="00372293" w:rsidP="00372293">
      <w:r w:rsidRPr="00760771">
        <w:t>A Guide to Intellectual Property Issues in Access and Benefit-sharing Agreements</w:t>
      </w:r>
    </w:p>
    <w:p w14:paraId="7F6980E4" w14:textId="1F12DC63" w:rsidR="00372293" w:rsidRPr="00760771" w:rsidRDefault="004D3E03" w:rsidP="00372293">
      <w:hyperlink r:id="rId10" w:history="1">
        <w:r w:rsidR="00372293" w:rsidRPr="0081464B">
          <w:rPr>
            <w:rStyle w:val="Hyperlink"/>
          </w:rPr>
          <w:t>https://www.wipo.int/publications/en/details.jsp?id=4329</w:t>
        </w:r>
      </w:hyperlink>
      <w:r w:rsidR="00372293" w:rsidRPr="00760771">
        <w:t xml:space="preserve"> </w:t>
      </w:r>
    </w:p>
    <w:p w14:paraId="0D82A50A" w14:textId="77777777" w:rsidR="00372293" w:rsidRDefault="00372293" w:rsidP="00372293"/>
    <w:p w14:paraId="68022DFF" w14:textId="77777777" w:rsidR="00372293" w:rsidRDefault="00372293" w:rsidP="00372293">
      <w:r w:rsidRPr="00A15915">
        <w:t xml:space="preserve">Brief 1 Traditional Knowledge and Intellectual Property </w:t>
      </w:r>
    </w:p>
    <w:p w14:paraId="36AB86C6" w14:textId="319D84F4" w:rsidR="00372293" w:rsidRPr="00A15915" w:rsidRDefault="004D3E03" w:rsidP="00372293">
      <w:hyperlink r:id="rId11" w:history="1">
        <w:r w:rsidR="00372293" w:rsidRPr="0081464B">
          <w:rPr>
            <w:rStyle w:val="Hyperlink"/>
          </w:rPr>
          <w:t>https://www.wipo.int/edocs/pubdocs/en/wipo_pub_tk_1.pdf</w:t>
        </w:r>
      </w:hyperlink>
    </w:p>
    <w:p w14:paraId="6D5E2C6C" w14:textId="77777777" w:rsidR="00372293" w:rsidRDefault="00372293" w:rsidP="00372293"/>
    <w:p w14:paraId="65A6DBC1" w14:textId="77777777" w:rsidR="005114F8" w:rsidRDefault="005114F8">
      <w:r>
        <w:br w:type="page"/>
      </w:r>
    </w:p>
    <w:p w14:paraId="50DB2AE9" w14:textId="1AC3D3F3" w:rsidR="00372293" w:rsidRDefault="00372293" w:rsidP="00372293">
      <w:r w:rsidRPr="00A15915">
        <w:lastRenderedPageBreak/>
        <w:t xml:space="preserve">Brief 2 The WIPO Intergovernmental Committee on Intellectual Property and Genetic Resources, Traditional Knowledge and Folklore </w:t>
      </w:r>
    </w:p>
    <w:p w14:paraId="030A1A45" w14:textId="030246F5" w:rsidR="00372293" w:rsidRPr="00A15915" w:rsidRDefault="004D3E03" w:rsidP="00372293">
      <w:hyperlink r:id="rId12" w:history="1">
        <w:r w:rsidR="00372293" w:rsidRPr="0081464B">
          <w:rPr>
            <w:rStyle w:val="Hyperlink"/>
          </w:rPr>
          <w:t>https://www.wipo.int/edocs/pubdocs/en/wipo_pub_tk_2.pdf</w:t>
        </w:r>
      </w:hyperlink>
    </w:p>
    <w:p w14:paraId="359E7294" w14:textId="77777777" w:rsidR="00372293" w:rsidRDefault="00372293" w:rsidP="00372293"/>
    <w:p w14:paraId="1A9E6360" w14:textId="77777777" w:rsidR="00372293" w:rsidRDefault="00372293" w:rsidP="00372293">
      <w:r w:rsidRPr="00A15915">
        <w:t>Brief 5 Intell</w:t>
      </w:r>
      <w:r>
        <w:t>ectual Property and Traditional Handicrafts</w:t>
      </w:r>
    </w:p>
    <w:p w14:paraId="4957088E" w14:textId="0968CEF8" w:rsidR="00372293" w:rsidRPr="00A15915" w:rsidRDefault="004D3E03" w:rsidP="00372293">
      <w:hyperlink r:id="rId13" w:history="1">
        <w:r w:rsidR="00372293" w:rsidRPr="0081464B">
          <w:rPr>
            <w:rStyle w:val="Hyperlink"/>
          </w:rPr>
          <w:t>https://www.wipo.int/edocs/pubdocs/en/wipo_pub_tk_5.pdf</w:t>
        </w:r>
      </w:hyperlink>
      <w:r w:rsidR="00372293" w:rsidRPr="00A15915">
        <w:t xml:space="preserve"> </w:t>
      </w:r>
    </w:p>
    <w:p w14:paraId="2AF00FA5" w14:textId="77777777" w:rsidR="00372293" w:rsidRDefault="00372293" w:rsidP="00372293"/>
    <w:p w14:paraId="56950189" w14:textId="77777777" w:rsidR="00372293" w:rsidRDefault="00372293" w:rsidP="00372293">
      <w:r w:rsidRPr="00A15915">
        <w:t xml:space="preserve">Documenting Traditional Knowledge – A Toolkit </w:t>
      </w:r>
    </w:p>
    <w:p w14:paraId="26CF938F" w14:textId="14D8A8C9" w:rsidR="00372293" w:rsidRPr="00A15915" w:rsidRDefault="004D3E03" w:rsidP="00372293">
      <w:hyperlink r:id="rId14" w:history="1">
        <w:r w:rsidR="00372293" w:rsidRPr="0081464B">
          <w:rPr>
            <w:rStyle w:val="Hyperlink"/>
          </w:rPr>
          <w:t>https://www.wipo.int/edocs/pubdocs/en/wipo_pub_1049.pdf</w:t>
        </w:r>
      </w:hyperlink>
    </w:p>
    <w:p w14:paraId="741EA6F6" w14:textId="16113AEF" w:rsidR="00372293" w:rsidRDefault="00372293" w:rsidP="00372293"/>
    <w:p w14:paraId="56F82B32" w14:textId="763B82A9" w:rsidR="00372293" w:rsidRDefault="00381018" w:rsidP="00372293">
      <w:r>
        <w:t>Intellectual Property</w:t>
      </w:r>
      <w:r w:rsidR="00372293" w:rsidRPr="00A15915">
        <w:t xml:space="preserve"> and Arts Festivals</w:t>
      </w:r>
    </w:p>
    <w:p w14:paraId="099DF283" w14:textId="56CFE354" w:rsidR="00372293" w:rsidRDefault="004D3E03" w:rsidP="00372293">
      <w:pPr>
        <w:rPr>
          <w:rStyle w:val="Hyperlink"/>
        </w:rPr>
      </w:pPr>
      <w:hyperlink r:id="rId15" w:history="1">
        <w:r w:rsidR="00372293" w:rsidRPr="0081464B">
          <w:rPr>
            <w:rStyle w:val="Hyperlink"/>
          </w:rPr>
          <w:t>https://www.wipo.int/publications/en/details.jsp?id=4371</w:t>
        </w:r>
      </w:hyperlink>
    </w:p>
    <w:p w14:paraId="0BF53977" w14:textId="68F179E0" w:rsidR="00381018" w:rsidRDefault="00381018" w:rsidP="00372293">
      <w:pPr>
        <w:rPr>
          <w:rStyle w:val="Hyperlink"/>
        </w:rPr>
      </w:pPr>
    </w:p>
    <w:p w14:paraId="12DD7665" w14:textId="0050E094" w:rsidR="00381018" w:rsidRDefault="00381018" w:rsidP="00381018">
      <w:r w:rsidRPr="00A15915">
        <w:t xml:space="preserve">Intellectual Property and Genetic Resources, Traditional Knowledge and Traditional Cultural Expressions – An Overview </w:t>
      </w:r>
      <w:hyperlink r:id="rId16" w:history="1">
        <w:r w:rsidRPr="0081464B">
          <w:rPr>
            <w:rStyle w:val="Hyperlink"/>
          </w:rPr>
          <w:t>https://www.wipo.int/edocs/pubdocs/en/tk/933/wipo_pub_933.pdf</w:t>
        </w:r>
      </w:hyperlink>
    </w:p>
    <w:p w14:paraId="2986D789" w14:textId="77777777" w:rsidR="00760771" w:rsidRPr="00A15915" w:rsidRDefault="00760771" w:rsidP="00A15915"/>
    <w:p w14:paraId="4F2EF528" w14:textId="77777777" w:rsidR="00372293" w:rsidRDefault="00372293" w:rsidP="00372293">
      <w:r w:rsidRPr="00A15915">
        <w:t>Protect and Promote Your Culture:  A Practical Guide to Intellectual Property for Indigenous Peoples and Local Communities</w:t>
      </w:r>
    </w:p>
    <w:p w14:paraId="577FD4CC" w14:textId="39C43B79" w:rsidR="00372293" w:rsidRPr="00A15915" w:rsidRDefault="004D3E03" w:rsidP="00372293">
      <w:hyperlink r:id="rId17" w:history="1">
        <w:r w:rsidR="00372293" w:rsidRPr="0081464B">
          <w:rPr>
            <w:rStyle w:val="Hyperlink"/>
          </w:rPr>
          <w:t>https://www.wipo.int/edocs/pubdocs/en/wipo_pub_1048.pdf</w:t>
        </w:r>
      </w:hyperlink>
    </w:p>
    <w:p w14:paraId="13D8A354" w14:textId="77777777" w:rsidR="00A15915" w:rsidRDefault="00A15915" w:rsidP="001432A2"/>
    <w:sectPr w:rsidR="00A15915" w:rsidSect="00E01F67">
      <w:headerReference w:type="defaul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7EEFB" w14:textId="77777777" w:rsidR="0092478F" w:rsidRDefault="0092478F">
      <w:r>
        <w:separator/>
      </w:r>
    </w:p>
  </w:endnote>
  <w:endnote w:type="continuationSeparator" w:id="0">
    <w:p w14:paraId="6A467FED" w14:textId="77777777" w:rsidR="0092478F" w:rsidRDefault="0092478F" w:rsidP="00240979">
      <w:r>
        <w:separator/>
      </w:r>
    </w:p>
    <w:p w14:paraId="2DA68489" w14:textId="77777777" w:rsidR="0092478F" w:rsidRPr="00240979" w:rsidRDefault="0092478F" w:rsidP="00240979">
      <w:pPr>
        <w:spacing w:after="60"/>
        <w:rPr>
          <w:sz w:val="17"/>
        </w:rPr>
      </w:pPr>
      <w:r>
        <w:rPr>
          <w:sz w:val="17"/>
        </w:rPr>
        <w:t>[Endnote continued from previous page]</w:t>
      </w:r>
    </w:p>
  </w:endnote>
  <w:endnote w:type="continuationNotice" w:id="1">
    <w:p w14:paraId="2B04D411" w14:textId="77777777" w:rsidR="0092478F" w:rsidRPr="00240979" w:rsidRDefault="0092478F" w:rsidP="00240979">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EF8B" w14:textId="77777777" w:rsidR="0092478F" w:rsidRDefault="0092478F">
      <w:r>
        <w:separator/>
      </w:r>
    </w:p>
  </w:footnote>
  <w:footnote w:type="continuationSeparator" w:id="0">
    <w:p w14:paraId="47743DD4" w14:textId="77777777" w:rsidR="0092478F" w:rsidRDefault="0092478F" w:rsidP="00240979">
      <w:r>
        <w:separator/>
      </w:r>
    </w:p>
    <w:p w14:paraId="5174C994" w14:textId="77777777" w:rsidR="0092478F" w:rsidRPr="00240979" w:rsidRDefault="0092478F" w:rsidP="00240979">
      <w:pPr>
        <w:spacing w:after="60"/>
        <w:rPr>
          <w:sz w:val="17"/>
          <w:szCs w:val="17"/>
        </w:rPr>
      </w:pPr>
      <w:r w:rsidRPr="00ED77FB">
        <w:rPr>
          <w:sz w:val="17"/>
          <w:szCs w:val="17"/>
        </w:rPr>
        <w:t>[Footnot</w:t>
      </w:r>
      <w:r>
        <w:rPr>
          <w:sz w:val="17"/>
          <w:szCs w:val="17"/>
        </w:rPr>
        <w:t>e continued from previous page]</w:t>
      </w:r>
    </w:p>
  </w:footnote>
  <w:footnote w:type="continuationNotice" w:id="1">
    <w:p w14:paraId="4DCAAA4F" w14:textId="77777777" w:rsidR="0092478F" w:rsidRPr="00240979" w:rsidRDefault="0092478F" w:rsidP="00240979">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ABDAE" w14:textId="64CB4CC2" w:rsidR="008D4F22" w:rsidRDefault="00D638B8" w:rsidP="00477D6B">
    <w:pPr>
      <w:jc w:val="right"/>
      <w:rPr>
        <w:lang w:val="fr-CH"/>
      </w:rPr>
    </w:pPr>
    <w:r w:rsidRPr="00372293">
      <w:rPr>
        <w:lang w:val="fr-CH"/>
      </w:rPr>
      <w:t>W</w:t>
    </w:r>
    <w:r w:rsidR="008D4F22" w:rsidRPr="00372293">
      <w:rPr>
        <w:lang w:val="fr-CH"/>
      </w:rPr>
      <w:t>IPO/</w:t>
    </w:r>
    <w:r w:rsidR="00372293" w:rsidRPr="00372293">
      <w:rPr>
        <w:lang w:val="fr-CH"/>
      </w:rPr>
      <w:t>IPTK/YFB/19/INF/</w:t>
    </w:r>
    <w:r w:rsidR="00515B49">
      <w:rPr>
        <w:lang w:val="fr-CH"/>
      </w:rPr>
      <w:t>3</w:t>
    </w:r>
  </w:p>
  <w:p w14:paraId="68845F41" w14:textId="186AC967" w:rsidR="004E09F2" w:rsidRPr="00BF0D54" w:rsidRDefault="004E09F2" w:rsidP="00477D6B">
    <w:pPr>
      <w:jc w:val="right"/>
      <w:rPr>
        <w:lang w:val="fr-CH"/>
      </w:rPr>
    </w:pPr>
    <w:r w:rsidRPr="00BF0D54">
      <w:rPr>
        <w:lang w:val="fr-CH"/>
      </w:rPr>
      <w:t xml:space="preserve">page </w:t>
    </w:r>
    <w:r>
      <w:fldChar w:fldCharType="begin"/>
    </w:r>
    <w:r w:rsidRPr="00BF0D54">
      <w:rPr>
        <w:lang w:val="fr-CH"/>
      </w:rPr>
      <w:instrText xml:space="preserve"> PAGE  \* MERGEFORMAT </w:instrText>
    </w:r>
    <w:r>
      <w:fldChar w:fldCharType="separate"/>
    </w:r>
    <w:r w:rsidR="004D3E03">
      <w:rPr>
        <w:noProof/>
        <w:lang w:val="fr-CH"/>
      </w:rPr>
      <w:t>2</w:t>
    </w:r>
    <w:r>
      <w:fldChar w:fldCharType="end"/>
    </w:r>
  </w:p>
  <w:p w14:paraId="39472AD1" w14:textId="77777777" w:rsidR="004E09F2" w:rsidRPr="00BF0D54" w:rsidRDefault="004E09F2"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036A8BE"/>
    <w:lvl w:ilvl="0">
      <w:start w:val="1"/>
      <w:numFmt w:val="decimal"/>
      <w:lvlText w:val="%1."/>
      <w:lvlJc w:val="left"/>
      <w:pPr>
        <w:tabs>
          <w:tab w:val="num" w:pos="360"/>
        </w:tabs>
        <w:ind w:left="360" w:hanging="360"/>
      </w:pPr>
    </w:lvl>
  </w:abstractNum>
  <w:abstractNum w:abstractNumId="1" w15:restartNumberingAfterBreak="0">
    <w:nsid w:val="00C1134F"/>
    <w:multiLevelType w:val="hybridMultilevel"/>
    <w:tmpl w:val="61C88D80"/>
    <w:lvl w:ilvl="0" w:tplc="72709C1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3F0B29"/>
    <w:multiLevelType w:val="hybridMultilevel"/>
    <w:tmpl w:val="B362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9491B"/>
    <w:multiLevelType w:val="hybridMultilevel"/>
    <w:tmpl w:val="01B8722C"/>
    <w:lvl w:ilvl="0" w:tplc="3A86B64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1F0BA6"/>
    <w:multiLevelType w:val="hybridMultilevel"/>
    <w:tmpl w:val="EF203A8A"/>
    <w:lvl w:ilvl="0" w:tplc="D8D2AF8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4203E9"/>
    <w:multiLevelType w:val="hybridMultilevel"/>
    <w:tmpl w:val="40F8F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994169"/>
    <w:multiLevelType w:val="hybridMultilevel"/>
    <w:tmpl w:val="3BC0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DBA"/>
    <w:multiLevelType w:val="hybridMultilevel"/>
    <w:tmpl w:val="73EA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D1772"/>
    <w:multiLevelType w:val="hybridMultilevel"/>
    <w:tmpl w:val="30A45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0E6BCA"/>
    <w:multiLevelType w:val="hybridMultilevel"/>
    <w:tmpl w:val="2B0A9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9A1349"/>
    <w:multiLevelType w:val="hybridMultilevel"/>
    <w:tmpl w:val="364EB7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176FE2"/>
    <w:multiLevelType w:val="hybridMultilevel"/>
    <w:tmpl w:val="11A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04CBC"/>
    <w:multiLevelType w:val="hybridMultilevel"/>
    <w:tmpl w:val="8EA6E064"/>
    <w:lvl w:ilvl="0" w:tplc="3912E05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A15A9"/>
    <w:multiLevelType w:val="hybridMultilevel"/>
    <w:tmpl w:val="50344C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15"/>
  </w:num>
  <w:num w:numId="5">
    <w:abstractNumId w:val="2"/>
  </w:num>
  <w:num w:numId="6">
    <w:abstractNumId w:val="11"/>
  </w:num>
  <w:num w:numId="7">
    <w:abstractNumId w:val="9"/>
  </w:num>
  <w:num w:numId="8">
    <w:abstractNumId w:val="18"/>
  </w:num>
  <w:num w:numId="9">
    <w:abstractNumId w:val="16"/>
  </w:num>
  <w:num w:numId="10">
    <w:abstractNumId w:val="1"/>
  </w:num>
  <w:num w:numId="11">
    <w:abstractNumId w:val="12"/>
  </w:num>
  <w:num w:numId="12">
    <w:abstractNumId w:val="13"/>
  </w:num>
  <w:num w:numId="13">
    <w:abstractNumId w:val="6"/>
  </w:num>
  <w:num w:numId="14">
    <w:abstractNumId w:val="10"/>
  </w:num>
  <w:num w:numId="15">
    <w:abstractNumId w:val="17"/>
  </w:num>
  <w:num w:numId="16">
    <w:abstractNumId w:val="8"/>
  </w:num>
  <w:num w:numId="17">
    <w:abstractNumId w:val="3"/>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67"/>
    <w:rsid w:val="000147D2"/>
    <w:rsid w:val="00032DA1"/>
    <w:rsid w:val="00041B41"/>
    <w:rsid w:val="00071EC0"/>
    <w:rsid w:val="000776D8"/>
    <w:rsid w:val="000A46A9"/>
    <w:rsid w:val="000A6985"/>
    <w:rsid w:val="000D422C"/>
    <w:rsid w:val="000D4F36"/>
    <w:rsid w:val="000F5E56"/>
    <w:rsid w:val="000F64B1"/>
    <w:rsid w:val="000F7EFC"/>
    <w:rsid w:val="000F7F26"/>
    <w:rsid w:val="001025BB"/>
    <w:rsid w:val="00112DAC"/>
    <w:rsid w:val="00132D81"/>
    <w:rsid w:val="001362EE"/>
    <w:rsid w:val="001432A2"/>
    <w:rsid w:val="00147ADA"/>
    <w:rsid w:val="00160F6F"/>
    <w:rsid w:val="00165969"/>
    <w:rsid w:val="001706FB"/>
    <w:rsid w:val="001832A6"/>
    <w:rsid w:val="00186F6B"/>
    <w:rsid w:val="00196A7E"/>
    <w:rsid w:val="001A7ADA"/>
    <w:rsid w:val="001D0EAF"/>
    <w:rsid w:val="001D7119"/>
    <w:rsid w:val="001E6348"/>
    <w:rsid w:val="001F26A6"/>
    <w:rsid w:val="0020015D"/>
    <w:rsid w:val="002134BB"/>
    <w:rsid w:val="00232E15"/>
    <w:rsid w:val="002333B5"/>
    <w:rsid w:val="00240979"/>
    <w:rsid w:val="00247D80"/>
    <w:rsid w:val="002634C4"/>
    <w:rsid w:val="00271C1D"/>
    <w:rsid w:val="00275A1E"/>
    <w:rsid w:val="00285515"/>
    <w:rsid w:val="00294A04"/>
    <w:rsid w:val="00295121"/>
    <w:rsid w:val="002A769C"/>
    <w:rsid w:val="002C382E"/>
    <w:rsid w:val="002C3EBC"/>
    <w:rsid w:val="002D1D9D"/>
    <w:rsid w:val="002F0224"/>
    <w:rsid w:val="002F4E68"/>
    <w:rsid w:val="00305244"/>
    <w:rsid w:val="00330435"/>
    <w:rsid w:val="00336BFA"/>
    <w:rsid w:val="00336D60"/>
    <w:rsid w:val="00350E6E"/>
    <w:rsid w:val="00372293"/>
    <w:rsid w:val="00374125"/>
    <w:rsid w:val="003747F0"/>
    <w:rsid w:val="0037685E"/>
    <w:rsid w:val="00381018"/>
    <w:rsid w:val="003845C1"/>
    <w:rsid w:val="003967B5"/>
    <w:rsid w:val="003A4481"/>
    <w:rsid w:val="003A54A4"/>
    <w:rsid w:val="003D33B8"/>
    <w:rsid w:val="00413BAD"/>
    <w:rsid w:val="00423E3E"/>
    <w:rsid w:val="00427AF4"/>
    <w:rsid w:val="00433B42"/>
    <w:rsid w:val="00462841"/>
    <w:rsid w:val="004647DA"/>
    <w:rsid w:val="00477D6B"/>
    <w:rsid w:val="004D3E03"/>
    <w:rsid w:val="004E09F2"/>
    <w:rsid w:val="004E1F04"/>
    <w:rsid w:val="004F4D9B"/>
    <w:rsid w:val="004F6954"/>
    <w:rsid w:val="00502486"/>
    <w:rsid w:val="005114F8"/>
    <w:rsid w:val="00515B49"/>
    <w:rsid w:val="005266EF"/>
    <w:rsid w:val="0056341E"/>
    <w:rsid w:val="00580B82"/>
    <w:rsid w:val="00593E0B"/>
    <w:rsid w:val="005D7DE1"/>
    <w:rsid w:val="005F3550"/>
    <w:rsid w:val="00600253"/>
    <w:rsid w:val="00605827"/>
    <w:rsid w:val="0061214A"/>
    <w:rsid w:val="00641018"/>
    <w:rsid w:val="00667244"/>
    <w:rsid w:val="00670FC1"/>
    <w:rsid w:val="006957D1"/>
    <w:rsid w:val="006B451E"/>
    <w:rsid w:val="006E74F7"/>
    <w:rsid w:val="00723AC2"/>
    <w:rsid w:val="00734C7B"/>
    <w:rsid w:val="00760771"/>
    <w:rsid w:val="00773B14"/>
    <w:rsid w:val="00777E36"/>
    <w:rsid w:val="007805E1"/>
    <w:rsid w:val="007815FB"/>
    <w:rsid w:val="00785638"/>
    <w:rsid w:val="0079358D"/>
    <w:rsid w:val="007A0583"/>
    <w:rsid w:val="007A4F96"/>
    <w:rsid w:val="007B765D"/>
    <w:rsid w:val="007C3204"/>
    <w:rsid w:val="007C33C2"/>
    <w:rsid w:val="007F0D09"/>
    <w:rsid w:val="007F37D8"/>
    <w:rsid w:val="007F7028"/>
    <w:rsid w:val="008124BF"/>
    <w:rsid w:val="0083235A"/>
    <w:rsid w:val="00847763"/>
    <w:rsid w:val="008502FC"/>
    <w:rsid w:val="0088344D"/>
    <w:rsid w:val="0089487E"/>
    <w:rsid w:val="008A3809"/>
    <w:rsid w:val="008B2CC1"/>
    <w:rsid w:val="008C2202"/>
    <w:rsid w:val="008D4F22"/>
    <w:rsid w:val="008D7DF4"/>
    <w:rsid w:val="0090731E"/>
    <w:rsid w:val="0092478F"/>
    <w:rsid w:val="0094242C"/>
    <w:rsid w:val="00947A64"/>
    <w:rsid w:val="00966A22"/>
    <w:rsid w:val="00970F81"/>
    <w:rsid w:val="00971802"/>
    <w:rsid w:val="0099056A"/>
    <w:rsid w:val="009B5078"/>
    <w:rsid w:val="009D323F"/>
    <w:rsid w:val="009D4EB9"/>
    <w:rsid w:val="00A03F2F"/>
    <w:rsid w:val="00A045FA"/>
    <w:rsid w:val="00A07DF0"/>
    <w:rsid w:val="00A15915"/>
    <w:rsid w:val="00A16AEC"/>
    <w:rsid w:val="00A16CF4"/>
    <w:rsid w:val="00A274FD"/>
    <w:rsid w:val="00A8244E"/>
    <w:rsid w:val="00A84FDA"/>
    <w:rsid w:val="00AD3BC3"/>
    <w:rsid w:val="00AF2832"/>
    <w:rsid w:val="00B10152"/>
    <w:rsid w:val="00B22934"/>
    <w:rsid w:val="00B22F2A"/>
    <w:rsid w:val="00B50283"/>
    <w:rsid w:val="00B92E00"/>
    <w:rsid w:val="00B9553B"/>
    <w:rsid w:val="00BB72E1"/>
    <w:rsid w:val="00BC1884"/>
    <w:rsid w:val="00BD06DF"/>
    <w:rsid w:val="00BF0D54"/>
    <w:rsid w:val="00C321A1"/>
    <w:rsid w:val="00C73685"/>
    <w:rsid w:val="00C74FA0"/>
    <w:rsid w:val="00C766A2"/>
    <w:rsid w:val="00CA6941"/>
    <w:rsid w:val="00CD1584"/>
    <w:rsid w:val="00CD4881"/>
    <w:rsid w:val="00CE3156"/>
    <w:rsid w:val="00D00967"/>
    <w:rsid w:val="00D06674"/>
    <w:rsid w:val="00D23681"/>
    <w:rsid w:val="00D23FD9"/>
    <w:rsid w:val="00D37B61"/>
    <w:rsid w:val="00D638B8"/>
    <w:rsid w:val="00D65542"/>
    <w:rsid w:val="00D71B4D"/>
    <w:rsid w:val="00D80E09"/>
    <w:rsid w:val="00D842B4"/>
    <w:rsid w:val="00D9293C"/>
    <w:rsid w:val="00D93D55"/>
    <w:rsid w:val="00DB5A06"/>
    <w:rsid w:val="00DC5372"/>
    <w:rsid w:val="00DE5E0A"/>
    <w:rsid w:val="00E01F67"/>
    <w:rsid w:val="00E11476"/>
    <w:rsid w:val="00E247AF"/>
    <w:rsid w:val="00E43F46"/>
    <w:rsid w:val="00E54352"/>
    <w:rsid w:val="00E67059"/>
    <w:rsid w:val="00E75CE7"/>
    <w:rsid w:val="00E7794F"/>
    <w:rsid w:val="00E83444"/>
    <w:rsid w:val="00EA63C8"/>
    <w:rsid w:val="00EB27A5"/>
    <w:rsid w:val="00EB3D89"/>
    <w:rsid w:val="00EC563A"/>
    <w:rsid w:val="00F0134B"/>
    <w:rsid w:val="00F157C5"/>
    <w:rsid w:val="00F17B8D"/>
    <w:rsid w:val="00F4329C"/>
    <w:rsid w:val="00F66152"/>
    <w:rsid w:val="00F72EBC"/>
    <w:rsid w:val="00FB34D3"/>
    <w:rsid w:val="00FD1821"/>
    <w:rsid w:val="00FD257C"/>
    <w:rsid w:val="00FE0051"/>
    <w:rsid w:val="00FE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F68945E"/>
  <w15:docId w15:val="{10D8A2AE-C146-4DE1-8FAF-5A5FCC24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EBC"/>
    <w:rPr>
      <w:rFonts w:ascii="Arial" w:eastAsia="SimSun" w:hAnsi="Arial" w:cs="Arial"/>
      <w:sz w:val="22"/>
      <w:lang w:eastAsia="zh-CN"/>
    </w:rPr>
  </w:style>
  <w:style w:type="paragraph" w:styleId="Heading1">
    <w:name w:val="heading 1"/>
    <w:basedOn w:val="Normal"/>
    <w:next w:val="Normal"/>
    <w:qFormat/>
    <w:rsid w:val="002C3EBC"/>
    <w:pPr>
      <w:keepNext/>
      <w:spacing w:before="240" w:after="60"/>
      <w:outlineLvl w:val="0"/>
    </w:pPr>
    <w:rPr>
      <w:b/>
      <w:bCs/>
      <w:caps/>
      <w:kern w:val="32"/>
      <w:szCs w:val="32"/>
    </w:rPr>
  </w:style>
  <w:style w:type="paragraph" w:styleId="Heading2">
    <w:name w:val="heading 2"/>
    <w:basedOn w:val="Normal"/>
    <w:next w:val="Normal"/>
    <w:qFormat/>
    <w:rsid w:val="002C3EBC"/>
    <w:pPr>
      <w:keepNext/>
      <w:spacing w:before="240" w:after="60"/>
      <w:outlineLvl w:val="1"/>
    </w:pPr>
    <w:rPr>
      <w:bCs/>
      <w:iCs/>
      <w:caps/>
      <w:szCs w:val="28"/>
    </w:rPr>
  </w:style>
  <w:style w:type="paragraph" w:styleId="Heading3">
    <w:name w:val="heading 3"/>
    <w:basedOn w:val="Normal"/>
    <w:next w:val="Normal"/>
    <w:qFormat/>
    <w:rsid w:val="002C3EBC"/>
    <w:pPr>
      <w:keepNext/>
      <w:spacing w:before="240" w:after="60"/>
      <w:outlineLvl w:val="2"/>
    </w:pPr>
    <w:rPr>
      <w:bCs/>
      <w:szCs w:val="26"/>
      <w:u w:val="single"/>
    </w:rPr>
  </w:style>
  <w:style w:type="paragraph" w:styleId="Heading4">
    <w:name w:val="heading 4"/>
    <w:basedOn w:val="Normal"/>
    <w:next w:val="Normal"/>
    <w:qFormat/>
    <w:rsid w:val="002C3EB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3EBC"/>
    <w:pPr>
      <w:spacing w:after="220"/>
    </w:pPr>
  </w:style>
  <w:style w:type="paragraph" w:styleId="Caption">
    <w:name w:val="caption"/>
    <w:basedOn w:val="Normal"/>
    <w:next w:val="Normal"/>
    <w:qFormat/>
    <w:rsid w:val="002C3EBC"/>
    <w:rPr>
      <w:b/>
      <w:bCs/>
      <w:sz w:val="18"/>
    </w:rPr>
  </w:style>
  <w:style w:type="paragraph" w:styleId="CommentText">
    <w:name w:val="annotation text"/>
    <w:basedOn w:val="Normal"/>
    <w:link w:val="CommentTextChar"/>
    <w:uiPriority w:val="99"/>
    <w:semiHidden/>
    <w:rsid w:val="002C3EBC"/>
    <w:rPr>
      <w:sz w:val="18"/>
    </w:rPr>
  </w:style>
  <w:style w:type="paragraph" w:styleId="EndnoteText">
    <w:name w:val="endnote text"/>
    <w:basedOn w:val="Normal"/>
    <w:semiHidden/>
    <w:rsid w:val="002C3EBC"/>
    <w:rPr>
      <w:sz w:val="18"/>
    </w:rPr>
  </w:style>
  <w:style w:type="paragraph" w:styleId="Footer">
    <w:name w:val="footer"/>
    <w:basedOn w:val="Normal"/>
    <w:semiHidden/>
    <w:rsid w:val="002C3EBC"/>
    <w:pPr>
      <w:tabs>
        <w:tab w:val="center" w:pos="4320"/>
        <w:tab w:val="right" w:pos="8640"/>
      </w:tabs>
    </w:pPr>
  </w:style>
  <w:style w:type="paragraph" w:styleId="FootnoteText">
    <w:name w:val="footnote text"/>
    <w:basedOn w:val="Normal"/>
    <w:link w:val="FootnoteTextChar"/>
    <w:uiPriority w:val="99"/>
    <w:semiHidden/>
    <w:rsid w:val="002C3EBC"/>
    <w:rPr>
      <w:sz w:val="18"/>
    </w:rPr>
  </w:style>
  <w:style w:type="paragraph" w:customStyle="1" w:styleId="Endofdocument-Annex">
    <w:name w:val="[End of document - Annex]"/>
    <w:basedOn w:val="Normal"/>
    <w:rsid w:val="00E7794F"/>
    <w:pPr>
      <w:ind w:left="5534"/>
    </w:pPr>
  </w:style>
  <w:style w:type="paragraph" w:styleId="ListParagraph">
    <w:name w:val="List Paragraph"/>
    <w:basedOn w:val="Normal"/>
    <w:uiPriority w:val="34"/>
    <w:qFormat/>
    <w:rsid w:val="00E01F67"/>
    <w:pPr>
      <w:spacing w:after="200" w:line="276" w:lineRule="auto"/>
      <w:ind w:left="720"/>
      <w:contextualSpacing/>
    </w:pPr>
    <w:rPr>
      <w:rFonts w:ascii="Calibri" w:eastAsia="Calibri" w:hAnsi="Calibri" w:cs="Times New Roman"/>
      <w:szCs w:val="22"/>
      <w:lang w:eastAsia="en-US"/>
    </w:rPr>
  </w:style>
  <w:style w:type="paragraph" w:styleId="Header">
    <w:name w:val="header"/>
    <w:basedOn w:val="Normal"/>
    <w:semiHidden/>
    <w:rsid w:val="002C3EBC"/>
    <w:pPr>
      <w:tabs>
        <w:tab w:val="center" w:pos="4536"/>
        <w:tab w:val="right" w:pos="9072"/>
      </w:tabs>
    </w:pPr>
  </w:style>
  <w:style w:type="paragraph" w:styleId="ListNumber">
    <w:name w:val="List Number"/>
    <w:basedOn w:val="Normal"/>
    <w:semiHidden/>
    <w:rsid w:val="002C3EBC"/>
    <w:pPr>
      <w:numPr>
        <w:numId w:val="4"/>
      </w:numPr>
    </w:pPr>
  </w:style>
  <w:style w:type="paragraph" w:customStyle="1" w:styleId="ONUME">
    <w:name w:val="ONUM E"/>
    <w:basedOn w:val="BodyText"/>
    <w:rsid w:val="002C3EBC"/>
    <w:pPr>
      <w:numPr>
        <w:numId w:val="5"/>
      </w:numPr>
    </w:pPr>
  </w:style>
  <w:style w:type="paragraph" w:customStyle="1" w:styleId="ONUMFS">
    <w:name w:val="ONUM FS"/>
    <w:basedOn w:val="BodyText"/>
    <w:rsid w:val="002C3EBC"/>
    <w:pPr>
      <w:numPr>
        <w:numId w:val="6"/>
      </w:numPr>
    </w:pPr>
  </w:style>
  <w:style w:type="paragraph" w:styleId="Salutation">
    <w:name w:val="Salutation"/>
    <w:basedOn w:val="Normal"/>
    <w:next w:val="Normal"/>
    <w:semiHidden/>
    <w:rsid w:val="002C3EBC"/>
  </w:style>
  <w:style w:type="paragraph" w:styleId="Signature">
    <w:name w:val="Signature"/>
    <w:basedOn w:val="Normal"/>
    <w:semiHidden/>
    <w:rsid w:val="002C3EBC"/>
    <w:pPr>
      <w:ind w:left="5250"/>
    </w:pPr>
  </w:style>
  <w:style w:type="paragraph" w:styleId="BalloonText">
    <w:name w:val="Balloon Text"/>
    <w:basedOn w:val="Normal"/>
    <w:link w:val="BalloonTextChar"/>
    <w:rsid w:val="0056341E"/>
    <w:rPr>
      <w:rFonts w:ascii="Tahoma" w:hAnsi="Tahoma" w:cs="Tahoma"/>
      <w:sz w:val="16"/>
      <w:szCs w:val="16"/>
    </w:rPr>
  </w:style>
  <w:style w:type="character" w:customStyle="1" w:styleId="BalloonTextChar">
    <w:name w:val="Balloon Text Char"/>
    <w:basedOn w:val="DefaultParagraphFont"/>
    <w:link w:val="BalloonText"/>
    <w:rsid w:val="0056341E"/>
    <w:rPr>
      <w:rFonts w:ascii="Tahoma" w:eastAsia="SimSun" w:hAnsi="Tahoma" w:cs="Tahoma"/>
      <w:sz w:val="16"/>
      <w:szCs w:val="16"/>
      <w:lang w:eastAsia="zh-CN"/>
    </w:rPr>
  </w:style>
  <w:style w:type="character" w:styleId="Hyperlink">
    <w:name w:val="Hyperlink"/>
    <w:basedOn w:val="DefaultParagraphFont"/>
    <w:uiPriority w:val="99"/>
    <w:rsid w:val="0079358D"/>
    <w:rPr>
      <w:color w:val="0000FF" w:themeColor="hyperlink"/>
      <w:u w:val="single"/>
    </w:rPr>
  </w:style>
  <w:style w:type="character" w:styleId="CommentReference">
    <w:name w:val="annotation reference"/>
    <w:basedOn w:val="DefaultParagraphFont"/>
    <w:uiPriority w:val="99"/>
    <w:rsid w:val="00D9293C"/>
    <w:rPr>
      <w:sz w:val="16"/>
      <w:szCs w:val="16"/>
    </w:rPr>
  </w:style>
  <w:style w:type="paragraph" w:styleId="CommentSubject">
    <w:name w:val="annotation subject"/>
    <w:basedOn w:val="CommentText"/>
    <w:next w:val="CommentText"/>
    <w:link w:val="CommentSubjectChar"/>
    <w:rsid w:val="00D9293C"/>
    <w:rPr>
      <w:b/>
      <w:bCs/>
      <w:sz w:val="20"/>
    </w:rPr>
  </w:style>
  <w:style w:type="character" w:customStyle="1" w:styleId="CommentTextChar">
    <w:name w:val="Comment Text Char"/>
    <w:basedOn w:val="DefaultParagraphFont"/>
    <w:link w:val="CommentText"/>
    <w:uiPriority w:val="99"/>
    <w:semiHidden/>
    <w:rsid w:val="00D9293C"/>
    <w:rPr>
      <w:rFonts w:ascii="Arial" w:eastAsia="SimSun" w:hAnsi="Arial" w:cs="Arial"/>
      <w:sz w:val="18"/>
      <w:lang w:eastAsia="zh-CN"/>
    </w:rPr>
  </w:style>
  <w:style w:type="character" w:customStyle="1" w:styleId="CommentSubjectChar">
    <w:name w:val="Comment Subject Char"/>
    <w:basedOn w:val="CommentTextChar"/>
    <w:link w:val="CommentSubject"/>
    <w:rsid w:val="00D9293C"/>
    <w:rPr>
      <w:rFonts w:ascii="Arial" w:eastAsia="SimSun" w:hAnsi="Arial" w:cs="Arial"/>
      <w:b/>
      <w:bCs/>
      <w:sz w:val="18"/>
      <w:lang w:eastAsia="zh-CN"/>
    </w:rPr>
  </w:style>
  <w:style w:type="table" w:styleId="TableGrid">
    <w:name w:val="Table Grid"/>
    <w:basedOn w:val="TableNormal"/>
    <w:rsid w:val="003A5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A6941"/>
    <w:rPr>
      <w:color w:val="800080" w:themeColor="followedHyperlink"/>
      <w:u w:val="single"/>
    </w:rPr>
  </w:style>
  <w:style w:type="paragraph" w:styleId="Subtitle">
    <w:name w:val="Subtitle"/>
    <w:basedOn w:val="Normal"/>
    <w:next w:val="Normal"/>
    <w:link w:val="SubtitleChar"/>
    <w:uiPriority w:val="11"/>
    <w:qFormat/>
    <w:rsid w:val="00580B82"/>
    <w:pPr>
      <w:numPr>
        <w:ilvl w:val="1"/>
      </w:numPr>
      <w:spacing w:after="160" w:line="259" w:lineRule="auto"/>
    </w:pPr>
    <w:rPr>
      <w:rFonts w:asciiTheme="minorHAnsi" w:eastAsiaTheme="minorEastAsia" w:hAnsiTheme="minorHAnsi" w:cstheme="minorBidi"/>
      <w:color w:val="5A5A5A" w:themeColor="text1" w:themeTint="A5"/>
      <w:spacing w:val="15"/>
      <w:szCs w:val="22"/>
      <w:lang w:val="en-CA" w:eastAsia="en-US"/>
    </w:rPr>
  </w:style>
  <w:style w:type="character" w:customStyle="1" w:styleId="SubtitleChar">
    <w:name w:val="Subtitle Char"/>
    <w:basedOn w:val="DefaultParagraphFont"/>
    <w:link w:val="Subtitle"/>
    <w:uiPriority w:val="11"/>
    <w:rsid w:val="00580B82"/>
    <w:rPr>
      <w:rFonts w:asciiTheme="minorHAnsi" w:eastAsiaTheme="minorEastAsia" w:hAnsiTheme="minorHAnsi" w:cstheme="minorBidi"/>
      <w:color w:val="5A5A5A" w:themeColor="text1" w:themeTint="A5"/>
      <w:spacing w:val="15"/>
      <w:sz w:val="22"/>
      <w:szCs w:val="22"/>
      <w:lang w:val="en-CA"/>
    </w:rPr>
  </w:style>
  <w:style w:type="character" w:customStyle="1" w:styleId="kfqej">
    <w:name w:val="kfqej"/>
    <w:basedOn w:val="DefaultParagraphFont"/>
    <w:rsid w:val="006957D1"/>
  </w:style>
  <w:style w:type="character" w:customStyle="1" w:styleId="big1">
    <w:name w:val="big1"/>
    <w:basedOn w:val="DefaultParagraphFont"/>
    <w:rsid w:val="006957D1"/>
    <w:rPr>
      <w:sz w:val="26"/>
      <w:szCs w:val="26"/>
    </w:rPr>
  </w:style>
  <w:style w:type="character" w:customStyle="1" w:styleId="ilfuvd">
    <w:name w:val="ilfuvd"/>
    <w:basedOn w:val="DefaultParagraphFont"/>
    <w:rsid w:val="00E67059"/>
  </w:style>
  <w:style w:type="character" w:styleId="Strong">
    <w:name w:val="Strong"/>
    <w:basedOn w:val="DefaultParagraphFont"/>
    <w:uiPriority w:val="22"/>
    <w:qFormat/>
    <w:rsid w:val="00D80E09"/>
    <w:rPr>
      <w:b/>
      <w:bCs/>
    </w:rPr>
  </w:style>
  <w:style w:type="character" w:customStyle="1" w:styleId="FootnoteTextChar">
    <w:name w:val="Footnote Text Char"/>
    <w:basedOn w:val="DefaultParagraphFont"/>
    <w:link w:val="FootnoteText"/>
    <w:uiPriority w:val="99"/>
    <w:semiHidden/>
    <w:rsid w:val="001432A2"/>
    <w:rPr>
      <w:rFonts w:ascii="Arial" w:eastAsia="SimSun" w:hAnsi="Arial" w:cs="Arial"/>
      <w:sz w:val="18"/>
      <w:lang w:eastAsia="zh-CN"/>
    </w:rPr>
  </w:style>
  <w:style w:type="character" w:styleId="FootnoteReference">
    <w:name w:val="footnote reference"/>
    <w:basedOn w:val="DefaultParagraphFont"/>
    <w:uiPriority w:val="99"/>
    <w:semiHidden/>
    <w:unhideWhenUsed/>
    <w:rsid w:val="00143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954">
      <w:bodyDiv w:val="1"/>
      <w:marLeft w:val="0"/>
      <w:marRight w:val="0"/>
      <w:marTop w:val="0"/>
      <w:marBottom w:val="0"/>
      <w:divBdr>
        <w:top w:val="none" w:sz="0" w:space="0" w:color="auto"/>
        <w:left w:val="none" w:sz="0" w:space="0" w:color="auto"/>
        <w:bottom w:val="none" w:sz="0" w:space="0" w:color="auto"/>
        <w:right w:val="none" w:sz="0" w:space="0" w:color="auto"/>
      </w:divBdr>
    </w:div>
    <w:div w:id="1078597225">
      <w:bodyDiv w:val="1"/>
      <w:marLeft w:val="0"/>
      <w:marRight w:val="0"/>
      <w:marTop w:val="0"/>
      <w:marBottom w:val="0"/>
      <w:divBdr>
        <w:top w:val="none" w:sz="0" w:space="0" w:color="auto"/>
        <w:left w:val="none" w:sz="0" w:space="0" w:color="auto"/>
        <w:bottom w:val="none" w:sz="0" w:space="0" w:color="auto"/>
        <w:right w:val="none" w:sz="0" w:space="0" w:color="auto"/>
      </w:divBdr>
    </w:div>
    <w:div w:id="1425611298">
      <w:bodyDiv w:val="1"/>
      <w:marLeft w:val="0"/>
      <w:marRight w:val="0"/>
      <w:marTop w:val="0"/>
      <w:marBottom w:val="0"/>
      <w:divBdr>
        <w:top w:val="none" w:sz="0" w:space="0" w:color="auto"/>
        <w:left w:val="none" w:sz="0" w:space="0" w:color="auto"/>
        <w:bottom w:val="none" w:sz="0" w:space="0" w:color="auto"/>
        <w:right w:val="none" w:sz="0" w:space="0" w:color="auto"/>
      </w:divBdr>
    </w:div>
    <w:div w:id="1934196505">
      <w:bodyDiv w:val="1"/>
      <w:marLeft w:val="0"/>
      <w:marRight w:val="0"/>
      <w:marTop w:val="0"/>
      <w:marBottom w:val="0"/>
      <w:divBdr>
        <w:top w:val="none" w:sz="0" w:space="0" w:color="auto"/>
        <w:left w:val="none" w:sz="0" w:space="0" w:color="auto"/>
        <w:bottom w:val="none" w:sz="0" w:space="0" w:color="auto"/>
        <w:right w:val="none" w:sz="0" w:space="0" w:color="auto"/>
      </w:divBdr>
      <w:divsChild>
        <w:div w:id="787433310">
          <w:marLeft w:val="0"/>
          <w:marRight w:val="0"/>
          <w:marTop w:val="0"/>
          <w:marBottom w:val="0"/>
          <w:divBdr>
            <w:top w:val="none" w:sz="0" w:space="0" w:color="auto"/>
            <w:left w:val="none" w:sz="0" w:space="0" w:color="auto"/>
            <w:bottom w:val="none" w:sz="0" w:space="0" w:color="auto"/>
            <w:right w:val="none" w:sz="0" w:space="0" w:color="auto"/>
          </w:divBdr>
          <w:divsChild>
            <w:div w:id="80611663">
              <w:marLeft w:val="0"/>
              <w:marRight w:val="0"/>
              <w:marTop w:val="0"/>
              <w:marBottom w:val="0"/>
              <w:divBdr>
                <w:top w:val="none" w:sz="0" w:space="0" w:color="auto"/>
                <w:left w:val="none" w:sz="0" w:space="0" w:color="auto"/>
                <w:bottom w:val="none" w:sz="0" w:space="0" w:color="auto"/>
                <w:right w:val="none" w:sz="0" w:space="0" w:color="auto"/>
              </w:divBdr>
              <w:divsChild>
                <w:div w:id="2136439987">
                  <w:marLeft w:val="0"/>
                  <w:marRight w:val="0"/>
                  <w:marTop w:val="0"/>
                  <w:marBottom w:val="0"/>
                  <w:divBdr>
                    <w:top w:val="none" w:sz="0" w:space="0" w:color="auto"/>
                    <w:left w:val="none" w:sz="0" w:space="0" w:color="auto"/>
                    <w:bottom w:val="none" w:sz="0" w:space="0" w:color="auto"/>
                    <w:right w:val="none" w:sz="0" w:space="0" w:color="auto"/>
                  </w:divBdr>
                  <w:divsChild>
                    <w:div w:id="856963903">
                      <w:marLeft w:val="0"/>
                      <w:marRight w:val="0"/>
                      <w:marTop w:val="0"/>
                      <w:marBottom w:val="0"/>
                      <w:divBdr>
                        <w:top w:val="none" w:sz="0" w:space="0" w:color="auto"/>
                        <w:left w:val="none" w:sz="0" w:space="0" w:color="auto"/>
                        <w:bottom w:val="none" w:sz="0" w:space="0" w:color="auto"/>
                        <w:right w:val="none" w:sz="0" w:space="0" w:color="auto"/>
                      </w:divBdr>
                      <w:divsChild>
                        <w:div w:id="440027509">
                          <w:marLeft w:val="-225"/>
                          <w:marRight w:val="-225"/>
                          <w:marTop w:val="0"/>
                          <w:marBottom w:val="0"/>
                          <w:divBdr>
                            <w:top w:val="none" w:sz="0" w:space="0" w:color="auto"/>
                            <w:left w:val="none" w:sz="0" w:space="0" w:color="auto"/>
                            <w:bottom w:val="none" w:sz="0" w:space="0" w:color="auto"/>
                            <w:right w:val="none" w:sz="0" w:space="0" w:color="auto"/>
                          </w:divBdr>
                          <w:divsChild>
                            <w:div w:id="914318877">
                              <w:marLeft w:val="0"/>
                              <w:marRight w:val="0"/>
                              <w:marTop w:val="0"/>
                              <w:marBottom w:val="0"/>
                              <w:divBdr>
                                <w:top w:val="none" w:sz="0" w:space="0" w:color="auto"/>
                                <w:left w:val="none" w:sz="0" w:space="0" w:color="auto"/>
                                <w:bottom w:val="none" w:sz="0" w:space="0" w:color="auto"/>
                                <w:right w:val="none" w:sz="0" w:space="0" w:color="auto"/>
                              </w:divBdr>
                              <w:divsChild>
                                <w:div w:id="223218390">
                                  <w:marLeft w:val="0"/>
                                  <w:marRight w:val="0"/>
                                  <w:marTop w:val="0"/>
                                  <w:marBottom w:val="0"/>
                                  <w:divBdr>
                                    <w:top w:val="none" w:sz="0" w:space="0" w:color="auto"/>
                                    <w:left w:val="none" w:sz="0" w:space="0" w:color="auto"/>
                                    <w:bottom w:val="none" w:sz="0" w:space="0" w:color="auto"/>
                                    <w:right w:val="none" w:sz="0" w:space="0" w:color="auto"/>
                                  </w:divBdr>
                                  <w:divsChild>
                                    <w:div w:id="1184054350">
                                      <w:marLeft w:val="0"/>
                                      <w:marRight w:val="0"/>
                                      <w:marTop w:val="0"/>
                                      <w:marBottom w:val="0"/>
                                      <w:divBdr>
                                        <w:top w:val="none" w:sz="0" w:space="0" w:color="auto"/>
                                        <w:left w:val="none" w:sz="0" w:space="0" w:color="auto"/>
                                        <w:bottom w:val="none" w:sz="0" w:space="0" w:color="auto"/>
                                        <w:right w:val="none" w:sz="0" w:space="0" w:color="auto"/>
                                      </w:divBdr>
                                      <w:divsChild>
                                        <w:div w:id="1607930119">
                                          <w:marLeft w:val="0"/>
                                          <w:marRight w:val="0"/>
                                          <w:marTop w:val="0"/>
                                          <w:marBottom w:val="0"/>
                                          <w:divBdr>
                                            <w:top w:val="none" w:sz="0" w:space="0" w:color="auto"/>
                                            <w:left w:val="none" w:sz="0" w:space="0" w:color="auto"/>
                                            <w:bottom w:val="none" w:sz="0" w:space="0" w:color="auto"/>
                                            <w:right w:val="none" w:sz="0" w:space="0" w:color="auto"/>
                                          </w:divBdr>
                                          <w:divsChild>
                                            <w:div w:id="1323779199">
                                              <w:marLeft w:val="0"/>
                                              <w:marRight w:val="0"/>
                                              <w:marTop w:val="0"/>
                                              <w:marBottom w:val="0"/>
                                              <w:divBdr>
                                                <w:top w:val="none" w:sz="0" w:space="0" w:color="auto"/>
                                                <w:left w:val="none" w:sz="0" w:space="0" w:color="auto"/>
                                                <w:bottom w:val="none" w:sz="0" w:space="0" w:color="auto"/>
                                                <w:right w:val="none" w:sz="0" w:space="0" w:color="auto"/>
                                              </w:divBdr>
                                              <w:divsChild>
                                                <w:div w:id="93325545">
                                                  <w:marLeft w:val="0"/>
                                                  <w:marRight w:val="0"/>
                                                  <w:marTop w:val="0"/>
                                                  <w:marBottom w:val="0"/>
                                                  <w:divBdr>
                                                    <w:top w:val="none" w:sz="0" w:space="0" w:color="auto"/>
                                                    <w:left w:val="none" w:sz="0" w:space="0" w:color="auto"/>
                                                    <w:bottom w:val="none" w:sz="0" w:space="0" w:color="auto"/>
                                                    <w:right w:val="none" w:sz="0" w:space="0" w:color="auto"/>
                                                  </w:divBdr>
                                                  <w:divsChild>
                                                    <w:div w:id="1536843966">
                                                      <w:marLeft w:val="0"/>
                                                      <w:marRight w:val="0"/>
                                                      <w:marTop w:val="0"/>
                                                      <w:marBottom w:val="0"/>
                                                      <w:divBdr>
                                                        <w:top w:val="none" w:sz="0" w:space="0" w:color="auto"/>
                                                        <w:left w:val="none" w:sz="0" w:space="0" w:color="auto"/>
                                                        <w:bottom w:val="none" w:sz="0" w:space="0" w:color="auto"/>
                                                        <w:right w:val="none" w:sz="0" w:space="0" w:color="auto"/>
                                                      </w:divBdr>
                                                      <w:divsChild>
                                                        <w:div w:id="1596984196">
                                                          <w:marLeft w:val="0"/>
                                                          <w:marRight w:val="0"/>
                                                          <w:marTop w:val="0"/>
                                                          <w:marBottom w:val="0"/>
                                                          <w:divBdr>
                                                            <w:top w:val="none" w:sz="0" w:space="0" w:color="auto"/>
                                                            <w:left w:val="none" w:sz="0" w:space="0" w:color="auto"/>
                                                            <w:bottom w:val="none" w:sz="0" w:space="0" w:color="auto"/>
                                                            <w:right w:val="none" w:sz="0" w:space="0" w:color="auto"/>
                                                          </w:divBdr>
                                                          <w:divsChild>
                                                            <w:div w:id="1837262581">
                                                              <w:marLeft w:val="0"/>
                                                              <w:marRight w:val="0"/>
                                                              <w:marTop w:val="0"/>
                                                              <w:marBottom w:val="0"/>
                                                              <w:divBdr>
                                                                <w:top w:val="none" w:sz="0" w:space="0" w:color="auto"/>
                                                                <w:left w:val="none" w:sz="0" w:space="0" w:color="auto"/>
                                                                <w:bottom w:val="none" w:sz="0" w:space="0" w:color="auto"/>
                                                                <w:right w:val="none" w:sz="0" w:space="0" w:color="auto"/>
                                                              </w:divBdr>
                                                              <w:divsChild>
                                                                <w:div w:id="248735460">
                                                                  <w:marLeft w:val="0"/>
                                                                  <w:marRight w:val="0"/>
                                                                  <w:marTop w:val="0"/>
                                                                  <w:marBottom w:val="0"/>
                                                                  <w:divBdr>
                                                                    <w:top w:val="none" w:sz="0" w:space="0" w:color="auto"/>
                                                                    <w:left w:val="none" w:sz="0" w:space="0" w:color="auto"/>
                                                                    <w:bottom w:val="none" w:sz="0" w:space="0" w:color="auto"/>
                                                                    <w:right w:val="none" w:sz="0" w:space="0" w:color="auto"/>
                                                                  </w:divBdr>
                                                                  <w:divsChild>
                                                                    <w:div w:id="53705420">
                                                                      <w:marLeft w:val="0"/>
                                                                      <w:marRight w:val="0"/>
                                                                      <w:marTop w:val="0"/>
                                                                      <w:marBottom w:val="0"/>
                                                                      <w:divBdr>
                                                                        <w:top w:val="none" w:sz="0" w:space="0" w:color="auto"/>
                                                                        <w:left w:val="none" w:sz="0" w:space="0" w:color="auto"/>
                                                                        <w:bottom w:val="none" w:sz="0" w:space="0" w:color="auto"/>
                                                                        <w:right w:val="none" w:sz="0" w:space="0" w:color="auto"/>
                                                                      </w:divBdr>
                                                                      <w:divsChild>
                                                                        <w:div w:id="1140999500">
                                                                          <w:marLeft w:val="0"/>
                                                                          <w:marRight w:val="0"/>
                                                                          <w:marTop w:val="0"/>
                                                                          <w:marBottom w:val="0"/>
                                                                          <w:divBdr>
                                                                            <w:top w:val="none" w:sz="0" w:space="0" w:color="auto"/>
                                                                            <w:left w:val="none" w:sz="0" w:space="0" w:color="auto"/>
                                                                            <w:bottom w:val="none" w:sz="0" w:space="0" w:color="auto"/>
                                                                            <w:right w:val="none" w:sz="0" w:space="0" w:color="auto"/>
                                                                          </w:divBdr>
                                                                          <w:divsChild>
                                                                            <w:div w:id="1791974278">
                                                                              <w:marLeft w:val="0"/>
                                                                              <w:marRight w:val="0"/>
                                                                              <w:marTop w:val="0"/>
                                                                              <w:marBottom w:val="0"/>
                                                                              <w:divBdr>
                                                                                <w:top w:val="none" w:sz="0" w:space="0" w:color="auto"/>
                                                                                <w:left w:val="none" w:sz="0" w:space="0" w:color="auto"/>
                                                                                <w:bottom w:val="none" w:sz="0" w:space="0" w:color="auto"/>
                                                                                <w:right w:val="none" w:sz="0" w:space="0" w:color="auto"/>
                                                                              </w:divBdr>
                                                                              <w:divsChild>
                                                                                <w:div w:id="15665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934249">
      <w:bodyDiv w:val="1"/>
      <w:marLeft w:val="0"/>
      <w:marRight w:val="0"/>
      <w:marTop w:val="0"/>
      <w:marBottom w:val="0"/>
      <w:divBdr>
        <w:top w:val="none" w:sz="0" w:space="0" w:color="auto"/>
        <w:left w:val="none" w:sz="0" w:space="0" w:color="auto"/>
        <w:bottom w:val="none" w:sz="0" w:space="0" w:color="auto"/>
        <w:right w:val="none" w:sz="0" w:space="0" w:color="auto"/>
      </w:divBdr>
      <w:divsChild>
        <w:div w:id="38936932">
          <w:marLeft w:val="0"/>
          <w:marRight w:val="0"/>
          <w:marTop w:val="0"/>
          <w:marBottom w:val="0"/>
          <w:divBdr>
            <w:top w:val="none" w:sz="0" w:space="0" w:color="auto"/>
            <w:left w:val="none" w:sz="0" w:space="0" w:color="auto"/>
            <w:bottom w:val="none" w:sz="0" w:space="0" w:color="auto"/>
            <w:right w:val="none" w:sz="0" w:space="0" w:color="auto"/>
          </w:divBdr>
          <w:divsChild>
            <w:div w:id="734006937">
              <w:marLeft w:val="0"/>
              <w:marRight w:val="0"/>
              <w:marTop w:val="0"/>
              <w:marBottom w:val="0"/>
              <w:divBdr>
                <w:top w:val="none" w:sz="0" w:space="0" w:color="auto"/>
                <w:left w:val="none" w:sz="0" w:space="0" w:color="auto"/>
                <w:bottom w:val="none" w:sz="0" w:space="0" w:color="auto"/>
                <w:right w:val="none" w:sz="0" w:space="0" w:color="auto"/>
              </w:divBdr>
              <w:divsChild>
                <w:div w:id="859859109">
                  <w:marLeft w:val="-225"/>
                  <w:marRight w:val="-225"/>
                  <w:marTop w:val="0"/>
                  <w:marBottom w:val="0"/>
                  <w:divBdr>
                    <w:top w:val="none" w:sz="0" w:space="0" w:color="auto"/>
                    <w:left w:val="none" w:sz="0" w:space="0" w:color="auto"/>
                    <w:bottom w:val="none" w:sz="0" w:space="0" w:color="auto"/>
                    <w:right w:val="none" w:sz="0" w:space="0" w:color="auto"/>
                  </w:divBdr>
                  <w:divsChild>
                    <w:div w:id="680156675">
                      <w:marLeft w:val="0"/>
                      <w:marRight w:val="0"/>
                      <w:marTop w:val="0"/>
                      <w:marBottom w:val="0"/>
                      <w:divBdr>
                        <w:top w:val="none" w:sz="0" w:space="0" w:color="auto"/>
                        <w:left w:val="none" w:sz="0" w:space="0" w:color="auto"/>
                        <w:bottom w:val="none" w:sz="0" w:space="0" w:color="auto"/>
                        <w:right w:val="none" w:sz="0" w:space="0" w:color="auto"/>
                      </w:divBdr>
                      <w:divsChild>
                        <w:div w:id="16527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pubdocs/en/wipo_pub_tk_5.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pubdocs/en/wipo_pub_tk_2.pdf" TargetMode="External"/><Relationship Id="rId17" Type="http://schemas.openxmlformats.org/officeDocument/2006/relationships/hyperlink" Target="https://www.wipo.int/edocs/pubdocs/en/wipo_pub_1048.pdf" TargetMode="External"/><Relationship Id="rId2" Type="http://schemas.openxmlformats.org/officeDocument/2006/relationships/numbering" Target="numbering.xml"/><Relationship Id="rId16" Type="http://schemas.openxmlformats.org/officeDocument/2006/relationships/hyperlink" Target="https://www.wipo.int/edocs/pubdocs/en/tk/933/wipo_pub_93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pubdocs/en/wipo_pub_tk_1.pdf" TargetMode="External"/><Relationship Id="rId5" Type="http://schemas.openxmlformats.org/officeDocument/2006/relationships/webSettings" Target="webSettings.xml"/><Relationship Id="rId15" Type="http://schemas.openxmlformats.org/officeDocument/2006/relationships/hyperlink" Target="https://www.wipo.int/publications/en/details.jsp?id=4371" TargetMode="External"/><Relationship Id="rId10" Type="http://schemas.openxmlformats.org/officeDocument/2006/relationships/hyperlink" Target="https://www.wipo.int/publications/en/details.jsp?id=43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wipo.int/edocs/pubdocs/en/wipo_pub_10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60EA0-201D-4BDA-8D96-72D94BA2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73CA2E4F</Template>
  <TotalTime>95</TotalTime>
  <Pages>5</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ZOGRAFOS JOHNSSON Daphné</cp:lastModifiedBy>
  <cp:revision>19</cp:revision>
  <cp:lastPrinted>2019-05-07T12:40:00Z</cp:lastPrinted>
  <dcterms:created xsi:type="dcterms:W3CDTF">2019-05-06T13:17:00Z</dcterms:created>
  <dcterms:modified xsi:type="dcterms:W3CDTF">2019-06-06T15:13:00Z</dcterms:modified>
</cp:coreProperties>
</file>