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5E76A8CE" w14:textId="77777777" w:rsidTr="00361450">
        <w:tc>
          <w:tcPr>
            <w:tcW w:w="4513" w:type="dxa"/>
            <w:tcBorders>
              <w:bottom w:val="single" w:sz="4" w:space="0" w:color="auto"/>
            </w:tcBorders>
            <w:tcMar>
              <w:bottom w:w="170" w:type="dxa"/>
            </w:tcMar>
          </w:tcPr>
          <w:p w14:paraId="39B47CD4"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5C25AA2E" w14:textId="77777777" w:rsidR="00EC4E49" w:rsidRPr="008B2CC1" w:rsidRDefault="00A37342" w:rsidP="00916EE2">
            <w:r>
              <w:rPr>
                <w:noProof/>
                <w:lang w:eastAsia="en-US"/>
              </w:rPr>
              <w:drawing>
                <wp:inline distT="0" distB="0" distL="0" distR="0" wp14:anchorId="170C6C96" wp14:editId="52AE719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BFE8665" w14:textId="77777777" w:rsidR="00EC4E49" w:rsidRPr="008B2CC1" w:rsidRDefault="00EC4E49" w:rsidP="00916EE2">
            <w:pPr>
              <w:jc w:val="right"/>
            </w:pPr>
            <w:r w:rsidRPr="00605827">
              <w:rPr>
                <w:b/>
                <w:sz w:val="40"/>
                <w:szCs w:val="40"/>
              </w:rPr>
              <w:t>E</w:t>
            </w:r>
          </w:p>
        </w:tc>
      </w:tr>
      <w:tr w:rsidR="008B2CC1" w:rsidRPr="001832A6" w14:paraId="180B562C"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936D80E" w14:textId="692E09BF" w:rsidR="008B2CC1" w:rsidRPr="0090731E" w:rsidRDefault="007C48E8" w:rsidP="00CD49DE">
            <w:pPr>
              <w:jc w:val="right"/>
              <w:rPr>
                <w:rFonts w:ascii="Arial Black" w:hAnsi="Arial Black"/>
                <w:caps/>
                <w:sz w:val="15"/>
              </w:rPr>
            </w:pPr>
            <w:bookmarkStart w:id="1" w:name="Code"/>
            <w:bookmarkEnd w:id="1"/>
            <w:r w:rsidRPr="007E0693">
              <w:rPr>
                <w:rFonts w:ascii="Arial Black" w:hAnsi="Arial Black"/>
                <w:caps/>
                <w:sz w:val="15"/>
              </w:rPr>
              <w:t>WIPO/</w:t>
            </w:r>
            <w:r w:rsidR="00CD49DE" w:rsidRPr="007E0693">
              <w:rPr>
                <w:rFonts w:ascii="Arial Black" w:hAnsi="Arial Black"/>
                <w:caps/>
                <w:sz w:val="15"/>
              </w:rPr>
              <w:t>IPTK</w:t>
            </w:r>
            <w:r w:rsidR="004663FC">
              <w:rPr>
                <w:rFonts w:ascii="Arial Black" w:hAnsi="Arial Black"/>
                <w:caps/>
                <w:sz w:val="15"/>
              </w:rPr>
              <w:t>-tces</w:t>
            </w:r>
            <w:r w:rsidR="001662C2">
              <w:rPr>
                <w:rFonts w:ascii="Arial Black" w:hAnsi="Arial Black"/>
                <w:caps/>
                <w:sz w:val="15"/>
              </w:rPr>
              <w:t>/GE/23</w:t>
            </w:r>
            <w:r w:rsidR="00CD49DE" w:rsidRPr="007E0693">
              <w:rPr>
                <w:rFonts w:ascii="Arial Black" w:hAnsi="Arial Black"/>
                <w:caps/>
                <w:sz w:val="15"/>
              </w:rPr>
              <w:t>/2</w:t>
            </w:r>
          </w:p>
        </w:tc>
      </w:tr>
      <w:tr w:rsidR="008B2CC1" w:rsidRPr="001832A6" w14:paraId="3A5EE63E" w14:textId="77777777" w:rsidTr="00916EE2">
        <w:trPr>
          <w:trHeight w:hRule="exact" w:val="170"/>
        </w:trPr>
        <w:tc>
          <w:tcPr>
            <w:tcW w:w="9356" w:type="dxa"/>
            <w:gridSpan w:val="3"/>
            <w:noWrap/>
            <w:tcMar>
              <w:left w:w="0" w:type="dxa"/>
              <w:right w:w="0" w:type="dxa"/>
            </w:tcMar>
            <w:vAlign w:val="bottom"/>
          </w:tcPr>
          <w:p w14:paraId="05F59B99"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0D4BD5">
              <w:rPr>
                <w:rFonts w:ascii="Arial Black" w:hAnsi="Arial Black"/>
                <w:caps/>
                <w:sz w:val="15"/>
              </w:rPr>
              <w:t>English</w:t>
            </w:r>
            <w:r w:rsidRPr="0090731E">
              <w:rPr>
                <w:rFonts w:ascii="Arial Black" w:hAnsi="Arial Black"/>
                <w:caps/>
                <w:sz w:val="15"/>
              </w:rPr>
              <w:t xml:space="preserve"> </w:t>
            </w:r>
          </w:p>
        </w:tc>
      </w:tr>
      <w:tr w:rsidR="008B2CC1" w:rsidRPr="001832A6" w14:paraId="39C2EBFA" w14:textId="77777777" w:rsidTr="00916EE2">
        <w:trPr>
          <w:trHeight w:hRule="exact" w:val="198"/>
        </w:trPr>
        <w:tc>
          <w:tcPr>
            <w:tcW w:w="9356" w:type="dxa"/>
            <w:gridSpan w:val="3"/>
            <w:tcMar>
              <w:left w:w="0" w:type="dxa"/>
              <w:right w:w="0" w:type="dxa"/>
            </w:tcMar>
            <w:vAlign w:val="bottom"/>
          </w:tcPr>
          <w:p w14:paraId="65B3B210" w14:textId="5183F5C4" w:rsidR="008B2CC1" w:rsidRPr="0090731E" w:rsidRDefault="008B2CC1" w:rsidP="001662C2">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1662C2">
              <w:rPr>
                <w:rFonts w:ascii="Arial Black" w:hAnsi="Arial Black"/>
                <w:caps/>
                <w:sz w:val="15"/>
              </w:rPr>
              <w:t>February 8, 2023</w:t>
            </w:r>
            <w:r w:rsidRPr="0090731E">
              <w:rPr>
                <w:rFonts w:ascii="Arial Black" w:hAnsi="Arial Black"/>
                <w:caps/>
                <w:sz w:val="15"/>
              </w:rPr>
              <w:t xml:space="preserve"> </w:t>
            </w:r>
          </w:p>
        </w:tc>
      </w:tr>
    </w:tbl>
    <w:p w14:paraId="05E39956" w14:textId="77777777" w:rsidR="008B2CC1" w:rsidRPr="008B2CC1" w:rsidRDefault="008B2CC1" w:rsidP="008B2CC1"/>
    <w:p w14:paraId="077E1E9C" w14:textId="77777777" w:rsidR="008B2CC1" w:rsidRPr="008B2CC1" w:rsidRDefault="008B2CC1" w:rsidP="008B2CC1"/>
    <w:p w14:paraId="0C68FA27" w14:textId="77777777" w:rsidR="008B2CC1" w:rsidRPr="008B2CC1" w:rsidRDefault="008B2CC1" w:rsidP="008B2CC1"/>
    <w:p w14:paraId="3251557A" w14:textId="77777777" w:rsidR="008B2CC1" w:rsidRPr="008B2CC1" w:rsidRDefault="008B2CC1" w:rsidP="008B2CC1"/>
    <w:p w14:paraId="754902B5" w14:textId="77777777" w:rsidR="008B2CC1" w:rsidRPr="008B2CC1" w:rsidRDefault="008B2CC1" w:rsidP="008B2CC1"/>
    <w:p w14:paraId="0CF9CE59" w14:textId="77777777" w:rsidR="000D4BD5" w:rsidRPr="003845C1" w:rsidRDefault="000D4BD5" w:rsidP="000D4BD5">
      <w:pPr>
        <w:rPr>
          <w:b/>
          <w:sz w:val="28"/>
          <w:szCs w:val="28"/>
        </w:rPr>
      </w:pPr>
      <w:r w:rsidRPr="00EA2B1E">
        <w:rPr>
          <w:b/>
          <w:i/>
          <w:sz w:val="28"/>
          <w:szCs w:val="28"/>
        </w:rPr>
        <w:t>Ad Hoc</w:t>
      </w:r>
      <w:r>
        <w:rPr>
          <w:b/>
          <w:sz w:val="28"/>
          <w:szCs w:val="28"/>
        </w:rPr>
        <w:t xml:space="preserve"> Expert Group on Traditional Knowledge and Traditional Cultural Expressions</w:t>
      </w:r>
    </w:p>
    <w:p w14:paraId="666DD1B8" w14:textId="77777777" w:rsidR="000D4BD5" w:rsidRDefault="000D4BD5" w:rsidP="000D4BD5"/>
    <w:p w14:paraId="1E137230" w14:textId="77777777" w:rsidR="000D4BD5" w:rsidRDefault="000D4BD5" w:rsidP="000D4BD5"/>
    <w:p w14:paraId="6B1055F4" w14:textId="0BB34F36" w:rsidR="000D4BD5" w:rsidRPr="003845C1" w:rsidRDefault="000D4BD5" w:rsidP="000D4BD5">
      <w:pPr>
        <w:rPr>
          <w:b/>
          <w:sz w:val="24"/>
          <w:szCs w:val="24"/>
        </w:rPr>
      </w:pPr>
      <w:r>
        <w:rPr>
          <w:b/>
          <w:sz w:val="24"/>
          <w:szCs w:val="24"/>
        </w:rPr>
        <w:t xml:space="preserve">Geneva, </w:t>
      </w:r>
      <w:r w:rsidR="001662C2">
        <w:rPr>
          <w:b/>
          <w:sz w:val="24"/>
          <w:szCs w:val="24"/>
        </w:rPr>
        <w:t>February 26, 2023</w:t>
      </w:r>
    </w:p>
    <w:p w14:paraId="6CBE6C85" w14:textId="77777777" w:rsidR="000D4BD5" w:rsidRPr="008B2CC1" w:rsidRDefault="000D4BD5" w:rsidP="000D4BD5"/>
    <w:p w14:paraId="60562652" w14:textId="77777777" w:rsidR="000D4BD5" w:rsidRPr="008B2CC1" w:rsidRDefault="000D4BD5" w:rsidP="000D4BD5"/>
    <w:p w14:paraId="6409094E" w14:textId="77777777" w:rsidR="000D4BD5" w:rsidRPr="008B2CC1" w:rsidRDefault="000D4BD5" w:rsidP="000D4BD5"/>
    <w:p w14:paraId="49B6D64B" w14:textId="77777777" w:rsidR="000D4BD5" w:rsidRPr="003845C1" w:rsidRDefault="00610789" w:rsidP="000D4BD5">
      <w:pPr>
        <w:rPr>
          <w:caps/>
          <w:sz w:val="24"/>
        </w:rPr>
      </w:pPr>
      <w:bookmarkStart w:id="4" w:name="TitleOfDoc"/>
      <w:bookmarkEnd w:id="4"/>
      <w:r>
        <w:rPr>
          <w:caps/>
          <w:sz w:val="24"/>
        </w:rPr>
        <w:t>Substantive background Note</w:t>
      </w:r>
    </w:p>
    <w:p w14:paraId="0647D6BD" w14:textId="77777777" w:rsidR="000D4BD5" w:rsidRPr="008B2CC1" w:rsidRDefault="000D4BD5" w:rsidP="000D4BD5"/>
    <w:p w14:paraId="0D05BBD3" w14:textId="77777777" w:rsidR="000D4BD5" w:rsidRPr="008B2CC1" w:rsidRDefault="000D4BD5" w:rsidP="000D4BD5">
      <w:pPr>
        <w:rPr>
          <w:i/>
        </w:rPr>
      </w:pPr>
      <w:bookmarkStart w:id="5" w:name="Prepared"/>
      <w:bookmarkEnd w:id="5"/>
      <w:r>
        <w:rPr>
          <w:i/>
        </w:rPr>
        <w:t>Prepared by the International Bureau of WIPO</w:t>
      </w:r>
    </w:p>
    <w:p w14:paraId="300332BE" w14:textId="77777777" w:rsidR="000D4BD5" w:rsidRDefault="000D4BD5" w:rsidP="000D4BD5"/>
    <w:p w14:paraId="05BE797F" w14:textId="77777777" w:rsidR="000D4BD5" w:rsidRDefault="000D4BD5" w:rsidP="000D4BD5"/>
    <w:p w14:paraId="12162251" w14:textId="77777777" w:rsidR="000F5E56" w:rsidRDefault="000F5E56"/>
    <w:p w14:paraId="762F3ACA" w14:textId="77777777" w:rsidR="000D4BD5" w:rsidRDefault="000D4BD5">
      <w:r>
        <w:br w:type="page"/>
      </w:r>
    </w:p>
    <w:p w14:paraId="0CEF4E86" w14:textId="6522E98C" w:rsidR="00610789" w:rsidRDefault="000D4BD5" w:rsidP="00610789">
      <w:pPr>
        <w:rPr>
          <w:szCs w:val="22"/>
        </w:rPr>
      </w:pPr>
      <w:r>
        <w:lastRenderedPageBreak/>
        <w:fldChar w:fldCharType="begin"/>
      </w:r>
      <w:r>
        <w:instrText xml:space="preserve"> AUTONUM  </w:instrText>
      </w:r>
      <w:r>
        <w:fldChar w:fldCharType="end"/>
      </w:r>
      <w:r>
        <w:tab/>
      </w:r>
      <w:r w:rsidR="00466271">
        <w:t xml:space="preserve">According to the </w:t>
      </w:r>
      <w:r w:rsidR="00466271" w:rsidRPr="00E90B6B">
        <w:rPr>
          <w:szCs w:val="22"/>
        </w:rPr>
        <w:t>mandate of the Intergovernmental Committee on Intellectual Property and Genetic Resources, Tradition</w:t>
      </w:r>
      <w:r w:rsidR="00466271">
        <w:rPr>
          <w:szCs w:val="22"/>
        </w:rPr>
        <w:t xml:space="preserve">al Knowledge and Folklore (“IGC”) and the Decisions of the Thirty-Seventh Session of the IGC (“IGC 37”) </w:t>
      </w:r>
      <w:r w:rsidR="00466271" w:rsidRPr="008A0E1C">
        <w:rPr>
          <w:szCs w:val="22"/>
        </w:rPr>
        <w:t xml:space="preserve">and the </w:t>
      </w:r>
      <w:r w:rsidR="00466271">
        <w:rPr>
          <w:szCs w:val="22"/>
        </w:rPr>
        <w:t>Forty-</w:t>
      </w:r>
      <w:r w:rsidR="001662C2">
        <w:rPr>
          <w:szCs w:val="22"/>
        </w:rPr>
        <w:t>Fif</w:t>
      </w:r>
      <w:r w:rsidR="0007215C">
        <w:rPr>
          <w:szCs w:val="22"/>
        </w:rPr>
        <w:t>th Session of the IGC (“IGC </w:t>
      </w:r>
      <w:r w:rsidR="001662C2">
        <w:rPr>
          <w:szCs w:val="22"/>
        </w:rPr>
        <w:t>45</w:t>
      </w:r>
      <w:r w:rsidR="00466271" w:rsidRPr="008A0E1C">
        <w:rPr>
          <w:szCs w:val="22"/>
        </w:rPr>
        <w:t>”)</w:t>
      </w:r>
      <w:r w:rsidR="00466271">
        <w:t>, t</w:t>
      </w:r>
      <w:r w:rsidR="00610789">
        <w:t xml:space="preserve">he overall objective of the </w:t>
      </w:r>
      <w:r w:rsidR="00610789" w:rsidRPr="00EA2B1E">
        <w:rPr>
          <w:i/>
        </w:rPr>
        <w:t>ad hoc</w:t>
      </w:r>
      <w:r w:rsidR="00610789">
        <w:t xml:space="preserve"> </w:t>
      </w:r>
      <w:r w:rsidR="00D62E7C">
        <w:t>e</w:t>
      </w:r>
      <w:r w:rsidR="00610789">
        <w:t xml:space="preserve">xpert </w:t>
      </w:r>
      <w:r w:rsidR="00D62E7C">
        <w:t>g</w:t>
      </w:r>
      <w:r w:rsidR="00610789">
        <w:t xml:space="preserve">roup on </w:t>
      </w:r>
      <w:r w:rsidR="00313FBF">
        <w:t>t</w:t>
      </w:r>
      <w:r w:rsidR="00FC01F4">
        <w:t xml:space="preserve">raditional </w:t>
      </w:r>
      <w:r w:rsidR="00313FBF">
        <w:t>k</w:t>
      </w:r>
      <w:r w:rsidR="00FC01F4">
        <w:t>no</w:t>
      </w:r>
      <w:r w:rsidR="00816953">
        <w:t xml:space="preserve">wledge and </w:t>
      </w:r>
      <w:r w:rsidR="00313FBF">
        <w:t>t</w:t>
      </w:r>
      <w:r w:rsidR="00816953">
        <w:t xml:space="preserve">raditional </w:t>
      </w:r>
      <w:r w:rsidR="00313FBF">
        <w:t>c</w:t>
      </w:r>
      <w:r w:rsidR="00816953">
        <w:t>ultural</w:t>
      </w:r>
      <w:r w:rsidR="00610789">
        <w:t xml:space="preserve"> </w:t>
      </w:r>
      <w:r w:rsidR="00313FBF">
        <w:t>e</w:t>
      </w:r>
      <w:r w:rsidR="000807DB">
        <w:t xml:space="preserve">xpressions </w:t>
      </w:r>
      <w:r w:rsidR="00610789">
        <w:t xml:space="preserve">is </w:t>
      </w:r>
      <w:r w:rsidR="00610789">
        <w:rPr>
          <w:szCs w:val="22"/>
        </w:rPr>
        <w:t xml:space="preserve">to address specific legal, policy or technical issues.  The results of the work will be reported to and further addressed by the IGC. </w:t>
      </w:r>
    </w:p>
    <w:p w14:paraId="53A416F6" w14:textId="77777777" w:rsidR="00610789" w:rsidRDefault="00610789" w:rsidP="00610789">
      <w:pPr>
        <w:rPr>
          <w:szCs w:val="22"/>
        </w:rPr>
      </w:pPr>
    </w:p>
    <w:p w14:paraId="535B86EE" w14:textId="4959355A" w:rsidR="009769BC" w:rsidRDefault="00610789" w:rsidP="009769BC">
      <w:r>
        <w:fldChar w:fldCharType="begin"/>
      </w:r>
      <w:r>
        <w:instrText xml:space="preserve"> AUTONUM  </w:instrText>
      </w:r>
      <w:r>
        <w:fldChar w:fldCharType="end"/>
      </w:r>
      <w:r>
        <w:tab/>
      </w:r>
      <w:r w:rsidR="00F96AB1">
        <w:t>Taking into account Member States’ suggestions, t</w:t>
      </w:r>
      <w:r w:rsidR="009769BC">
        <w:t>he IGC Chair and Vice-Chairs identified the list of issues</w:t>
      </w:r>
      <w:r w:rsidR="00F96AB1" w:rsidRPr="00F96AB1">
        <w:t xml:space="preserve"> </w:t>
      </w:r>
      <w:r w:rsidR="00F96AB1">
        <w:t>relating to traditional knowledge (TK) and traditional cultural expressions (TCEs) for this</w:t>
      </w:r>
      <w:r w:rsidR="009769BC">
        <w:t xml:space="preserve"> </w:t>
      </w:r>
      <w:r w:rsidR="009769BC" w:rsidRPr="009769BC">
        <w:rPr>
          <w:i/>
        </w:rPr>
        <w:t>ad hoc</w:t>
      </w:r>
      <w:r w:rsidR="00D62E7C">
        <w:t xml:space="preserve"> expert g</w:t>
      </w:r>
      <w:r w:rsidR="009769BC">
        <w:t>roup</w:t>
      </w:r>
      <w:r w:rsidR="00F96AB1">
        <w:t xml:space="preserve">. </w:t>
      </w:r>
      <w:r w:rsidR="009769BC">
        <w:t xml:space="preserve"> </w:t>
      </w:r>
      <w:r w:rsidR="00F96AB1">
        <w:t>The</w:t>
      </w:r>
      <w:r w:rsidR="009769BC">
        <w:t xml:space="preserve"> issues</w:t>
      </w:r>
      <w:r w:rsidR="00F96AB1">
        <w:t xml:space="preserve"> are</w:t>
      </w:r>
      <w:r w:rsidR="009769BC">
        <w:t>:</w:t>
      </w:r>
    </w:p>
    <w:p w14:paraId="15F3F601" w14:textId="77777777" w:rsidR="009769BC" w:rsidRDefault="009769BC" w:rsidP="009769BC"/>
    <w:p w14:paraId="19F1F95F" w14:textId="77777777" w:rsidR="001662C2" w:rsidRDefault="001662C2" w:rsidP="001662C2">
      <w:pPr>
        <w:pStyle w:val="ListParagraph"/>
        <w:numPr>
          <w:ilvl w:val="0"/>
          <w:numId w:val="37"/>
        </w:numPr>
        <w:rPr>
          <w:rFonts w:eastAsia="DengXian"/>
          <w:szCs w:val="22"/>
        </w:rPr>
      </w:pPr>
      <w:r w:rsidRPr="001662C2">
        <w:rPr>
          <w:rFonts w:eastAsia="DengXian"/>
          <w:szCs w:val="22"/>
        </w:rPr>
        <w:t>Customary law</w:t>
      </w:r>
    </w:p>
    <w:p w14:paraId="71553A18" w14:textId="77777777" w:rsidR="001662C2" w:rsidRDefault="001662C2" w:rsidP="001662C2">
      <w:pPr>
        <w:pStyle w:val="ListParagraph"/>
        <w:numPr>
          <w:ilvl w:val="0"/>
          <w:numId w:val="37"/>
        </w:numPr>
        <w:rPr>
          <w:rFonts w:eastAsia="DengXian"/>
          <w:szCs w:val="22"/>
        </w:rPr>
      </w:pPr>
      <w:r w:rsidRPr="001662C2">
        <w:rPr>
          <w:rFonts w:eastAsia="DengXian"/>
          <w:szCs w:val="22"/>
        </w:rPr>
        <w:t>Formalities</w:t>
      </w:r>
    </w:p>
    <w:p w14:paraId="7C28732E" w14:textId="77777777" w:rsidR="001662C2" w:rsidRDefault="001662C2" w:rsidP="001662C2">
      <w:pPr>
        <w:pStyle w:val="ListParagraph"/>
        <w:numPr>
          <w:ilvl w:val="0"/>
          <w:numId w:val="37"/>
        </w:numPr>
        <w:rPr>
          <w:rFonts w:eastAsia="DengXian"/>
          <w:szCs w:val="22"/>
        </w:rPr>
      </w:pPr>
      <w:r w:rsidRPr="001662C2">
        <w:rPr>
          <w:rFonts w:eastAsia="DengXian"/>
          <w:szCs w:val="22"/>
        </w:rPr>
        <w:t>National treatment</w:t>
      </w:r>
    </w:p>
    <w:p w14:paraId="6577116B" w14:textId="71426E62" w:rsidR="009769BC" w:rsidRDefault="001662C2" w:rsidP="001662C2">
      <w:pPr>
        <w:pStyle w:val="ListParagraph"/>
        <w:numPr>
          <w:ilvl w:val="0"/>
          <w:numId w:val="37"/>
        </w:numPr>
        <w:rPr>
          <w:rFonts w:eastAsia="DengXian"/>
          <w:szCs w:val="22"/>
        </w:rPr>
      </w:pPr>
      <w:r w:rsidRPr="001662C2">
        <w:rPr>
          <w:rFonts w:eastAsia="DengXian"/>
          <w:szCs w:val="22"/>
        </w:rPr>
        <w:t>Transboundary cooperation</w:t>
      </w:r>
    </w:p>
    <w:p w14:paraId="1C919BB1" w14:textId="77777777" w:rsidR="001662C2" w:rsidRPr="001662C2" w:rsidRDefault="001662C2" w:rsidP="001662C2">
      <w:pPr>
        <w:pStyle w:val="ListParagraph"/>
        <w:ind w:left="1080"/>
        <w:rPr>
          <w:rFonts w:eastAsia="DengXian"/>
          <w:szCs w:val="22"/>
        </w:rPr>
      </w:pPr>
    </w:p>
    <w:p w14:paraId="13FB0229" w14:textId="7A2062F3" w:rsidR="000D4BD5" w:rsidRDefault="000E69A5" w:rsidP="000D4BD5">
      <w:r>
        <w:fldChar w:fldCharType="begin"/>
      </w:r>
      <w:r>
        <w:instrText xml:space="preserve"> AUTONUM  </w:instrText>
      </w:r>
      <w:r>
        <w:fldChar w:fldCharType="end"/>
      </w:r>
      <w:r>
        <w:tab/>
      </w:r>
      <w:r w:rsidR="00610789">
        <w:t xml:space="preserve">This Substantive Background Note provides some background information on the </w:t>
      </w:r>
      <w:r w:rsidR="00466271">
        <w:t>above-mentioned</w:t>
      </w:r>
      <w:r w:rsidR="00610789">
        <w:t xml:space="preserve"> issues, and proposes some questions </w:t>
      </w:r>
      <w:r w:rsidR="00654696">
        <w:t>and task</w:t>
      </w:r>
      <w:r w:rsidR="00466271">
        <w:t>s</w:t>
      </w:r>
      <w:r w:rsidR="00654696">
        <w:t xml:space="preserve"> </w:t>
      </w:r>
      <w:r w:rsidR="00610789">
        <w:t xml:space="preserve">for the </w:t>
      </w:r>
      <w:r w:rsidR="00610789" w:rsidRPr="00CB63A8">
        <w:rPr>
          <w:i/>
        </w:rPr>
        <w:t>ad hoc</w:t>
      </w:r>
      <w:r w:rsidR="00610789">
        <w:t xml:space="preserve"> </w:t>
      </w:r>
      <w:r w:rsidR="00D62E7C">
        <w:t>e</w:t>
      </w:r>
      <w:r w:rsidR="00610789">
        <w:t xml:space="preserve">xpert </w:t>
      </w:r>
      <w:r w:rsidR="00D62E7C">
        <w:t>g</w:t>
      </w:r>
      <w:r w:rsidR="00610789">
        <w:t xml:space="preserve">roup to consider.  </w:t>
      </w:r>
      <w:r w:rsidR="006D3C9F">
        <w:t>The Co-</w:t>
      </w:r>
      <w:r w:rsidR="00BC4A9E">
        <w:t>C</w:t>
      </w:r>
      <w:r w:rsidR="006D3C9F">
        <w:t>hairs of the</w:t>
      </w:r>
      <w:r w:rsidR="00313FBF">
        <w:t xml:space="preserve"> </w:t>
      </w:r>
      <w:r w:rsidR="00313FBF" w:rsidRPr="00313FBF">
        <w:rPr>
          <w:i/>
        </w:rPr>
        <w:t>ad hoc</w:t>
      </w:r>
      <w:r w:rsidR="00D62E7C">
        <w:t xml:space="preserve"> expert g</w:t>
      </w:r>
      <w:r w:rsidR="006D3C9F">
        <w:t xml:space="preserve">roup </w:t>
      </w:r>
      <w:r w:rsidR="00846707">
        <w:t xml:space="preserve">will </w:t>
      </w:r>
      <w:r w:rsidR="006D3C9F">
        <w:t xml:space="preserve">provide </w:t>
      </w:r>
      <w:r w:rsidR="00C605A3">
        <w:t xml:space="preserve">further </w:t>
      </w:r>
      <w:r w:rsidR="006D3C9F">
        <w:t xml:space="preserve">guidance on </w:t>
      </w:r>
      <w:r w:rsidR="00E80817">
        <w:t xml:space="preserve">how these issues and questions will be addressed during the </w:t>
      </w:r>
      <w:r w:rsidR="006D3C9F">
        <w:t xml:space="preserve">meeting. </w:t>
      </w:r>
      <w:r w:rsidR="00031920">
        <w:t xml:space="preserve"> </w:t>
      </w:r>
    </w:p>
    <w:p w14:paraId="3CD3B3D0" w14:textId="13D04576" w:rsidR="000D4BD5" w:rsidRPr="00267117" w:rsidRDefault="000D4BD5" w:rsidP="000D4BD5">
      <w:pPr>
        <w:rPr>
          <w:b/>
        </w:rPr>
      </w:pPr>
    </w:p>
    <w:p w14:paraId="20A617DE" w14:textId="61735A9A" w:rsidR="00CE1AD8" w:rsidRPr="00816953" w:rsidRDefault="001662C2" w:rsidP="00C81E70">
      <w:pPr>
        <w:rPr>
          <w:b/>
        </w:rPr>
      </w:pPr>
      <w:r>
        <w:rPr>
          <w:b/>
        </w:rPr>
        <w:t>Customary law</w:t>
      </w:r>
    </w:p>
    <w:p w14:paraId="1EEE694E" w14:textId="77777777" w:rsidR="00CC0A33" w:rsidRDefault="00CC0A33" w:rsidP="00CC0A33"/>
    <w:p w14:paraId="15815C3D" w14:textId="6507474A" w:rsidR="007919DA" w:rsidRPr="0010796B" w:rsidRDefault="00CC0A33" w:rsidP="007919DA">
      <w:pPr>
        <w:pStyle w:val="FootnoteText"/>
        <w:spacing w:after="220"/>
        <w:rPr>
          <w:sz w:val="22"/>
          <w:szCs w:val="22"/>
        </w:rPr>
      </w:pPr>
      <w:r>
        <w:fldChar w:fldCharType="begin"/>
      </w:r>
      <w:r>
        <w:instrText xml:space="preserve"> AUTONUM  </w:instrText>
      </w:r>
      <w:r>
        <w:fldChar w:fldCharType="end"/>
      </w:r>
      <w:r>
        <w:tab/>
      </w:r>
      <w:r w:rsidR="007919DA" w:rsidRPr="0010796B">
        <w:rPr>
          <w:sz w:val="22"/>
          <w:szCs w:val="22"/>
        </w:rPr>
        <w:t>Black’s Law Dictionary defines “customary law” as</w:t>
      </w:r>
      <w:r w:rsidR="00A34104">
        <w:rPr>
          <w:sz w:val="22"/>
          <w:szCs w:val="22"/>
        </w:rPr>
        <w:t xml:space="preserve"> a</w:t>
      </w:r>
      <w:r w:rsidR="007919DA" w:rsidRPr="0010796B">
        <w:rPr>
          <w:sz w:val="22"/>
          <w:szCs w:val="22"/>
        </w:rPr>
        <w:t xml:space="preserve"> law “consisting of customs that are accepted as legal requirements or obligatory rules of conduct;  practices and beliefs that are so vital and intrinsic a part of a social and economic system that they are treated as if they were laws.”  Customary law has also been defined as “locally recognized principles, and more specific norms or rules, which are orally held and transmitted, and applied by community institutions to internally govern or guide all aspects of life.”</w:t>
      </w:r>
      <w:r w:rsidR="007919DA" w:rsidRPr="0010796B">
        <w:rPr>
          <w:sz w:val="22"/>
          <w:szCs w:val="22"/>
          <w:vertAlign w:val="superscript"/>
        </w:rPr>
        <w:footnoteReference w:id="2"/>
      </w:r>
      <w:r w:rsidR="007919DA" w:rsidRPr="0010796B">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are actually “formally” recognized by and/or linked to the national legal systems of the country in which a community resides.  A decisive factor in determining whether certain customs have status as law is whether they have been and are being viewed by the community as having </w:t>
      </w:r>
      <w:r w:rsidR="0033600D">
        <w:rPr>
          <w:sz w:val="22"/>
          <w:szCs w:val="22"/>
        </w:rPr>
        <w:t xml:space="preserve">a </w:t>
      </w:r>
      <w:r w:rsidR="007919DA" w:rsidRPr="0010796B">
        <w:rPr>
          <w:sz w:val="22"/>
          <w:szCs w:val="22"/>
        </w:rPr>
        <w:t xml:space="preserve">binding effect, or whether they simply describe actual practices. </w:t>
      </w:r>
    </w:p>
    <w:p w14:paraId="01AF7C8F" w14:textId="21E98212" w:rsidR="007919DA" w:rsidRDefault="007919DA" w:rsidP="007919DA">
      <w:pPr>
        <w:pStyle w:val="FootnoteText"/>
        <w:spacing w:after="220"/>
        <w:rPr>
          <w:sz w:val="22"/>
          <w:szCs w:val="22"/>
          <w:lang w:val="en"/>
        </w:rPr>
      </w:pPr>
      <w:r w:rsidRPr="0010796B">
        <w:rPr>
          <w:sz w:val="22"/>
          <w:szCs w:val="22"/>
          <w:lang w:val="en"/>
        </w:rPr>
        <w:t>Customary laws concern many aspects of communities’ lives.  They define</w:t>
      </w:r>
      <w:r w:rsidR="0033600D">
        <w:rPr>
          <w:sz w:val="22"/>
          <w:szCs w:val="22"/>
          <w:lang w:val="en"/>
        </w:rPr>
        <w:t xml:space="preserve"> the</w:t>
      </w:r>
      <w:r w:rsidRPr="0010796B">
        <w:rPr>
          <w:sz w:val="22"/>
          <w:szCs w:val="22"/>
          <w:lang w:val="en"/>
        </w:rPr>
        <w:t xml:space="preserve"> rights and responsibilities of community members on important aspects of the</w:t>
      </w:r>
      <w:r>
        <w:rPr>
          <w:sz w:val="22"/>
          <w:szCs w:val="22"/>
          <w:lang w:val="en"/>
        </w:rPr>
        <w:t>ir life, culture and world view.  For instance, e</w:t>
      </w:r>
      <w:r w:rsidRPr="007919DA">
        <w:rPr>
          <w:sz w:val="22"/>
          <w:szCs w:val="22"/>
          <w:lang w:val="en"/>
        </w:rPr>
        <w:t xml:space="preserve">ntitlement to and distribution of benefits within a community (including the recognition of entitlements of individuals) may be governed by the customary law and practices that the community itself observes. </w:t>
      </w:r>
      <w:r>
        <w:rPr>
          <w:sz w:val="22"/>
          <w:szCs w:val="22"/>
          <w:lang w:val="en"/>
        </w:rPr>
        <w:t xml:space="preserve"> </w:t>
      </w:r>
      <w:r w:rsidRPr="007919DA">
        <w:rPr>
          <w:sz w:val="22"/>
          <w:szCs w:val="22"/>
          <w:lang w:val="en"/>
        </w:rPr>
        <w:t>This is a key area where external legal mechanisms for protection of TK may need to recognize and respect customary laws, protocols or practices.</w:t>
      </w:r>
      <w:r>
        <w:rPr>
          <w:sz w:val="22"/>
          <w:szCs w:val="22"/>
          <w:lang w:val="en"/>
        </w:rPr>
        <w:t xml:space="preserve"> </w:t>
      </w:r>
    </w:p>
    <w:p w14:paraId="06F78742" w14:textId="56B1725E" w:rsidR="004E204E" w:rsidRDefault="004E204E" w:rsidP="00CC0A33">
      <w:r>
        <w:t>There is a conceptual and legal divide in re</w:t>
      </w:r>
      <w:r w:rsidR="00A34104">
        <w:t>lation to how indigenous people</w:t>
      </w:r>
      <w:r>
        <w:t>s</w:t>
      </w:r>
      <w:r w:rsidR="00A34104">
        <w:t>’</w:t>
      </w:r>
      <w:r>
        <w:t xml:space="preserve"> belief systems, customary laws and practices interact with western cultural norms and laws. </w:t>
      </w:r>
      <w:r w:rsidR="007919DA">
        <w:t xml:space="preserve"> </w:t>
      </w:r>
      <w:r>
        <w:t xml:space="preserve">From their perspective, the very conception of “ownership” in the conventional </w:t>
      </w:r>
      <w:r w:rsidR="00682471">
        <w:t>intellectual property (</w:t>
      </w:r>
      <w:r>
        <w:t>IP</w:t>
      </w:r>
      <w:r w:rsidR="00682471">
        <w:t>)</w:t>
      </w:r>
      <w:r>
        <w:t xml:space="preserve"> system is incompatible with notions of responsibility and custodianship under customary laws and systems. </w:t>
      </w:r>
      <w:r w:rsidR="007919DA">
        <w:t xml:space="preserve"> </w:t>
      </w:r>
      <w:r>
        <w:t>This conceptual divide is especially evident in relation to TCEs and copyright as identified in the recently updated WIPO Gap Analysis on</w:t>
      </w:r>
      <w:r w:rsidR="007919DA">
        <w:t xml:space="preserve"> TCEs (document WIPO/GRTKF/IC/46/7</w:t>
      </w:r>
      <w:r>
        <w:t>)</w:t>
      </w:r>
      <w:r w:rsidR="004E4EB2">
        <w:t>, i</w:t>
      </w:r>
      <w:r>
        <w:t xml:space="preserve">n particular, </w:t>
      </w:r>
      <w:r w:rsidR="004E4EB2">
        <w:t xml:space="preserve">regarding </w:t>
      </w:r>
      <w:r>
        <w:t>the originality requirement and protection of adaptations or derivative works.</w:t>
      </w:r>
    </w:p>
    <w:p w14:paraId="0E72D711" w14:textId="77777777" w:rsidR="00B77DA3" w:rsidRDefault="00B77DA3" w:rsidP="00CC0A33">
      <w:pPr>
        <w:rPr>
          <w:szCs w:val="22"/>
        </w:rPr>
      </w:pPr>
    </w:p>
    <w:p w14:paraId="3B4A9E04" w14:textId="0AEFCCFB" w:rsidR="00CC0A33" w:rsidRDefault="009B07AD" w:rsidP="00CC0A33">
      <w:pPr>
        <w:rPr>
          <w:szCs w:val="22"/>
        </w:rPr>
      </w:pPr>
      <w:r>
        <w:rPr>
          <w:szCs w:val="22"/>
        </w:rPr>
        <w:lastRenderedPageBreak/>
        <w:fldChar w:fldCharType="begin"/>
      </w:r>
      <w:r>
        <w:rPr>
          <w:szCs w:val="22"/>
        </w:rPr>
        <w:instrText xml:space="preserve"> AUTONUM  </w:instrText>
      </w:r>
      <w:r>
        <w:rPr>
          <w:szCs w:val="22"/>
        </w:rPr>
        <w:fldChar w:fldCharType="end"/>
      </w:r>
      <w:r>
        <w:rPr>
          <w:szCs w:val="22"/>
        </w:rPr>
        <w:tab/>
        <w:t>T</w:t>
      </w:r>
      <w:r w:rsidR="00CC0A33">
        <w:rPr>
          <w:szCs w:val="22"/>
        </w:rPr>
        <w:t xml:space="preserve">he </w:t>
      </w:r>
      <w:r w:rsidR="00CC0A33" w:rsidRPr="00D53171">
        <w:rPr>
          <w:i/>
          <w:szCs w:val="22"/>
        </w:rPr>
        <w:t>ad hoc</w:t>
      </w:r>
      <w:r w:rsidR="00CC0A33">
        <w:rPr>
          <w:szCs w:val="22"/>
        </w:rPr>
        <w:t xml:space="preserve"> </w:t>
      </w:r>
      <w:r w:rsidR="00D62E7C">
        <w:rPr>
          <w:szCs w:val="22"/>
        </w:rPr>
        <w:t>e</w:t>
      </w:r>
      <w:r w:rsidR="00CC0A33">
        <w:rPr>
          <w:szCs w:val="22"/>
        </w:rPr>
        <w:t xml:space="preserve">xpert </w:t>
      </w:r>
      <w:r w:rsidR="00D62E7C">
        <w:rPr>
          <w:szCs w:val="22"/>
        </w:rPr>
        <w:t>g</w:t>
      </w:r>
      <w:r w:rsidR="000B1B39">
        <w:rPr>
          <w:szCs w:val="22"/>
        </w:rPr>
        <w:t>roup is invited to consider</w:t>
      </w:r>
      <w:r w:rsidR="00CC0A33">
        <w:rPr>
          <w:szCs w:val="22"/>
        </w:rPr>
        <w:t>:</w:t>
      </w:r>
    </w:p>
    <w:p w14:paraId="2C97708F" w14:textId="77777777" w:rsidR="000B1B39" w:rsidRDefault="000B1B39" w:rsidP="00CC0A33">
      <w:pPr>
        <w:rPr>
          <w:szCs w:val="22"/>
        </w:rPr>
      </w:pPr>
    </w:p>
    <w:p w14:paraId="03692894" w14:textId="677165BF" w:rsidR="007919DA" w:rsidRDefault="00682471" w:rsidP="00682471">
      <w:pPr>
        <w:pStyle w:val="ListParagraph"/>
        <w:numPr>
          <w:ilvl w:val="0"/>
          <w:numId w:val="38"/>
        </w:numPr>
        <w:rPr>
          <w:szCs w:val="22"/>
        </w:rPr>
      </w:pPr>
      <w:r w:rsidRPr="00682471">
        <w:rPr>
          <w:szCs w:val="22"/>
        </w:rPr>
        <w:t xml:space="preserve">What </w:t>
      </w:r>
      <w:r w:rsidR="00A34104">
        <w:rPr>
          <w:szCs w:val="22"/>
        </w:rPr>
        <w:t xml:space="preserve">kind of </w:t>
      </w:r>
      <w:r w:rsidRPr="00682471">
        <w:rPr>
          <w:szCs w:val="22"/>
        </w:rPr>
        <w:t>relationships between customary law and IP law have been encountered in</w:t>
      </w:r>
      <w:r>
        <w:rPr>
          <w:szCs w:val="22"/>
        </w:rPr>
        <w:t xml:space="preserve"> </w:t>
      </w:r>
      <w:r w:rsidRPr="00682471">
        <w:rPr>
          <w:szCs w:val="22"/>
        </w:rPr>
        <w:t xml:space="preserve">practice? </w:t>
      </w:r>
      <w:r>
        <w:rPr>
          <w:szCs w:val="22"/>
        </w:rPr>
        <w:t xml:space="preserve"> </w:t>
      </w:r>
      <w:r w:rsidRPr="00682471">
        <w:rPr>
          <w:szCs w:val="22"/>
        </w:rPr>
        <w:t>What models could be explored?</w:t>
      </w:r>
    </w:p>
    <w:p w14:paraId="3732A8EB" w14:textId="4FDC17F7" w:rsidR="00682471" w:rsidRPr="00682471" w:rsidRDefault="00682471" w:rsidP="00682471">
      <w:pPr>
        <w:pStyle w:val="ListParagraph"/>
        <w:numPr>
          <w:ilvl w:val="0"/>
          <w:numId w:val="38"/>
        </w:numPr>
        <w:rPr>
          <w:szCs w:val="22"/>
        </w:rPr>
      </w:pPr>
      <w:r w:rsidRPr="00682471">
        <w:rPr>
          <w:szCs w:val="22"/>
        </w:rPr>
        <w:t xml:space="preserve">How do </w:t>
      </w:r>
      <w:r w:rsidRPr="00682471">
        <w:rPr>
          <w:i/>
          <w:szCs w:val="22"/>
        </w:rPr>
        <w:t>sui generis</w:t>
      </w:r>
      <w:r w:rsidRPr="00682471">
        <w:rPr>
          <w:szCs w:val="22"/>
        </w:rPr>
        <w:t xml:space="preserve"> laws for the protection of TK and </w:t>
      </w:r>
      <w:r>
        <w:rPr>
          <w:szCs w:val="22"/>
        </w:rPr>
        <w:t>TCEs</w:t>
      </w:r>
      <w:r w:rsidRPr="00682471">
        <w:rPr>
          <w:szCs w:val="22"/>
        </w:rPr>
        <w:t xml:space="preserve"> apply or otherwise recognize customary law?</w:t>
      </w:r>
    </w:p>
    <w:p w14:paraId="1DFB2815" w14:textId="57FF9A21" w:rsidR="004C79D5" w:rsidRDefault="004C79D5" w:rsidP="00682471"/>
    <w:p w14:paraId="00AFD7B4" w14:textId="46C6DC99" w:rsidR="004C79D5" w:rsidRPr="004C79D5" w:rsidRDefault="00682471" w:rsidP="00165B76">
      <w:pPr>
        <w:rPr>
          <w:b/>
        </w:rPr>
      </w:pPr>
      <w:r>
        <w:rPr>
          <w:b/>
        </w:rPr>
        <w:t>Formalities</w:t>
      </w:r>
    </w:p>
    <w:p w14:paraId="3B0EA438" w14:textId="77777777" w:rsidR="004C79D5" w:rsidRDefault="004C79D5" w:rsidP="00165B76"/>
    <w:p w14:paraId="758E9548" w14:textId="1B23665A" w:rsidR="000B1B39" w:rsidRDefault="004C79D5" w:rsidP="00165B76">
      <w:r>
        <w:fldChar w:fldCharType="begin"/>
      </w:r>
      <w:r>
        <w:instrText xml:space="preserve"> AUTONUM  </w:instrText>
      </w:r>
      <w:r>
        <w:fldChar w:fldCharType="end"/>
      </w:r>
      <w:r>
        <w:tab/>
      </w:r>
      <w:r w:rsidR="000B1B39">
        <w:t>There are</w:t>
      </w:r>
      <w:r w:rsidR="000B1B39" w:rsidRPr="000B1B39">
        <w:t xml:space="preserve"> a variety of approaches towards formalities as a requirement of protection</w:t>
      </w:r>
      <w:r w:rsidR="000B1B39">
        <w:t xml:space="preserve"> of TK and TCEs</w:t>
      </w:r>
      <w:r w:rsidR="00A34104">
        <w:t xml:space="preserve"> in </w:t>
      </w:r>
      <w:r w:rsidR="00A34104" w:rsidRPr="00A34104">
        <w:rPr>
          <w:i/>
        </w:rPr>
        <w:t>sui generis</w:t>
      </w:r>
      <w:r w:rsidR="00A34104">
        <w:t xml:space="preserve"> regimes</w:t>
      </w:r>
      <w:r w:rsidR="000B1B39" w:rsidRPr="000B1B39">
        <w:t xml:space="preserve">: </w:t>
      </w:r>
      <w:r w:rsidR="000B1B39">
        <w:t xml:space="preserve"> </w:t>
      </w:r>
      <w:r w:rsidR="000B1B39" w:rsidRPr="000B1B39">
        <w:t xml:space="preserve">they may expressly require registration of </w:t>
      </w:r>
      <w:r w:rsidR="000B1B39">
        <w:t>TK and TCEs</w:t>
      </w:r>
      <w:r w:rsidR="000B1B39" w:rsidRPr="000B1B39">
        <w:t xml:space="preserve"> as a condition of protection; </w:t>
      </w:r>
      <w:r w:rsidR="000B1B39">
        <w:t xml:space="preserve"> </w:t>
      </w:r>
      <w:r w:rsidR="000B1B39" w:rsidRPr="000B1B39">
        <w:t xml:space="preserve">they may establish </w:t>
      </w:r>
      <w:r w:rsidR="00F96AB1">
        <w:t xml:space="preserve">voluntary </w:t>
      </w:r>
      <w:r w:rsidR="000B1B39" w:rsidRPr="000B1B39">
        <w:t>regis</w:t>
      </w:r>
      <w:r w:rsidR="00A34104">
        <w:t>tries or databases, but not consider</w:t>
      </w:r>
      <w:r w:rsidR="000B1B39" w:rsidRPr="000B1B39">
        <w:t xml:space="preserve"> them as a requirement to the acquisition of rights; </w:t>
      </w:r>
      <w:r w:rsidR="000B1B39">
        <w:t xml:space="preserve"> </w:t>
      </w:r>
      <w:r w:rsidR="000B1B39" w:rsidRPr="000B1B39">
        <w:t xml:space="preserve">or they may provide that protection does not require formalities. </w:t>
      </w:r>
      <w:r w:rsidR="000B1B39">
        <w:t xml:space="preserve"> </w:t>
      </w:r>
    </w:p>
    <w:p w14:paraId="007F8DEC" w14:textId="77777777" w:rsidR="000B1B39" w:rsidRDefault="000B1B39" w:rsidP="00165B76"/>
    <w:p w14:paraId="728D783C" w14:textId="3D086209" w:rsidR="004C79D5" w:rsidRDefault="000B1B39" w:rsidP="00165B76">
      <w:r>
        <w:fldChar w:fldCharType="begin"/>
      </w:r>
      <w:r>
        <w:instrText xml:space="preserve"> AUTONUM  </w:instrText>
      </w:r>
      <w:r>
        <w:fldChar w:fldCharType="end"/>
      </w:r>
      <w:r>
        <w:tab/>
      </w:r>
      <w:r w:rsidR="004C79D5">
        <w:t xml:space="preserve">The </w:t>
      </w:r>
      <w:r w:rsidR="004C79D5" w:rsidRPr="00F35FD5">
        <w:rPr>
          <w:i/>
        </w:rPr>
        <w:t>ad hoc</w:t>
      </w:r>
      <w:r w:rsidR="00D62E7C">
        <w:t xml:space="preserve"> expert g</w:t>
      </w:r>
      <w:r w:rsidR="004C79D5">
        <w:t>rou</w:t>
      </w:r>
      <w:r>
        <w:t xml:space="preserve">p is invited to consider the appropriate approach towards formalities, at the international level, for the protection of TK and TCEs. </w:t>
      </w:r>
    </w:p>
    <w:p w14:paraId="748F0A0F" w14:textId="5EF05D8F" w:rsidR="004C79D5" w:rsidRDefault="004C79D5" w:rsidP="004C79D5">
      <w:pPr>
        <w:pStyle w:val="ListParagraph"/>
        <w:ind w:left="0"/>
      </w:pPr>
    </w:p>
    <w:p w14:paraId="242C6767" w14:textId="56F12B4F" w:rsidR="005D01E5" w:rsidRPr="005D01E5" w:rsidRDefault="000B1B39" w:rsidP="004C79D5">
      <w:pPr>
        <w:pStyle w:val="ListParagraph"/>
        <w:ind w:left="0"/>
        <w:rPr>
          <w:b/>
        </w:rPr>
      </w:pPr>
      <w:r>
        <w:rPr>
          <w:b/>
        </w:rPr>
        <w:t>N</w:t>
      </w:r>
      <w:r w:rsidR="00D67C70">
        <w:rPr>
          <w:b/>
        </w:rPr>
        <w:t>ational treatment</w:t>
      </w:r>
    </w:p>
    <w:p w14:paraId="11DBAB6C" w14:textId="77777777" w:rsidR="005D01E5" w:rsidRDefault="005D01E5" w:rsidP="004C79D5">
      <w:pPr>
        <w:pStyle w:val="ListParagraph"/>
        <w:ind w:left="0"/>
      </w:pPr>
    </w:p>
    <w:p w14:paraId="555C2E18" w14:textId="622662C9" w:rsidR="00D67C70" w:rsidRDefault="004C79D5" w:rsidP="005859B5">
      <w:pPr>
        <w:pStyle w:val="ListParagraph"/>
        <w:ind w:left="0"/>
      </w:pPr>
      <w:r>
        <w:fldChar w:fldCharType="begin"/>
      </w:r>
      <w:r>
        <w:instrText xml:space="preserve"> AUTONUM  </w:instrText>
      </w:r>
      <w:r>
        <w:fldChar w:fldCharType="end"/>
      </w:r>
      <w:r>
        <w:tab/>
      </w:r>
      <w:r w:rsidR="00D67C70" w:rsidRPr="00D67C70">
        <w:t>“National treatment” is a principle whereby a host country would extend to foreign TK</w:t>
      </w:r>
      <w:r w:rsidR="00D67C70">
        <w:t>/TCEs</w:t>
      </w:r>
      <w:r w:rsidR="00D67C70" w:rsidRPr="00D67C70">
        <w:t xml:space="preserve"> holders treatment that is at least as favorable as the treatment it accords to national TK holders in similar circumstances. </w:t>
      </w:r>
      <w:r w:rsidR="00194CA8">
        <w:t xml:space="preserve"> </w:t>
      </w:r>
      <w:r w:rsidR="00D67C70" w:rsidRPr="00D67C70">
        <w:t>In this way</w:t>
      </w:r>
      <w:r w:rsidR="00D67C70">
        <w:t>,</w:t>
      </w:r>
      <w:r w:rsidR="00D67C70" w:rsidRPr="00D67C70">
        <w:t xml:space="preserve"> national treatment standards seek to ensure a degree of legal equality between foreign and national TK</w:t>
      </w:r>
      <w:r w:rsidR="00D67C70">
        <w:t>/TCEs</w:t>
      </w:r>
      <w:r w:rsidR="00D67C70" w:rsidRPr="00D67C70">
        <w:t xml:space="preserve"> holders. </w:t>
      </w:r>
      <w:r w:rsidR="00D67C70">
        <w:t xml:space="preserve"> </w:t>
      </w:r>
      <w:r w:rsidR="00D67C70" w:rsidRPr="00D67C70">
        <w:t>It is important to note that national treatment is a relative standard whose content depends on the underlying state of treatment for domestic TK</w:t>
      </w:r>
      <w:r w:rsidR="00D67C70">
        <w:t>/TCEs</w:t>
      </w:r>
      <w:r w:rsidR="00D67C70" w:rsidRPr="00D67C70">
        <w:t xml:space="preserve"> holders.</w:t>
      </w:r>
      <w:r w:rsidR="00D67C70">
        <w:t xml:space="preserve"> </w:t>
      </w:r>
    </w:p>
    <w:p w14:paraId="26CE076D" w14:textId="3955B086" w:rsidR="00D67C70" w:rsidRDefault="00D67C70" w:rsidP="005859B5">
      <w:pPr>
        <w:pStyle w:val="ListParagraph"/>
        <w:ind w:left="0"/>
      </w:pPr>
    </w:p>
    <w:p w14:paraId="3740DFF4" w14:textId="54EA33E6" w:rsidR="005B5FE0" w:rsidRDefault="00D67C70" w:rsidP="005859B5">
      <w:pPr>
        <w:pStyle w:val="ListParagraph"/>
        <w:ind w:left="0"/>
      </w:pPr>
      <w:r>
        <w:fldChar w:fldCharType="begin"/>
      </w:r>
      <w:r>
        <w:instrText xml:space="preserve"> AUTONUM  </w:instrText>
      </w:r>
      <w:r>
        <w:fldChar w:fldCharType="end"/>
      </w:r>
      <w:r>
        <w:tab/>
      </w:r>
      <w:r w:rsidR="00A34104">
        <w:t>A</w:t>
      </w:r>
      <w:r w:rsidRPr="00D67C70">
        <w:t xml:space="preserve"> national treatment approach would, in the light of precedent and past experience in the IP field, appear to b</w:t>
      </w:r>
      <w:r w:rsidR="00A34104">
        <w:t>e an appropriate starting point.  However,</w:t>
      </w:r>
      <w:r w:rsidRPr="00D67C70">
        <w:t xml:space="preserve"> the very nature of TK</w:t>
      </w:r>
      <w:r w:rsidR="005B5FE0">
        <w:t>/TCEs</w:t>
      </w:r>
      <w:r w:rsidRPr="00D67C70">
        <w:t xml:space="preserve"> and the </w:t>
      </w:r>
      <w:r w:rsidRPr="005B5FE0">
        <w:rPr>
          <w:i/>
        </w:rPr>
        <w:t>sui generis</w:t>
      </w:r>
      <w:r w:rsidR="00A34104">
        <w:t xml:space="preserve"> forms of protection may suggest</w:t>
      </w:r>
      <w:r w:rsidRPr="00D67C70">
        <w:t xml:space="preserve"> that national treatment be supplemented by certain exceptions and limitations or other princi</w:t>
      </w:r>
      <w:r w:rsidR="00194CA8">
        <w:t>ples such as mutual recognition and</w:t>
      </w:r>
      <w:r w:rsidR="00A34104">
        <w:t xml:space="preserve"> reciprocity</w:t>
      </w:r>
      <w:r w:rsidRPr="00D67C70">
        <w:t xml:space="preserve">. </w:t>
      </w:r>
    </w:p>
    <w:p w14:paraId="6B7703F4" w14:textId="77777777" w:rsidR="005B5FE0" w:rsidRDefault="005B5FE0" w:rsidP="005859B5">
      <w:pPr>
        <w:pStyle w:val="ListParagraph"/>
        <w:ind w:left="0"/>
      </w:pPr>
    </w:p>
    <w:p w14:paraId="24E24A05" w14:textId="0D937B59" w:rsidR="00D67C70" w:rsidRDefault="005B5FE0" w:rsidP="005859B5">
      <w:pPr>
        <w:pStyle w:val="ListParagraph"/>
        <w:ind w:left="0"/>
      </w:pPr>
      <w:r>
        <w:fldChar w:fldCharType="begin"/>
      </w:r>
      <w:r>
        <w:instrText xml:space="preserve"> AUTONUM  </w:instrText>
      </w:r>
      <w:r>
        <w:fldChar w:fldCharType="end"/>
      </w:r>
      <w:r>
        <w:tab/>
      </w:r>
      <w:r w:rsidR="00D67C70" w:rsidRPr="00D67C70">
        <w:t>The protection of foreign holders of rights in TK</w:t>
      </w:r>
      <w:r>
        <w:t xml:space="preserve">/TCEs is </w:t>
      </w:r>
      <w:r w:rsidR="00D67C70" w:rsidRPr="00D67C70">
        <w:t xml:space="preserve">a complex question. </w:t>
      </w:r>
      <w:r>
        <w:t xml:space="preserve"> </w:t>
      </w:r>
      <w:r w:rsidR="00D67C70" w:rsidRPr="00D67C70">
        <w:t xml:space="preserve">In view of this complexity, </w:t>
      </w:r>
      <w:r>
        <w:t xml:space="preserve">the </w:t>
      </w:r>
      <w:r w:rsidRPr="005B5FE0">
        <w:rPr>
          <w:i/>
        </w:rPr>
        <w:t>ad hoc</w:t>
      </w:r>
      <w:r>
        <w:t xml:space="preserve"> expert group is invited to provide</w:t>
      </w:r>
      <w:r w:rsidR="00194CA8">
        <w:t xml:space="preserve"> the IGC with</w:t>
      </w:r>
      <w:r>
        <w:t xml:space="preserve"> </w:t>
      </w:r>
      <w:r w:rsidR="00D67C70" w:rsidRPr="00D67C70">
        <w:t>specific guidance on this technical question.</w:t>
      </w:r>
    </w:p>
    <w:p w14:paraId="6B43D9C6" w14:textId="4CCA0E14" w:rsidR="00D67C70" w:rsidRDefault="00D67C70" w:rsidP="005859B5">
      <w:pPr>
        <w:pStyle w:val="ListParagraph"/>
        <w:ind w:left="0"/>
      </w:pPr>
    </w:p>
    <w:p w14:paraId="7E8AECB4" w14:textId="675D1C24" w:rsidR="005B5FE0" w:rsidRPr="005B5FE0" w:rsidRDefault="005B5FE0" w:rsidP="005859B5">
      <w:pPr>
        <w:pStyle w:val="ListParagraph"/>
        <w:ind w:left="0"/>
        <w:rPr>
          <w:b/>
        </w:rPr>
      </w:pPr>
      <w:r w:rsidRPr="005B5FE0">
        <w:rPr>
          <w:rFonts w:eastAsia="DengXian"/>
          <w:b/>
          <w:szCs w:val="22"/>
        </w:rPr>
        <w:t>Transboundary cooperation</w:t>
      </w:r>
    </w:p>
    <w:p w14:paraId="4442C04E" w14:textId="77777777" w:rsidR="00D62E7C" w:rsidRDefault="00D62E7C" w:rsidP="005B5FE0"/>
    <w:p w14:paraId="63D4D812" w14:textId="1C939E8B" w:rsidR="00316F0D" w:rsidRDefault="005859B5" w:rsidP="005859B5">
      <w:r>
        <w:fldChar w:fldCharType="begin"/>
      </w:r>
      <w:r>
        <w:instrText xml:space="preserve"> AUTONUM  </w:instrText>
      </w:r>
      <w:r>
        <w:fldChar w:fldCharType="end"/>
      </w:r>
      <w:r>
        <w:tab/>
      </w:r>
      <w:r w:rsidR="005B5FE0">
        <w:t xml:space="preserve">Transboundary cooperation deals with the very important issue of TK/TCEs shared across borders.  </w:t>
      </w:r>
      <w:r w:rsidR="00316F0D">
        <w:t xml:space="preserve">There seems to be an agreement in the IGC that the concerned countries should cooperate </w:t>
      </w:r>
      <w:r w:rsidR="004B412D">
        <w:t>to</w:t>
      </w:r>
      <w:r w:rsidR="00316F0D">
        <w:t xml:space="preserve"> address the issues arising from the shared TK/TCEs.  </w:t>
      </w:r>
    </w:p>
    <w:p w14:paraId="057B95A2" w14:textId="77777777" w:rsidR="00316F0D" w:rsidRDefault="00316F0D" w:rsidP="005859B5"/>
    <w:p w14:paraId="03799E8F" w14:textId="0ADE3C96" w:rsidR="005B5FE0" w:rsidRDefault="00316F0D" w:rsidP="005859B5">
      <w:r>
        <w:fldChar w:fldCharType="begin"/>
      </w:r>
      <w:r>
        <w:instrText xml:space="preserve"> AUTONUM  </w:instrText>
      </w:r>
      <w:r>
        <w:fldChar w:fldCharType="end"/>
      </w:r>
      <w:r>
        <w:tab/>
        <w:t xml:space="preserve">The </w:t>
      </w:r>
      <w:r w:rsidRPr="00316F0D">
        <w:rPr>
          <w:i/>
        </w:rPr>
        <w:t>ad hoc</w:t>
      </w:r>
      <w:r>
        <w:t xml:space="preserve"> expert group is invited to suggest the </w:t>
      </w:r>
      <w:r w:rsidRPr="00316F0D">
        <w:t>most suitable formulation</w:t>
      </w:r>
      <w:r>
        <w:t xml:space="preserve"> of the </w:t>
      </w:r>
      <w:r w:rsidR="00F96AB1">
        <w:t xml:space="preserve">TK and TCEs </w:t>
      </w:r>
      <w:r>
        <w:t xml:space="preserve">texts for the IGC’s consideration.  </w:t>
      </w:r>
    </w:p>
    <w:p w14:paraId="518177A1" w14:textId="77777777" w:rsidR="005B5FE0" w:rsidRDefault="005B5FE0" w:rsidP="005859B5"/>
    <w:p w14:paraId="02378276" w14:textId="77777777" w:rsidR="00E77050" w:rsidRPr="000411A6" w:rsidRDefault="00E77050" w:rsidP="00E77050">
      <w:pPr>
        <w:outlineLvl w:val="0"/>
        <w:rPr>
          <w:b/>
        </w:rPr>
      </w:pPr>
      <w:r w:rsidRPr="000411A6">
        <w:rPr>
          <w:b/>
        </w:rPr>
        <w:t xml:space="preserve">Useful resources </w:t>
      </w:r>
    </w:p>
    <w:p w14:paraId="2694A0EA" w14:textId="77777777" w:rsidR="00E77050" w:rsidRDefault="00E77050" w:rsidP="00E77050"/>
    <w:p w14:paraId="2EEE05C1" w14:textId="60520C38" w:rsidR="00E77050" w:rsidRDefault="00E77050" w:rsidP="00E77050">
      <w:r>
        <w:fldChar w:fldCharType="begin"/>
      </w:r>
      <w:r>
        <w:instrText xml:space="preserve"> AUTONUM  </w:instrText>
      </w:r>
      <w:r>
        <w:fldChar w:fldCharType="end"/>
      </w:r>
      <w:r>
        <w:tab/>
        <w:t>T</w:t>
      </w:r>
      <w:r w:rsidRPr="00000A0A">
        <w:t xml:space="preserve">here are some useful resources available on the WIPO </w:t>
      </w:r>
      <w:r w:rsidR="00A07739" w:rsidRPr="00000A0A">
        <w:t>website, which</w:t>
      </w:r>
      <w:r w:rsidRPr="00000A0A">
        <w:t xml:space="preserve"> </w:t>
      </w:r>
      <w:r>
        <w:t xml:space="preserve">the </w:t>
      </w:r>
      <w:r w:rsidRPr="00E77050">
        <w:rPr>
          <w:i/>
        </w:rPr>
        <w:t>ad hoc</w:t>
      </w:r>
      <w:r>
        <w:t xml:space="preserve"> expert group </w:t>
      </w:r>
      <w:r w:rsidRPr="00000A0A">
        <w:t>may wish to use as reference materials</w:t>
      </w:r>
      <w:r>
        <w:t>, such as:</w:t>
      </w:r>
    </w:p>
    <w:p w14:paraId="3453A87C" w14:textId="59BF7E80" w:rsidR="00CE1AD8" w:rsidRPr="00BD16F8" w:rsidRDefault="00CE1AD8" w:rsidP="00CE1AD8">
      <w:pPr>
        <w:pStyle w:val="ListParagraph"/>
      </w:pPr>
    </w:p>
    <w:p w14:paraId="3BCCFD8C" w14:textId="7CADD47B" w:rsidR="00DC20FA" w:rsidRDefault="00DC20FA" w:rsidP="00E132A1">
      <w:pPr>
        <w:pStyle w:val="ListParagraph"/>
        <w:numPr>
          <w:ilvl w:val="0"/>
          <w:numId w:val="19"/>
        </w:numPr>
      </w:pPr>
      <w:r w:rsidRPr="00BD16F8">
        <w:t>W</w:t>
      </w:r>
      <w:r w:rsidR="00E132A1">
        <w:t>IPO/GRTKF/IC/46</w:t>
      </w:r>
      <w:r>
        <w:t>/4</w:t>
      </w:r>
      <w:r w:rsidRPr="00BD16F8">
        <w:t xml:space="preserve">, </w:t>
      </w:r>
      <w:r w:rsidRPr="00DC20FA">
        <w:t xml:space="preserve">The Protection of Traditional Knowledge: </w:t>
      </w:r>
      <w:r>
        <w:t xml:space="preserve"> </w:t>
      </w:r>
      <w:r w:rsidRPr="00DC20FA">
        <w:t>Draft Articles</w:t>
      </w:r>
      <w:r>
        <w:t>,</w:t>
      </w:r>
      <w:r w:rsidR="00E132A1" w:rsidRPr="00E132A1">
        <w:t xml:space="preserve"> </w:t>
      </w:r>
      <w:hyperlink r:id="rId9" w:history="1">
        <w:r w:rsidR="00E132A1" w:rsidRPr="00B671B2">
          <w:rPr>
            <w:rStyle w:val="Hyperlink"/>
          </w:rPr>
          <w:t>https://www.wipo.int/meetings/en/doc_details.jsp?doc_id=595651</w:t>
        </w:r>
      </w:hyperlink>
      <w:r>
        <w:t>;</w:t>
      </w:r>
      <w:r w:rsidR="00E132A1">
        <w:t xml:space="preserve"> </w:t>
      </w:r>
      <w:r w:rsidR="0007215C">
        <w:t xml:space="preserve"> </w:t>
      </w:r>
    </w:p>
    <w:p w14:paraId="06A11501" w14:textId="77777777" w:rsidR="00DC20FA" w:rsidRDefault="00DC20FA" w:rsidP="00DC20FA">
      <w:pPr>
        <w:pStyle w:val="ListParagraph"/>
      </w:pPr>
    </w:p>
    <w:p w14:paraId="599B8A08" w14:textId="33BD77D5" w:rsidR="00DC20FA" w:rsidRDefault="00DC20FA" w:rsidP="00E132A1">
      <w:pPr>
        <w:pStyle w:val="ListParagraph"/>
        <w:numPr>
          <w:ilvl w:val="0"/>
          <w:numId w:val="19"/>
        </w:numPr>
      </w:pPr>
      <w:r w:rsidRPr="00BD16F8">
        <w:lastRenderedPageBreak/>
        <w:t>W</w:t>
      </w:r>
      <w:r w:rsidR="00E132A1">
        <w:t>IPO/GRTKF/IC/46</w:t>
      </w:r>
      <w:r>
        <w:t>/5</w:t>
      </w:r>
      <w:r w:rsidRPr="00BD16F8">
        <w:t xml:space="preserve">, </w:t>
      </w:r>
      <w:r w:rsidRPr="00DC20FA">
        <w:t xml:space="preserve">The Protection of Traditional Cultural Expressions: </w:t>
      </w:r>
      <w:r>
        <w:t xml:space="preserve"> </w:t>
      </w:r>
      <w:r w:rsidRPr="00DC20FA">
        <w:t>Draft Articles</w:t>
      </w:r>
      <w:r>
        <w:t>,</w:t>
      </w:r>
      <w:r w:rsidR="00E132A1" w:rsidRPr="00E132A1">
        <w:t xml:space="preserve"> </w:t>
      </w:r>
      <w:hyperlink r:id="rId10" w:history="1">
        <w:r w:rsidR="00E132A1" w:rsidRPr="00B671B2">
          <w:rPr>
            <w:rStyle w:val="Hyperlink"/>
          </w:rPr>
          <w:t>https://www.wipo.int/meetings/en/doc_details.jsp?doc_id=595653</w:t>
        </w:r>
      </w:hyperlink>
      <w:r>
        <w:t>;</w:t>
      </w:r>
      <w:r w:rsidR="00E132A1">
        <w:t xml:space="preserve"> </w:t>
      </w:r>
      <w:r w:rsidR="0007215C">
        <w:t xml:space="preserve"> </w:t>
      </w:r>
    </w:p>
    <w:p w14:paraId="7E7D8EB3" w14:textId="77777777" w:rsidR="00DC20FA" w:rsidRDefault="00DC20FA" w:rsidP="00DC20FA">
      <w:pPr>
        <w:pStyle w:val="ListParagraph"/>
      </w:pPr>
    </w:p>
    <w:p w14:paraId="08737218" w14:textId="06AAF7AE" w:rsidR="00E77050" w:rsidRPr="00BD16F8" w:rsidRDefault="000F2E91" w:rsidP="00E132A1">
      <w:pPr>
        <w:pStyle w:val="ListParagraph"/>
        <w:numPr>
          <w:ilvl w:val="0"/>
          <w:numId w:val="19"/>
        </w:numPr>
      </w:pPr>
      <w:r w:rsidRPr="00BD16F8">
        <w:t>W</w:t>
      </w:r>
      <w:r w:rsidR="00E132A1">
        <w:t>IPO/GRTKF/IC/46</w:t>
      </w:r>
      <w:r w:rsidR="00E77050" w:rsidRPr="00BD16F8">
        <w:t>/6, The Protection of Traditional Knowledge:  Updated Draft Gap Analysis,</w:t>
      </w:r>
      <w:r w:rsidR="00E132A1" w:rsidRPr="00E132A1">
        <w:t xml:space="preserve"> </w:t>
      </w:r>
      <w:hyperlink r:id="rId11" w:history="1">
        <w:r w:rsidR="00E132A1" w:rsidRPr="00B671B2">
          <w:rPr>
            <w:rStyle w:val="Hyperlink"/>
          </w:rPr>
          <w:t>https://www.wipo.int/meetings/en/doc_details.jsp?doc_id=595573</w:t>
        </w:r>
      </w:hyperlink>
      <w:r w:rsidR="00E77050" w:rsidRPr="00BD16F8">
        <w:t>;</w:t>
      </w:r>
      <w:r w:rsidR="00E132A1">
        <w:t xml:space="preserve"> </w:t>
      </w:r>
      <w:r w:rsidR="0007215C">
        <w:t xml:space="preserve"> </w:t>
      </w:r>
    </w:p>
    <w:p w14:paraId="4FECBC6A" w14:textId="77777777" w:rsidR="00E77050" w:rsidRPr="00BD16F8" w:rsidRDefault="00E77050" w:rsidP="00E77050">
      <w:pPr>
        <w:pStyle w:val="ListParagraph"/>
      </w:pPr>
    </w:p>
    <w:p w14:paraId="4805031A" w14:textId="67EC84C2" w:rsidR="00E77050" w:rsidRPr="00BD16F8" w:rsidRDefault="00E132A1" w:rsidP="00E132A1">
      <w:pPr>
        <w:pStyle w:val="ListParagraph"/>
        <w:numPr>
          <w:ilvl w:val="0"/>
          <w:numId w:val="19"/>
        </w:numPr>
      </w:pPr>
      <w:r>
        <w:t>WIPO/GRTKF/IC/46</w:t>
      </w:r>
      <w:r w:rsidR="00E77050" w:rsidRPr="00BD16F8">
        <w:t>/7, The Protection of Traditional Cultural Expressions:  Updated Draft Gap Analysis,</w:t>
      </w:r>
      <w:r w:rsidRPr="00E132A1">
        <w:t xml:space="preserve"> </w:t>
      </w:r>
      <w:hyperlink r:id="rId12" w:history="1">
        <w:r w:rsidRPr="00B671B2">
          <w:rPr>
            <w:rStyle w:val="Hyperlink"/>
          </w:rPr>
          <w:t>https://www.wipo.int/meetings/en/doc_details.jsp?doc_id=595591</w:t>
        </w:r>
      </w:hyperlink>
      <w:r w:rsidR="00E77050" w:rsidRPr="00BD16F8">
        <w:t>;</w:t>
      </w:r>
      <w:r>
        <w:t xml:space="preserve"> </w:t>
      </w:r>
      <w:r w:rsidR="0007215C">
        <w:t xml:space="preserve"> </w:t>
      </w:r>
      <w:r w:rsidR="00BD16F8" w:rsidRPr="00BD16F8">
        <w:t xml:space="preserve"> </w:t>
      </w:r>
      <w:r>
        <w:t xml:space="preserve"> </w:t>
      </w:r>
    </w:p>
    <w:p w14:paraId="0354D910" w14:textId="77777777" w:rsidR="00E77050" w:rsidRPr="00BD16F8" w:rsidRDefault="00E77050" w:rsidP="00E77050">
      <w:pPr>
        <w:pStyle w:val="ListParagraph"/>
      </w:pPr>
    </w:p>
    <w:p w14:paraId="6917DB67" w14:textId="77ADE94E" w:rsidR="00E77050" w:rsidRPr="00BD16F8" w:rsidRDefault="00E77050" w:rsidP="00E77050">
      <w:pPr>
        <w:pStyle w:val="ListParagraph"/>
        <w:numPr>
          <w:ilvl w:val="0"/>
          <w:numId w:val="19"/>
        </w:numPr>
      </w:pPr>
      <w:r w:rsidRPr="00BD16F8">
        <w:t xml:space="preserve">WIPO/GRTKF/IC/17/INF/8, Note on the Meanings of the Term “Public Domain” in the Intellectual Property System with Special Reference to the Protection of Traditional Knowledge and Traditional Cultural Expressions/Expressions of Folklore, </w:t>
      </w:r>
      <w:hyperlink r:id="rId13" w:history="1">
        <w:r w:rsidR="00BD16F8" w:rsidRPr="0007215C">
          <w:rPr>
            <w:rStyle w:val="Hyperlink"/>
            <w:color w:val="0000FF"/>
          </w:rPr>
          <w:t>https://www.wipo.int/meetings/en/doc_details.jsp?doc_id=149213</w:t>
        </w:r>
      </w:hyperlink>
      <w:r w:rsidRPr="00BD16F8">
        <w:t>;</w:t>
      </w:r>
      <w:r w:rsidR="0007215C">
        <w:t xml:space="preserve"> </w:t>
      </w:r>
    </w:p>
    <w:p w14:paraId="5348FF25" w14:textId="77777777" w:rsidR="00E77050" w:rsidRDefault="00E77050" w:rsidP="00E77050">
      <w:pPr>
        <w:pStyle w:val="ListParagraph"/>
      </w:pPr>
    </w:p>
    <w:p w14:paraId="32712188" w14:textId="65DC4594" w:rsidR="00E77050" w:rsidRPr="00BD16F8" w:rsidRDefault="00E77050" w:rsidP="00E77050">
      <w:pPr>
        <w:pStyle w:val="ListParagraph"/>
        <w:numPr>
          <w:ilvl w:val="0"/>
          <w:numId w:val="19"/>
        </w:numPr>
      </w:pPr>
      <w:r>
        <w:t xml:space="preserve">WIPO/GRTKF/IC/17/INF/9, List and Brief Technical Explanation of Various Forms in </w:t>
      </w:r>
      <w:r w:rsidRPr="00BD16F8">
        <w:t xml:space="preserve">Which Traditional Knowledge May Be Found, </w:t>
      </w:r>
      <w:hyperlink r:id="rId14" w:history="1">
        <w:r w:rsidR="00BD16F8" w:rsidRPr="0007215C">
          <w:rPr>
            <w:rStyle w:val="Hyperlink"/>
            <w:color w:val="0000FF"/>
          </w:rPr>
          <w:t>https://www.wipo.int/meetings/en/doc_details.jsp?doc_id=147152</w:t>
        </w:r>
      </w:hyperlink>
      <w:r w:rsidRPr="00BD16F8">
        <w:t>;</w:t>
      </w:r>
      <w:r w:rsidR="0007215C">
        <w:t xml:space="preserve"> </w:t>
      </w:r>
    </w:p>
    <w:p w14:paraId="3920383F" w14:textId="77777777" w:rsidR="00E77050" w:rsidRPr="00BD16F8" w:rsidRDefault="00E77050" w:rsidP="00E77050">
      <w:pPr>
        <w:pStyle w:val="ListParagraph"/>
      </w:pPr>
    </w:p>
    <w:p w14:paraId="37FA1A89" w14:textId="181603D4" w:rsidR="00E132A1" w:rsidRDefault="00E132A1" w:rsidP="00E132A1">
      <w:pPr>
        <w:pStyle w:val="ListParagraph"/>
        <w:numPr>
          <w:ilvl w:val="0"/>
          <w:numId w:val="19"/>
        </w:numPr>
      </w:pPr>
      <w:r w:rsidRPr="00E132A1">
        <w:t>Customary Law, Traditional Knowledge and Intellectual Property: An Outline of the Issues</w:t>
      </w:r>
    </w:p>
    <w:p w14:paraId="070E77E8" w14:textId="4E661C80" w:rsidR="00E132A1" w:rsidRDefault="00792A46" w:rsidP="00E132A1">
      <w:pPr>
        <w:pStyle w:val="ListParagraph"/>
      </w:pPr>
      <w:hyperlink r:id="rId15" w:history="1">
        <w:r w:rsidR="00E132A1" w:rsidRPr="00B671B2">
          <w:rPr>
            <w:rStyle w:val="Hyperlink"/>
          </w:rPr>
          <w:t>https://www.wipo.int/export/sites/www/tk/en/resources/pdf/overview_customary_law.pdf</w:t>
        </w:r>
      </w:hyperlink>
    </w:p>
    <w:p w14:paraId="120FAB6F" w14:textId="77777777" w:rsidR="00E132A1" w:rsidRDefault="00E132A1" w:rsidP="00E132A1">
      <w:pPr>
        <w:pStyle w:val="ListParagraph"/>
      </w:pPr>
    </w:p>
    <w:p w14:paraId="241A9A90" w14:textId="3E603D42" w:rsidR="00E77050" w:rsidRPr="00BD16F8" w:rsidRDefault="00E77050" w:rsidP="00E77050">
      <w:pPr>
        <w:pStyle w:val="ListParagraph"/>
        <w:numPr>
          <w:ilvl w:val="0"/>
          <w:numId w:val="19"/>
        </w:numPr>
      </w:pPr>
      <w:r w:rsidRPr="00BD16F8">
        <w:t xml:space="preserve">Regional, National, Local and Community Experiences, </w:t>
      </w:r>
      <w:hyperlink r:id="rId16" w:history="1">
        <w:r w:rsidR="00BD16F8" w:rsidRPr="0007215C">
          <w:rPr>
            <w:rStyle w:val="Hyperlink"/>
            <w:color w:val="0000FF"/>
          </w:rPr>
          <w:t>https://www.wipo.int/tk/en/resources/tk_experiences.html</w:t>
        </w:r>
      </w:hyperlink>
      <w:r w:rsidRPr="00BD16F8">
        <w:t>;</w:t>
      </w:r>
      <w:r w:rsidR="00BD16F8" w:rsidRPr="00BD16F8">
        <w:t xml:space="preserve"> </w:t>
      </w:r>
    </w:p>
    <w:p w14:paraId="2BA83957" w14:textId="77777777" w:rsidR="00E77050" w:rsidRPr="00BD16F8" w:rsidRDefault="00E77050" w:rsidP="00E77050"/>
    <w:p w14:paraId="6FAC8CD4" w14:textId="0D1ACFE4" w:rsidR="00E77050" w:rsidRPr="00BD16F8" w:rsidRDefault="00E77050" w:rsidP="00E77050">
      <w:pPr>
        <w:pStyle w:val="ListParagraph"/>
        <w:numPr>
          <w:ilvl w:val="0"/>
          <w:numId w:val="19"/>
        </w:numPr>
      </w:pPr>
      <w:r w:rsidRPr="00BD16F8">
        <w:t xml:space="preserve">Lectures and presentations on the selected topics, </w:t>
      </w:r>
      <w:hyperlink r:id="rId17" w:anchor="4" w:history="1">
        <w:r w:rsidR="00BD16F8" w:rsidRPr="0007215C">
          <w:rPr>
            <w:rStyle w:val="Hyperlink"/>
            <w:color w:val="0000FF"/>
          </w:rPr>
          <w:t>https://www.wipo.int/tk/en/resources/tk_experiences.html#4</w:t>
        </w:r>
      </w:hyperlink>
      <w:r w:rsidRPr="00BD16F8">
        <w:t>.</w:t>
      </w:r>
      <w:r w:rsidR="0007215C">
        <w:t xml:space="preserve"> </w:t>
      </w:r>
    </w:p>
    <w:p w14:paraId="49A39322" w14:textId="77777777" w:rsidR="00E77050" w:rsidRDefault="00E77050" w:rsidP="00E77050"/>
    <w:p w14:paraId="23504B68" w14:textId="77777777" w:rsidR="00816717" w:rsidRDefault="00816717" w:rsidP="000D4BD5"/>
    <w:p w14:paraId="5A699644" w14:textId="77777777" w:rsidR="000D4BD5" w:rsidRDefault="000D4BD5" w:rsidP="000D4BD5">
      <w:pPr>
        <w:ind w:left="5760"/>
      </w:pPr>
      <w:r>
        <w:t>[End of document]</w:t>
      </w:r>
    </w:p>
    <w:sectPr w:rsidR="000D4BD5" w:rsidSect="00267117">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1791A" w16cid:durableId="2019030B"/>
  <w16cid:commentId w16cid:paraId="7690DF21" w16cid:durableId="201901A7"/>
  <w16cid:commentId w16cid:paraId="41603091" w16cid:durableId="201903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F8042" w14:textId="77777777" w:rsidR="001A1782" w:rsidRDefault="001A1782">
      <w:r>
        <w:separator/>
      </w:r>
    </w:p>
  </w:endnote>
  <w:endnote w:type="continuationSeparator" w:id="0">
    <w:p w14:paraId="75777932" w14:textId="77777777" w:rsidR="001A1782" w:rsidRDefault="001A1782" w:rsidP="003B38C1">
      <w:r>
        <w:separator/>
      </w:r>
    </w:p>
    <w:p w14:paraId="03716E93" w14:textId="77777777" w:rsidR="001A1782" w:rsidRPr="003B38C1" w:rsidRDefault="001A1782" w:rsidP="003B38C1">
      <w:pPr>
        <w:spacing w:after="60"/>
        <w:rPr>
          <w:sz w:val="17"/>
        </w:rPr>
      </w:pPr>
      <w:r>
        <w:rPr>
          <w:sz w:val="17"/>
        </w:rPr>
        <w:t>[Endnote continued from previous page]</w:t>
      </w:r>
    </w:p>
  </w:endnote>
  <w:endnote w:type="continuationNotice" w:id="1">
    <w:p w14:paraId="239EEE8C" w14:textId="77777777" w:rsidR="001A1782" w:rsidRPr="003B38C1" w:rsidRDefault="001A17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0A6D" w14:textId="77777777" w:rsidR="00466271" w:rsidRDefault="00466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831B" w14:textId="77777777" w:rsidR="00466271" w:rsidRDefault="00466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575B" w14:textId="77777777" w:rsidR="00466271" w:rsidRDefault="00466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9FDC2" w14:textId="77777777" w:rsidR="001A1782" w:rsidRDefault="001A1782">
      <w:r>
        <w:separator/>
      </w:r>
    </w:p>
  </w:footnote>
  <w:footnote w:type="continuationSeparator" w:id="0">
    <w:p w14:paraId="3AAD9B79" w14:textId="77777777" w:rsidR="001A1782" w:rsidRDefault="001A1782" w:rsidP="008B60B2">
      <w:r>
        <w:separator/>
      </w:r>
    </w:p>
    <w:p w14:paraId="31324C12" w14:textId="77777777" w:rsidR="001A1782" w:rsidRPr="00ED77FB" w:rsidRDefault="001A1782" w:rsidP="008B60B2">
      <w:pPr>
        <w:spacing w:after="60"/>
        <w:rPr>
          <w:sz w:val="17"/>
          <w:szCs w:val="17"/>
        </w:rPr>
      </w:pPr>
      <w:r w:rsidRPr="00ED77FB">
        <w:rPr>
          <w:sz w:val="17"/>
          <w:szCs w:val="17"/>
        </w:rPr>
        <w:t>[Footnote continued from previous page]</w:t>
      </w:r>
    </w:p>
  </w:footnote>
  <w:footnote w:type="continuationNotice" w:id="1">
    <w:p w14:paraId="346AEB30" w14:textId="77777777" w:rsidR="001A1782" w:rsidRPr="00ED77FB" w:rsidRDefault="001A1782" w:rsidP="008B60B2">
      <w:pPr>
        <w:spacing w:before="60"/>
        <w:jc w:val="right"/>
        <w:rPr>
          <w:sz w:val="17"/>
          <w:szCs w:val="17"/>
        </w:rPr>
      </w:pPr>
      <w:r w:rsidRPr="00ED77FB">
        <w:rPr>
          <w:sz w:val="17"/>
          <w:szCs w:val="17"/>
        </w:rPr>
        <w:t>[Footnote continued on next page]</w:t>
      </w:r>
    </w:p>
  </w:footnote>
  <w:footnote w:id="2">
    <w:p w14:paraId="3A4FF54C" w14:textId="77777777" w:rsidR="007919DA" w:rsidRPr="00C925E2" w:rsidRDefault="007919DA" w:rsidP="007919DA">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Protection Rights over Traditional Knowledge: Implications of Customary Laws and Practices, Research Planning Workshop, Cusco, Peru, 20-25 </w:t>
      </w:r>
      <w:proofErr w:type="gramStart"/>
      <w:r w:rsidRPr="00C925E2">
        <w:rPr>
          <w:szCs w:val="18"/>
        </w:rPr>
        <w:t>May,</w:t>
      </w:r>
      <w:proofErr w:type="gramEnd"/>
      <w:r w:rsidRPr="00C925E2">
        <w:rPr>
          <w:szCs w:val="18"/>
        </w:rPr>
        <w:t xml:space="preserv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3EA8" w14:textId="03F8B161" w:rsidR="00267117" w:rsidRPr="00750AD4" w:rsidRDefault="00267117" w:rsidP="00267117">
    <w:pPr>
      <w:jc w:val="right"/>
      <w:rPr>
        <w:lang w:val="fr-CH"/>
      </w:rPr>
    </w:pPr>
    <w:r w:rsidRPr="00F15FAA">
      <w:rPr>
        <w:lang w:val="fr-CH"/>
      </w:rPr>
      <w:t>WIPO/IPTK</w:t>
    </w:r>
    <w:r w:rsidR="004663FC">
      <w:rPr>
        <w:lang w:val="fr-CH"/>
      </w:rPr>
      <w:t>-TCES</w:t>
    </w:r>
    <w:r w:rsidRPr="00F15FAA">
      <w:rPr>
        <w:lang w:val="fr-CH"/>
      </w:rPr>
      <w:t>/</w:t>
    </w:r>
    <w:r w:rsidR="001662C2">
      <w:rPr>
        <w:lang w:val="fr-CH"/>
      </w:rPr>
      <w:t>GE/23</w:t>
    </w:r>
    <w:r w:rsidR="00CD49DE" w:rsidRPr="00F15FAA">
      <w:rPr>
        <w:lang w:val="fr-CH"/>
      </w:rPr>
      <w:t>/2</w:t>
    </w:r>
  </w:p>
  <w:p w14:paraId="7F1C86CC" w14:textId="23A506AD" w:rsidR="00267117" w:rsidRPr="00750AD4" w:rsidRDefault="00267117" w:rsidP="00267117">
    <w:pPr>
      <w:jc w:val="right"/>
      <w:rPr>
        <w:lang w:val="fr-CH"/>
      </w:rPr>
    </w:pPr>
    <w:r w:rsidRPr="00750AD4">
      <w:rPr>
        <w:lang w:val="fr-CH"/>
      </w:rPr>
      <w:t xml:space="preserve">page </w:t>
    </w:r>
    <w:r>
      <w:fldChar w:fldCharType="begin"/>
    </w:r>
    <w:r w:rsidRPr="00750AD4">
      <w:rPr>
        <w:lang w:val="fr-CH"/>
      </w:rPr>
      <w:instrText xml:space="preserve"> PAGE  \* MERGEFORMAT </w:instrText>
    </w:r>
    <w:r>
      <w:fldChar w:fldCharType="separate"/>
    </w:r>
    <w:r w:rsidR="00792A46">
      <w:rPr>
        <w:noProof/>
        <w:lang w:val="fr-CH"/>
      </w:rPr>
      <w:t>4</w:t>
    </w:r>
    <w:r>
      <w:fldChar w:fldCharType="end"/>
    </w:r>
  </w:p>
  <w:p w14:paraId="046C432A" w14:textId="77777777" w:rsidR="00267117" w:rsidRPr="00750AD4" w:rsidRDefault="00267117" w:rsidP="00267117">
    <w:pPr>
      <w:jc w:val="right"/>
      <w:rPr>
        <w:lang w:val="fr-CH"/>
      </w:rPr>
    </w:pPr>
  </w:p>
  <w:p w14:paraId="485949E5" w14:textId="77777777" w:rsidR="00267117" w:rsidRPr="00750AD4" w:rsidRDefault="00267117" w:rsidP="00267117">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AC97" w14:textId="7F830799" w:rsidR="00EC4E49" w:rsidRPr="00750AD4" w:rsidRDefault="000D4BD5" w:rsidP="00477D6B">
    <w:pPr>
      <w:jc w:val="right"/>
      <w:rPr>
        <w:lang w:val="fr-CH"/>
      </w:rPr>
    </w:pPr>
    <w:r w:rsidRPr="0007215C">
      <w:rPr>
        <w:lang w:val="fr-CH"/>
      </w:rPr>
      <w:t>W</w:t>
    </w:r>
    <w:r w:rsidR="007C48E8" w:rsidRPr="0007215C">
      <w:rPr>
        <w:lang w:val="fr-CH"/>
      </w:rPr>
      <w:t>IPO/IPTK</w:t>
    </w:r>
    <w:r w:rsidR="0007215C">
      <w:rPr>
        <w:lang w:val="fr-CH"/>
      </w:rPr>
      <w:t>-TCES</w:t>
    </w:r>
    <w:r w:rsidR="007C48E8" w:rsidRPr="0007215C">
      <w:rPr>
        <w:lang w:val="fr-CH"/>
      </w:rPr>
      <w:t>/</w:t>
    </w:r>
    <w:r w:rsidR="00D62E7C" w:rsidRPr="0007215C">
      <w:rPr>
        <w:lang w:val="fr-CH"/>
      </w:rPr>
      <w:t>GE/22/2</w:t>
    </w:r>
  </w:p>
  <w:p w14:paraId="301BE683" w14:textId="66B51B96" w:rsidR="00EC4E49" w:rsidRPr="00750AD4" w:rsidRDefault="00EC4E49" w:rsidP="00477D6B">
    <w:pPr>
      <w:jc w:val="right"/>
      <w:rPr>
        <w:lang w:val="fr-CH"/>
      </w:rPr>
    </w:pPr>
    <w:r w:rsidRPr="00750AD4">
      <w:rPr>
        <w:lang w:val="fr-CH"/>
      </w:rPr>
      <w:t xml:space="preserve">page </w:t>
    </w:r>
    <w:r>
      <w:fldChar w:fldCharType="begin"/>
    </w:r>
    <w:r w:rsidRPr="00750AD4">
      <w:rPr>
        <w:lang w:val="fr-CH"/>
      </w:rPr>
      <w:instrText xml:space="preserve"> PAGE  \* MERGEFORMAT </w:instrText>
    </w:r>
    <w:r>
      <w:fldChar w:fldCharType="separate"/>
    </w:r>
    <w:r w:rsidR="00792A46">
      <w:rPr>
        <w:noProof/>
        <w:lang w:val="fr-CH"/>
      </w:rPr>
      <w:t>3</w:t>
    </w:r>
    <w:r>
      <w:fldChar w:fldCharType="end"/>
    </w:r>
  </w:p>
  <w:p w14:paraId="3966F845" w14:textId="77777777" w:rsidR="00EC4E49" w:rsidRPr="00750AD4" w:rsidRDefault="00EC4E49" w:rsidP="00477D6B">
    <w:pPr>
      <w:jc w:val="right"/>
      <w:rPr>
        <w:lang w:val="fr-CH"/>
      </w:rPr>
    </w:pPr>
  </w:p>
  <w:p w14:paraId="3E4F5040" w14:textId="77777777" w:rsidR="008A134B" w:rsidRPr="00750AD4" w:rsidRDefault="008A134B"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2C1E" w14:textId="77777777" w:rsidR="00466271" w:rsidRDefault="00466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0F0E9C"/>
    <w:multiLevelType w:val="hybridMultilevel"/>
    <w:tmpl w:val="34F4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430170"/>
    <w:multiLevelType w:val="hybridMultilevel"/>
    <w:tmpl w:val="CB680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044BF"/>
    <w:multiLevelType w:val="hybridMultilevel"/>
    <w:tmpl w:val="B59A5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06F67"/>
    <w:multiLevelType w:val="hybridMultilevel"/>
    <w:tmpl w:val="273C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357071B"/>
    <w:multiLevelType w:val="hybridMultilevel"/>
    <w:tmpl w:val="B2F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40A71"/>
    <w:multiLevelType w:val="hybridMultilevel"/>
    <w:tmpl w:val="8BC20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5404D3"/>
    <w:multiLevelType w:val="hybridMultilevel"/>
    <w:tmpl w:val="79BE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52BCA"/>
    <w:multiLevelType w:val="hybridMultilevel"/>
    <w:tmpl w:val="542E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47C86"/>
    <w:multiLevelType w:val="hybridMultilevel"/>
    <w:tmpl w:val="E46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65187"/>
    <w:multiLevelType w:val="hybridMultilevel"/>
    <w:tmpl w:val="C866864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730247"/>
    <w:multiLevelType w:val="hybridMultilevel"/>
    <w:tmpl w:val="10AE60B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15:restartNumberingAfterBreak="0">
    <w:nsid w:val="3D8317F8"/>
    <w:multiLevelType w:val="hybridMultilevel"/>
    <w:tmpl w:val="97C04836"/>
    <w:lvl w:ilvl="0" w:tplc="94FE7FF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4410B"/>
    <w:multiLevelType w:val="hybridMultilevel"/>
    <w:tmpl w:val="1840C94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30D048F"/>
    <w:multiLevelType w:val="hybridMultilevel"/>
    <w:tmpl w:val="06568D42"/>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4328111E"/>
    <w:multiLevelType w:val="hybridMultilevel"/>
    <w:tmpl w:val="CB6ECA5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0E0D81"/>
    <w:multiLevelType w:val="hybridMultilevel"/>
    <w:tmpl w:val="6B4E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512A0F"/>
    <w:multiLevelType w:val="hybridMultilevel"/>
    <w:tmpl w:val="5E7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A39B1"/>
    <w:multiLevelType w:val="hybridMultilevel"/>
    <w:tmpl w:val="E32C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91F7C"/>
    <w:multiLevelType w:val="hybridMultilevel"/>
    <w:tmpl w:val="02C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04638"/>
    <w:multiLevelType w:val="hybridMultilevel"/>
    <w:tmpl w:val="2CF0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235D38"/>
    <w:multiLevelType w:val="hybridMultilevel"/>
    <w:tmpl w:val="E26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3491C"/>
    <w:multiLevelType w:val="hybridMultilevel"/>
    <w:tmpl w:val="D210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3404D"/>
    <w:multiLevelType w:val="hybridMultilevel"/>
    <w:tmpl w:val="F738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127EF"/>
    <w:multiLevelType w:val="hybridMultilevel"/>
    <w:tmpl w:val="8280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32C52"/>
    <w:multiLevelType w:val="hybridMultilevel"/>
    <w:tmpl w:val="23C8386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EC25B6"/>
    <w:multiLevelType w:val="hybridMultilevel"/>
    <w:tmpl w:val="D746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A5D86"/>
    <w:multiLevelType w:val="hybridMultilevel"/>
    <w:tmpl w:val="1E389E36"/>
    <w:lvl w:ilvl="0" w:tplc="DFD6BAF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B187D"/>
    <w:multiLevelType w:val="hybridMultilevel"/>
    <w:tmpl w:val="5CF2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71512"/>
    <w:multiLevelType w:val="hybridMultilevel"/>
    <w:tmpl w:val="295A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666A3"/>
    <w:multiLevelType w:val="hybridMultilevel"/>
    <w:tmpl w:val="BE9048EA"/>
    <w:lvl w:ilvl="0" w:tplc="DFD6BAF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04EAA"/>
    <w:multiLevelType w:val="hybridMultilevel"/>
    <w:tmpl w:val="F49A5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1"/>
  </w:num>
  <w:num w:numId="3">
    <w:abstractNumId w:val="0"/>
  </w:num>
  <w:num w:numId="4">
    <w:abstractNumId w:val="26"/>
  </w:num>
  <w:num w:numId="5">
    <w:abstractNumId w:val="2"/>
  </w:num>
  <w:num w:numId="6">
    <w:abstractNumId w:val="8"/>
  </w:num>
  <w:num w:numId="7">
    <w:abstractNumId w:val="22"/>
  </w:num>
  <w:num w:numId="8">
    <w:abstractNumId w:val="16"/>
  </w:num>
  <w:num w:numId="9">
    <w:abstractNumId w:val="18"/>
  </w:num>
  <w:num w:numId="10">
    <w:abstractNumId w:val="19"/>
  </w:num>
  <w:num w:numId="11">
    <w:abstractNumId w:val="14"/>
  </w:num>
  <w:num w:numId="12">
    <w:abstractNumId w:val="24"/>
  </w:num>
  <w:num w:numId="13">
    <w:abstractNumId w:val="27"/>
  </w:num>
  <w:num w:numId="14">
    <w:abstractNumId w:val="29"/>
  </w:num>
  <w:num w:numId="15">
    <w:abstractNumId w:val="34"/>
  </w:num>
  <w:num w:numId="16">
    <w:abstractNumId w:val="13"/>
  </w:num>
  <w:num w:numId="17">
    <w:abstractNumId w:val="30"/>
  </w:num>
  <w:num w:numId="18">
    <w:abstractNumId w:val="17"/>
  </w:num>
  <w:num w:numId="19">
    <w:abstractNumId w:val="5"/>
  </w:num>
  <w:num w:numId="20">
    <w:abstractNumId w:val="11"/>
  </w:num>
  <w:num w:numId="21">
    <w:abstractNumId w:val="3"/>
  </w:num>
  <w:num w:numId="22">
    <w:abstractNumId w:val="9"/>
  </w:num>
  <w:num w:numId="23">
    <w:abstractNumId w:val="32"/>
  </w:num>
  <w:num w:numId="24">
    <w:abstractNumId w:val="20"/>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25"/>
  </w:num>
  <w:num w:numId="28">
    <w:abstractNumId w:val="4"/>
  </w:num>
  <w:num w:numId="29">
    <w:abstractNumId w:val="23"/>
  </w:num>
  <w:num w:numId="30">
    <w:abstractNumId w:val="33"/>
  </w:num>
  <w:num w:numId="31">
    <w:abstractNumId w:val="15"/>
  </w:num>
  <w:num w:numId="32">
    <w:abstractNumId w:val="36"/>
  </w:num>
  <w:num w:numId="33">
    <w:abstractNumId w:val="37"/>
  </w:num>
  <w:num w:numId="34">
    <w:abstractNumId w:val="28"/>
  </w:num>
  <w:num w:numId="35">
    <w:abstractNumId w:val="6"/>
  </w:num>
  <w:num w:numId="36">
    <w:abstractNumId w:val="35"/>
  </w:num>
  <w:num w:numId="37">
    <w:abstractNumId w:val="1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5"/>
    <w:rsid w:val="00003BD6"/>
    <w:rsid w:val="00012180"/>
    <w:rsid w:val="0001278A"/>
    <w:rsid w:val="00024041"/>
    <w:rsid w:val="00031920"/>
    <w:rsid w:val="00033185"/>
    <w:rsid w:val="00036321"/>
    <w:rsid w:val="000411A6"/>
    <w:rsid w:val="00043CAA"/>
    <w:rsid w:val="000443E8"/>
    <w:rsid w:val="000611EE"/>
    <w:rsid w:val="0007215C"/>
    <w:rsid w:val="00075432"/>
    <w:rsid w:val="000807DB"/>
    <w:rsid w:val="000831C9"/>
    <w:rsid w:val="00084F25"/>
    <w:rsid w:val="00092261"/>
    <w:rsid w:val="000968ED"/>
    <w:rsid w:val="000A3302"/>
    <w:rsid w:val="000A6A46"/>
    <w:rsid w:val="000B1B39"/>
    <w:rsid w:val="000B290B"/>
    <w:rsid w:val="000D4BD5"/>
    <w:rsid w:val="000E2B93"/>
    <w:rsid w:val="000E69A5"/>
    <w:rsid w:val="000F2E91"/>
    <w:rsid w:val="000F33DB"/>
    <w:rsid w:val="000F5E56"/>
    <w:rsid w:val="001362EE"/>
    <w:rsid w:val="00150D56"/>
    <w:rsid w:val="001647D5"/>
    <w:rsid w:val="00165B76"/>
    <w:rsid w:val="001662C2"/>
    <w:rsid w:val="00166A92"/>
    <w:rsid w:val="0017042D"/>
    <w:rsid w:val="00181199"/>
    <w:rsid w:val="0018292F"/>
    <w:rsid w:val="001832A6"/>
    <w:rsid w:val="00187B07"/>
    <w:rsid w:val="00187F6C"/>
    <w:rsid w:val="00191D11"/>
    <w:rsid w:val="00194CA8"/>
    <w:rsid w:val="001A1782"/>
    <w:rsid w:val="001A233E"/>
    <w:rsid w:val="001D088E"/>
    <w:rsid w:val="001F084E"/>
    <w:rsid w:val="0021217E"/>
    <w:rsid w:val="00215CD5"/>
    <w:rsid w:val="00227C6C"/>
    <w:rsid w:val="00233C45"/>
    <w:rsid w:val="00256D87"/>
    <w:rsid w:val="002623D6"/>
    <w:rsid w:val="002634C4"/>
    <w:rsid w:val="00267117"/>
    <w:rsid w:val="00275B90"/>
    <w:rsid w:val="00276A9A"/>
    <w:rsid w:val="002921B8"/>
    <w:rsid w:val="002928D3"/>
    <w:rsid w:val="0029357E"/>
    <w:rsid w:val="002965AA"/>
    <w:rsid w:val="002B6D96"/>
    <w:rsid w:val="002C20A7"/>
    <w:rsid w:val="002C6856"/>
    <w:rsid w:val="002D4CCC"/>
    <w:rsid w:val="002E0D90"/>
    <w:rsid w:val="002E3707"/>
    <w:rsid w:val="002F1FE6"/>
    <w:rsid w:val="002F4E68"/>
    <w:rsid w:val="002F7062"/>
    <w:rsid w:val="003010B3"/>
    <w:rsid w:val="00303705"/>
    <w:rsid w:val="00312F7F"/>
    <w:rsid w:val="00313FBF"/>
    <w:rsid w:val="00316F0D"/>
    <w:rsid w:val="00321FF0"/>
    <w:rsid w:val="003321D2"/>
    <w:rsid w:val="00332D35"/>
    <w:rsid w:val="0033600D"/>
    <w:rsid w:val="00340AE9"/>
    <w:rsid w:val="00351AC7"/>
    <w:rsid w:val="003536F0"/>
    <w:rsid w:val="00361450"/>
    <w:rsid w:val="003673CF"/>
    <w:rsid w:val="0037092D"/>
    <w:rsid w:val="0037653F"/>
    <w:rsid w:val="003845C1"/>
    <w:rsid w:val="003A1EF3"/>
    <w:rsid w:val="003A6F89"/>
    <w:rsid w:val="003B1152"/>
    <w:rsid w:val="003B27D2"/>
    <w:rsid w:val="003B38C1"/>
    <w:rsid w:val="003C397C"/>
    <w:rsid w:val="003C63B9"/>
    <w:rsid w:val="003D12FC"/>
    <w:rsid w:val="003E1F8F"/>
    <w:rsid w:val="003E3795"/>
    <w:rsid w:val="003E5350"/>
    <w:rsid w:val="003F5634"/>
    <w:rsid w:val="004018A1"/>
    <w:rsid w:val="0040282C"/>
    <w:rsid w:val="00403511"/>
    <w:rsid w:val="00412E3A"/>
    <w:rsid w:val="00415138"/>
    <w:rsid w:val="004151EA"/>
    <w:rsid w:val="00415F38"/>
    <w:rsid w:val="00423E3E"/>
    <w:rsid w:val="00427AF4"/>
    <w:rsid w:val="0043177A"/>
    <w:rsid w:val="0043778A"/>
    <w:rsid w:val="00441DB4"/>
    <w:rsid w:val="004426F1"/>
    <w:rsid w:val="00442FEE"/>
    <w:rsid w:val="004563B8"/>
    <w:rsid w:val="0046251E"/>
    <w:rsid w:val="004647DA"/>
    <w:rsid w:val="00466271"/>
    <w:rsid w:val="004663FC"/>
    <w:rsid w:val="00474062"/>
    <w:rsid w:val="00477D6B"/>
    <w:rsid w:val="00486458"/>
    <w:rsid w:val="004B350D"/>
    <w:rsid w:val="004B3998"/>
    <w:rsid w:val="004B412D"/>
    <w:rsid w:val="004C073A"/>
    <w:rsid w:val="004C79D5"/>
    <w:rsid w:val="004D2A4A"/>
    <w:rsid w:val="004E204E"/>
    <w:rsid w:val="004E4EB2"/>
    <w:rsid w:val="004F668B"/>
    <w:rsid w:val="005019FF"/>
    <w:rsid w:val="00516C2D"/>
    <w:rsid w:val="00517798"/>
    <w:rsid w:val="00520061"/>
    <w:rsid w:val="00521E04"/>
    <w:rsid w:val="00527CDC"/>
    <w:rsid w:val="00530376"/>
    <w:rsid w:val="0053057A"/>
    <w:rsid w:val="005428E7"/>
    <w:rsid w:val="00554401"/>
    <w:rsid w:val="00560A29"/>
    <w:rsid w:val="00562D1E"/>
    <w:rsid w:val="0056607C"/>
    <w:rsid w:val="00572A09"/>
    <w:rsid w:val="005859B5"/>
    <w:rsid w:val="005B5FE0"/>
    <w:rsid w:val="005C0A74"/>
    <w:rsid w:val="005C4023"/>
    <w:rsid w:val="005C6649"/>
    <w:rsid w:val="005C7230"/>
    <w:rsid w:val="005D01E5"/>
    <w:rsid w:val="005E07C0"/>
    <w:rsid w:val="005E2472"/>
    <w:rsid w:val="005E4EC6"/>
    <w:rsid w:val="00601A98"/>
    <w:rsid w:val="0060323A"/>
    <w:rsid w:val="00604D1B"/>
    <w:rsid w:val="00605827"/>
    <w:rsid w:val="006068B5"/>
    <w:rsid w:val="00610789"/>
    <w:rsid w:val="00616520"/>
    <w:rsid w:val="0062027D"/>
    <w:rsid w:val="00623AE8"/>
    <w:rsid w:val="00646050"/>
    <w:rsid w:val="00654696"/>
    <w:rsid w:val="006713CA"/>
    <w:rsid w:val="00676C5C"/>
    <w:rsid w:val="00680D49"/>
    <w:rsid w:val="0068164E"/>
    <w:rsid w:val="00682471"/>
    <w:rsid w:val="00683816"/>
    <w:rsid w:val="00685F65"/>
    <w:rsid w:val="006A37D7"/>
    <w:rsid w:val="006D3C9F"/>
    <w:rsid w:val="006E279F"/>
    <w:rsid w:val="006F4E56"/>
    <w:rsid w:val="00704117"/>
    <w:rsid w:val="007043EE"/>
    <w:rsid w:val="007111E2"/>
    <w:rsid w:val="007301FA"/>
    <w:rsid w:val="007322A0"/>
    <w:rsid w:val="007435C7"/>
    <w:rsid w:val="00750AD4"/>
    <w:rsid w:val="00774DAD"/>
    <w:rsid w:val="007767BE"/>
    <w:rsid w:val="0079184B"/>
    <w:rsid w:val="007919DA"/>
    <w:rsid w:val="00792A46"/>
    <w:rsid w:val="007A1575"/>
    <w:rsid w:val="007B2BB5"/>
    <w:rsid w:val="007B44F7"/>
    <w:rsid w:val="007C17CA"/>
    <w:rsid w:val="007C4728"/>
    <w:rsid w:val="007C48E8"/>
    <w:rsid w:val="007D1613"/>
    <w:rsid w:val="007E0693"/>
    <w:rsid w:val="007E46A9"/>
    <w:rsid w:val="007E4C0E"/>
    <w:rsid w:val="007E71EB"/>
    <w:rsid w:val="00816717"/>
    <w:rsid w:val="00816953"/>
    <w:rsid w:val="00830727"/>
    <w:rsid w:val="00834069"/>
    <w:rsid w:val="00844C5C"/>
    <w:rsid w:val="00846707"/>
    <w:rsid w:val="008467DB"/>
    <w:rsid w:val="00847939"/>
    <w:rsid w:val="0085040B"/>
    <w:rsid w:val="00853630"/>
    <w:rsid w:val="00856425"/>
    <w:rsid w:val="00870735"/>
    <w:rsid w:val="00881144"/>
    <w:rsid w:val="008864E4"/>
    <w:rsid w:val="00891976"/>
    <w:rsid w:val="008A134B"/>
    <w:rsid w:val="008A58D1"/>
    <w:rsid w:val="008B2CC1"/>
    <w:rsid w:val="008B4576"/>
    <w:rsid w:val="008B60B2"/>
    <w:rsid w:val="008B7F57"/>
    <w:rsid w:val="008C10CF"/>
    <w:rsid w:val="008D0D4B"/>
    <w:rsid w:val="008D4377"/>
    <w:rsid w:val="008F0024"/>
    <w:rsid w:val="008F6A04"/>
    <w:rsid w:val="0090731E"/>
    <w:rsid w:val="009153FF"/>
    <w:rsid w:val="00916EE2"/>
    <w:rsid w:val="0092213D"/>
    <w:rsid w:val="0092297F"/>
    <w:rsid w:val="00950A4C"/>
    <w:rsid w:val="00951AC5"/>
    <w:rsid w:val="00966A22"/>
    <w:rsid w:val="0096722F"/>
    <w:rsid w:val="00967756"/>
    <w:rsid w:val="009769BC"/>
    <w:rsid w:val="00980286"/>
    <w:rsid w:val="00980803"/>
    <w:rsid w:val="00980843"/>
    <w:rsid w:val="0099414F"/>
    <w:rsid w:val="009A0B04"/>
    <w:rsid w:val="009B07AD"/>
    <w:rsid w:val="009C2752"/>
    <w:rsid w:val="009C3880"/>
    <w:rsid w:val="009C3F61"/>
    <w:rsid w:val="009E2791"/>
    <w:rsid w:val="009E3F6F"/>
    <w:rsid w:val="009F499F"/>
    <w:rsid w:val="009F7789"/>
    <w:rsid w:val="00A05DB8"/>
    <w:rsid w:val="00A07739"/>
    <w:rsid w:val="00A22486"/>
    <w:rsid w:val="00A2390D"/>
    <w:rsid w:val="00A25932"/>
    <w:rsid w:val="00A34104"/>
    <w:rsid w:val="00A361CE"/>
    <w:rsid w:val="00A37342"/>
    <w:rsid w:val="00A42DAF"/>
    <w:rsid w:val="00A45BD8"/>
    <w:rsid w:val="00A67FE6"/>
    <w:rsid w:val="00A73D7E"/>
    <w:rsid w:val="00A74AE9"/>
    <w:rsid w:val="00A869B7"/>
    <w:rsid w:val="00AC205C"/>
    <w:rsid w:val="00AC22EB"/>
    <w:rsid w:val="00AC7B78"/>
    <w:rsid w:val="00AD0DB2"/>
    <w:rsid w:val="00AE5D78"/>
    <w:rsid w:val="00AF0A6B"/>
    <w:rsid w:val="00AF1ED6"/>
    <w:rsid w:val="00B05A69"/>
    <w:rsid w:val="00B112D7"/>
    <w:rsid w:val="00B314B5"/>
    <w:rsid w:val="00B727F0"/>
    <w:rsid w:val="00B77005"/>
    <w:rsid w:val="00B77DA3"/>
    <w:rsid w:val="00B9734B"/>
    <w:rsid w:val="00BA16E1"/>
    <w:rsid w:val="00BA30E2"/>
    <w:rsid w:val="00BB11BB"/>
    <w:rsid w:val="00BC1B79"/>
    <w:rsid w:val="00BC4A9E"/>
    <w:rsid w:val="00BC5E16"/>
    <w:rsid w:val="00BD16F8"/>
    <w:rsid w:val="00BD6FAC"/>
    <w:rsid w:val="00BE1072"/>
    <w:rsid w:val="00BE6183"/>
    <w:rsid w:val="00BF6A83"/>
    <w:rsid w:val="00C11090"/>
    <w:rsid w:val="00C11BFE"/>
    <w:rsid w:val="00C20B1E"/>
    <w:rsid w:val="00C23E36"/>
    <w:rsid w:val="00C278C5"/>
    <w:rsid w:val="00C40E7F"/>
    <w:rsid w:val="00C42861"/>
    <w:rsid w:val="00C5068F"/>
    <w:rsid w:val="00C57CEF"/>
    <w:rsid w:val="00C605A3"/>
    <w:rsid w:val="00C7190A"/>
    <w:rsid w:val="00C7365D"/>
    <w:rsid w:val="00C81E70"/>
    <w:rsid w:val="00C83170"/>
    <w:rsid w:val="00C838AA"/>
    <w:rsid w:val="00C86D74"/>
    <w:rsid w:val="00C94728"/>
    <w:rsid w:val="00C9666C"/>
    <w:rsid w:val="00CC0A33"/>
    <w:rsid w:val="00CC0C14"/>
    <w:rsid w:val="00CC5FF5"/>
    <w:rsid w:val="00CD04F1"/>
    <w:rsid w:val="00CD49DE"/>
    <w:rsid w:val="00CE1AD8"/>
    <w:rsid w:val="00CE66EF"/>
    <w:rsid w:val="00CF1E16"/>
    <w:rsid w:val="00D00F50"/>
    <w:rsid w:val="00D05554"/>
    <w:rsid w:val="00D1181D"/>
    <w:rsid w:val="00D32AD3"/>
    <w:rsid w:val="00D33CEC"/>
    <w:rsid w:val="00D34743"/>
    <w:rsid w:val="00D4330B"/>
    <w:rsid w:val="00D45252"/>
    <w:rsid w:val="00D53171"/>
    <w:rsid w:val="00D61185"/>
    <w:rsid w:val="00D62E7C"/>
    <w:rsid w:val="00D66B9B"/>
    <w:rsid w:val="00D67C70"/>
    <w:rsid w:val="00D715AE"/>
    <w:rsid w:val="00D71B4D"/>
    <w:rsid w:val="00D80FF7"/>
    <w:rsid w:val="00D93D55"/>
    <w:rsid w:val="00DA7396"/>
    <w:rsid w:val="00DC20FA"/>
    <w:rsid w:val="00DC5D23"/>
    <w:rsid w:val="00DE079F"/>
    <w:rsid w:val="00DE1A0A"/>
    <w:rsid w:val="00DE45DC"/>
    <w:rsid w:val="00DE4DCB"/>
    <w:rsid w:val="00DF7C36"/>
    <w:rsid w:val="00E02CE2"/>
    <w:rsid w:val="00E1184A"/>
    <w:rsid w:val="00E132A1"/>
    <w:rsid w:val="00E15015"/>
    <w:rsid w:val="00E163E8"/>
    <w:rsid w:val="00E16C10"/>
    <w:rsid w:val="00E21EA7"/>
    <w:rsid w:val="00E31B7A"/>
    <w:rsid w:val="00E335FE"/>
    <w:rsid w:val="00E408B2"/>
    <w:rsid w:val="00E50C3E"/>
    <w:rsid w:val="00E53211"/>
    <w:rsid w:val="00E57D3D"/>
    <w:rsid w:val="00E65079"/>
    <w:rsid w:val="00E651C9"/>
    <w:rsid w:val="00E723B6"/>
    <w:rsid w:val="00E759FB"/>
    <w:rsid w:val="00E75D08"/>
    <w:rsid w:val="00E77050"/>
    <w:rsid w:val="00E778A2"/>
    <w:rsid w:val="00E80817"/>
    <w:rsid w:val="00E82D9F"/>
    <w:rsid w:val="00E82F37"/>
    <w:rsid w:val="00E84D66"/>
    <w:rsid w:val="00E94608"/>
    <w:rsid w:val="00EA1198"/>
    <w:rsid w:val="00EA1441"/>
    <w:rsid w:val="00EA751D"/>
    <w:rsid w:val="00EA7D6E"/>
    <w:rsid w:val="00EC4815"/>
    <w:rsid w:val="00EC4E49"/>
    <w:rsid w:val="00EC7882"/>
    <w:rsid w:val="00ED77FB"/>
    <w:rsid w:val="00EE45FA"/>
    <w:rsid w:val="00EE4A26"/>
    <w:rsid w:val="00EF1964"/>
    <w:rsid w:val="00EF3A7A"/>
    <w:rsid w:val="00EF442A"/>
    <w:rsid w:val="00F0685A"/>
    <w:rsid w:val="00F15FAA"/>
    <w:rsid w:val="00F23CBA"/>
    <w:rsid w:val="00F35FD5"/>
    <w:rsid w:val="00F54D37"/>
    <w:rsid w:val="00F66152"/>
    <w:rsid w:val="00F83C2E"/>
    <w:rsid w:val="00F96AB1"/>
    <w:rsid w:val="00FA6B85"/>
    <w:rsid w:val="00FC01F4"/>
    <w:rsid w:val="00FC4540"/>
    <w:rsid w:val="00FE22FF"/>
    <w:rsid w:val="00FE60B6"/>
    <w:rsid w:val="00FF38A8"/>
    <w:rsid w:val="00FF529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F69E6A"/>
  <w15:docId w15:val="{4F2F2A6B-A54B-417B-B708-119D663D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ak"/>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D4BD5"/>
    <w:pPr>
      <w:ind w:left="720"/>
      <w:contextualSpacing/>
    </w:pPr>
  </w:style>
  <w:style w:type="table" w:styleId="TableGrid">
    <w:name w:val="Table Grid"/>
    <w:basedOn w:val="TableNormal"/>
    <w:rsid w:val="000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47939"/>
    <w:rPr>
      <w:rFonts w:ascii="Segoe UI" w:hAnsi="Segoe UI" w:cs="Segoe UI"/>
      <w:sz w:val="18"/>
      <w:szCs w:val="18"/>
    </w:rPr>
  </w:style>
  <w:style w:type="character" w:customStyle="1" w:styleId="BalloonTextChar">
    <w:name w:val="Balloon Text Char"/>
    <w:basedOn w:val="DefaultParagraphFont"/>
    <w:link w:val="BalloonText"/>
    <w:semiHidden/>
    <w:rsid w:val="00847939"/>
    <w:rPr>
      <w:rFonts w:ascii="Segoe UI" w:eastAsia="SimSun" w:hAnsi="Segoe UI" w:cs="Segoe UI"/>
      <w:sz w:val="18"/>
      <w:szCs w:val="18"/>
      <w:lang w:val="en-US" w:eastAsia="zh-CN"/>
    </w:rPr>
  </w:style>
  <w:style w:type="character" w:styleId="Hyperlink">
    <w:name w:val="Hyperlink"/>
    <w:basedOn w:val="DefaultParagraphFont"/>
    <w:unhideWhenUsed/>
    <w:rsid w:val="00E77050"/>
    <w:rPr>
      <w:color w:val="0000FF" w:themeColor="hyperlink"/>
      <w:u w:val="single"/>
    </w:rPr>
  </w:style>
  <w:style w:type="character" w:customStyle="1" w:styleId="CommentTextChar">
    <w:name w:val="Comment Text Char"/>
    <w:basedOn w:val="DefaultParagraphFont"/>
    <w:link w:val="CommentText"/>
    <w:uiPriority w:val="99"/>
    <w:semiHidden/>
    <w:rsid w:val="0001278A"/>
    <w:rPr>
      <w:rFonts w:ascii="Arial" w:eastAsia="SimSun" w:hAnsi="Arial" w:cs="Arial"/>
      <w:sz w:val="18"/>
      <w:lang w:val="en-US" w:eastAsia="zh-CN"/>
    </w:rPr>
  </w:style>
  <w:style w:type="character" w:styleId="CommentReference">
    <w:name w:val="annotation reference"/>
    <w:basedOn w:val="DefaultParagraphFont"/>
    <w:semiHidden/>
    <w:unhideWhenUsed/>
    <w:rsid w:val="007111E2"/>
    <w:rPr>
      <w:sz w:val="16"/>
      <w:szCs w:val="16"/>
    </w:rPr>
  </w:style>
  <w:style w:type="paragraph" w:styleId="CommentSubject">
    <w:name w:val="annotation subject"/>
    <w:basedOn w:val="CommentText"/>
    <w:next w:val="CommentText"/>
    <w:link w:val="CommentSubjectChar"/>
    <w:semiHidden/>
    <w:unhideWhenUsed/>
    <w:rsid w:val="007111E2"/>
    <w:rPr>
      <w:b/>
      <w:bCs/>
      <w:sz w:val="20"/>
    </w:rPr>
  </w:style>
  <w:style w:type="character" w:customStyle="1" w:styleId="CommentSubjectChar">
    <w:name w:val="Comment Subject Char"/>
    <w:basedOn w:val="CommentTextChar"/>
    <w:link w:val="CommentSubject"/>
    <w:semiHidden/>
    <w:rsid w:val="007111E2"/>
    <w:rPr>
      <w:rFonts w:ascii="Arial" w:eastAsia="SimSun" w:hAnsi="Arial" w:cs="Arial"/>
      <w:b/>
      <w:bCs/>
      <w:sz w:val="18"/>
      <w:lang w:val="en-US" w:eastAsia="zh-CN"/>
    </w:rPr>
  </w:style>
  <w:style w:type="paragraph" w:styleId="Revision">
    <w:name w:val="Revision"/>
    <w:hidden/>
    <w:uiPriority w:val="99"/>
    <w:semiHidden/>
    <w:rsid w:val="0062027D"/>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685F65"/>
    <w:rPr>
      <w:vertAlign w:val="superscript"/>
    </w:rPr>
  </w:style>
  <w:style w:type="character" w:customStyle="1" w:styleId="FootnoteTextChar">
    <w:name w:val="Footnote Text Char"/>
    <w:aliases w:val="Footnote ak Char1"/>
    <w:basedOn w:val="DefaultParagraphFont"/>
    <w:link w:val="FootnoteText"/>
    <w:rsid w:val="00227C6C"/>
    <w:rPr>
      <w:rFonts w:ascii="Arial" w:eastAsia="SimSun" w:hAnsi="Arial" w:cs="Arial"/>
      <w:sz w:val="18"/>
      <w:lang w:val="en-US" w:eastAsia="zh-CN"/>
    </w:rPr>
  </w:style>
  <w:style w:type="character" w:customStyle="1" w:styleId="FootnoteTextChar1">
    <w:name w:val="Footnote Text Char1"/>
    <w:aliases w:val="Footnote ak Char"/>
    <w:semiHidden/>
    <w:rsid w:val="007919DA"/>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9060">
      <w:bodyDiv w:val="1"/>
      <w:marLeft w:val="0"/>
      <w:marRight w:val="0"/>
      <w:marTop w:val="0"/>
      <w:marBottom w:val="0"/>
      <w:divBdr>
        <w:top w:val="none" w:sz="0" w:space="0" w:color="auto"/>
        <w:left w:val="none" w:sz="0" w:space="0" w:color="auto"/>
        <w:bottom w:val="none" w:sz="0" w:space="0" w:color="auto"/>
        <w:right w:val="none" w:sz="0" w:space="0" w:color="auto"/>
      </w:divBdr>
    </w:div>
    <w:div w:id="1600530299">
      <w:bodyDiv w:val="1"/>
      <w:marLeft w:val="0"/>
      <w:marRight w:val="0"/>
      <w:marTop w:val="0"/>
      <w:marBottom w:val="0"/>
      <w:divBdr>
        <w:top w:val="none" w:sz="0" w:space="0" w:color="auto"/>
        <w:left w:val="none" w:sz="0" w:space="0" w:color="auto"/>
        <w:bottom w:val="none" w:sz="0" w:space="0" w:color="auto"/>
        <w:right w:val="none" w:sz="0" w:space="0" w:color="auto"/>
      </w:divBdr>
    </w:div>
    <w:div w:id="19552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en/doc_details.jsp?doc_id=14921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meetings/en/doc_details.jsp?doc_id=595591" TargetMode="External"/><Relationship Id="rId17" Type="http://schemas.openxmlformats.org/officeDocument/2006/relationships/hyperlink" Target="https://www.wipo.int/tk/en/resources/tk_experienc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tk/en/resources/tk_experiences.html"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5955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export/sites/www/tk/en/resources/pdf/overview_customary_law.pdf" TargetMode="External"/><Relationship Id="rId23" Type="http://schemas.openxmlformats.org/officeDocument/2006/relationships/footer" Target="footer3.xml"/><Relationship Id="rId10" Type="http://schemas.openxmlformats.org/officeDocument/2006/relationships/hyperlink" Target="https://www.wipo.int/meetings/en/doc_details.jsp?doc_id=59565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ipo.int/meetings/en/doc_details.jsp?doc_id=595651" TargetMode="External"/><Relationship Id="rId14" Type="http://schemas.openxmlformats.org/officeDocument/2006/relationships/hyperlink" Target="https://www.wipo.int/meetings/en/doc_details.jsp?doc_id=14715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0DE21-F5A5-42F2-888B-BB7E1B25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1094</Words>
  <Characters>6697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Goss</dc:creator>
  <cp:keywords>FOR OFFICIAL USE ONLY</cp:keywords>
  <cp:lastModifiedBy>MORENO PALESTINI Maria del Pilar</cp:lastModifiedBy>
  <cp:revision>5</cp:revision>
  <cp:lastPrinted>2023-02-09T09:55:00Z</cp:lastPrinted>
  <dcterms:created xsi:type="dcterms:W3CDTF">2023-02-09T15:48:00Z</dcterms:created>
  <dcterms:modified xsi:type="dcterms:W3CDTF">2023-02-09T16:48:00Z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a1b2eb05-b062-48d5-8dab-a1518ea0836f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