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5E76A8CE" w14:textId="77777777" w:rsidTr="00361450">
        <w:tc>
          <w:tcPr>
            <w:tcW w:w="4513" w:type="dxa"/>
            <w:tcBorders>
              <w:bottom w:val="single" w:sz="4" w:space="0" w:color="auto"/>
            </w:tcBorders>
            <w:tcMar>
              <w:bottom w:w="170" w:type="dxa"/>
            </w:tcMar>
          </w:tcPr>
          <w:p w14:paraId="39B47CD4" w14:textId="77777777"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14:paraId="5C25AA2E" w14:textId="77777777" w:rsidR="00EC4E49" w:rsidRPr="008B2CC1" w:rsidRDefault="00A37342" w:rsidP="00916EE2">
            <w:r>
              <w:rPr>
                <w:noProof/>
                <w:lang w:eastAsia="en-US"/>
              </w:rPr>
              <w:drawing>
                <wp:inline distT="0" distB="0" distL="0" distR="0" wp14:anchorId="170C6C96" wp14:editId="52AE719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2BFE8665" w14:textId="77777777" w:rsidR="00EC4E49" w:rsidRPr="008B2CC1" w:rsidRDefault="00EC4E49" w:rsidP="00916EE2">
            <w:pPr>
              <w:jc w:val="right"/>
            </w:pPr>
            <w:r w:rsidRPr="00605827">
              <w:rPr>
                <w:b/>
                <w:sz w:val="40"/>
                <w:szCs w:val="40"/>
              </w:rPr>
              <w:t>E</w:t>
            </w:r>
          </w:p>
        </w:tc>
      </w:tr>
      <w:tr w:rsidR="008B2CC1" w:rsidRPr="001832A6" w14:paraId="180B562C"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0936D80E" w14:textId="0A526DBC" w:rsidR="008B2CC1" w:rsidRPr="0090731E" w:rsidRDefault="007C48E8" w:rsidP="00CD49DE">
            <w:pPr>
              <w:jc w:val="right"/>
              <w:rPr>
                <w:rFonts w:ascii="Arial Black" w:hAnsi="Arial Black"/>
                <w:caps/>
                <w:sz w:val="15"/>
              </w:rPr>
            </w:pPr>
            <w:bookmarkStart w:id="1" w:name="Code"/>
            <w:bookmarkEnd w:id="1"/>
            <w:r w:rsidRPr="007E0693">
              <w:rPr>
                <w:rFonts w:ascii="Arial Black" w:hAnsi="Arial Black"/>
                <w:caps/>
                <w:sz w:val="15"/>
              </w:rPr>
              <w:t>WIPO/</w:t>
            </w:r>
            <w:r w:rsidR="00CD49DE" w:rsidRPr="007E0693">
              <w:rPr>
                <w:rFonts w:ascii="Arial Black" w:hAnsi="Arial Black"/>
                <w:caps/>
                <w:sz w:val="15"/>
              </w:rPr>
              <w:t>IPTK</w:t>
            </w:r>
            <w:r w:rsidR="004663FC">
              <w:rPr>
                <w:rFonts w:ascii="Arial Black" w:hAnsi="Arial Black"/>
                <w:caps/>
                <w:sz w:val="15"/>
              </w:rPr>
              <w:t>-tces</w:t>
            </w:r>
            <w:r w:rsidR="00CD49DE" w:rsidRPr="007E0693">
              <w:rPr>
                <w:rFonts w:ascii="Arial Black" w:hAnsi="Arial Black"/>
                <w:caps/>
                <w:sz w:val="15"/>
              </w:rPr>
              <w:t>/GE/22/2</w:t>
            </w:r>
          </w:p>
        </w:tc>
      </w:tr>
      <w:tr w:rsidR="008B2CC1" w:rsidRPr="001832A6" w14:paraId="3A5EE63E" w14:textId="77777777" w:rsidTr="00916EE2">
        <w:trPr>
          <w:trHeight w:hRule="exact" w:val="170"/>
        </w:trPr>
        <w:tc>
          <w:tcPr>
            <w:tcW w:w="9356" w:type="dxa"/>
            <w:gridSpan w:val="3"/>
            <w:noWrap/>
            <w:tcMar>
              <w:left w:w="0" w:type="dxa"/>
              <w:right w:w="0" w:type="dxa"/>
            </w:tcMar>
            <w:vAlign w:val="bottom"/>
          </w:tcPr>
          <w:p w14:paraId="05F59B99" w14:textId="77777777"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0D4BD5">
              <w:rPr>
                <w:rFonts w:ascii="Arial Black" w:hAnsi="Arial Black"/>
                <w:caps/>
                <w:sz w:val="15"/>
              </w:rPr>
              <w:t>English</w:t>
            </w:r>
            <w:r w:rsidRPr="0090731E">
              <w:rPr>
                <w:rFonts w:ascii="Arial Black" w:hAnsi="Arial Black"/>
                <w:caps/>
                <w:sz w:val="15"/>
              </w:rPr>
              <w:t xml:space="preserve"> </w:t>
            </w:r>
          </w:p>
        </w:tc>
      </w:tr>
      <w:tr w:rsidR="008B2CC1" w:rsidRPr="001832A6" w14:paraId="39C2EBFA" w14:textId="77777777" w:rsidTr="00916EE2">
        <w:trPr>
          <w:trHeight w:hRule="exact" w:val="198"/>
        </w:trPr>
        <w:tc>
          <w:tcPr>
            <w:tcW w:w="9356" w:type="dxa"/>
            <w:gridSpan w:val="3"/>
            <w:tcMar>
              <w:left w:w="0" w:type="dxa"/>
              <w:right w:w="0" w:type="dxa"/>
            </w:tcMar>
            <w:vAlign w:val="bottom"/>
          </w:tcPr>
          <w:p w14:paraId="65B3B210" w14:textId="1317ED18" w:rsidR="008B2CC1" w:rsidRPr="0090731E" w:rsidRDefault="008B2CC1" w:rsidP="009769BC">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3" w:name="Date"/>
            <w:bookmarkEnd w:id="3"/>
            <w:r w:rsidR="00680D49">
              <w:rPr>
                <w:rFonts w:ascii="Arial Black" w:hAnsi="Arial Black"/>
                <w:caps/>
                <w:sz w:val="15"/>
              </w:rPr>
              <w:t>November 8</w:t>
            </w:r>
            <w:r w:rsidR="009769BC">
              <w:rPr>
                <w:rFonts w:ascii="Arial Black" w:hAnsi="Arial Black"/>
                <w:caps/>
                <w:sz w:val="15"/>
              </w:rPr>
              <w:t>, 2022</w:t>
            </w:r>
            <w:r w:rsidRPr="0090731E">
              <w:rPr>
                <w:rFonts w:ascii="Arial Black" w:hAnsi="Arial Black"/>
                <w:caps/>
                <w:sz w:val="15"/>
              </w:rPr>
              <w:t xml:space="preserve"> </w:t>
            </w:r>
          </w:p>
        </w:tc>
      </w:tr>
    </w:tbl>
    <w:p w14:paraId="05E39956" w14:textId="77777777" w:rsidR="008B2CC1" w:rsidRPr="008B2CC1" w:rsidRDefault="008B2CC1" w:rsidP="008B2CC1"/>
    <w:p w14:paraId="077E1E9C" w14:textId="77777777" w:rsidR="008B2CC1" w:rsidRPr="008B2CC1" w:rsidRDefault="008B2CC1" w:rsidP="008B2CC1"/>
    <w:p w14:paraId="0C68FA27" w14:textId="77777777" w:rsidR="008B2CC1" w:rsidRPr="008B2CC1" w:rsidRDefault="008B2CC1" w:rsidP="008B2CC1"/>
    <w:p w14:paraId="3251557A" w14:textId="77777777" w:rsidR="008B2CC1" w:rsidRPr="008B2CC1" w:rsidRDefault="008B2CC1" w:rsidP="008B2CC1"/>
    <w:p w14:paraId="754902B5" w14:textId="77777777" w:rsidR="008B2CC1" w:rsidRPr="008B2CC1" w:rsidRDefault="008B2CC1" w:rsidP="008B2CC1"/>
    <w:p w14:paraId="0CF9CE59" w14:textId="77777777" w:rsidR="000D4BD5" w:rsidRPr="003845C1" w:rsidRDefault="000D4BD5" w:rsidP="000D4BD5">
      <w:pPr>
        <w:rPr>
          <w:b/>
          <w:sz w:val="28"/>
          <w:szCs w:val="28"/>
        </w:rPr>
      </w:pPr>
      <w:r w:rsidRPr="00EA2B1E">
        <w:rPr>
          <w:b/>
          <w:i/>
          <w:sz w:val="28"/>
          <w:szCs w:val="28"/>
        </w:rPr>
        <w:t>Ad Hoc</w:t>
      </w:r>
      <w:r>
        <w:rPr>
          <w:b/>
          <w:sz w:val="28"/>
          <w:szCs w:val="28"/>
        </w:rPr>
        <w:t xml:space="preserve"> Expert Group on Traditional Knowledge and Traditional Cultural Expressions</w:t>
      </w:r>
    </w:p>
    <w:p w14:paraId="666DD1B8" w14:textId="77777777" w:rsidR="000D4BD5" w:rsidRDefault="000D4BD5" w:rsidP="000D4BD5"/>
    <w:p w14:paraId="1E137230" w14:textId="77777777" w:rsidR="000D4BD5" w:rsidRDefault="000D4BD5" w:rsidP="000D4BD5"/>
    <w:p w14:paraId="6B1055F4" w14:textId="152DAED6" w:rsidR="000D4BD5" w:rsidRPr="003845C1" w:rsidRDefault="000D4BD5" w:rsidP="000D4BD5">
      <w:pPr>
        <w:rPr>
          <w:b/>
          <w:sz w:val="24"/>
          <w:szCs w:val="24"/>
        </w:rPr>
      </w:pPr>
      <w:r>
        <w:rPr>
          <w:b/>
          <w:sz w:val="24"/>
          <w:szCs w:val="24"/>
        </w:rPr>
        <w:t xml:space="preserve">Geneva, </w:t>
      </w:r>
      <w:r w:rsidR="009769BC">
        <w:rPr>
          <w:b/>
          <w:sz w:val="24"/>
          <w:szCs w:val="24"/>
        </w:rPr>
        <w:t>December 4, 2022</w:t>
      </w:r>
    </w:p>
    <w:p w14:paraId="6CBE6C85" w14:textId="77777777" w:rsidR="000D4BD5" w:rsidRPr="008B2CC1" w:rsidRDefault="000D4BD5" w:rsidP="000D4BD5"/>
    <w:p w14:paraId="60562652" w14:textId="77777777" w:rsidR="000D4BD5" w:rsidRPr="008B2CC1" w:rsidRDefault="000D4BD5" w:rsidP="000D4BD5"/>
    <w:p w14:paraId="6409094E" w14:textId="77777777" w:rsidR="000D4BD5" w:rsidRPr="008B2CC1" w:rsidRDefault="000D4BD5" w:rsidP="000D4BD5"/>
    <w:p w14:paraId="49B6D64B" w14:textId="77777777" w:rsidR="000D4BD5" w:rsidRPr="003845C1" w:rsidRDefault="00610789" w:rsidP="000D4BD5">
      <w:pPr>
        <w:rPr>
          <w:caps/>
          <w:sz w:val="24"/>
        </w:rPr>
      </w:pPr>
      <w:bookmarkStart w:id="4" w:name="TitleOfDoc"/>
      <w:bookmarkEnd w:id="4"/>
      <w:r>
        <w:rPr>
          <w:caps/>
          <w:sz w:val="24"/>
        </w:rPr>
        <w:t>Substantive background Note</w:t>
      </w:r>
    </w:p>
    <w:p w14:paraId="0647D6BD" w14:textId="77777777" w:rsidR="000D4BD5" w:rsidRPr="008B2CC1" w:rsidRDefault="000D4BD5" w:rsidP="000D4BD5"/>
    <w:p w14:paraId="0D05BBD3" w14:textId="77777777" w:rsidR="000D4BD5" w:rsidRPr="008B2CC1" w:rsidRDefault="000D4BD5" w:rsidP="000D4BD5">
      <w:pPr>
        <w:rPr>
          <w:i/>
        </w:rPr>
      </w:pPr>
      <w:bookmarkStart w:id="5" w:name="Prepared"/>
      <w:bookmarkEnd w:id="5"/>
      <w:r>
        <w:rPr>
          <w:i/>
        </w:rPr>
        <w:t>Prepared by the International Bureau of WIPO</w:t>
      </w:r>
    </w:p>
    <w:p w14:paraId="300332BE" w14:textId="77777777" w:rsidR="000D4BD5" w:rsidRDefault="000D4BD5" w:rsidP="000D4BD5"/>
    <w:p w14:paraId="05BE797F" w14:textId="77777777" w:rsidR="000D4BD5" w:rsidRDefault="000D4BD5" w:rsidP="000D4BD5"/>
    <w:p w14:paraId="12162251" w14:textId="77777777" w:rsidR="000F5E56" w:rsidRDefault="000F5E56"/>
    <w:p w14:paraId="762F3ACA" w14:textId="77777777" w:rsidR="000D4BD5" w:rsidRDefault="000D4BD5">
      <w:r>
        <w:br w:type="page"/>
      </w:r>
    </w:p>
    <w:p w14:paraId="0CEF4E86" w14:textId="71DB16E6" w:rsidR="00610789" w:rsidRDefault="000D4BD5" w:rsidP="00610789">
      <w:pPr>
        <w:rPr>
          <w:szCs w:val="22"/>
        </w:rPr>
      </w:pPr>
      <w:r>
        <w:lastRenderedPageBreak/>
        <w:fldChar w:fldCharType="begin"/>
      </w:r>
      <w:r>
        <w:instrText xml:space="preserve"> AUTONUM  </w:instrText>
      </w:r>
      <w:r>
        <w:fldChar w:fldCharType="end"/>
      </w:r>
      <w:r>
        <w:tab/>
      </w:r>
      <w:proofErr w:type="gramStart"/>
      <w:r w:rsidR="00466271">
        <w:t xml:space="preserve">According to the </w:t>
      </w:r>
      <w:r w:rsidR="00466271" w:rsidRPr="00E90B6B">
        <w:rPr>
          <w:szCs w:val="22"/>
        </w:rPr>
        <w:t>mandate of the Intergovernmental Committee on Intellectual Property and Genetic Resources, Tradition</w:t>
      </w:r>
      <w:r w:rsidR="00466271">
        <w:rPr>
          <w:szCs w:val="22"/>
        </w:rPr>
        <w:t xml:space="preserve">al Knowledge and Folklore (“IGC”) and the Decisions of the Thirty-Seventh Session of the IGC (“IGC 37”) </w:t>
      </w:r>
      <w:r w:rsidR="00466271" w:rsidRPr="008A0E1C">
        <w:rPr>
          <w:szCs w:val="22"/>
        </w:rPr>
        <w:t xml:space="preserve">and the </w:t>
      </w:r>
      <w:r w:rsidR="00466271">
        <w:rPr>
          <w:szCs w:val="22"/>
        </w:rPr>
        <w:t>Forty-</w:t>
      </w:r>
      <w:r w:rsidR="0007215C">
        <w:rPr>
          <w:szCs w:val="22"/>
        </w:rPr>
        <w:t>Fourth Session of the IGC (“IGC </w:t>
      </w:r>
      <w:r w:rsidR="00466271">
        <w:rPr>
          <w:szCs w:val="22"/>
        </w:rPr>
        <w:t>44</w:t>
      </w:r>
      <w:r w:rsidR="00466271" w:rsidRPr="008A0E1C">
        <w:rPr>
          <w:szCs w:val="22"/>
        </w:rPr>
        <w:t>”)</w:t>
      </w:r>
      <w:r w:rsidR="00466271">
        <w:t>, t</w:t>
      </w:r>
      <w:r w:rsidR="00610789">
        <w:t xml:space="preserve">he overall objective of the </w:t>
      </w:r>
      <w:r w:rsidR="00610789" w:rsidRPr="00EA2B1E">
        <w:rPr>
          <w:i/>
        </w:rPr>
        <w:t>ad hoc</w:t>
      </w:r>
      <w:r w:rsidR="00610789">
        <w:t xml:space="preserve"> </w:t>
      </w:r>
      <w:r w:rsidR="00D62E7C">
        <w:t>e</w:t>
      </w:r>
      <w:r w:rsidR="00610789">
        <w:t xml:space="preserve">xpert </w:t>
      </w:r>
      <w:r w:rsidR="00D62E7C">
        <w:t>g</w:t>
      </w:r>
      <w:r w:rsidR="00610789">
        <w:t xml:space="preserve">roup on </w:t>
      </w:r>
      <w:r w:rsidR="00313FBF">
        <w:t>t</w:t>
      </w:r>
      <w:r w:rsidR="00FC01F4">
        <w:t xml:space="preserve">raditional </w:t>
      </w:r>
      <w:r w:rsidR="00313FBF">
        <w:t>k</w:t>
      </w:r>
      <w:r w:rsidR="00FC01F4">
        <w:t>no</w:t>
      </w:r>
      <w:r w:rsidR="00816953">
        <w:t xml:space="preserve">wledge and </w:t>
      </w:r>
      <w:r w:rsidR="00313FBF">
        <w:t>t</w:t>
      </w:r>
      <w:r w:rsidR="00816953">
        <w:t xml:space="preserve">raditional </w:t>
      </w:r>
      <w:r w:rsidR="00313FBF">
        <w:t>c</w:t>
      </w:r>
      <w:r w:rsidR="00816953">
        <w:t>ultural</w:t>
      </w:r>
      <w:r w:rsidR="00610789">
        <w:t xml:space="preserve"> </w:t>
      </w:r>
      <w:r w:rsidR="00313FBF">
        <w:t>e</w:t>
      </w:r>
      <w:r w:rsidR="000807DB">
        <w:t xml:space="preserve">xpressions </w:t>
      </w:r>
      <w:r w:rsidR="00610789">
        <w:t xml:space="preserve">is </w:t>
      </w:r>
      <w:r w:rsidR="00610789">
        <w:rPr>
          <w:szCs w:val="22"/>
        </w:rPr>
        <w:t>to address specific legal, policy or technical issues.</w:t>
      </w:r>
      <w:proofErr w:type="gramEnd"/>
      <w:r w:rsidR="00610789">
        <w:rPr>
          <w:szCs w:val="22"/>
        </w:rPr>
        <w:t xml:space="preserve">  The results of the work </w:t>
      </w:r>
      <w:proofErr w:type="gramStart"/>
      <w:r w:rsidR="00610789">
        <w:rPr>
          <w:szCs w:val="22"/>
        </w:rPr>
        <w:t>will be reported to and further addressed by the IGC</w:t>
      </w:r>
      <w:proofErr w:type="gramEnd"/>
      <w:r w:rsidR="00610789">
        <w:rPr>
          <w:szCs w:val="22"/>
        </w:rPr>
        <w:t xml:space="preserve">. </w:t>
      </w:r>
    </w:p>
    <w:p w14:paraId="53A416F6" w14:textId="77777777" w:rsidR="00610789" w:rsidRDefault="00610789" w:rsidP="00610789">
      <w:pPr>
        <w:rPr>
          <w:szCs w:val="22"/>
        </w:rPr>
      </w:pPr>
    </w:p>
    <w:p w14:paraId="535B86EE" w14:textId="2B9DBF6C" w:rsidR="009769BC" w:rsidRDefault="00610789" w:rsidP="009769BC">
      <w:r>
        <w:fldChar w:fldCharType="begin"/>
      </w:r>
      <w:r>
        <w:instrText xml:space="preserve"> AUTONUM  </w:instrText>
      </w:r>
      <w:r>
        <w:fldChar w:fldCharType="end"/>
      </w:r>
      <w:r>
        <w:tab/>
      </w:r>
      <w:r w:rsidR="009769BC">
        <w:t>The IGC Chair and Vice-Chairs identified the list of issues, taking into account Member States</w:t>
      </w:r>
      <w:r w:rsidR="0068164E">
        <w:t>’ suggestions</w:t>
      </w:r>
      <w:r w:rsidR="009769BC">
        <w:t xml:space="preserve">.  The </w:t>
      </w:r>
      <w:r w:rsidR="009769BC" w:rsidRPr="009769BC">
        <w:rPr>
          <w:i/>
        </w:rPr>
        <w:t>ad hoc</w:t>
      </w:r>
      <w:r w:rsidR="00D62E7C">
        <w:t xml:space="preserve"> expert g</w:t>
      </w:r>
      <w:r w:rsidR="009769BC">
        <w:t>roup will therefore address the following issues</w:t>
      </w:r>
      <w:r w:rsidR="00267117">
        <w:t xml:space="preserve"> relating to traditional knowledge (TK) and traditional cultural expressions (TCEs)</w:t>
      </w:r>
      <w:r w:rsidR="009769BC">
        <w:t>:</w:t>
      </w:r>
    </w:p>
    <w:p w14:paraId="15F3F601" w14:textId="77777777" w:rsidR="009769BC" w:rsidRDefault="009769BC" w:rsidP="009769BC"/>
    <w:p w14:paraId="13BCA9FD" w14:textId="18AAC1D2" w:rsidR="009769BC" w:rsidRPr="009769BC" w:rsidRDefault="009769BC" w:rsidP="009769BC">
      <w:pPr>
        <w:pStyle w:val="ListParagraph"/>
        <w:numPr>
          <w:ilvl w:val="0"/>
          <w:numId w:val="34"/>
        </w:numPr>
        <w:rPr>
          <w:rFonts w:eastAsia="DengXian"/>
          <w:szCs w:val="22"/>
        </w:rPr>
      </w:pPr>
      <w:r>
        <w:t>Scope of protection;</w:t>
      </w:r>
    </w:p>
    <w:p w14:paraId="4412CE6C" w14:textId="77777777" w:rsidR="009769BC" w:rsidRPr="009769BC" w:rsidRDefault="009769BC" w:rsidP="009769BC">
      <w:pPr>
        <w:pStyle w:val="ListParagraph"/>
        <w:numPr>
          <w:ilvl w:val="0"/>
          <w:numId w:val="34"/>
        </w:numPr>
        <w:rPr>
          <w:rFonts w:eastAsia="DengXian"/>
          <w:szCs w:val="22"/>
        </w:rPr>
      </w:pPr>
      <w:r>
        <w:t>Exceptions and limitations;  and</w:t>
      </w:r>
    </w:p>
    <w:p w14:paraId="5911C29E" w14:textId="154DD1D2" w:rsidR="009769BC" w:rsidRPr="009769BC" w:rsidRDefault="009769BC" w:rsidP="009769BC">
      <w:pPr>
        <w:pStyle w:val="ListParagraph"/>
        <w:numPr>
          <w:ilvl w:val="0"/>
          <w:numId w:val="34"/>
        </w:numPr>
        <w:rPr>
          <w:rFonts w:eastAsia="DengXian"/>
          <w:szCs w:val="22"/>
        </w:rPr>
      </w:pPr>
      <w:r>
        <w:t>Sanctions and remedies.</w:t>
      </w:r>
    </w:p>
    <w:p w14:paraId="6577116B" w14:textId="77777777" w:rsidR="009769BC" w:rsidRPr="009769BC" w:rsidRDefault="009769BC" w:rsidP="009769BC">
      <w:pPr>
        <w:pStyle w:val="ListParagraph"/>
        <w:rPr>
          <w:rFonts w:eastAsia="DengXian"/>
          <w:szCs w:val="22"/>
        </w:rPr>
      </w:pPr>
    </w:p>
    <w:p w14:paraId="13FB0229" w14:textId="7A2062F3" w:rsidR="000D4BD5" w:rsidRDefault="000E69A5" w:rsidP="000D4BD5">
      <w:r>
        <w:fldChar w:fldCharType="begin"/>
      </w:r>
      <w:r>
        <w:instrText xml:space="preserve"> AUTONUM  </w:instrText>
      </w:r>
      <w:r>
        <w:fldChar w:fldCharType="end"/>
      </w:r>
      <w:r>
        <w:tab/>
      </w:r>
      <w:r w:rsidR="00610789">
        <w:t xml:space="preserve">This Substantive Background Note provides some background information on the </w:t>
      </w:r>
      <w:r w:rsidR="00466271">
        <w:t>above-mentioned</w:t>
      </w:r>
      <w:r w:rsidR="00610789">
        <w:t xml:space="preserve"> issues, and proposes some questions </w:t>
      </w:r>
      <w:r w:rsidR="00654696">
        <w:t>and task</w:t>
      </w:r>
      <w:r w:rsidR="00466271">
        <w:t>s</w:t>
      </w:r>
      <w:r w:rsidR="00654696">
        <w:t xml:space="preserve"> </w:t>
      </w:r>
      <w:r w:rsidR="00610789">
        <w:t xml:space="preserve">for the </w:t>
      </w:r>
      <w:r w:rsidR="00610789" w:rsidRPr="00CB63A8">
        <w:rPr>
          <w:i/>
        </w:rPr>
        <w:t>ad hoc</w:t>
      </w:r>
      <w:r w:rsidR="00610789">
        <w:t xml:space="preserve"> </w:t>
      </w:r>
      <w:r w:rsidR="00D62E7C">
        <w:t>e</w:t>
      </w:r>
      <w:r w:rsidR="00610789">
        <w:t xml:space="preserve">xpert </w:t>
      </w:r>
      <w:r w:rsidR="00D62E7C">
        <w:t>g</w:t>
      </w:r>
      <w:r w:rsidR="00610789">
        <w:t xml:space="preserve">roup to consider.  </w:t>
      </w:r>
      <w:r w:rsidR="006D3C9F">
        <w:t>The Co-</w:t>
      </w:r>
      <w:r w:rsidR="00BC4A9E">
        <w:t>C</w:t>
      </w:r>
      <w:r w:rsidR="006D3C9F">
        <w:t>hairs of the</w:t>
      </w:r>
      <w:r w:rsidR="00313FBF">
        <w:t xml:space="preserve"> </w:t>
      </w:r>
      <w:r w:rsidR="00313FBF" w:rsidRPr="00313FBF">
        <w:rPr>
          <w:i/>
        </w:rPr>
        <w:t>ad hoc</w:t>
      </w:r>
      <w:r w:rsidR="00D62E7C">
        <w:t xml:space="preserve"> expert g</w:t>
      </w:r>
      <w:r w:rsidR="006D3C9F">
        <w:t xml:space="preserve">roup </w:t>
      </w:r>
      <w:r w:rsidR="00846707">
        <w:t xml:space="preserve">will </w:t>
      </w:r>
      <w:r w:rsidR="006D3C9F">
        <w:t xml:space="preserve">provide </w:t>
      </w:r>
      <w:r w:rsidR="00C605A3">
        <w:t xml:space="preserve">further </w:t>
      </w:r>
      <w:r w:rsidR="006D3C9F">
        <w:t xml:space="preserve">guidance on </w:t>
      </w:r>
      <w:r w:rsidR="00E80817">
        <w:t xml:space="preserve">how these issues and questions </w:t>
      </w:r>
      <w:proofErr w:type="gramStart"/>
      <w:r w:rsidR="00E80817">
        <w:t>will be addressed</w:t>
      </w:r>
      <w:proofErr w:type="gramEnd"/>
      <w:r w:rsidR="00E80817">
        <w:t xml:space="preserve"> during the </w:t>
      </w:r>
      <w:r w:rsidR="006D3C9F">
        <w:t xml:space="preserve">meeting. </w:t>
      </w:r>
      <w:r w:rsidR="00031920">
        <w:t xml:space="preserve"> </w:t>
      </w:r>
    </w:p>
    <w:p w14:paraId="3CD3B3D0" w14:textId="13D04576" w:rsidR="000D4BD5" w:rsidRPr="00267117" w:rsidRDefault="000D4BD5" w:rsidP="000D4BD5">
      <w:pPr>
        <w:rPr>
          <w:b/>
        </w:rPr>
      </w:pPr>
    </w:p>
    <w:p w14:paraId="20A617DE" w14:textId="77777777" w:rsidR="00CE1AD8" w:rsidRPr="00816953" w:rsidRDefault="00E778A2" w:rsidP="00C81E70">
      <w:pPr>
        <w:rPr>
          <w:b/>
        </w:rPr>
      </w:pPr>
      <w:r>
        <w:rPr>
          <w:b/>
        </w:rPr>
        <w:t>Scope of protection</w:t>
      </w:r>
    </w:p>
    <w:p w14:paraId="1EEE694E" w14:textId="77777777" w:rsidR="00CC0A33" w:rsidRDefault="00CC0A33" w:rsidP="00CC0A33"/>
    <w:p w14:paraId="564B01A1" w14:textId="2A779D6A" w:rsidR="0085040B" w:rsidRDefault="00CC0A33" w:rsidP="00CC0A33">
      <w:r>
        <w:fldChar w:fldCharType="begin"/>
      </w:r>
      <w:r>
        <w:instrText xml:space="preserve"> AUTONUM  </w:instrText>
      </w:r>
      <w:r>
        <w:fldChar w:fldCharType="end"/>
      </w:r>
      <w:r>
        <w:tab/>
        <w:t xml:space="preserve">The scope of protection </w:t>
      </w:r>
      <w:r>
        <w:rPr>
          <w:szCs w:val="22"/>
        </w:rPr>
        <w:t xml:space="preserve">seeks to determine which specific acts in respect </w:t>
      </w:r>
      <w:r w:rsidR="00466271">
        <w:rPr>
          <w:szCs w:val="22"/>
        </w:rPr>
        <w:t xml:space="preserve">to </w:t>
      </w:r>
      <w:r>
        <w:rPr>
          <w:szCs w:val="22"/>
        </w:rPr>
        <w:t>TK and/or TCEs ought to be prohibited or prevented</w:t>
      </w:r>
      <w:r w:rsidR="00351AC7">
        <w:rPr>
          <w:szCs w:val="22"/>
        </w:rPr>
        <w:t xml:space="preserve"> and/or which </w:t>
      </w:r>
      <w:r w:rsidR="00466271">
        <w:rPr>
          <w:szCs w:val="22"/>
        </w:rPr>
        <w:t xml:space="preserve">acts that </w:t>
      </w:r>
      <w:r w:rsidR="00351AC7">
        <w:rPr>
          <w:szCs w:val="22"/>
        </w:rPr>
        <w:t xml:space="preserve">harm </w:t>
      </w:r>
      <w:r w:rsidR="00351AC7">
        <w:t>TK and/or TCEs would IP-similar instruments</w:t>
      </w:r>
      <w:r w:rsidR="00165B76">
        <w:t xml:space="preserve"> on TK and TCEs seek to address.</w:t>
      </w:r>
    </w:p>
    <w:p w14:paraId="0E72D711" w14:textId="77777777" w:rsidR="00B77DA3" w:rsidRDefault="00B77DA3" w:rsidP="00CC0A33">
      <w:pPr>
        <w:rPr>
          <w:szCs w:val="22"/>
        </w:rPr>
      </w:pPr>
    </w:p>
    <w:p w14:paraId="3B4A9E04" w14:textId="20FE087A" w:rsidR="00CC0A33" w:rsidRDefault="009B07AD" w:rsidP="00CC0A33">
      <w:pPr>
        <w:rPr>
          <w:szCs w:val="22"/>
        </w:rPr>
      </w:pPr>
      <w:r>
        <w:rPr>
          <w:szCs w:val="22"/>
        </w:rPr>
        <w:fldChar w:fldCharType="begin"/>
      </w:r>
      <w:r>
        <w:rPr>
          <w:szCs w:val="22"/>
        </w:rPr>
        <w:instrText xml:space="preserve"> AUTONUM  </w:instrText>
      </w:r>
      <w:r>
        <w:rPr>
          <w:szCs w:val="22"/>
        </w:rPr>
        <w:fldChar w:fldCharType="end"/>
      </w:r>
      <w:r>
        <w:rPr>
          <w:szCs w:val="22"/>
        </w:rPr>
        <w:tab/>
        <w:t>T</w:t>
      </w:r>
      <w:r w:rsidR="00CC0A33">
        <w:rPr>
          <w:szCs w:val="22"/>
        </w:rPr>
        <w:t xml:space="preserve">he </w:t>
      </w:r>
      <w:r w:rsidR="00CC0A33" w:rsidRPr="00D53171">
        <w:rPr>
          <w:i/>
          <w:szCs w:val="22"/>
        </w:rPr>
        <w:t>ad hoc</w:t>
      </w:r>
      <w:r w:rsidR="00CC0A33">
        <w:rPr>
          <w:szCs w:val="22"/>
        </w:rPr>
        <w:t xml:space="preserve"> </w:t>
      </w:r>
      <w:r w:rsidR="00D62E7C">
        <w:rPr>
          <w:szCs w:val="22"/>
        </w:rPr>
        <w:t>e</w:t>
      </w:r>
      <w:r w:rsidR="00CC0A33">
        <w:rPr>
          <w:szCs w:val="22"/>
        </w:rPr>
        <w:t xml:space="preserve">xpert </w:t>
      </w:r>
      <w:r w:rsidR="00D62E7C">
        <w:rPr>
          <w:szCs w:val="22"/>
        </w:rPr>
        <w:t>g</w:t>
      </w:r>
      <w:r w:rsidR="00CC0A33">
        <w:rPr>
          <w:szCs w:val="22"/>
        </w:rPr>
        <w:t xml:space="preserve">roup </w:t>
      </w:r>
      <w:proofErr w:type="gramStart"/>
      <w:r w:rsidR="00CC0A33">
        <w:rPr>
          <w:szCs w:val="22"/>
        </w:rPr>
        <w:t>is invited</w:t>
      </w:r>
      <w:proofErr w:type="gramEnd"/>
      <w:r w:rsidR="00CC0A33">
        <w:rPr>
          <w:szCs w:val="22"/>
        </w:rPr>
        <w:t xml:space="preserve"> to clarify:</w:t>
      </w:r>
      <w:r w:rsidR="007111E2">
        <w:rPr>
          <w:szCs w:val="22"/>
        </w:rPr>
        <w:br/>
      </w:r>
    </w:p>
    <w:p w14:paraId="389CE0A3" w14:textId="4C8E29B2" w:rsidR="00CC0A33" w:rsidRDefault="00466271" w:rsidP="00CC0A33">
      <w:pPr>
        <w:pStyle w:val="ListParagraph"/>
        <w:numPr>
          <w:ilvl w:val="0"/>
          <w:numId w:val="22"/>
        </w:numPr>
        <w:rPr>
          <w:szCs w:val="22"/>
        </w:rPr>
      </w:pPr>
      <w:proofErr w:type="gramStart"/>
      <w:r>
        <w:rPr>
          <w:szCs w:val="22"/>
        </w:rPr>
        <w:t>t</w:t>
      </w:r>
      <w:r w:rsidR="00CC0A33">
        <w:rPr>
          <w:szCs w:val="22"/>
        </w:rPr>
        <w:t>he</w:t>
      </w:r>
      <w:proofErr w:type="gramEnd"/>
      <w:r w:rsidR="00CC0A33">
        <w:rPr>
          <w:szCs w:val="22"/>
        </w:rPr>
        <w:t xml:space="preserve"> appropriate approach:  a rights-based approach, a measures-based approach or a combination of the two</w:t>
      </w:r>
      <w:r w:rsidR="00303705">
        <w:rPr>
          <w:szCs w:val="22"/>
        </w:rPr>
        <w:t>?  I</w:t>
      </w:r>
      <w:r w:rsidR="00187B07">
        <w:rPr>
          <w:szCs w:val="22"/>
        </w:rPr>
        <w:t xml:space="preserve">n a </w:t>
      </w:r>
      <w:r w:rsidR="00187B07" w:rsidRPr="00303705">
        <w:rPr>
          <w:i/>
          <w:szCs w:val="22"/>
        </w:rPr>
        <w:t>rights-based approach</w:t>
      </w:r>
      <w:r w:rsidR="00351AC7">
        <w:rPr>
          <w:szCs w:val="22"/>
        </w:rPr>
        <w:t>,</w:t>
      </w:r>
      <w:r w:rsidR="00187B07">
        <w:rPr>
          <w:szCs w:val="22"/>
        </w:rPr>
        <w:t xml:space="preserve"> beneficiaries </w:t>
      </w:r>
      <w:proofErr w:type="gramStart"/>
      <w:r w:rsidR="00187B07">
        <w:rPr>
          <w:szCs w:val="22"/>
        </w:rPr>
        <w:t>are granted</w:t>
      </w:r>
      <w:proofErr w:type="gramEnd"/>
      <w:r w:rsidR="00187B07">
        <w:rPr>
          <w:szCs w:val="22"/>
        </w:rPr>
        <w:t xml:space="preserve"> </w:t>
      </w:r>
      <w:r>
        <w:rPr>
          <w:szCs w:val="22"/>
        </w:rPr>
        <w:t>rights that</w:t>
      </w:r>
      <w:r w:rsidR="00187B07">
        <w:rPr>
          <w:szCs w:val="22"/>
        </w:rPr>
        <w:t xml:space="preserve"> they can </w:t>
      </w:r>
      <w:r w:rsidR="00B77DA3">
        <w:rPr>
          <w:szCs w:val="22"/>
        </w:rPr>
        <w:t xml:space="preserve">directly </w:t>
      </w:r>
      <w:r w:rsidR="00187B07">
        <w:rPr>
          <w:szCs w:val="22"/>
        </w:rPr>
        <w:t xml:space="preserve">manage and enforce, and in a </w:t>
      </w:r>
      <w:r w:rsidR="00187B07" w:rsidRPr="00303705">
        <w:rPr>
          <w:i/>
          <w:szCs w:val="22"/>
        </w:rPr>
        <w:t>measures-based approach</w:t>
      </w:r>
      <w:r w:rsidR="00187B07">
        <w:rPr>
          <w:szCs w:val="22"/>
        </w:rPr>
        <w:t xml:space="preserve">, </w:t>
      </w:r>
      <w:r w:rsidR="00351AC7">
        <w:rPr>
          <w:szCs w:val="22"/>
        </w:rPr>
        <w:t>S</w:t>
      </w:r>
      <w:r w:rsidR="00187B07">
        <w:rPr>
          <w:szCs w:val="22"/>
        </w:rPr>
        <w:t>tates are enjoined to provide measures fo</w:t>
      </w:r>
      <w:r w:rsidR="00165B76">
        <w:rPr>
          <w:szCs w:val="22"/>
        </w:rPr>
        <w:t>r the protection of TK and TCEs</w:t>
      </w:r>
      <w:r w:rsidR="00351AC7">
        <w:rPr>
          <w:szCs w:val="22"/>
        </w:rPr>
        <w:t>.  Both approaches are reflected in existing international IP instruments;</w:t>
      </w:r>
      <w:r w:rsidR="00415138">
        <w:rPr>
          <w:szCs w:val="22"/>
        </w:rPr>
        <w:t xml:space="preserve"> </w:t>
      </w:r>
      <w:r w:rsidR="00313FBF">
        <w:rPr>
          <w:szCs w:val="22"/>
        </w:rPr>
        <w:t xml:space="preserve"> </w:t>
      </w:r>
      <w:r w:rsidR="00CC0A33">
        <w:rPr>
          <w:szCs w:val="22"/>
        </w:rPr>
        <w:t>and</w:t>
      </w:r>
      <w:r w:rsidR="00303705">
        <w:rPr>
          <w:szCs w:val="22"/>
        </w:rPr>
        <w:t>,</w:t>
      </w:r>
      <w:r w:rsidR="00303705">
        <w:rPr>
          <w:szCs w:val="22"/>
        </w:rPr>
        <w:br/>
      </w:r>
    </w:p>
    <w:p w14:paraId="7562973E" w14:textId="1F237AC6" w:rsidR="00CC0A33" w:rsidRPr="00A05DB8" w:rsidRDefault="00165B76" w:rsidP="00CC0A33">
      <w:pPr>
        <w:pStyle w:val="ListParagraph"/>
        <w:numPr>
          <w:ilvl w:val="0"/>
          <w:numId w:val="22"/>
        </w:numPr>
        <w:rPr>
          <w:szCs w:val="22"/>
        </w:rPr>
      </w:pPr>
      <w:proofErr w:type="gramStart"/>
      <w:r>
        <w:t>the</w:t>
      </w:r>
      <w:proofErr w:type="gramEnd"/>
      <w:r>
        <w:t xml:space="preserve"> level of detail into which the international instrument should delve, and the point at which national law would take over</w:t>
      </w:r>
      <w:r w:rsidR="00CC0A33" w:rsidRPr="00A05DB8">
        <w:rPr>
          <w:szCs w:val="22"/>
        </w:rPr>
        <w:t>.</w:t>
      </w:r>
    </w:p>
    <w:p w14:paraId="6251110B" w14:textId="77777777" w:rsidR="00CC0A33" w:rsidRDefault="00CC0A33" w:rsidP="00CC0A33"/>
    <w:p w14:paraId="47B08528" w14:textId="04E25F4B" w:rsidR="00FC4540" w:rsidRDefault="00CC0A33" w:rsidP="00CC0A33">
      <w:r>
        <w:fldChar w:fldCharType="begin"/>
      </w:r>
      <w:r>
        <w:instrText xml:space="preserve"> AUTONUM  </w:instrText>
      </w:r>
      <w:r>
        <w:fldChar w:fldCharType="end"/>
      </w:r>
      <w:r>
        <w:tab/>
        <w:t xml:space="preserve">The IGC has discussed for several years a </w:t>
      </w:r>
      <w:r w:rsidRPr="00716D78">
        <w:t xml:space="preserve">so-called </w:t>
      </w:r>
      <w:r>
        <w:t>“</w:t>
      </w:r>
      <w:r w:rsidRPr="00716D78">
        <w:t>tiered approach</w:t>
      </w:r>
      <w:r>
        <w:t>”</w:t>
      </w:r>
      <w:r w:rsidRPr="00716D78">
        <w:t>, where different</w:t>
      </w:r>
      <w:r>
        <w:t xml:space="preserve"> kinds or levels of rights or measures would be available to rights holders depending on the nature and characteristics of the subject matter, the level of control retained by the beneficiaries and its degree of diffusion.</w:t>
      </w:r>
      <w:r w:rsidR="007C17CA">
        <w:t xml:space="preserve">  </w:t>
      </w:r>
    </w:p>
    <w:p w14:paraId="36AEDDE8" w14:textId="77777777" w:rsidR="00FC4540" w:rsidRDefault="00FC4540" w:rsidP="00CC0A33"/>
    <w:p w14:paraId="1A7928EA" w14:textId="736B4651" w:rsidR="00A361CE" w:rsidRDefault="00FC4540" w:rsidP="00165B76">
      <w:r>
        <w:fldChar w:fldCharType="begin"/>
      </w:r>
      <w:r>
        <w:instrText xml:space="preserve"> AUTONUM  </w:instrText>
      </w:r>
      <w:r>
        <w:fldChar w:fldCharType="end"/>
      </w:r>
      <w:r>
        <w:tab/>
      </w:r>
      <w:r w:rsidR="009B07AD">
        <w:t>In this regard, t</w:t>
      </w:r>
      <w:r w:rsidR="00CC0A33">
        <w:t xml:space="preserve">he </w:t>
      </w:r>
      <w:r w:rsidR="00CC0A33" w:rsidRPr="00EA1441">
        <w:rPr>
          <w:i/>
        </w:rPr>
        <w:t>ad hoc</w:t>
      </w:r>
      <w:r w:rsidR="00CC0A33">
        <w:t xml:space="preserve"> </w:t>
      </w:r>
      <w:r w:rsidR="00D62E7C">
        <w:t>e</w:t>
      </w:r>
      <w:r w:rsidR="00CC0A33">
        <w:t xml:space="preserve">xpert </w:t>
      </w:r>
      <w:r w:rsidR="00D62E7C">
        <w:t>g</w:t>
      </w:r>
      <w:r w:rsidR="00CC0A33">
        <w:t xml:space="preserve">roup </w:t>
      </w:r>
      <w:proofErr w:type="gramStart"/>
      <w:r w:rsidR="00CC0A33">
        <w:t>is invited</w:t>
      </w:r>
      <w:proofErr w:type="gramEnd"/>
      <w:r w:rsidR="00CC0A33">
        <w:t xml:space="preserve"> to</w:t>
      </w:r>
      <w:r w:rsidR="00165B76">
        <w:t xml:space="preserve"> </w:t>
      </w:r>
      <w:r w:rsidR="00A361CE">
        <w:t>design a draft framework</w:t>
      </w:r>
      <w:r w:rsidR="00313FBF">
        <w:t>(</w:t>
      </w:r>
      <w:r w:rsidR="00191D11">
        <w:t>s</w:t>
      </w:r>
      <w:r w:rsidR="00313FBF">
        <w:t>)</w:t>
      </w:r>
      <w:r w:rsidR="00A361CE">
        <w:t xml:space="preserve"> that would reflect a tiered approach to </w:t>
      </w:r>
      <w:r w:rsidR="008A58D1">
        <w:t xml:space="preserve">TK and TCEs.  The </w:t>
      </w:r>
      <w:r w:rsidR="00D34743">
        <w:t>framework</w:t>
      </w:r>
      <w:r w:rsidR="00313FBF">
        <w:t>(</w:t>
      </w:r>
      <w:r w:rsidR="00D34743">
        <w:t>s</w:t>
      </w:r>
      <w:r w:rsidR="00313FBF">
        <w:t>)</w:t>
      </w:r>
      <w:r w:rsidR="00D34743">
        <w:t xml:space="preserve"> </w:t>
      </w:r>
      <w:r w:rsidR="00A361CE">
        <w:t>could, for example, reflect economic, moral rights and/or rights to remuneration/compensation, and differentiate between different forms in</w:t>
      </w:r>
      <w:r w:rsidR="00165B76">
        <w:t xml:space="preserve"> which TK and TCEs </w:t>
      </w:r>
      <w:proofErr w:type="gramStart"/>
      <w:r w:rsidR="00165B76">
        <w:t>may be found</w:t>
      </w:r>
      <w:proofErr w:type="gramEnd"/>
      <w:r w:rsidR="00A361CE">
        <w:t>.</w:t>
      </w:r>
      <w:r w:rsidR="00F35FD5">
        <w:t xml:space="preserve">  In particular, the </w:t>
      </w:r>
      <w:r w:rsidR="00F35FD5" w:rsidRPr="00F35FD5">
        <w:rPr>
          <w:i/>
        </w:rPr>
        <w:t>ad hoc</w:t>
      </w:r>
      <w:r w:rsidR="00D62E7C">
        <w:t xml:space="preserve"> expert g</w:t>
      </w:r>
      <w:r w:rsidR="00F35FD5">
        <w:t xml:space="preserve">roup </w:t>
      </w:r>
      <w:proofErr w:type="gramStart"/>
      <w:r w:rsidR="00F35FD5">
        <w:t>is invited</w:t>
      </w:r>
      <w:proofErr w:type="gramEnd"/>
      <w:r w:rsidR="00F35FD5">
        <w:t xml:space="preserve"> to consider what criteria are appropriate and should be used in the TK and TCEs contexts, in order to determine the tiers.</w:t>
      </w:r>
    </w:p>
    <w:p w14:paraId="1DFB2815" w14:textId="021223B0" w:rsidR="004C79D5" w:rsidRDefault="004C79D5" w:rsidP="00165B76"/>
    <w:p w14:paraId="00AFD7B4" w14:textId="77777777" w:rsidR="004C79D5" w:rsidRPr="004C79D5" w:rsidRDefault="004C79D5" w:rsidP="00165B76">
      <w:pPr>
        <w:rPr>
          <w:b/>
        </w:rPr>
      </w:pPr>
      <w:r w:rsidRPr="004C79D5">
        <w:rPr>
          <w:b/>
        </w:rPr>
        <w:t xml:space="preserve">Exceptions and limitations </w:t>
      </w:r>
    </w:p>
    <w:p w14:paraId="3B0EA438" w14:textId="77777777" w:rsidR="004C79D5" w:rsidRDefault="004C79D5" w:rsidP="00165B76"/>
    <w:p w14:paraId="728D783C" w14:textId="47F6AD75" w:rsidR="004C79D5" w:rsidRDefault="004C79D5" w:rsidP="00165B76">
      <w:r>
        <w:fldChar w:fldCharType="begin"/>
      </w:r>
      <w:r>
        <w:instrText xml:space="preserve"> AUTONUM  </w:instrText>
      </w:r>
      <w:r>
        <w:fldChar w:fldCharType="end"/>
      </w:r>
      <w:r>
        <w:tab/>
        <w:t xml:space="preserve">The </w:t>
      </w:r>
      <w:r w:rsidRPr="00F35FD5">
        <w:rPr>
          <w:i/>
        </w:rPr>
        <w:t>ad hoc</w:t>
      </w:r>
      <w:r w:rsidR="00D62E7C">
        <w:t xml:space="preserve"> expert g</w:t>
      </w:r>
      <w:r>
        <w:t xml:space="preserve">roup </w:t>
      </w:r>
      <w:proofErr w:type="gramStart"/>
      <w:r>
        <w:t>is invited</w:t>
      </w:r>
      <w:proofErr w:type="gramEnd"/>
      <w:r>
        <w:t xml:space="preserve"> to consider whether:</w:t>
      </w:r>
    </w:p>
    <w:p w14:paraId="5D693C17" w14:textId="77777777" w:rsidR="00D62E7C" w:rsidRDefault="00D62E7C" w:rsidP="00165B76"/>
    <w:p w14:paraId="26434529" w14:textId="2C40204B" w:rsidR="004C79D5" w:rsidRDefault="004C79D5" w:rsidP="004C79D5">
      <w:pPr>
        <w:pStyle w:val="ListParagraph"/>
        <w:numPr>
          <w:ilvl w:val="0"/>
          <w:numId w:val="35"/>
        </w:numPr>
      </w:pPr>
      <w:r>
        <w:t>to leave flexibility at the national level to fully regulate exceptions and limitations;  or</w:t>
      </w:r>
    </w:p>
    <w:p w14:paraId="54C08FAA" w14:textId="7B6E7A9D" w:rsidR="004C79D5" w:rsidRDefault="004C79D5" w:rsidP="004C79D5">
      <w:pPr>
        <w:pStyle w:val="ListParagraph"/>
        <w:numPr>
          <w:ilvl w:val="0"/>
          <w:numId w:val="35"/>
        </w:numPr>
      </w:pPr>
      <w:proofErr w:type="gramStart"/>
      <w:r>
        <w:lastRenderedPageBreak/>
        <w:t>to</w:t>
      </w:r>
      <w:proofErr w:type="gramEnd"/>
      <w:r>
        <w:t xml:space="preserve"> provide a framework with lists of general exceptions and specific exceptions for Member States to regulate at the national level.  If so, what should general exceptions at the international level</w:t>
      </w:r>
      <w:r w:rsidR="00A07739">
        <w:t xml:space="preserve"> be</w:t>
      </w:r>
      <w:r>
        <w:t>?</w:t>
      </w:r>
    </w:p>
    <w:p w14:paraId="343757DB" w14:textId="77777777" w:rsidR="004C79D5" w:rsidRDefault="004C79D5" w:rsidP="004C79D5">
      <w:pPr>
        <w:pStyle w:val="ListParagraph"/>
        <w:ind w:left="0"/>
      </w:pPr>
    </w:p>
    <w:p w14:paraId="0CEFB909" w14:textId="303E0DF1" w:rsidR="004C79D5" w:rsidRDefault="004C79D5" w:rsidP="004C79D5">
      <w:pPr>
        <w:pStyle w:val="ListParagraph"/>
        <w:ind w:left="0"/>
      </w:pPr>
      <w:r>
        <w:fldChar w:fldCharType="begin"/>
      </w:r>
      <w:r>
        <w:instrText xml:space="preserve"> AUTONUM  </w:instrText>
      </w:r>
      <w:r>
        <w:fldChar w:fldCharType="end"/>
      </w:r>
      <w:r>
        <w:tab/>
        <w:t xml:space="preserve">Based on the possible introduction of a tiered approach to defining the scope of protection, the </w:t>
      </w:r>
      <w:r w:rsidRPr="00F35FD5">
        <w:rPr>
          <w:i/>
        </w:rPr>
        <w:t>ad hoc</w:t>
      </w:r>
      <w:r w:rsidR="00D62E7C">
        <w:t xml:space="preserve"> expert g</w:t>
      </w:r>
      <w:r>
        <w:t xml:space="preserve">roup </w:t>
      </w:r>
      <w:proofErr w:type="gramStart"/>
      <w:r>
        <w:t>is also invited</w:t>
      </w:r>
      <w:proofErr w:type="gramEnd"/>
      <w:r>
        <w:t xml:space="preserve"> to consider whether the provisions on exceptions and limitations should also follow this approach, i.e., that various degrees of excepted acts would mirror the various kinds of subject matter and the tiered rights applied to them. </w:t>
      </w:r>
    </w:p>
    <w:p w14:paraId="748F0A0F" w14:textId="391C8137" w:rsidR="004C79D5" w:rsidRDefault="004C79D5" w:rsidP="004C79D5">
      <w:pPr>
        <w:pStyle w:val="ListParagraph"/>
        <w:ind w:left="0"/>
      </w:pPr>
    </w:p>
    <w:p w14:paraId="242C6767" w14:textId="77777777" w:rsidR="005D01E5" w:rsidRPr="005D01E5" w:rsidRDefault="005D01E5" w:rsidP="004C79D5">
      <w:pPr>
        <w:pStyle w:val="ListParagraph"/>
        <w:ind w:left="0"/>
        <w:rPr>
          <w:b/>
        </w:rPr>
      </w:pPr>
      <w:r w:rsidRPr="005D01E5">
        <w:rPr>
          <w:b/>
        </w:rPr>
        <w:t>Sanctions and</w:t>
      </w:r>
      <w:r w:rsidR="00DA7396" w:rsidRPr="005D01E5">
        <w:rPr>
          <w:b/>
        </w:rPr>
        <w:t xml:space="preserve"> remedies </w:t>
      </w:r>
    </w:p>
    <w:p w14:paraId="11DBAB6C" w14:textId="77777777" w:rsidR="005D01E5" w:rsidRDefault="005D01E5" w:rsidP="004C79D5">
      <w:pPr>
        <w:pStyle w:val="ListParagraph"/>
        <w:ind w:left="0"/>
      </w:pPr>
    </w:p>
    <w:p w14:paraId="608FCCA6" w14:textId="1795B337" w:rsidR="00D62E7C" w:rsidRDefault="004C79D5" w:rsidP="005859B5">
      <w:pPr>
        <w:pStyle w:val="ListParagraph"/>
        <w:ind w:left="0"/>
      </w:pPr>
      <w:r>
        <w:fldChar w:fldCharType="begin"/>
      </w:r>
      <w:r>
        <w:instrText xml:space="preserve"> AUTONUM  </w:instrText>
      </w:r>
      <w:r>
        <w:fldChar w:fldCharType="end"/>
      </w:r>
      <w:r>
        <w:tab/>
      </w:r>
      <w:r w:rsidR="003C63B9">
        <w:t xml:space="preserve">Most existing </w:t>
      </w:r>
      <w:r w:rsidR="003C63B9" w:rsidRPr="003C63B9">
        <w:rPr>
          <w:i/>
        </w:rPr>
        <w:t>sui generis</w:t>
      </w:r>
      <w:r w:rsidR="003C63B9">
        <w:t xml:space="preserve"> laws provide that acts that contravene the law </w:t>
      </w:r>
      <w:proofErr w:type="gramStart"/>
      <w:r w:rsidR="003C63B9">
        <w:t>shall be punished</w:t>
      </w:r>
      <w:proofErr w:type="gramEnd"/>
      <w:r w:rsidR="003C63B9">
        <w:t xml:space="preserve"> with sanctions and remedies.  </w:t>
      </w:r>
      <w:r w:rsidR="00D62E7C">
        <w:t xml:space="preserve">The </w:t>
      </w:r>
      <w:r w:rsidR="00D62E7C" w:rsidRPr="00D62E7C">
        <w:rPr>
          <w:i/>
        </w:rPr>
        <w:t>ad hoc</w:t>
      </w:r>
      <w:r w:rsidR="00D62E7C">
        <w:t xml:space="preserve"> expert group </w:t>
      </w:r>
      <w:proofErr w:type="gramStart"/>
      <w:r w:rsidR="005859B5">
        <w:t>is invited</w:t>
      </w:r>
      <w:proofErr w:type="gramEnd"/>
      <w:r w:rsidR="005859B5">
        <w:t xml:space="preserve"> to consider whether </w:t>
      </w:r>
      <w:r w:rsidR="00D62E7C">
        <w:t>to provide a general framework regarding sanctions and remedies at the international level, and to leave the deta</w:t>
      </w:r>
      <w:r w:rsidR="005859B5">
        <w:t>ils to national legislation.</w:t>
      </w:r>
    </w:p>
    <w:p w14:paraId="4442C04E" w14:textId="77777777" w:rsidR="00D62E7C" w:rsidRDefault="00D62E7C" w:rsidP="00D62E7C">
      <w:pPr>
        <w:pStyle w:val="ListParagraph"/>
      </w:pPr>
    </w:p>
    <w:p w14:paraId="333FF82B" w14:textId="67A37F50" w:rsidR="00D62E7C" w:rsidRDefault="005859B5" w:rsidP="005859B5">
      <w:r>
        <w:fldChar w:fldCharType="begin"/>
      </w:r>
      <w:r>
        <w:instrText xml:space="preserve"> AUTONUM  </w:instrText>
      </w:r>
      <w:r>
        <w:fldChar w:fldCharType="end"/>
      </w:r>
      <w:r>
        <w:tab/>
        <w:t xml:space="preserve">If the </w:t>
      </w:r>
      <w:r w:rsidRPr="005859B5">
        <w:rPr>
          <w:i/>
        </w:rPr>
        <w:t>ad hoc</w:t>
      </w:r>
      <w:r>
        <w:t xml:space="preserve"> expert group believes that</w:t>
      </w:r>
      <w:r w:rsidR="00D62E7C">
        <w:t xml:space="preserve"> a detailed sanctions and remedies</w:t>
      </w:r>
      <w:r w:rsidR="00A07739">
        <w:t xml:space="preserve"> framework</w:t>
      </w:r>
      <w:r w:rsidR="00D62E7C">
        <w:t xml:space="preserve"> </w:t>
      </w:r>
      <w:proofErr w:type="gramStart"/>
      <w:r>
        <w:t>should be provided</w:t>
      </w:r>
      <w:proofErr w:type="gramEnd"/>
      <w:r>
        <w:t xml:space="preserve"> </w:t>
      </w:r>
      <w:r w:rsidR="00D62E7C">
        <w:t xml:space="preserve">at the international </w:t>
      </w:r>
      <w:r>
        <w:t xml:space="preserve">level, </w:t>
      </w:r>
      <w:r w:rsidR="00D62E7C">
        <w:t xml:space="preserve">what should be </w:t>
      </w:r>
      <w:r>
        <w:t xml:space="preserve">such </w:t>
      </w:r>
      <w:r w:rsidR="00D62E7C">
        <w:t xml:space="preserve">sanctions and remedies? </w:t>
      </w:r>
    </w:p>
    <w:p w14:paraId="561BC3E8" w14:textId="77777777" w:rsidR="006F4E56" w:rsidRDefault="006F4E56" w:rsidP="006F4E56">
      <w:pPr>
        <w:pStyle w:val="ListParagraph"/>
      </w:pPr>
    </w:p>
    <w:p w14:paraId="02378276" w14:textId="77777777" w:rsidR="00E77050" w:rsidRPr="000411A6" w:rsidRDefault="00E77050" w:rsidP="00E77050">
      <w:pPr>
        <w:outlineLvl w:val="0"/>
        <w:rPr>
          <w:b/>
        </w:rPr>
      </w:pPr>
      <w:r w:rsidRPr="000411A6">
        <w:rPr>
          <w:b/>
        </w:rPr>
        <w:t xml:space="preserve">Useful resources </w:t>
      </w:r>
    </w:p>
    <w:p w14:paraId="2694A0EA" w14:textId="77777777" w:rsidR="00E77050" w:rsidRDefault="00E77050" w:rsidP="00E77050"/>
    <w:p w14:paraId="2EEE05C1" w14:textId="60520C38" w:rsidR="00E77050" w:rsidRDefault="00E77050" w:rsidP="00E77050">
      <w:r>
        <w:fldChar w:fldCharType="begin"/>
      </w:r>
      <w:r>
        <w:instrText xml:space="preserve"> AUTONUM  </w:instrText>
      </w:r>
      <w:r>
        <w:fldChar w:fldCharType="end"/>
      </w:r>
      <w:r>
        <w:tab/>
        <w:t>T</w:t>
      </w:r>
      <w:r w:rsidRPr="00000A0A">
        <w:t xml:space="preserve">here are some useful resources available on the WIPO </w:t>
      </w:r>
      <w:r w:rsidR="00A07739" w:rsidRPr="00000A0A">
        <w:t>website, which</w:t>
      </w:r>
      <w:r w:rsidRPr="00000A0A">
        <w:t xml:space="preserve"> </w:t>
      </w:r>
      <w:r>
        <w:t xml:space="preserve">the </w:t>
      </w:r>
      <w:r w:rsidRPr="00E77050">
        <w:rPr>
          <w:i/>
        </w:rPr>
        <w:t>ad hoc</w:t>
      </w:r>
      <w:r>
        <w:t xml:space="preserve"> expert group </w:t>
      </w:r>
      <w:r w:rsidRPr="00000A0A">
        <w:t>may wish to use as reference materials</w:t>
      </w:r>
      <w:r>
        <w:t xml:space="preserve">, </w:t>
      </w:r>
      <w:proofErr w:type="gramStart"/>
      <w:r>
        <w:t>such as</w:t>
      </w:r>
      <w:proofErr w:type="gramEnd"/>
      <w:r>
        <w:t>:</w:t>
      </w:r>
    </w:p>
    <w:p w14:paraId="3453A87C" w14:textId="59BF7E80" w:rsidR="00CE1AD8" w:rsidRPr="00BD16F8" w:rsidRDefault="00CE1AD8" w:rsidP="00CE1AD8">
      <w:pPr>
        <w:pStyle w:val="ListParagraph"/>
      </w:pPr>
    </w:p>
    <w:p w14:paraId="3BCCFD8C" w14:textId="3B2B31DA" w:rsidR="00DC20FA" w:rsidRDefault="00DC20FA" w:rsidP="00DC20FA">
      <w:pPr>
        <w:pStyle w:val="ListParagraph"/>
        <w:numPr>
          <w:ilvl w:val="0"/>
          <w:numId w:val="19"/>
        </w:numPr>
      </w:pPr>
      <w:r w:rsidRPr="00BD16F8">
        <w:t>W</w:t>
      </w:r>
      <w:r>
        <w:t>IPO/GRTKF/IC/45/4</w:t>
      </w:r>
      <w:r w:rsidRPr="00BD16F8">
        <w:t xml:space="preserve">, </w:t>
      </w:r>
      <w:r w:rsidRPr="00DC20FA">
        <w:t xml:space="preserve">The Protection of Traditional Knowledge: </w:t>
      </w:r>
      <w:r>
        <w:t xml:space="preserve"> </w:t>
      </w:r>
      <w:r w:rsidRPr="00DC20FA">
        <w:t>Draft Articles</w:t>
      </w:r>
      <w:r>
        <w:t xml:space="preserve">, </w:t>
      </w:r>
      <w:hyperlink r:id="rId9" w:history="1">
        <w:r w:rsidR="0007215C" w:rsidRPr="00B22FB5">
          <w:rPr>
            <w:rStyle w:val="Hyperlink"/>
          </w:rPr>
          <w:t>https://www.wipo.int/meetings/en/doc_details.jsp?doc_id=585931</w:t>
        </w:r>
      </w:hyperlink>
      <w:r>
        <w:t>;</w:t>
      </w:r>
      <w:r w:rsidR="0007215C">
        <w:t xml:space="preserve"> </w:t>
      </w:r>
    </w:p>
    <w:p w14:paraId="06A11501" w14:textId="77777777" w:rsidR="00DC20FA" w:rsidRDefault="00DC20FA" w:rsidP="00DC20FA">
      <w:pPr>
        <w:pStyle w:val="ListParagraph"/>
      </w:pPr>
    </w:p>
    <w:p w14:paraId="599B8A08" w14:textId="5A120EA6" w:rsidR="00DC20FA" w:rsidRDefault="00DC20FA" w:rsidP="00DC20FA">
      <w:pPr>
        <w:pStyle w:val="ListParagraph"/>
        <w:numPr>
          <w:ilvl w:val="0"/>
          <w:numId w:val="19"/>
        </w:numPr>
      </w:pPr>
      <w:r w:rsidRPr="00BD16F8">
        <w:t>W</w:t>
      </w:r>
      <w:r>
        <w:t>IPO/GRTKF/IC/45/5</w:t>
      </w:r>
      <w:r w:rsidRPr="00BD16F8">
        <w:t xml:space="preserve">, </w:t>
      </w:r>
      <w:r w:rsidRPr="00DC20FA">
        <w:t xml:space="preserve">The Protection of Traditional Cultural Expressions: </w:t>
      </w:r>
      <w:r>
        <w:t xml:space="preserve"> </w:t>
      </w:r>
      <w:r w:rsidRPr="00DC20FA">
        <w:t>Draft Articles</w:t>
      </w:r>
      <w:r>
        <w:t xml:space="preserve">, </w:t>
      </w:r>
      <w:hyperlink r:id="rId10" w:history="1">
        <w:r w:rsidR="0007215C" w:rsidRPr="00B22FB5">
          <w:rPr>
            <w:rStyle w:val="Hyperlink"/>
          </w:rPr>
          <w:t>https://www.wipo.int/meetings/en/doc_details.jsp?doc_id=585921</w:t>
        </w:r>
      </w:hyperlink>
      <w:r>
        <w:t>;</w:t>
      </w:r>
      <w:r w:rsidR="0007215C">
        <w:t xml:space="preserve"> </w:t>
      </w:r>
    </w:p>
    <w:p w14:paraId="7E7D8EB3" w14:textId="77777777" w:rsidR="00DC20FA" w:rsidRDefault="00DC20FA" w:rsidP="00DC20FA">
      <w:pPr>
        <w:pStyle w:val="ListParagraph"/>
      </w:pPr>
    </w:p>
    <w:p w14:paraId="08737218" w14:textId="5A0FD7FE" w:rsidR="00E77050" w:rsidRPr="00BD16F8" w:rsidRDefault="000F2E91" w:rsidP="00DC20FA">
      <w:pPr>
        <w:pStyle w:val="ListParagraph"/>
        <w:numPr>
          <w:ilvl w:val="0"/>
          <w:numId w:val="19"/>
        </w:numPr>
      </w:pPr>
      <w:r w:rsidRPr="00BD16F8">
        <w:t>W</w:t>
      </w:r>
      <w:r w:rsidR="00DC20FA">
        <w:t>IPO/GRTKF/IC/45</w:t>
      </w:r>
      <w:r w:rsidR="00E77050" w:rsidRPr="00BD16F8">
        <w:t>/6, The Protection of Traditional Knowledge:  Updated Draft Gap Analysis,</w:t>
      </w:r>
      <w:r w:rsidR="00DC20FA" w:rsidRPr="00DC20FA">
        <w:t xml:space="preserve"> </w:t>
      </w:r>
      <w:hyperlink r:id="rId11" w:history="1">
        <w:r w:rsidR="0007215C" w:rsidRPr="00B22FB5">
          <w:rPr>
            <w:rStyle w:val="Hyperlink"/>
          </w:rPr>
          <w:t>https://www.wipo.int/meetings/en/doc_details.jsp?doc_id=585974</w:t>
        </w:r>
      </w:hyperlink>
      <w:r w:rsidR="00E77050" w:rsidRPr="00BD16F8">
        <w:t>;</w:t>
      </w:r>
      <w:r w:rsidR="0007215C">
        <w:t xml:space="preserve"> </w:t>
      </w:r>
    </w:p>
    <w:p w14:paraId="4FECBC6A" w14:textId="77777777" w:rsidR="00E77050" w:rsidRPr="00BD16F8" w:rsidRDefault="00E77050" w:rsidP="00E77050">
      <w:pPr>
        <w:pStyle w:val="ListParagraph"/>
      </w:pPr>
    </w:p>
    <w:p w14:paraId="4805031A" w14:textId="5EA7D64C" w:rsidR="00E77050" w:rsidRPr="00BD16F8" w:rsidRDefault="00DC20FA" w:rsidP="00DC20FA">
      <w:pPr>
        <w:pStyle w:val="ListParagraph"/>
        <w:numPr>
          <w:ilvl w:val="0"/>
          <w:numId w:val="19"/>
        </w:numPr>
      </w:pPr>
      <w:r>
        <w:t>WIPO/GRTKF/IC/45</w:t>
      </w:r>
      <w:r w:rsidR="00E77050" w:rsidRPr="00BD16F8">
        <w:t>/7, The Protection of Traditional Cultural Expressions:  Updated Draft Gap Analysis,</w:t>
      </w:r>
      <w:r w:rsidRPr="00DC20FA">
        <w:t xml:space="preserve"> </w:t>
      </w:r>
      <w:hyperlink r:id="rId12" w:history="1">
        <w:r w:rsidR="0007215C" w:rsidRPr="00B22FB5">
          <w:rPr>
            <w:rStyle w:val="Hyperlink"/>
          </w:rPr>
          <w:t>https://www.wipo.int/meetings/en/doc_details.jsp?doc_id=585975</w:t>
        </w:r>
      </w:hyperlink>
      <w:r w:rsidR="00E77050" w:rsidRPr="00BD16F8">
        <w:t>;</w:t>
      </w:r>
      <w:r w:rsidR="0007215C">
        <w:t xml:space="preserve"> </w:t>
      </w:r>
      <w:r w:rsidR="00BD16F8" w:rsidRPr="00BD16F8">
        <w:t xml:space="preserve"> </w:t>
      </w:r>
    </w:p>
    <w:p w14:paraId="0354D910" w14:textId="77777777" w:rsidR="00E77050" w:rsidRPr="00BD16F8" w:rsidRDefault="00E77050" w:rsidP="00E77050">
      <w:pPr>
        <w:pStyle w:val="ListParagraph"/>
      </w:pPr>
    </w:p>
    <w:p w14:paraId="6917DB67" w14:textId="058A50B5" w:rsidR="00E77050" w:rsidRPr="00BD16F8" w:rsidRDefault="00E77050" w:rsidP="00E77050">
      <w:pPr>
        <w:pStyle w:val="ListParagraph"/>
        <w:numPr>
          <w:ilvl w:val="0"/>
          <w:numId w:val="19"/>
        </w:numPr>
      </w:pPr>
      <w:r w:rsidRPr="00BD16F8">
        <w:t xml:space="preserve">WIPO/GRTKF/IC/17/INF/8, Note on the Meanings of the Term “Public Domain” in the Intellectual Property System with Special Reference to the Protection of Traditional Knowledge and Traditional Cultural Expressions/Expressions of Folklore, </w:t>
      </w:r>
      <w:hyperlink r:id="rId13" w:history="1">
        <w:r w:rsidR="00BD16F8" w:rsidRPr="0007215C">
          <w:rPr>
            <w:rStyle w:val="Hyperlink"/>
            <w:color w:val="0000FF"/>
          </w:rPr>
          <w:t>https://www.wipo.int/meetings/en/doc_details.jsp?doc_id=149213</w:t>
        </w:r>
      </w:hyperlink>
      <w:r w:rsidRPr="00BD16F8">
        <w:t>;</w:t>
      </w:r>
      <w:r w:rsidR="0007215C">
        <w:t xml:space="preserve"> </w:t>
      </w:r>
    </w:p>
    <w:p w14:paraId="5348FF25" w14:textId="77777777" w:rsidR="00E77050" w:rsidRDefault="00E77050" w:rsidP="00E77050">
      <w:pPr>
        <w:pStyle w:val="ListParagraph"/>
      </w:pPr>
    </w:p>
    <w:p w14:paraId="32712188" w14:textId="50BCE82E" w:rsidR="00E77050" w:rsidRPr="00BD16F8" w:rsidRDefault="00E77050" w:rsidP="00E77050">
      <w:pPr>
        <w:pStyle w:val="ListParagraph"/>
        <w:numPr>
          <w:ilvl w:val="0"/>
          <w:numId w:val="19"/>
        </w:numPr>
      </w:pPr>
      <w:r>
        <w:t xml:space="preserve">WIPO/GRTKF/IC/17/INF/9, List and Brief Technical Explanation of Various Forms in </w:t>
      </w:r>
      <w:r w:rsidRPr="00BD16F8">
        <w:t xml:space="preserve">Which Traditional Knowledge May Be Found, </w:t>
      </w:r>
      <w:hyperlink r:id="rId14" w:history="1">
        <w:r w:rsidR="00BD16F8" w:rsidRPr="0007215C">
          <w:rPr>
            <w:rStyle w:val="Hyperlink"/>
            <w:color w:val="0000FF"/>
          </w:rPr>
          <w:t>https://www.wipo.int/meetings/en/doc_details.jsp?doc_id=147152</w:t>
        </w:r>
      </w:hyperlink>
      <w:r w:rsidRPr="00BD16F8">
        <w:t>;</w:t>
      </w:r>
      <w:r w:rsidR="0007215C">
        <w:t xml:space="preserve"> </w:t>
      </w:r>
    </w:p>
    <w:p w14:paraId="3920383F" w14:textId="77777777" w:rsidR="00E77050" w:rsidRPr="00BD16F8" w:rsidRDefault="00E77050" w:rsidP="00E77050">
      <w:pPr>
        <w:pStyle w:val="ListParagraph"/>
      </w:pPr>
    </w:p>
    <w:p w14:paraId="241A9A90" w14:textId="790175DD" w:rsidR="00E77050" w:rsidRPr="00BD16F8" w:rsidRDefault="00E77050" w:rsidP="00E77050">
      <w:pPr>
        <w:pStyle w:val="ListParagraph"/>
        <w:numPr>
          <w:ilvl w:val="0"/>
          <w:numId w:val="19"/>
        </w:numPr>
      </w:pPr>
      <w:r w:rsidRPr="00BD16F8">
        <w:t xml:space="preserve">Regional, National, Local and Community Experiences, </w:t>
      </w:r>
      <w:hyperlink r:id="rId15" w:history="1">
        <w:r w:rsidR="00BD16F8" w:rsidRPr="0007215C">
          <w:rPr>
            <w:rStyle w:val="Hyperlink"/>
            <w:color w:val="0000FF"/>
          </w:rPr>
          <w:t>https://www.wipo.int/tk/en/resources/tk_experiences.html</w:t>
        </w:r>
      </w:hyperlink>
      <w:r w:rsidRPr="00BD16F8">
        <w:t>;</w:t>
      </w:r>
      <w:r w:rsidR="00BD16F8" w:rsidRPr="00BD16F8">
        <w:t xml:space="preserve"> </w:t>
      </w:r>
    </w:p>
    <w:p w14:paraId="2BA83957" w14:textId="77777777" w:rsidR="00E77050" w:rsidRPr="00BD16F8" w:rsidRDefault="00E77050" w:rsidP="00E77050"/>
    <w:p w14:paraId="6FAC8CD4" w14:textId="05CC3C03" w:rsidR="00E77050" w:rsidRPr="00BD16F8" w:rsidRDefault="00E77050" w:rsidP="00E77050">
      <w:pPr>
        <w:pStyle w:val="ListParagraph"/>
        <w:numPr>
          <w:ilvl w:val="0"/>
          <w:numId w:val="19"/>
        </w:numPr>
      </w:pPr>
      <w:r w:rsidRPr="00BD16F8">
        <w:t xml:space="preserve">Lectures and presentations on the selected topics, </w:t>
      </w:r>
      <w:hyperlink r:id="rId16" w:anchor="4" w:history="1">
        <w:r w:rsidR="00BD16F8" w:rsidRPr="0007215C">
          <w:rPr>
            <w:rStyle w:val="Hyperlink"/>
            <w:color w:val="0000FF"/>
          </w:rPr>
          <w:t>https://www.wipo.int/tk/en/resources/tk_experiences.html#4</w:t>
        </w:r>
      </w:hyperlink>
      <w:r w:rsidRPr="00BD16F8">
        <w:t>.</w:t>
      </w:r>
      <w:r w:rsidR="0007215C">
        <w:t xml:space="preserve"> </w:t>
      </w:r>
    </w:p>
    <w:p w14:paraId="49A39322" w14:textId="77777777" w:rsidR="00E77050" w:rsidRDefault="00E77050" w:rsidP="00E77050"/>
    <w:p w14:paraId="23504B68" w14:textId="77777777" w:rsidR="00816717" w:rsidRDefault="00816717" w:rsidP="000D4BD5"/>
    <w:p w14:paraId="5A699644" w14:textId="77777777" w:rsidR="000D4BD5" w:rsidRDefault="000D4BD5" w:rsidP="000D4BD5">
      <w:pPr>
        <w:ind w:left="5760"/>
      </w:pPr>
      <w:r>
        <w:t>[End of document]</w:t>
      </w:r>
    </w:p>
    <w:sectPr w:rsidR="000D4BD5" w:rsidSect="00267117">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1791A" w16cid:durableId="2019030B"/>
  <w16cid:commentId w16cid:paraId="7690DF21" w16cid:durableId="201901A7"/>
  <w16cid:commentId w16cid:paraId="41603091" w16cid:durableId="20190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F8042" w14:textId="77777777" w:rsidR="001A1782" w:rsidRDefault="001A1782">
      <w:r>
        <w:separator/>
      </w:r>
    </w:p>
  </w:endnote>
  <w:endnote w:type="continuationSeparator" w:id="0">
    <w:p w14:paraId="75777932" w14:textId="77777777" w:rsidR="001A1782" w:rsidRDefault="001A1782" w:rsidP="003B38C1">
      <w:r>
        <w:separator/>
      </w:r>
    </w:p>
    <w:p w14:paraId="03716E93" w14:textId="77777777" w:rsidR="001A1782" w:rsidRPr="003B38C1" w:rsidRDefault="001A1782" w:rsidP="003B38C1">
      <w:pPr>
        <w:spacing w:after="60"/>
        <w:rPr>
          <w:sz w:val="17"/>
        </w:rPr>
      </w:pPr>
      <w:r>
        <w:rPr>
          <w:sz w:val="17"/>
        </w:rPr>
        <w:t>[Endnote continued from previous page]</w:t>
      </w:r>
    </w:p>
  </w:endnote>
  <w:endnote w:type="continuationNotice" w:id="1">
    <w:p w14:paraId="239EEE8C" w14:textId="77777777" w:rsidR="001A1782" w:rsidRPr="003B38C1" w:rsidRDefault="001A17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50A6D" w14:textId="77777777" w:rsidR="00466271" w:rsidRDefault="00466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831B" w14:textId="77777777" w:rsidR="00466271" w:rsidRDefault="00466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9575B" w14:textId="77777777" w:rsidR="00466271" w:rsidRDefault="00466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9FDC2" w14:textId="77777777" w:rsidR="001A1782" w:rsidRDefault="001A1782">
      <w:r>
        <w:separator/>
      </w:r>
    </w:p>
  </w:footnote>
  <w:footnote w:type="continuationSeparator" w:id="0">
    <w:p w14:paraId="3AAD9B79" w14:textId="77777777" w:rsidR="001A1782" w:rsidRDefault="001A1782" w:rsidP="008B60B2">
      <w:r>
        <w:separator/>
      </w:r>
    </w:p>
    <w:p w14:paraId="31324C12" w14:textId="77777777" w:rsidR="001A1782" w:rsidRPr="00ED77FB" w:rsidRDefault="001A1782" w:rsidP="008B60B2">
      <w:pPr>
        <w:spacing w:after="60"/>
        <w:rPr>
          <w:sz w:val="17"/>
          <w:szCs w:val="17"/>
        </w:rPr>
      </w:pPr>
      <w:r w:rsidRPr="00ED77FB">
        <w:rPr>
          <w:sz w:val="17"/>
          <w:szCs w:val="17"/>
        </w:rPr>
        <w:t>[Footnote continued from previous page]</w:t>
      </w:r>
    </w:p>
  </w:footnote>
  <w:footnote w:type="continuationNotice" w:id="1">
    <w:p w14:paraId="346AEB30" w14:textId="77777777" w:rsidR="001A1782" w:rsidRPr="00ED77FB" w:rsidRDefault="001A178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3EA8" w14:textId="49C8193B" w:rsidR="00267117" w:rsidRPr="00750AD4" w:rsidRDefault="00267117" w:rsidP="00267117">
    <w:pPr>
      <w:jc w:val="right"/>
      <w:rPr>
        <w:lang w:val="fr-CH"/>
      </w:rPr>
    </w:pPr>
    <w:r w:rsidRPr="00F15FAA">
      <w:rPr>
        <w:lang w:val="fr-CH"/>
      </w:rPr>
      <w:t>WIPO/IPTK</w:t>
    </w:r>
    <w:r w:rsidR="004663FC">
      <w:rPr>
        <w:lang w:val="fr-CH"/>
      </w:rPr>
      <w:t>-TCES</w:t>
    </w:r>
    <w:r w:rsidRPr="00F15FAA">
      <w:rPr>
        <w:lang w:val="fr-CH"/>
      </w:rPr>
      <w:t>/</w:t>
    </w:r>
    <w:r w:rsidR="00CD49DE" w:rsidRPr="00F15FAA">
      <w:rPr>
        <w:lang w:val="fr-CH"/>
      </w:rPr>
      <w:t>GE/22/2</w:t>
    </w:r>
  </w:p>
  <w:p w14:paraId="7F1C86CC" w14:textId="14B82ECA" w:rsidR="00267117" w:rsidRPr="00750AD4" w:rsidRDefault="00267117" w:rsidP="00267117">
    <w:pPr>
      <w:jc w:val="right"/>
      <w:rPr>
        <w:lang w:val="fr-CH"/>
      </w:rPr>
    </w:pPr>
    <w:r w:rsidRPr="00750AD4">
      <w:rPr>
        <w:lang w:val="fr-CH"/>
      </w:rPr>
      <w:t xml:space="preserve">page </w:t>
    </w:r>
    <w:r>
      <w:fldChar w:fldCharType="begin"/>
    </w:r>
    <w:r w:rsidRPr="00750AD4">
      <w:rPr>
        <w:lang w:val="fr-CH"/>
      </w:rPr>
      <w:instrText xml:space="preserve"> PAGE  \* MERGEFORMAT </w:instrText>
    </w:r>
    <w:r>
      <w:fldChar w:fldCharType="separate"/>
    </w:r>
    <w:r w:rsidR="002E0D90">
      <w:rPr>
        <w:noProof/>
        <w:lang w:val="fr-CH"/>
      </w:rPr>
      <w:t>2</w:t>
    </w:r>
    <w:r>
      <w:fldChar w:fldCharType="end"/>
    </w:r>
  </w:p>
  <w:p w14:paraId="046C432A" w14:textId="77777777" w:rsidR="00267117" w:rsidRPr="00750AD4" w:rsidRDefault="00267117" w:rsidP="00267117">
    <w:pPr>
      <w:jc w:val="right"/>
      <w:rPr>
        <w:lang w:val="fr-CH"/>
      </w:rPr>
    </w:pPr>
  </w:p>
  <w:p w14:paraId="485949E5" w14:textId="77777777" w:rsidR="00267117" w:rsidRPr="00750AD4" w:rsidRDefault="00267117" w:rsidP="00267117">
    <w:pPr>
      <w:jc w:val="right"/>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AAC97" w14:textId="7F830799" w:rsidR="00EC4E49" w:rsidRPr="00750AD4" w:rsidRDefault="000D4BD5" w:rsidP="00477D6B">
    <w:pPr>
      <w:jc w:val="right"/>
      <w:rPr>
        <w:lang w:val="fr-CH"/>
      </w:rPr>
    </w:pPr>
    <w:r w:rsidRPr="0007215C">
      <w:rPr>
        <w:lang w:val="fr-CH"/>
      </w:rPr>
      <w:t>W</w:t>
    </w:r>
    <w:r w:rsidR="007C48E8" w:rsidRPr="0007215C">
      <w:rPr>
        <w:lang w:val="fr-CH"/>
      </w:rPr>
      <w:t>IPO/IPTK</w:t>
    </w:r>
    <w:r w:rsidR="0007215C">
      <w:rPr>
        <w:lang w:val="fr-CH"/>
      </w:rPr>
      <w:t>-TCES</w:t>
    </w:r>
    <w:r w:rsidR="007C48E8" w:rsidRPr="0007215C">
      <w:rPr>
        <w:lang w:val="fr-CH"/>
      </w:rPr>
      <w:t>/</w:t>
    </w:r>
    <w:r w:rsidR="00D62E7C" w:rsidRPr="0007215C">
      <w:rPr>
        <w:lang w:val="fr-CH"/>
      </w:rPr>
      <w:t>GE/22/2</w:t>
    </w:r>
  </w:p>
  <w:p w14:paraId="301BE683" w14:textId="04CC5B5C" w:rsidR="00EC4E49" w:rsidRPr="00750AD4" w:rsidRDefault="00EC4E49" w:rsidP="00477D6B">
    <w:pPr>
      <w:jc w:val="right"/>
      <w:rPr>
        <w:lang w:val="fr-CH"/>
      </w:rPr>
    </w:pPr>
    <w:r w:rsidRPr="00750AD4">
      <w:rPr>
        <w:lang w:val="fr-CH"/>
      </w:rPr>
      <w:t xml:space="preserve">page </w:t>
    </w:r>
    <w:r>
      <w:fldChar w:fldCharType="begin"/>
    </w:r>
    <w:r w:rsidRPr="00750AD4">
      <w:rPr>
        <w:lang w:val="fr-CH"/>
      </w:rPr>
      <w:instrText xml:space="preserve"> PAGE  \* MERGEFORMAT </w:instrText>
    </w:r>
    <w:r>
      <w:fldChar w:fldCharType="separate"/>
    </w:r>
    <w:r w:rsidR="002E0D90">
      <w:rPr>
        <w:noProof/>
        <w:lang w:val="fr-CH"/>
      </w:rPr>
      <w:t>3</w:t>
    </w:r>
    <w:r>
      <w:fldChar w:fldCharType="end"/>
    </w:r>
  </w:p>
  <w:p w14:paraId="3966F845" w14:textId="77777777" w:rsidR="00EC4E49" w:rsidRPr="00750AD4" w:rsidRDefault="00EC4E49" w:rsidP="00477D6B">
    <w:pPr>
      <w:jc w:val="right"/>
      <w:rPr>
        <w:lang w:val="fr-CH"/>
      </w:rPr>
    </w:pPr>
  </w:p>
  <w:p w14:paraId="3E4F5040" w14:textId="77777777" w:rsidR="008A134B" w:rsidRPr="00750AD4" w:rsidRDefault="008A134B" w:rsidP="00477D6B">
    <w:pP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92C1E" w14:textId="77777777" w:rsidR="00466271" w:rsidRDefault="00466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0F0E9C"/>
    <w:multiLevelType w:val="hybridMultilevel"/>
    <w:tmpl w:val="34F4E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9430170"/>
    <w:multiLevelType w:val="hybridMultilevel"/>
    <w:tmpl w:val="CB68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044BF"/>
    <w:multiLevelType w:val="hybridMultilevel"/>
    <w:tmpl w:val="B59A5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5D78"/>
    <w:multiLevelType w:val="hybridMultilevel"/>
    <w:tmpl w:val="1BEE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06F67"/>
    <w:multiLevelType w:val="hybridMultilevel"/>
    <w:tmpl w:val="273C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357071B"/>
    <w:multiLevelType w:val="hybridMultilevel"/>
    <w:tmpl w:val="B2FC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404D3"/>
    <w:multiLevelType w:val="hybridMultilevel"/>
    <w:tmpl w:val="79BE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47C86"/>
    <w:multiLevelType w:val="hybridMultilevel"/>
    <w:tmpl w:val="E46C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65187"/>
    <w:multiLevelType w:val="hybridMultilevel"/>
    <w:tmpl w:val="C866864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730247"/>
    <w:multiLevelType w:val="hybridMultilevel"/>
    <w:tmpl w:val="10AE60B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3D8317F8"/>
    <w:multiLevelType w:val="hybridMultilevel"/>
    <w:tmpl w:val="97C04836"/>
    <w:lvl w:ilvl="0" w:tplc="94FE7FF0">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4410B"/>
    <w:multiLevelType w:val="hybridMultilevel"/>
    <w:tmpl w:val="1840C94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430D048F"/>
    <w:multiLevelType w:val="hybridMultilevel"/>
    <w:tmpl w:val="06568D42"/>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15:restartNumberingAfterBreak="0">
    <w:nsid w:val="4328111E"/>
    <w:multiLevelType w:val="hybridMultilevel"/>
    <w:tmpl w:val="CB6ECA54"/>
    <w:lvl w:ilvl="0" w:tplc="9BE8828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0E0D81"/>
    <w:multiLevelType w:val="hybridMultilevel"/>
    <w:tmpl w:val="6B4E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512A0F"/>
    <w:multiLevelType w:val="hybridMultilevel"/>
    <w:tmpl w:val="5E70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A39B1"/>
    <w:multiLevelType w:val="hybridMultilevel"/>
    <w:tmpl w:val="E32C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91F7C"/>
    <w:multiLevelType w:val="hybridMultilevel"/>
    <w:tmpl w:val="02CC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04638"/>
    <w:multiLevelType w:val="hybridMultilevel"/>
    <w:tmpl w:val="2CF0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235D38"/>
    <w:multiLevelType w:val="hybridMultilevel"/>
    <w:tmpl w:val="E26E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3491C"/>
    <w:multiLevelType w:val="hybridMultilevel"/>
    <w:tmpl w:val="D210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3404D"/>
    <w:multiLevelType w:val="hybridMultilevel"/>
    <w:tmpl w:val="F738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127EF"/>
    <w:multiLevelType w:val="hybridMultilevel"/>
    <w:tmpl w:val="8280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F32C52"/>
    <w:multiLevelType w:val="hybridMultilevel"/>
    <w:tmpl w:val="23C8386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6EC25B6"/>
    <w:multiLevelType w:val="hybridMultilevel"/>
    <w:tmpl w:val="D746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7A5D86"/>
    <w:multiLevelType w:val="hybridMultilevel"/>
    <w:tmpl w:val="1E389E36"/>
    <w:lvl w:ilvl="0" w:tplc="DFD6BAF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4B187D"/>
    <w:multiLevelType w:val="hybridMultilevel"/>
    <w:tmpl w:val="5CF2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71512"/>
    <w:multiLevelType w:val="hybridMultilevel"/>
    <w:tmpl w:val="295AB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9666A3"/>
    <w:multiLevelType w:val="hybridMultilevel"/>
    <w:tmpl w:val="BE9048EA"/>
    <w:lvl w:ilvl="0" w:tplc="DFD6BAF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04EAA"/>
    <w:multiLevelType w:val="hybridMultilevel"/>
    <w:tmpl w:val="F49A5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9"/>
  </w:num>
  <w:num w:numId="3">
    <w:abstractNumId w:val="0"/>
  </w:num>
  <w:num w:numId="4">
    <w:abstractNumId w:val="24"/>
  </w:num>
  <w:num w:numId="5">
    <w:abstractNumId w:val="2"/>
  </w:num>
  <w:num w:numId="6">
    <w:abstractNumId w:val="8"/>
  </w:num>
  <w:num w:numId="7">
    <w:abstractNumId w:val="20"/>
  </w:num>
  <w:num w:numId="8">
    <w:abstractNumId w:val="14"/>
  </w:num>
  <w:num w:numId="9">
    <w:abstractNumId w:val="16"/>
  </w:num>
  <w:num w:numId="10">
    <w:abstractNumId w:val="17"/>
  </w:num>
  <w:num w:numId="11">
    <w:abstractNumId w:val="12"/>
  </w:num>
  <w:num w:numId="12">
    <w:abstractNumId w:val="22"/>
  </w:num>
  <w:num w:numId="13">
    <w:abstractNumId w:val="25"/>
  </w:num>
  <w:num w:numId="14">
    <w:abstractNumId w:val="27"/>
  </w:num>
  <w:num w:numId="15">
    <w:abstractNumId w:val="32"/>
  </w:num>
  <w:num w:numId="16">
    <w:abstractNumId w:val="11"/>
  </w:num>
  <w:num w:numId="17">
    <w:abstractNumId w:val="28"/>
  </w:num>
  <w:num w:numId="18">
    <w:abstractNumId w:val="15"/>
  </w:num>
  <w:num w:numId="19">
    <w:abstractNumId w:val="5"/>
  </w:num>
  <w:num w:numId="20">
    <w:abstractNumId w:val="10"/>
  </w:num>
  <w:num w:numId="21">
    <w:abstractNumId w:val="3"/>
  </w:num>
  <w:num w:numId="22">
    <w:abstractNumId w:val="9"/>
  </w:num>
  <w:num w:numId="23">
    <w:abstractNumId w:val="30"/>
  </w:num>
  <w:num w:numId="24">
    <w:abstractNumId w:val="18"/>
  </w:num>
  <w:num w:numId="25">
    <w:abstractNumId w:val="29"/>
    <w:lvlOverride w:ilvl="0">
      <w:startOverride w:val="1"/>
    </w:lvlOverride>
    <w:lvlOverride w:ilvl="1"/>
    <w:lvlOverride w:ilvl="2"/>
    <w:lvlOverride w:ilvl="3"/>
    <w:lvlOverride w:ilvl="4"/>
    <w:lvlOverride w:ilvl="5"/>
    <w:lvlOverride w:ilvl="6"/>
    <w:lvlOverride w:ilvl="7"/>
    <w:lvlOverride w:ilvl="8"/>
  </w:num>
  <w:num w:numId="26">
    <w:abstractNumId w:val="1"/>
  </w:num>
  <w:num w:numId="27">
    <w:abstractNumId w:val="23"/>
  </w:num>
  <w:num w:numId="28">
    <w:abstractNumId w:val="4"/>
  </w:num>
  <w:num w:numId="29">
    <w:abstractNumId w:val="21"/>
  </w:num>
  <w:num w:numId="30">
    <w:abstractNumId w:val="31"/>
  </w:num>
  <w:num w:numId="31">
    <w:abstractNumId w:val="13"/>
  </w:num>
  <w:num w:numId="32">
    <w:abstractNumId w:val="34"/>
  </w:num>
  <w:num w:numId="33">
    <w:abstractNumId w:val="35"/>
  </w:num>
  <w:num w:numId="34">
    <w:abstractNumId w:val="26"/>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D5"/>
    <w:rsid w:val="00003BD6"/>
    <w:rsid w:val="00012180"/>
    <w:rsid w:val="0001278A"/>
    <w:rsid w:val="00024041"/>
    <w:rsid w:val="00031920"/>
    <w:rsid w:val="00033185"/>
    <w:rsid w:val="00036321"/>
    <w:rsid w:val="000411A6"/>
    <w:rsid w:val="00043CAA"/>
    <w:rsid w:val="000443E8"/>
    <w:rsid w:val="000611EE"/>
    <w:rsid w:val="0007215C"/>
    <w:rsid w:val="00075432"/>
    <w:rsid w:val="000807DB"/>
    <w:rsid w:val="000831C9"/>
    <w:rsid w:val="00084F25"/>
    <w:rsid w:val="00092261"/>
    <w:rsid w:val="000968ED"/>
    <w:rsid w:val="000A3302"/>
    <w:rsid w:val="000A6A46"/>
    <w:rsid w:val="000B290B"/>
    <w:rsid w:val="000D4BD5"/>
    <w:rsid w:val="000E2B93"/>
    <w:rsid w:val="000E69A5"/>
    <w:rsid w:val="000F2E91"/>
    <w:rsid w:val="000F33DB"/>
    <w:rsid w:val="000F5E56"/>
    <w:rsid w:val="001362EE"/>
    <w:rsid w:val="00150D56"/>
    <w:rsid w:val="001647D5"/>
    <w:rsid w:val="00165B76"/>
    <w:rsid w:val="00166A92"/>
    <w:rsid w:val="0017042D"/>
    <w:rsid w:val="00181199"/>
    <w:rsid w:val="0018292F"/>
    <w:rsid w:val="001832A6"/>
    <w:rsid w:val="00187B07"/>
    <w:rsid w:val="00187F6C"/>
    <w:rsid w:val="00191D11"/>
    <w:rsid w:val="001A1782"/>
    <w:rsid w:val="001A233E"/>
    <w:rsid w:val="001D088E"/>
    <w:rsid w:val="001F084E"/>
    <w:rsid w:val="0021217E"/>
    <w:rsid w:val="00215CD5"/>
    <w:rsid w:val="00227C6C"/>
    <w:rsid w:val="00233C45"/>
    <w:rsid w:val="00256D87"/>
    <w:rsid w:val="002623D6"/>
    <w:rsid w:val="002634C4"/>
    <w:rsid w:val="00267117"/>
    <w:rsid w:val="00275B90"/>
    <w:rsid w:val="00276A9A"/>
    <w:rsid w:val="002921B8"/>
    <w:rsid w:val="002928D3"/>
    <w:rsid w:val="0029357E"/>
    <w:rsid w:val="002965AA"/>
    <w:rsid w:val="002B6D96"/>
    <w:rsid w:val="002C20A7"/>
    <w:rsid w:val="002C6856"/>
    <w:rsid w:val="002D4CCC"/>
    <w:rsid w:val="002E0D90"/>
    <w:rsid w:val="002E3707"/>
    <w:rsid w:val="002F1FE6"/>
    <w:rsid w:val="002F4E68"/>
    <w:rsid w:val="002F7062"/>
    <w:rsid w:val="003010B3"/>
    <w:rsid w:val="00303705"/>
    <w:rsid w:val="00312F7F"/>
    <w:rsid w:val="00313FBF"/>
    <w:rsid w:val="00321FF0"/>
    <w:rsid w:val="003321D2"/>
    <w:rsid w:val="00332D35"/>
    <w:rsid w:val="00340AE9"/>
    <w:rsid w:val="00351AC7"/>
    <w:rsid w:val="00361450"/>
    <w:rsid w:val="003673CF"/>
    <w:rsid w:val="0037092D"/>
    <w:rsid w:val="0037653F"/>
    <w:rsid w:val="003845C1"/>
    <w:rsid w:val="003A1EF3"/>
    <w:rsid w:val="003A6F89"/>
    <w:rsid w:val="003B1152"/>
    <w:rsid w:val="003B27D2"/>
    <w:rsid w:val="003B38C1"/>
    <w:rsid w:val="003C397C"/>
    <w:rsid w:val="003C63B9"/>
    <w:rsid w:val="003D12FC"/>
    <w:rsid w:val="003E1F8F"/>
    <w:rsid w:val="003E3795"/>
    <w:rsid w:val="003E5350"/>
    <w:rsid w:val="003F5634"/>
    <w:rsid w:val="004018A1"/>
    <w:rsid w:val="0040282C"/>
    <w:rsid w:val="00403511"/>
    <w:rsid w:val="00412E3A"/>
    <w:rsid w:val="00415138"/>
    <w:rsid w:val="004151EA"/>
    <w:rsid w:val="00415F38"/>
    <w:rsid w:val="00423E3E"/>
    <w:rsid w:val="00427AF4"/>
    <w:rsid w:val="0043177A"/>
    <w:rsid w:val="0043778A"/>
    <w:rsid w:val="00441DB4"/>
    <w:rsid w:val="004426F1"/>
    <w:rsid w:val="00442FEE"/>
    <w:rsid w:val="004563B8"/>
    <w:rsid w:val="0046251E"/>
    <w:rsid w:val="004647DA"/>
    <w:rsid w:val="00466271"/>
    <w:rsid w:val="004663FC"/>
    <w:rsid w:val="00474062"/>
    <w:rsid w:val="00477D6B"/>
    <w:rsid w:val="004B350D"/>
    <w:rsid w:val="004B3998"/>
    <w:rsid w:val="004C073A"/>
    <w:rsid w:val="004C79D5"/>
    <w:rsid w:val="004D2A4A"/>
    <w:rsid w:val="004F668B"/>
    <w:rsid w:val="005019FF"/>
    <w:rsid w:val="00516C2D"/>
    <w:rsid w:val="00517798"/>
    <w:rsid w:val="00520061"/>
    <w:rsid w:val="00521E04"/>
    <w:rsid w:val="00527CDC"/>
    <w:rsid w:val="00530376"/>
    <w:rsid w:val="0053057A"/>
    <w:rsid w:val="005428E7"/>
    <w:rsid w:val="00554401"/>
    <w:rsid w:val="00560A29"/>
    <w:rsid w:val="00562D1E"/>
    <w:rsid w:val="0056607C"/>
    <w:rsid w:val="00572A09"/>
    <w:rsid w:val="005859B5"/>
    <w:rsid w:val="005C0A74"/>
    <w:rsid w:val="005C4023"/>
    <w:rsid w:val="005C6649"/>
    <w:rsid w:val="005C7230"/>
    <w:rsid w:val="005D01E5"/>
    <w:rsid w:val="005E07C0"/>
    <w:rsid w:val="005E2472"/>
    <w:rsid w:val="005E4EC6"/>
    <w:rsid w:val="00601A98"/>
    <w:rsid w:val="0060323A"/>
    <w:rsid w:val="00604D1B"/>
    <w:rsid w:val="00605827"/>
    <w:rsid w:val="006068B5"/>
    <w:rsid w:val="00610789"/>
    <w:rsid w:val="00616520"/>
    <w:rsid w:val="0062027D"/>
    <w:rsid w:val="00623AE8"/>
    <w:rsid w:val="00646050"/>
    <w:rsid w:val="00654696"/>
    <w:rsid w:val="006713CA"/>
    <w:rsid w:val="00676C5C"/>
    <w:rsid w:val="00680D49"/>
    <w:rsid w:val="0068164E"/>
    <w:rsid w:val="00683816"/>
    <w:rsid w:val="00685F65"/>
    <w:rsid w:val="006D3C9F"/>
    <w:rsid w:val="006E279F"/>
    <w:rsid w:val="006F4E56"/>
    <w:rsid w:val="00704117"/>
    <w:rsid w:val="007043EE"/>
    <w:rsid w:val="007111E2"/>
    <w:rsid w:val="007301FA"/>
    <w:rsid w:val="007322A0"/>
    <w:rsid w:val="007435C7"/>
    <w:rsid w:val="00750AD4"/>
    <w:rsid w:val="00774DAD"/>
    <w:rsid w:val="007767BE"/>
    <w:rsid w:val="0079184B"/>
    <w:rsid w:val="007A1575"/>
    <w:rsid w:val="007B2BB5"/>
    <w:rsid w:val="007B44F7"/>
    <w:rsid w:val="007C17CA"/>
    <w:rsid w:val="007C4728"/>
    <w:rsid w:val="007C48E8"/>
    <w:rsid w:val="007D1613"/>
    <w:rsid w:val="007E0693"/>
    <w:rsid w:val="007E46A9"/>
    <w:rsid w:val="007E4C0E"/>
    <w:rsid w:val="007E71EB"/>
    <w:rsid w:val="00816717"/>
    <w:rsid w:val="00816953"/>
    <w:rsid w:val="00830727"/>
    <w:rsid w:val="00834069"/>
    <w:rsid w:val="00844C5C"/>
    <w:rsid w:val="00846707"/>
    <w:rsid w:val="008467DB"/>
    <w:rsid w:val="00847939"/>
    <w:rsid w:val="0085040B"/>
    <w:rsid w:val="00853630"/>
    <w:rsid w:val="00856425"/>
    <w:rsid w:val="00870735"/>
    <w:rsid w:val="00881144"/>
    <w:rsid w:val="008864E4"/>
    <w:rsid w:val="00891976"/>
    <w:rsid w:val="008A134B"/>
    <w:rsid w:val="008A58D1"/>
    <w:rsid w:val="008B2CC1"/>
    <w:rsid w:val="008B4576"/>
    <w:rsid w:val="008B60B2"/>
    <w:rsid w:val="008B7F57"/>
    <w:rsid w:val="008C10CF"/>
    <w:rsid w:val="008D0D4B"/>
    <w:rsid w:val="008D4377"/>
    <w:rsid w:val="008F0024"/>
    <w:rsid w:val="008F6A04"/>
    <w:rsid w:val="0090731E"/>
    <w:rsid w:val="009153FF"/>
    <w:rsid w:val="00916EE2"/>
    <w:rsid w:val="0092213D"/>
    <w:rsid w:val="00950A4C"/>
    <w:rsid w:val="00951AC5"/>
    <w:rsid w:val="00966A22"/>
    <w:rsid w:val="0096722F"/>
    <w:rsid w:val="00967756"/>
    <w:rsid w:val="009769BC"/>
    <w:rsid w:val="00980286"/>
    <w:rsid w:val="00980803"/>
    <w:rsid w:val="00980843"/>
    <w:rsid w:val="0099414F"/>
    <w:rsid w:val="009A0B04"/>
    <w:rsid w:val="009B07AD"/>
    <w:rsid w:val="009C2752"/>
    <w:rsid w:val="009C3880"/>
    <w:rsid w:val="009C3F61"/>
    <w:rsid w:val="009E2791"/>
    <w:rsid w:val="009E3F6F"/>
    <w:rsid w:val="009F499F"/>
    <w:rsid w:val="009F7789"/>
    <w:rsid w:val="00A05DB8"/>
    <w:rsid w:val="00A07739"/>
    <w:rsid w:val="00A22486"/>
    <w:rsid w:val="00A2390D"/>
    <w:rsid w:val="00A25932"/>
    <w:rsid w:val="00A361CE"/>
    <w:rsid w:val="00A37342"/>
    <w:rsid w:val="00A42DAF"/>
    <w:rsid w:val="00A45BD8"/>
    <w:rsid w:val="00A67FE6"/>
    <w:rsid w:val="00A73D7E"/>
    <w:rsid w:val="00A74AE9"/>
    <w:rsid w:val="00A869B7"/>
    <w:rsid w:val="00AC205C"/>
    <w:rsid w:val="00AC22EB"/>
    <w:rsid w:val="00AC7B78"/>
    <w:rsid w:val="00AD0DB2"/>
    <w:rsid w:val="00AE5D78"/>
    <w:rsid w:val="00AF0A6B"/>
    <w:rsid w:val="00AF1ED6"/>
    <w:rsid w:val="00B05A69"/>
    <w:rsid w:val="00B112D7"/>
    <w:rsid w:val="00B314B5"/>
    <w:rsid w:val="00B727F0"/>
    <w:rsid w:val="00B77005"/>
    <w:rsid w:val="00B77DA3"/>
    <w:rsid w:val="00B9734B"/>
    <w:rsid w:val="00BA16E1"/>
    <w:rsid w:val="00BA30E2"/>
    <w:rsid w:val="00BB11BB"/>
    <w:rsid w:val="00BC1B79"/>
    <w:rsid w:val="00BC4A9E"/>
    <w:rsid w:val="00BC5E16"/>
    <w:rsid w:val="00BD16F8"/>
    <w:rsid w:val="00BD6FAC"/>
    <w:rsid w:val="00BE1072"/>
    <w:rsid w:val="00BE6183"/>
    <w:rsid w:val="00BF6A83"/>
    <w:rsid w:val="00C11090"/>
    <w:rsid w:val="00C11BFE"/>
    <w:rsid w:val="00C20B1E"/>
    <w:rsid w:val="00C23E36"/>
    <w:rsid w:val="00C278C5"/>
    <w:rsid w:val="00C40E7F"/>
    <w:rsid w:val="00C42861"/>
    <w:rsid w:val="00C5068F"/>
    <w:rsid w:val="00C57CEF"/>
    <w:rsid w:val="00C605A3"/>
    <w:rsid w:val="00C7190A"/>
    <w:rsid w:val="00C7365D"/>
    <w:rsid w:val="00C81E70"/>
    <w:rsid w:val="00C83170"/>
    <w:rsid w:val="00C838AA"/>
    <w:rsid w:val="00C86D74"/>
    <w:rsid w:val="00C94728"/>
    <w:rsid w:val="00C9666C"/>
    <w:rsid w:val="00CC0A33"/>
    <w:rsid w:val="00CC0C14"/>
    <w:rsid w:val="00CC5FF5"/>
    <w:rsid w:val="00CD04F1"/>
    <w:rsid w:val="00CD49DE"/>
    <w:rsid w:val="00CE1AD8"/>
    <w:rsid w:val="00CE66EF"/>
    <w:rsid w:val="00CF1E16"/>
    <w:rsid w:val="00D00F50"/>
    <w:rsid w:val="00D05554"/>
    <w:rsid w:val="00D1181D"/>
    <w:rsid w:val="00D32AD3"/>
    <w:rsid w:val="00D33CEC"/>
    <w:rsid w:val="00D34743"/>
    <w:rsid w:val="00D4330B"/>
    <w:rsid w:val="00D45252"/>
    <w:rsid w:val="00D53171"/>
    <w:rsid w:val="00D61185"/>
    <w:rsid w:val="00D62E7C"/>
    <w:rsid w:val="00D66B9B"/>
    <w:rsid w:val="00D715AE"/>
    <w:rsid w:val="00D71B4D"/>
    <w:rsid w:val="00D80FF7"/>
    <w:rsid w:val="00D93D55"/>
    <w:rsid w:val="00DA7396"/>
    <w:rsid w:val="00DC20FA"/>
    <w:rsid w:val="00DC5D23"/>
    <w:rsid w:val="00DE079F"/>
    <w:rsid w:val="00DE1A0A"/>
    <w:rsid w:val="00DE45DC"/>
    <w:rsid w:val="00DE4DCB"/>
    <w:rsid w:val="00DF7C36"/>
    <w:rsid w:val="00E02CE2"/>
    <w:rsid w:val="00E1184A"/>
    <w:rsid w:val="00E15015"/>
    <w:rsid w:val="00E163E8"/>
    <w:rsid w:val="00E16C10"/>
    <w:rsid w:val="00E21EA7"/>
    <w:rsid w:val="00E31B7A"/>
    <w:rsid w:val="00E335FE"/>
    <w:rsid w:val="00E408B2"/>
    <w:rsid w:val="00E50C3E"/>
    <w:rsid w:val="00E53211"/>
    <w:rsid w:val="00E57D3D"/>
    <w:rsid w:val="00E65079"/>
    <w:rsid w:val="00E723B6"/>
    <w:rsid w:val="00E759FB"/>
    <w:rsid w:val="00E75D08"/>
    <w:rsid w:val="00E77050"/>
    <w:rsid w:val="00E778A2"/>
    <w:rsid w:val="00E80817"/>
    <w:rsid w:val="00E82D9F"/>
    <w:rsid w:val="00E82F37"/>
    <w:rsid w:val="00E84D66"/>
    <w:rsid w:val="00E94608"/>
    <w:rsid w:val="00EA1198"/>
    <w:rsid w:val="00EA1441"/>
    <w:rsid w:val="00EA751D"/>
    <w:rsid w:val="00EA7D6E"/>
    <w:rsid w:val="00EC4815"/>
    <w:rsid w:val="00EC4E49"/>
    <w:rsid w:val="00EC7882"/>
    <w:rsid w:val="00ED77FB"/>
    <w:rsid w:val="00EE45FA"/>
    <w:rsid w:val="00EE4A26"/>
    <w:rsid w:val="00EF1964"/>
    <w:rsid w:val="00EF3A7A"/>
    <w:rsid w:val="00EF442A"/>
    <w:rsid w:val="00F0685A"/>
    <w:rsid w:val="00F15FAA"/>
    <w:rsid w:val="00F23CBA"/>
    <w:rsid w:val="00F35FD5"/>
    <w:rsid w:val="00F54D37"/>
    <w:rsid w:val="00F66152"/>
    <w:rsid w:val="00F83C2E"/>
    <w:rsid w:val="00FA6B85"/>
    <w:rsid w:val="00FC01F4"/>
    <w:rsid w:val="00FC4540"/>
    <w:rsid w:val="00FE22FF"/>
    <w:rsid w:val="00FE60B6"/>
    <w:rsid w:val="00FF38A8"/>
    <w:rsid w:val="00FF529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F69E6A"/>
  <w15:docId w15:val="{4F2F2A6B-A54B-417B-B708-119D663D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0D4BD5"/>
    <w:pPr>
      <w:ind w:left="720"/>
      <w:contextualSpacing/>
    </w:pPr>
  </w:style>
  <w:style w:type="table" w:styleId="TableGrid">
    <w:name w:val="Table Grid"/>
    <w:basedOn w:val="TableNormal"/>
    <w:rsid w:val="000D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47939"/>
    <w:rPr>
      <w:rFonts w:ascii="Segoe UI" w:hAnsi="Segoe UI" w:cs="Segoe UI"/>
      <w:sz w:val="18"/>
      <w:szCs w:val="18"/>
    </w:rPr>
  </w:style>
  <w:style w:type="character" w:customStyle="1" w:styleId="BalloonTextChar">
    <w:name w:val="Balloon Text Char"/>
    <w:basedOn w:val="DefaultParagraphFont"/>
    <w:link w:val="BalloonText"/>
    <w:semiHidden/>
    <w:rsid w:val="00847939"/>
    <w:rPr>
      <w:rFonts w:ascii="Segoe UI" w:eastAsia="SimSun" w:hAnsi="Segoe UI" w:cs="Segoe UI"/>
      <w:sz w:val="18"/>
      <w:szCs w:val="18"/>
      <w:lang w:val="en-US" w:eastAsia="zh-CN"/>
    </w:rPr>
  </w:style>
  <w:style w:type="character" w:styleId="Hyperlink">
    <w:name w:val="Hyperlink"/>
    <w:basedOn w:val="DefaultParagraphFont"/>
    <w:unhideWhenUsed/>
    <w:rsid w:val="00E77050"/>
    <w:rPr>
      <w:color w:val="0000FF" w:themeColor="hyperlink"/>
      <w:u w:val="single"/>
    </w:rPr>
  </w:style>
  <w:style w:type="character" w:customStyle="1" w:styleId="CommentTextChar">
    <w:name w:val="Comment Text Char"/>
    <w:basedOn w:val="DefaultParagraphFont"/>
    <w:link w:val="CommentText"/>
    <w:uiPriority w:val="99"/>
    <w:semiHidden/>
    <w:rsid w:val="0001278A"/>
    <w:rPr>
      <w:rFonts w:ascii="Arial" w:eastAsia="SimSun" w:hAnsi="Arial" w:cs="Arial"/>
      <w:sz w:val="18"/>
      <w:lang w:val="en-US" w:eastAsia="zh-CN"/>
    </w:rPr>
  </w:style>
  <w:style w:type="character" w:styleId="CommentReference">
    <w:name w:val="annotation reference"/>
    <w:basedOn w:val="DefaultParagraphFont"/>
    <w:semiHidden/>
    <w:unhideWhenUsed/>
    <w:rsid w:val="007111E2"/>
    <w:rPr>
      <w:sz w:val="16"/>
      <w:szCs w:val="16"/>
    </w:rPr>
  </w:style>
  <w:style w:type="paragraph" w:styleId="CommentSubject">
    <w:name w:val="annotation subject"/>
    <w:basedOn w:val="CommentText"/>
    <w:next w:val="CommentText"/>
    <w:link w:val="CommentSubjectChar"/>
    <w:semiHidden/>
    <w:unhideWhenUsed/>
    <w:rsid w:val="007111E2"/>
    <w:rPr>
      <w:b/>
      <w:bCs/>
      <w:sz w:val="20"/>
    </w:rPr>
  </w:style>
  <w:style w:type="character" w:customStyle="1" w:styleId="CommentSubjectChar">
    <w:name w:val="Comment Subject Char"/>
    <w:basedOn w:val="CommentTextChar"/>
    <w:link w:val="CommentSubject"/>
    <w:semiHidden/>
    <w:rsid w:val="007111E2"/>
    <w:rPr>
      <w:rFonts w:ascii="Arial" w:eastAsia="SimSun" w:hAnsi="Arial" w:cs="Arial"/>
      <w:b/>
      <w:bCs/>
      <w:sz w:val="18"/>
      <w:lang w:val="en-US" w:eastAsia="zh-CN"/>
    </w:rPr>
  </w:style>
  <w:style w:type="paragraph" w:styleId="Revision">
    <w:name w:val="Revision"/>
    <w:hidden/>
    <w:uiPriority w:val="99"/>
    <w:semiHidden/>
    <w:rsid w:val="0062027D"/>
    <w:rPr>
      <w:rFonts w:ascii="Arial" w:eastAsia="SimSun" w:hAnsi="Arial" w:cs="Arial"/>
      <w:sz w:val="22"/>
      <w:lang w:val="en-US" w:eastAsia="zh-CN"/>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basedOn w:val="DefaultParagraphFont"/>
    <w:unhideWhenUsed/>
    <w:qFormat/>
    <w:rsid w:val="00685F65"/>
    <w:rPr>
      <w:vertAlign w:val="superscript"/>
    </w:rPr>
  </w:style>
  <w:style w:type="character" w:customStyle="1" w:styleId="FootnoteTextChar">
    <w:name w:val="Footnote Text Char"/>
    <w:basedOn w:val="DefaultParagraphFont"/>
    <w:link w:val="FootnoteText"/>
    <w:rsid w:val="00227C6C"/>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9060">
      <w:bodyDiv w:val="1"/>
      <w:marLeft w:val="0"/>
      <w:marRight w:val="0"/>
      <w:marTop w:val="0"/>
      <w:marBottom w:val="0"/>
      <w:divBdr>
        <w:top w:val="none" w:sz="0" w:space="0" w:color="auto"/>
        <w:left w:val="none" w:sz="0" w:space="0" w:color="auto"/>
        <w:bottom w:val="none" w:sz="0" w:space="0" w:color="auto"/>
        <w:right w:val="none" w:sz="0" w:space="0" w:color="auto"/>
      </w:divBdr>
    </w:div>
    <w:div w:id="1600530299">
      <w:bodyDiv w:val="1"/>
      <w:marLeft w:val="0"/>
      <w:marRight w:val="0"/>
      <w:marTop w:val="0"/>
      <w:marBottom w:val="0"/>
      <w:divBdr>
        <w:top w:val="none" w:sz="0" w:space="0" w:color="auto"/>
        <w:left w:val="none" w:sz="0" w:space="0" w:color="auto"/>
        <w:bottom w:val="none" w:sz="0" w:space="0" w:color="auto"/>
        <w:right w:val="none" w:sz="0" w:space="0" w:color="auto"/>
      </w:divBdr>
    </w:div>
    <w:div w:id="19552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n/doc_details.jsp?doc_id=14921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wipo.int/meetings/en/doc_details.jsp?doc_id=585975"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wipo.int/tk/en/resources/tk_experienc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n/doc_details.jsp?doc_id=58597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tk/en/resources/tk_experiences.html" TargetMode="External"/><Relationship Id="rId23" Type="http://schemas.openxmlformats.org/officeDocument/2006/relationships/fontTable" Target="fontTable.xml"/><Relationship Id="rId10" Type="http://schemas.openxmlformats.org/officeDocument/2006/relationships/hyperlink" Target="https://www.wipo.int/meetings/en/doc_details.jsp?doc_id=58592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po.int/meetings/en/doc_details.jsp?doc_id=585931" TargetMode="External"/><Relationship Id="rId14" Type="http://schemas.openxmlformats.org/officeDocument/2006/relationships/hyperlink" Target="https://www.wipo.int/meetings/en/doc_details.jsp?doc_id=14715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FB26B-C17E-46B4-B4C5-2562F1D4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818</Words>
  <Characters>5030</Characters>
  <Application>Microsoft Office Word</Application>
  <DocSecurity>0</DocSecurity>
  <Lines>134</Lines>
  <Paragraphs>40</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Goss</dc:creator>
  <cp:keywords>FOR OFFICIAL USE ONLY</cp:keywords>
  <cp:lastModifiedBy>MORENO PALESTINI Maria del Pilar</cp:lastModifiedBy>
  <cp:revision>8</cp:revision>
  <cp:lastPrinted>2019-02-19T08:47:00Z</cp:lastPrinted>
  <dcterms:created xsi:type="dcterms:W3CDTF">2022-11-08T09:36:00Z</dcterms:created>
  <dcterms:modified xsi:type="dcterms:W3CDTF">2022-11-08T14:12:00Z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a1b2eb05-b062-48d5-8dab-a1518ea0836f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