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D6B8A" w:rsidRPr="008B2CC1" w:rsidTr="001E7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D6B8A" w:rsidRPr="008B2CC1" w:rsidRDefault="000D6B8A" w:rsidP="001E77D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8B2CC1" w:rsidRDefault="000D6B8A" w:rsidP="001E77D8">
            <w:r>
              <w:rPr>
                <w:noProof/>
                <w:lang w:eastAsia="en-US"/>
              </w:rPr>
              <w:drawing>
                <wp:inline distT="0" distB="0" distL="0" distR="0" wp14:anchorId="0ECA8D51" wp14:editId="0B9C0B6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8B2CC1" w:rsidRDefault="000D6B8A" w:rsidP="001E77D8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D6B8A" w:rsidRPr="0067016C" w:rsidTr="0067016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0D6B8A" w:rsidRPr="0067016C" w:rsidRDefault="000D6B8A" w:rsidP="00523EE5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7016C">
              <w:rPr>
                <w:rFonts w:ascii="Arial Black" w:hAnsi="Arial Black"/>
                <w:caps/>
                <w:sz w:val="15"/>
              </w:rPr>
              <w:t>WIPO/iptk</w:t>
            </w:r>
            <w:r w:rsidR="0067016C" w:rsidRPr="0067016C">
              <w:rPr>
                <w:rFonts w:ascii="Arial Black" w:hAnsi="Arial Black"/>
                <w:caps/>
                <w:sz w:val="15"/>
              </w:rPr>
              <w:t>-tces</w:t>
            </w:r>
            <w:r w:rsidRPr="0067016C">
              <w:rPr>
                <w:rFonts w:ascii="Arial Black" w:hAnsi="Arial Black"/>
                <w:caps/>
                <w:sz w:val="15"/>
              </w:rPr>
              <w:t>/GE</w:t>
            </w:r>
            <w:r w:rsidR="00523EE5" w:rsidRPr="0067016C">
              <w:rPr>
                <w:rFonts w:ascii="Arial Black" w:hAnsi="Arial Black"/>
                <w:caps/>
                <w:sz w:val="15"/>
              </w:rPr>
              <w:t>/22/1</w:t>
            </w:r>
          </w:p>
        </w:tc>
      </w:tr>
      <w:tr w:rsidR="000D6B8A" w:rsidRPr="0067016C" w:rsidTr="001E77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6B8A" w:rsidRPr="0067016C" w:rsidRDefault="000D6B8A" w:rsidP="001E77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16C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67016C">
              <w:rPr>
                <w:rFonts w:ascii="Arial Black" w:hAnsi="Arial Black"/>
                <w:caps/>
                <w:sz w:val="15"/>
              </w:rPr>
              <w:t xml:space="preserve">English </w:t>
            </w:r>
          </w:p>
        </w:tc>
      </w:tr>
      <w:tr w:rsidR="000D6B8A" w:rsidRPr="0067016C" w:rsidTr="001E77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6B8A" w:rsidRPr="0067016C" w:rsidRDefault="000D6B8A" w:rsidP="000D6B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16C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D6404B" w:rsidRPr="0067016C">
              <w:rPr>
                <w:rFonts w:ascii="Arial Black" w:hAnsi="Arial Black"/>
                <w:caps/>
                <w:sz w:val="15"/>
              </w:rPr>
              <w:t>October 28, 2022</w:t>
            </w:r>
          </w:p>
        </w:tc>
      </w:tr>
    </w:tbl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3845C1" w:rsidRDefault="000D6B8A" w:rsidP="000D6B8A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Traditional Knowledge and Traditional Cultural Expressions</w:t>
      </w:r>
    </w:p>
    <w:p w:rsidR="000D6B8A" w:rsidRDefault="000D6B8A" w:rsidP="000D6B8A"/>
    <w:p w:rsidR="000D6B8A" w:rsidRDefault="000D6B8A" w:rsidP="000D6B8A"/>
    <w:p w:rsidR="000D6B8A" w:rsidRPr="003845C1" w:rsidRDefault="000D6B8A" w:rsidP="000D6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4, 2022</w:t>
      </w:r>
    </w:p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3845C1" w:rsidRDefault="000D6B8A" w:rsidP="000D6B8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Note On METHODOLOGY AND PROGRAM</w:t>
      </w:r>
    </w:p>
    <w:p w:rsidR="000D6B8A" w:rsidRPr="008B2CC1" w:rsidRDefault="000D6B8A" w:rsidP="000D6B8A"/>
    <w:p w:rsidR="000D6B8A" w:rsidRPr="008B2CC1" w:rsidRDefault="000D6B8A" w:rsidP="000D6B8A">
      <w:pPr>
        <w:rPr>
          <w:i/>
        </w:rPr>
      </w:pPr>
      <w:bookmarkStart w:id="4" w:name="Prepared"/>
      <w:bookmarkEnd w:id="4"/>
      <w:r>
        <w:rPr>
          <w:i/>
        </w:rPr>
        <w:t>Prepared by the WIPO Secretariat</w:t>
      </w:r>
    </w:p>
    <w:p w:rsidR="000D6B8A" w:rsidRDefault="000D6B8A" w:rsidP="000D6B8A"/>
    <w:p w:rsidR="000D6B8A" w:rsidRDefault="000D6B8A" w:rsidP="000D6B8A"/>
    <w:p w:rsidR="000D6B8A" w:rsidRDefault="000D6B8A" w:rsidP="000D6B8A"/>
    <w:p w:rsidR="000D6B8A" w:rsidRDefault="000D6B8A" w:rsidP="000D6B8A"/>
    <w:p w:rsidR="000D6B8A" w:rsidRDefault="000D6B8A" w:rsidP="000D6B8A">
      <w:r>
        <w:br w:type="page"/>
      </w:r>
    </w:p>
    <w:p w:rsidR="000D6B8A" w:rsidRDefault="000D6B8A" w:rsidP="000D6B8A">
      <w:pPr>
        <w:rPr>
          <w:szCs w:val="22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overall objective of the </w:t>
      </w:r>
      <w:r w:rsidRPr="00EA2B1E">
        <w:rPr>
          <w:i/>
        </w:rPr>
        <w:t>ad hoc</w:t>
      </w:r>
      <w:r>
        <w:t xml:space="preserve"> expert group on traditional knowledge and traditional cultural expressions, as indicated in the </w:t>
      </w:r>
      <w:r w:rsidRPr="00E90B6B">
        <w:rPr>
          <w:szCs w:val="22"/>
        </w:rPr>
        <w:t>mandate of the Intergovernmental Committee on Intellectual Property and Genetic Resources, Tradition</w:t>
      </w:r>
      <w:r>
        <w:rPr>
          <w:szCs w:val="22"/>
        </w:rPr>
        <w:t>al Knowledge and Folklore (“IGC”) and the Decisions of the Forty-Fourth Session of the IGC (“IGC 44”</w:t>
      </w:r>
      <w:proofErr w:type="gramStart"/>
      <w:r w:rsidR="0001064A">
        <w:rPr>
          <w:szCs w:val="22"/>
        </w:rPr>
        <w:t>),</w:t>
      </w:r>
      <w:proofErr w:type="gramEnd"/>
      <w:r w:rsidR="003370EF">
        <w:rPr>
          <w:szCs w:val="22"/>
        </w:rPr>
        <w:t xml:space="preserve"> is</w:t>
      </w:r>
      <w:r>
        <w:rPr>
          <w:szCs w:val="22"/>
        </w:rPr>
        <w:t xml:space="preserve"> to address specific legal, policy or technical issues.  The results of the work </w:t>
      </w:r>
      <w:proofErr w:type="gramStart"/>
      <w:r>
        <w:rPr>
          <w:szCs w:val="22"/>
        </w:rPr>
        <w:t>will be reported to and further addressed by the IGC</w:t>
      </w:r>
      <w:proofErr w:type="gramEnd"/>
      <w:r>
        <w:rPr>
          <w:szCs w:val="22"/>
        </w:rPr>
        <w:t xml:space="preserve">.  </w:t>
      </w:r>
    </w:p>
    <w:p w:rsidR="000D6B8A" w:rsidRDefault="000D6B8A" w:rsidP="000D6B8A">
      <w:pPr>
        <w:rPr>
          <w:szCs w:val="22"/>
        </w:rPr>
      </w:pPr>
    </w:p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This Information Note sets out the methodology and program for the </w:t>
      </w:r>
      <w:r w:rsidRPr="00D33D96">
        <w:rPr>
          <w:i/>
        </w:rPr>
        <w:t>ad hoc</w:t>
      </w:r>
      <w:r>
        <w:t xml:space="preserve"> expert group, in accordance with the Decisions taken at IGC 44. 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separate Substantive Background Note </w:t>
      </w:r>
      <w:r w:rsidRPr="00A470AE">
        <w:t>(</w:t>
      </w:r>
      <w:r w:rsidRPr="0067016C">
        <w:t>document WIPO/IPTK</w:t>
      </w:r>
      <w:r w:rsidR="0067016C" w:rsidRPr="0067016C">
        <w:t>-TCES</w:t>
      </w:r>
      <w:r w:rsidRPr="0067016C">
        <w:t>/GE/</w:t>
      </w:r>
      <w:r w:rsidR="00CB436A" w:rsidRPr="0067016C">
        <w:t>22/2</w:t>
      </w:r>
      <w:r w:rsidRPr="0067016C">
        <w:t>)</w:t>
      </w:r>
      <w:r>
        <w:t xml:space="preserve"> will provide </w:t>
      </w:r>
      <w:proofErr w:type="gramStart"/>
      <w:r>
        <w:t>more specific questions</w:t>
      </w:r>
      <w:proofErr w:type="gramEnd"/>
      <w:r>
        <w:t xml:space="preserve"> and some background information on the list of issues to be addressed, which are:</w:t>
      </w:r>
      <w:r>
        <w:br/>
      </w:r>
    </w:p>
    <w:p w:rsidR="000D6B8A" w:rsidRDefault="000D6B8A" w:rsidP="000D6B8A">
      <w:pPr>
        <w:numPr>
          <w:ilvl w:val="0"/>
          <w:numId w:val="1"/>
        </w:numPr>
      </w:pPr>
      <w:r>
        <w:t>Scope of protection</w:t>
      </w:r>
    </w:p>
    <w:p w:rsidR="000D6B8A" w:rsidRDefault="000D6B8A" w:rsidP="000D6B8A">
      <w:pPr>
        <w:numPr>
          <w:ilvl w:val="0"/>
          <w:numId w:val="1"/>
        </w:numPr>
      </w:pPr>
      <w:r>
        <w:t>Exceptions and limitations</w:t>
      </w:r>
    </w:p>
    <w:p w:rsidR="000D6B8A" w:rsidRPr="00FE3996" w:rsidRDefault="000D6B8A" w:rsidP="000D6B8A">
      <w:pPr>
        <w:numPr>
          <w:ilvl w:val="0"/>
          <w:numId w:val="1"/>
        </w:numPr>
      </w:pPr>
      <w:r>
        <w:t>Sanctions and remedies</w:t>
      </w:r>
    </w:p>
    <w:p w:rsidR="000D6B8A" w:rsidRPr="008E6E2E" w:rsidRDefault="000D6B8A" w:rsidP="000D6B8A"/>
    <w:p w:rsidR="000D6B8A" w:rsidRDefault="000D6B8A" w:rsidP="000D6B8A">
      <w:r w:rsidRPr="008E6E2E">
        <w:fldChar w:fldCharType="begin"/>
      </w:r>
      <w:r w:rsidRPr="008E6E2E">
        <w:instrText xml:space="preserve"> AUTONUM  </w:instrText>
      </w:r>
      <w:r w:rsidRPr="008E6E2E">
        <w:fldChar w:fldCharType="end"/>
      </w:r>
      <w:r w:rsidRPr="008E6E2E">
        <w:tab/>
        <w:t xml:space="preserve">In general, the </w:t>
      </w:r>
      <w:r w:rsidRPr="008E6E2E">
        <w:rPr>
          <w:i/>
        </w:rPr>
        <w:t>ad</w:t>
      </w:r>
      <w:r w:rsidRPr="007F1806">
        <w:rPr>
          <w:i/>
        </w:rPr>
        <w:t xml:space="preserve"> hoc</w:t>
      </w:r>
      <w:r>
        <w:t xml:space="preserve"> expert group will work in a transparent and inclusive way.  All experts will participate </w:t>
      </w:r>
      <w:r w:rsidRPr="00F01C12">
        <w:rPr>
          <w:b/>
        </w:rPr>
        <w:t>in their personal capacities</w:t>
      </w:r>
      <w:r>
        <w:t xml:space="preserve">.  </w:t>
      </w:r>
    </w:p>
    <w:p w:rsidR="000D6B8A" w:rsidRDefault="000D6B8A" w:rsidP="000D6B8A"/>
    <w:p w:rsidR="000D6B8A" w:rsidRPr="00D33D96" w:rsidRDefault="000D6B8A" w:rsidP="000D6B8A">
      <w:pPr>
        <w:rPr>
          <w:b/>
        </w:rPr>
      </w:pPr>
      <w:r>
        <w:rPr>
          <w:b/>
        </w:rPr>
        <w:t>Mandate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>The IGC plenary is the negotiating and decision</w:t>
      </w:r>
      <w:r>
        <w:noBreakHyphen/>
        <w:t xml:space="preserve">making body, and the </w:t>
      </w:r>
      <w:r w:rsidRPr="00D33D96">
        <w:rPr>
          <w:i/>
        </w:rPr>
        <w:t>ad hoc</w:t>
      </w:r>
      <w:r>
        <w:t xml:space="preserve"> expert group is to support and facilitate the negotiations of the IGC, by providing advice and analysis on the issues to </w:t>
      </w:r>
      <w:proofErr w:type="gramStart"/>
      <w:r>
        <w:t>be addressed</w:t>
      </w:r>
      <w:proofErr w:type="gramEnd"/>
      <w:r>
        <w:t xml:space="preserve">.  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Experts</w:t>
      </w:r>
    </w:p>
    <w:p w:rsidR="000D6B8A" w:rsidRDefault="000D6B8A" w:rsidP="000D6B8A"/>
    <w:p w:rsidR="000D6B8A" w:rsidRPr="00A470AE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All experts will participate in their personal capacities.  The experts nominated to participate in the meeting </w:t>
      </w:r>
      <w:proofErr w:type="gramStart"/>
      <w:r>
        <w:t>are listed</w:t>
      </w:r>
      <w:proofErr w:type="gramEnd"/>
      <w:r>
        <w:t xml:space="preserve"> in the List of Participants for the meeting, document </w:t>
      </w:r>
      <w:r w:rsidRPr="0067016C">
        <w:t>WIPO/IPTK</w:t>
      </w:r>
      <w:r w:rsidR="0067016C" w:rsidRPr="0067016C">
        <w:t>-TCES</w:t>
      </w:r>
      <w:r w:rsidR="00692360" w:rsidRPr="0067016C">
        <w:t>/GE/</w:t>
      </w:r>
      <w:r w:rsidR="00CB436A" w:rsidRPr="0067016C">
        <w:t>22/INF/</w:t>
      </w:r>
      <w:r w:rsidR="00CB436A">
        <w:t>1</w:t>
      </w:r>
      <w:r w:rsidRPr="00A470AE">
        <w:t>.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</w:t>
      </w:r>
      <w:proofErr w:type="gramStart"/>
      <w:r>
        <w:t>is proposed</w:t>
      </w:r>
      <w:proofErr w:type="gramEnd"/>
      <w:r>
        <w:t xml:space="preserve"> that the meeting follow the Chatham House Rule, i.e., “</w:t>
      </w:r>
      <w:r w:rsidRPr="00B50079">
        <w:t>participants are free to use the information received, but neither the identity nor</w:t>
      </w:r>
      <w:r>
        <w:t xml:space="preserve"> the affiliation of the speakers</w:t>
      </w:r>
      <w:r w:rsidRPr="00B50079">
        <w:t>, nor that of any oth</w:t>
      </w:r>
      <w:r>
        <w:t xml:space="preserve">er participant, may be revealed”. 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All participants </w:t>
      </w:r>
      <w:proofErr w:type="gramStart"/>
      <w:r>
        <w:t>are also requested</w:t>
      </w:r>
      <w:proofErr w:type="gramEnd"/>
      <w:r>
        <w:t xml:space="preserve"> to respect the informality of the </w:t>
      </w:r>
      <w:r w:rsidRPr="007A2A06">
        <w:rPr>
          <w:i/>
        </w:rPr>
        <w:t>ad hoc</w:t>
      </w:r>
      <w:r>
        <w:t xml:space="preserve"> expert group, and not to communicate to the public, whether “live” or at any future time, the content or nature of the discussions taking place in the </w:t>
      </w:r>
      <w:r w:rsidRPr="007A2A06">
        <w:rPr>
          <w:i/>
        </w:rPr>
        <w:t>ad hoc</w:t>
      </w:r>
      <w:r>
        <w:t xml:space="preserve"> expert group, whether in general terms or by way of quoting specific experts.</w:t>
      </w:r>
    </w:p>
    <w:p w:rsidR="000D6B8A" w:rsidRDefault="000D6B8A" w:rsidP="000D6B8A">
      <w:pPr>
        <w:rPr>
          <w:b/>
        </w:rPr>
      </w:pPr>
    </w:p>
    <w:p w:rsidR="000D6B8A" w:rsidRPr="003E7073" w:rsidRDefault="000D6B8A" w:rsidP="000D6B8A">
      <w:pPr>
        <w:rPr>
          <w:b/>
        </w:rPr>
      </w:pPr>
      <w:r>
        <w:rPr>
          <w:b/>
        </w:rPr>
        <w:t>Chair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IGC Chair, Ms. Lilyclaire Bellamy (Jamaica) has nominated </w:t>
      </w:r>
      <w:r w:rsidR="00692360">
        <w:t xml:space="preserve">Mr. Anthony </w:t>
      </w:r>
      <w:proofErr w:type="spellStart"/>
      <w:r w:rsidR="00692360">
        <w:t>Kakooza</w:t>
      </w:r>
      <w:proofErr w:type="spellEnd"/>
      <w:r w:rsidR="00692360">
        <w:t>, Associate Professor of Law, Uganda Christian University</w:t>
      </w:r>
      <w:r w:rsidR="001D442A">
        <w:t>,</w:t>
      </w:r>
      <w:r w:rsidR="00692360">
        <w:t xml:space="preserve"> and Ms</w:t>
      </w:r>
      <w:r w:rsidR="00FF6D9A">
        <w:t xml:space="preserve">. Edwina Lewis, </w:t>
      </w:r>
      <w:r w:rsidR="00FF6D9A" w:rsidRPr="00FF6D9A">
        <w:t>Director</w:t>
      </w:r>
      <w:r w:rsidR="00523EE5">
        <w:t xml:space="preserve"> of</w:t>
      </w:r>
      <w:r w:rsidR="00FF6D9A" w:rsidRPr="00FF6D9A">
        <w:t xml:space="preserve"> Policy and International Affairs</w:t>
      </w:r>
      <w:r w:rsidR="00FF6D9A">
        <w:t>, IP Australia,</w:t>
      </w:r>
      <w:r w:rsidR="001D442A">
        <w:t xml:space="preserve"> Australia,</w:t>
      </w:r>
      <w:r w:rsidR="00FF6D9A">
        <w:t xml:space="preserve"> t</w:t>
      </w:r>
      <w:r w:rsidR="00692360">
        <w:t xml:space="preserve">o chair the </w:t>
      </w:r>
      <w:r w:rsidR="00692360" w:rsidRPr="001D442A">
        <w:rPr>
          <w:i/>
        </w:rPr>
        <w:t>ad hoc</w:t>
      </w:r>
      <w:r w:rsidR="00692360">
        <w:t xml:space="preserve"> expert group.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Mr. </w:t>
      </w:r>
      <w:r w:rsidR="001955FD">
        <w:t>Kakooza and Ms. Lewis</w:t>
      </w:r>
      <w:r>
        <w:t xml:space="preserve"> will chair the </w:t>
      </w:r>
      <w:r w:rsidRPr="000F467F">
        <w:rPr>
          <w:i/>
        </w:rPr>
        <w:t>ad hoc</w:t>
      </w:r>
      <w:r>
        <w:t xml:space="preserve"> expert group by introducing the issues and facilitating the discussions. </w:t>
      </w:r>
    </w:p>
    <w:p w:rsidR="000D6B8A" w:rsidRDefault="000D6B8A" w:rsidP="000D6B8A"/>
    <w:p w:rsidR="001D442A" w:rsidRDefault="001D442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6B8A" w:rsidRPr="007F1806" w:rsidRDefault="000D6B8A" w:rsidP="000D6B8A">
      <w:pPr>
        <w:rPr>
          <w:b/>
        </w:rPr>
      </w:pPr>
      <w:r w:rsidRPr="007F1806">
        <w:rPr>
          <w:b/>
        </w:rPr>
        <w:lastRenderedPageBreak/>
        <w:t>Reporting to the IGC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Mr. </w:t>
      </w:r>
      <w:r w:rsidR="001955FD">
        <w:t>Kakooza and Ms. Lewis</w:t>
      </w:r>
      <w:r>
        <w:t xml:space="preserve">, in </w:t>
      </w:r>
      <w:r w:rsidR="00692360">
        <w:t>their</w:t>
      </w:r>
      <w:r>
        <w:t xml:space="preserve"> capacity as the </w:t>
      </w:r>
      <w:r w:rsidR="00692360">
        <w:t>co-</w:t>
      </w:r>
      <w:r w:rsidR="001955FD">
        <w:t>c</w:t>
      </w:r>
      <w:r>
        <w:t>hair</w:t>
      </w:r>
      <w:r w:rsidR="00692360">
        <w:t>s</w:t>
      </w:r>
      <w:r>
        <w:t xml:space="preserve"> of the </w:t>
      </w:r>
      <w:r w:rsidRPr="0094105A">
        <w:rPr>
          <w:i/>
        </w:rPr>
        <w:t>ad hoc</w:t>
      </w:r>
      <w:r>
        <w:t xml:space="preserve"> expert group on </w:t>
      </w:r>
      <w:r w:rsidR="001D442A">
        <w:t>traditional knowledge and traditional cultural expressions</w:t>
      </w:r>
      <w:r>
        <w:t>, will rep</w:t>
      </w:r>
      <w:r w:rsidR="00692360">
        <w:t>ort to the IGC plenary at IGC 45</w:t>
      </w:r>
      <w:r>
        <w:t xml:space="preserve"> </w:t>
      </w:r>
      <w:r w:rsidR="00692360">
        <w:t>on Monday, December 5</w:t>
      </w:r>
      <w:r>
        <w:t xml:space="preserve">, on the outcomes and results of the </w:t>
      </w:r>
      <w:r w:rsidRPr="003E267E">
        <w:rPr>
          <w:i/>
        </w:rPr>
        <w:t>ad hoc</w:t>
      </w:r>
      <w:r w:rsidR="00183644">
        <w:t xml:space="preserve"> expert group’s work.  The co-chair</w:t>
      </w:r>
      <w:r>
        <w:t>s</w:t>
      </w:r>
      <w:r w:rsidR="00183644">
        <w:t>’</w:t>
      </w:r>
      <w:r>
        <w:t xml:space="preserve"> report will be prepared and delivered under </w:t>
      </w:r>
      <w:r w:rsidR="00692360">
        <w:t>their</w:t>
      </w:r>
      <w:r>
        <w:t xml:space="preserve"> own responsibility and authority.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Documents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D33D96">
        <w:rPr>
          <w:i/>
        </w:rPr>
        <w:t>ad hoc</w:t>
      </w:r>
      <w:r>
        <w:t xml:space="preserve"> expert group may refer to and use all WIPO working documents, including </w:t>
      </w:r>
      <w:r w:rsidR="001D442A">
        <w:t>WIPO/GRTKF/IC/45</w:t>
      </w:r>
      <w:r w:rsidR="001955FD" w:rsidRPr="001955FD">
        <w:t>/4</w:t>
      </w:r>
      <w:r w:rsidR="001955FD">
        <w:t xml:space="preserve"> </w:t>
      </w:r>
      <w:r w:rsidRPr="001955FD">
        <w:t xml:space="preserve">and </w:t>
      </w:r>
      <w:r w:rsidR="001D442A">
        <w:t>WIPO/GRTKF/IC/45</w:t>
      </w:r>
      <w:r w:rsidR="001955FD" w:rsidRPr="001955FD">
        <w:t>/5</w:t>
      </w:r>
      <w:r>
        <w:t xml:space="preserve">, as well as any other contributions of Member States and materials produced by the WIPO Secretariat. </w:t>
      </w:r>
    </w:p>
    <w:p w:rsidR="000D6B8A" w:rsidRDefault="000D6B8A" w:rsidP="000D6B8A"/>
    <w:p w:rsidR="000D6B8A" w:rsidRPr="004027EE" w:rsidRDefault="000D6B8A" w:rsidP="000D6B8A">
      <w:pPr>
        <w:rPr>
          <w:b/>
        </w:rPr>
      </w:pPr>
      <w:r w:rsidRPr="004027EE">
        <w:rPr>
          <w:b/>
        </w:rPr>
        <w:t xml:space="preserve">Languages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working languages of the </w:t>
      </w:r>
      <w:r w:rsidRPr="004027EE">
        <w:rPr>
          <w:i/>
        </w:rPr>
        <w:t>ad hoc</w:t>
      </w:r>
      <w:r>
        <w:t xml:space="preserve"> expert group will be English, French and Spanish.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Program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table below indicates a proposed program for the </w:t>
      </w:r>
      <w:r w:rsidRPr="00EA2B1E">
        <w:rPr>
          <w:i/>
        </w:rPr>
        <w:t>ad hoc</w:t>
      </w:r>
      <w:r>
        <w:t xml:space="preserve"> expert group, noting that the pr</w:t>
      </w:r>
      <w:r w:rsidR="00183644">
        <w:t>ocess should be flexible.  The co-c</w:t>
      </w:r>
      <w:r>
        <w:t>hair</w:t>
      </w:r>
      <w:r w:rsidR="00183644">
        <w:t>s</w:t>
      </w:r>
      <w:r>
        <w:t xml:space="preserve"> will adjust the </w:t>
      </w:r>
      <w:proofErr w:type="gramStart"/>
      <w:r>
        <w:t>program</w:t>
      </w:r>
      <w:proofErr w:type="gramEnd"/>
      <w:r>
        <w:t xml:space="preserve"> as he believes appropriate. </w:t>
      </w:r>
    </w:p>
    <w:p w:rsidR="000D6B8A" w:rsidRDefault="000D6B8A" w:rsidP="000D6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7387"/>
      </w:tblGrid>
      <w:tr w:rsidR="000D6B8A" w:rsidRPr="00763E8B" w:rsidTr="001E77D8">
        <w:tc>
          <w:tcPr>
            <w:tcW w:w="1998" w:type="dxa"/>
          </w:tcPr>
          <w:p w:rsidR="000D6B8A" w:rsidRPr="00763E8B" w:rsidRDefault="000D6B8A" w:rsidP="00974D6C">
            <w:pPr>
              <w:spacing w:before="120" w:after="120"/>
              <w:jc w:val="center"/>
              <w:rPr>
                <w:b/>
              </w:rPr>
            </w:pPr>
            <w:r w:rsidRPr="00763E8B">
              <w:rPr>
                <w:b/>
              </w:rPr>
              <w:t>Time</w:t>
            </w:r>
          </w:p>
        </w:tc>
        <w:tc>
          <w:tcPr>
            <w:tcW w:w="7573" w:type="dxa"/>
          </w:tcPr>
          <w:p w:rsidR="000D6B8A" w:rsidRPr="00763E8B" w:rsidRDefault="000D6B8A" w:rsidP="00974D6C">
            <w:pPr>
              <w:spacing w:before="120" w:after="120"/>
              <w:jc w:val="center"/>
              <w:rPr>
                <w:b/>
              </w:rPr>
            </w:pPr>
            <w:r w:rsidRPr="00763E8B">
              <w:rPr>
                <w:b/>
              </w:rPr>
              <w:t>Activity</w:t>
            </w:r>
          </w:p>
        </w:tc>
      </w:tr>
      <w:tr w:rsidR="000D6B8A" w:rsidTr="001E77D8">
        <w:tc>
          <w:tcPr>
            <w:tcW w:w="1998" w:type="dxa"/>
          </w:tcPr>
          <w:p w:rsidR="000D6B8A" w:rsidRPr="000D6B8A" w:rsidRDefault="000D6B8A" w:rsidP="00974D6C">
            <w:pPr>
              <w:spacing w:before="120" w:after="120"/>
              <w:rPr>
                <w:sz w:val="22"/>
              </w:rPr>
            </w:pPr>
            <w:r w:rsidRPr="000D6B8A">
              <w:rPr>
                <w:sz w:val="22"/>
              </w:rPr>
              <w:t>9:00 – 12:00</w:t>
            </w:r>
          </w:p>
        </w:tc>
        <w:tc>
          <w:tcPr>
            <w:tcW w:w="7573" w:type="dxa"/>
          </w:tcPr>
          <w:p w:rsidR="000D6B8A" w:rsidRPr="00692360" w:rsidRDefault="000D6B8A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n-US"/>
              </w:rPr>
            </w:pPr>
            <w:r w:rsidRPr="00692360">
              <w:rPr>
                <w:sz w:val="22"/>
                <w:lang w:val="en-US"/>
              </w:rPr>
              <w:t xml:space="preserve">Opening by the </w:t>
            </w:r>
            <w:r w:rsidR="00692360" w:rsidRPr="00692360">
              <w:rPr>
                <w:sz w:val="22"/>
                <w:lang w:val="en-US"/>
              </w:rPr>
              <w:t>co-</w:t>
            </w:r>
            <w:r w:rsidR="001955FD">
              <w:rPr>
                <w:sz w:val="22"/>
                <w:lang w:val="en-US"/>
              </w:rPr>
              <w:t>c</w:t>
            </w:r>
            <w:r w:rsidRPr="00692360">
              <w:rPr>
                <w:sz w:val="22"/>
                <w:lang w:val="en-US"/>
              </w:rPr>
              <w:t>hair</w:t>
            </w:r>
            <w:r w:rsidR="00692360">
              <w:rPr>
                <w:sz w:val="22"/>
                <w:lang w:val="en-US"/>
              </w:rPr>
              <w:t>s</w:t>
            </w:r>
          </w:p>
          <w:p w:rsidR="000D6B8A" w:rsidRPr="000D6B8A" w:rsidRDefault="000D6B8A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</w:rPr>
            </w:pPr>
            <w:r w:rsidRPr="000D6B8A">
              <w:rPr>
                <w:sz w:val="22"/>
              </w:rPr>
              <w:t xml:space="preserve">Introductions </w:t>
            </w:r>
          </w:p>
          <w:p w:rsidR="000D6B8A" w:rsidRDefault="00692360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>Scope of protection</w:t>
            </w:r>
          </w:p>
          <w:p w:rsidR="00692360" w:rsidRPr="000D6B8A" w:rsidRDefault="00692360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Exceptions and limitations </w:t>
            </w:r>
          </w:p>
        </w:tc>
      </w:tr>
      <w:tr w:rsidR="000D6B8A" w:rsidTr="001E77D8">
        <w:tc>
          <w:tcPr>
            <w:tcW w:w="1998" w:type="dxa"/>
          </w:tcPr>
          <w:p w:rsidR="000D6B8A" w:rsidRPr="000D6B8A" w:rsidRDefault="000D6B8A" w:rsidP="00974D6C">
            <w:pPr>
              <w:spacing w:before="120" w:after="120"/>
              <w:rPr>
                <w:sz w:val="22"/>
              </w:rPr>
            </w:pPr>
            <w:r w:rsidRPr="000D6B8A">
              <w:rPr>
                <w:sz w:val="22"/>
              </w:rPr>
              <w:t>12:00 – 13:30</w:t>
            </w:r>
          </w:p>
        </w:tc>
        <w:tc>
          <w:tcPr>
            <w:tcW w:w="7573" w:type="dxa"/>
          </w:tcPr>
          <w:p w:rsidR="000D6B8A" w:rsidRPr="000D6B8A" w:rsidRDefault="000D6B8A" w:rsidP="00974D6C">
            <w:pPr>
              <w:spacing w:before="120" w:after="120"/>
              <w:rPr>
                <w:sz w:val="22"/>
              </w:rPr>
            </w:pPr>
            <w:r w:rsidRPr="000D6B8A">
              <w:rPr>
                <w:sz w:val="22"/>
              </w:rPr>
              <w:t>Lunch Break</w:t>
            </w:r>
          </w:p>
        </w:tc>
      </w:tr>
      <w:tr w:rsidR="000D6B8A" w:rsidTr="00692360">
        <w:trPr>
          <w:trHeight w:val="809"/>
        </w:trPr>
        <w:tc>
          <w:tcPr>
            <w:tcW w:w="1998" w:type="dxa"/>
          </w:tcPr>
          <w:p w:rsidR="000D6B8A" w:rsidRPr="000D6B8A" w:rsidRDefault="000D6B8A" w:rsidP="00974D6C">
            <w:pPr>
              <w:spacing w:before="120" w:after="120"/>
              <w:rPr>
                <w:sz w:val="22"/>
              </w:rPr>
            </w:pPr>
            <w:r w:rsidRPr="000D6B8A">
              <w:rPr>
                <w:sz w:val="22"/>
              </w:rPr>
              <w:t>13:30 – 16:30</w:t>
            </w:r>
          </w:p>
        </w:tc>
        <w:tc>
          <w:tcPr>
            <w:tcW w:w="7573" w:type="dxa"/>
          </w:tcPr>
          <w:p w:rsidR="000D6B8A" w:rsidRPr="000D6B8A" w:rsidRDefault="00692360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>Exceptions an</w:t>
            </w:r>
            <w:bookmarkStart w:id="5" w:name="_GoBack"/>
            <w:bookmarkEnd w:id="5"/>
            <w:r>
              <w:rPr>
                <w:sz w:val="22"/>
              </w:rPr>
              <w:t xml:space="preserve">d limitations </w:t>
            </w:r>
            <w:r w:rsidR="000D6B8A" w:rsidRPr="000D6B8A">
              <w:rPr>
                <w:sz w:val="22"/>
              </w:rPr>
              <w:t>(</w:t>
            </w:r>
            <w:proofErr w:type="spellStart"/>
            <w:r w:rsidR="000D6B8A" w:rsidRPr="000D6B8A">
              <w:rPr>
                <w:sz w:val="22"/>
              </w:rPr>
              <w:t>continued</w:t>
            </w:r>
            <w:proofErr w:type="spellEnd"/>
            <w:r w:rsidR="000D6B8A" w:rsidRPr="000D6B8A">
              <w:rPr>
                <w:sz w:val="22"/>
              </w:rPr>
              <w:t>)</w:t>
            </w:r>
          </w:p>
          <w:p w:rsidR="000D6B8A" w:rsidRPr="000D6B8A" w:rsidRDefault="00692360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Sanctions and </w:t>
            </w:r>
            <w:proofErr w:type="spellStart"/>
            <w:r>
              <w:rPr>
                <w:sz w:val="22"/>
              </w:rPr>
              <w:t>remedies</w:t>
            </w:r>
            <w:proofErr w:type="spellEnd"/>
          </w:p>
          <w:p w:rsidR="000D6B8A" w:rsidRPr="000D6B8A" w:rsidRDefault="00183644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Wrap-up by the co-c</w:t>
            </w:r>
            <w:r w:rsidR="000D6B8A" w:rsidRPr="000D6B8A">
              <w:rPr>
                <w:sz w:val="22"/>
                <w:lang w:val="en-US"/>
              </w:rPr>
              <w:t>hair</w:t>
            </w:r>
            <w:r>
              <w:rPr>
                <w:sz w:val="22"/>
                <w:lang w:val="en-US"/>
              </w:rPr>
              <w:t>s</w:t>
            </w:r>
          </w:p>
        </w:tc>
      </w:tr>
    </w:tbl>
    <w:p w:rsidR="000D6B8A" w:rsidRDefault="000D6B8A" w:rsidP="000D6B8A"/>
    <w:p w:rsidR="000D6B8A" w:rsidRDefault="000D6B8A" w:rsidP="000D6B8A"/>
    <w:p w:rsidR="0099375D" w:rsidRDefault="000D6B8A" w:rsidP="0067016C">
      <w:pPr>
        <w:ind w:left="5760"/>
      </w:pPr>
      <w:r>
        <w:t>[End of document]</w:t>
      </w:r>
    </w:p>
    <w:sectPr w:rsidR="0099375D" w:rsidSect="0069236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8" w:rsidRDefault="006E0E98" w:rsidP="00692360">
      <w:r>
        <w:separator/>
      </w:r>
    </w:p>
  </w:endnote>
  <w:endnote w:type="continuationSeparator" w:id="0">
    <w:p w:rsidR="006E0E98" w:rsidRDefault="006E0E98" w:rsidP="006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8" w:rsidRDefault="006E0E98" w:rsidP="00692360">
      <w:r>
        <w:separator/>
      </w:r>
    </w:p>
  </w:footnote>
  <w:footnote w:type="continuationSeparator" w:id="0">
    <w:p w:rsidR="006E0E98" w:rsidRDefault="006E0E98" w:rsidP="0069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60" w:rsidRPr="00CC261B" w:rsidRDefault="00692360" w:rsidP="00692360">
    <w:pPr>
      <w:jc w:val="right"/>
      <w:rPr>
        <w:lang w:val="es-ES_tradnl"/>
      </w:rPr>
    </w:pPr>
    <w:r>
      <w:rPr>
        <w:lang w:val="es-ES_tradnl"/>
      </w:rPr>
      <w:t>WIPO/IPTK</w:t>
    </w:r>
    <w:r w:rsidR="0067016C">
      <w:rPr>
        <w:lang w:val="es-ES_tradnl"/>
      </w:rPr>
      <w:t>-TCES</w:t>
    </w:r>
    <w:r>
      <w:rPr>
        <w:lang w:val="es-ES_tradnl"/>
      </w:rPr>
      <w:t>/GE</w:t>
    </w:r>
    <w:r w:rsidRPr="0067016C">
      <w:rPr>
        <w:lang w:val="es-ES_tradnl"/>
      </w:rPr>
      <w:t>/22/1</w:t>
    </w:r>
  </w:p>
  <w:p w:rsidR="00692360" w:rsidRPr="00CC261B" w:rsidRDefault="00692360" w:rsidP="00692360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974D6C">
      <w:rPr>
        <w:noProof/>
        <w:lang w:val="es-ES_tradnl"/>
      </w:rPr>
      <w:t>2</w:t>
    </w:r>
    <w:r>
      <w:fldChar w:fldCharType="end"/>
    </w:r>
  </w:p>
  <w:p w:rsidR="00692360" w:rsidRPr="00CC261B" w:rsidRDefault="00692360" w:rsidP="00692360">
    <w:pPr>
      <w:jc w:val="right"/>
      <w:rPr>
        <w:lang w:val="es-ES_tradnl"/>
      </w:rPr>
    </w:pPr>
  </w:p>
  <w:p w:rsidR="00692360" w:rsidRPr="00CC261B" w:rsidRDefault="00692360" w:rsidP="00692360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C261B" w:rsidRDefault="00015FD8" w:rsidP="00477D6B">
    <w:pPr>
      <w:jc w:val="right"/>
      <w:rPr>
        <w:lang w:val="es-ES_tradnl"/>
      </w:rPr>
    </w:pPr>
    <w:r>
      <w:rPr>
        <w:lang w:val="es-ES_tradnl"/>
      </w:rPr>
      <w:t>WIPO/IPTK</w:t>
    </w:r>
    <w:r w:rsidR="0067016C">
      <w:rPr>
        <w:lang w:val="es-ES_tradnl"/>
      </w:rPr>
      <w:t>-TCES</w:t>
    </w:r>
    <w:r>
      <w:rPr>
        <w:lang w:val="es-ES_tradnl"/>
      </w:rPr>
      <w:t>/</w:t>
    </w:r>
    <w:r w:rsidRPr="0067016C">
      <w:rPr>
        <w:lang w:val="es-ES_tradnl"/>
      </w:rPr>
      <w:t>GE/22/1</w:t>
    </w:r>
  </w:p>
  <w:p w:rsidR="00EC4E49" w:rsidRPr="00CC261B" w:rsidRDefault="00015FD8" w:rsidP="00477D6B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974D6C">
      <w:rPr>
        <w:noProof/>
        <w:lang w:val="es-ES_tradnl"/>
      </w:rPr>
      <w:t>3</w:t>
    </w:r>
    <w:r>
      <w:fldChar w:fldCharType="end"/>
    </w:r>
  </w:p>
  <w:p w:rsidR="00EC4E49" w:rsidRPr="00CC261B" w:rsidRDefault="00974D6C" w:rsidP="00477D6B">
    <w:pPr>
      <w:jc w:val="right"/>
      <w:rPr>
        <w:lang w:val="es-ES_tradnl"/>
      </w:rPr>
    </w:pPr>
  </w:p>
  <w:p w:rsidR="008A134B" w:rsidRPr="00CC261B" w:rsidRDefault="00974D6C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A"/>
    <w:rsid w:val="0001064A"/>
    <w:rsid w:val="00015FD8"/>
    <w:rsid w:val="000C0F04"/>
    <w:rsid w:val="000D6B8A"/>
    <w:rsid w:val="00183644"/>
    <w:rsid w:val="001955FD"/>
    <w:rsid w:val="001D442A"/>
    <w:rsid w:val="003370EF"/>
    <w:rsid w:val="004421F1"/>
    <w:rsid w:val="00523EE5"/>
    <w:rsid w:val="005E1045"/>
    <w:rsid w:val="005F3E2F"/>
    <w:rsid w:val="0067016C"/>
    <w:rsid w:val="00692360"/>
    <w:rsid w:val="006E0E98"/>
    <w:rsid w:val="00974D6C"/>
    <w:rsid w:val="0099375D"/>
    <w:rsid w:val="00CB436A"/>
    <w:rsid w:val="00D6404B"/>
    <w:rsid w:val="00EC7EB6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FD542"/>
  <w15:chartTrackingRefBased/>
  <w15:docId w15:val="{AFEAB818-5475-4D8B-8D42-B1BF00E9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8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semiHidden/>
    <w:rsid w:val="000D6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D6B8A"/>
    <w:pPr>
      <w:ind w:left="720"/>
      <w:contextualSpacing/>
    </w:pPr>
  </w:style>
  <w:style w:type="table" w:styleId="TableGrid">
    <w:name w:val="Table Grid"/>
    <w:basedOn w:val="TableNormal"/>
    <w:rsid w:val="000D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3250</Characters>
  <Application>Microsoft Office Word</Application>
  <DocSecurity>0</DocSecurity>
  <Lines>119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MORENO PALESTINI Maria del Pilar</cp:lastModifiedBy>
  <cp:revision>2</cp:revision>
  <dcterms:created xsi:type="dcterms:W3CDTF">2022-11-02T17:37:00Z</dcterms:created>
  <dcterms:modified xsi:type="dcterms:W3CDTF">2022-11-02T17:37:00Z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28787e5f-9e53-4f99-80be-533b4c166704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