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Borders>
          <w:bottom w:val="single" w:sz="4" w:space="0" w:color="auto"/>
        </w:tblBorders>
        <w:tblLook w:val="01E0" w:firstRow="1" w:lastRow="1" w:firstColumn="1" w:lastColumn="1" w:noHBand="0" w:noVBand="0"/>
      </w:tblPr>
      <w:tblGrid>
        <w:gridCol w:w="5580"/>
        <w:gridCol w:w="3776"/>
      </w:tblGrid>
      <w:tr w:rsidR="00A953E1" w:rsidTr="00A953E1">
        <w:tc>
          <w:tcPr>
            <w:tcW w:w="4513" w:type="dxa"/>
            <w:tcMar>
              <w:left w:w="0" w:type="dxa"/>
              <w:right w:w="0" w:type="dxa"/>
            </w:tcMar>
          </w:tcPr>
          <w:p w:rsidR="00F50892" w:rsidRPr="00675ADD" w:rsidRDefault="00F50892">
            <w:pPr>
              <w:rPr>
                <w:noProof/>
                <w:lang w:val="de-CH" w:eastAsia="de-CH"/>
              </w:rPr>
            </w:pPr>
            <w:r>
              <w:rPr>
                <w:noProof/>
                <w:lang w:eastAsia="en-US"/>
              </w:rPr>
              <w:drawing>
                <wp:inline distT="0" distB="0" distL="0" distR="0">
                  <wp:extent cx="3543300" cy="1158240"/>
                  <wp:effectExtent l="0" t="0" r="0" b="3810"/>
                  <wp:docPr id="2" name="Grafik 1" descr="Logo_viezeiler_ganz_n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_viezeiler_ganz_na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43300" cy="1158240"/>
                          </a:xfrm>
                          <a:prstGeom prst="rect">
                            <a:avLst/>
                          </a:prstGeom>
                          <a:noFill/>
                          <a:ln>
                            <a:noFill/>
                          </a:ln>
                        </pic:spPr>
                      </pic:pic>
                    </a:graphicData>
                  </a:graphic>
                </wp:inline>
              </w:drawing>
            </w:r>
          </w:p>
          <w:p w:rsidR="00F50892" w:rsidRDefault="00F50892"/>
        </w:tc>
        <w:tc>
          <w:tcPr>
            <w:tcW w:w="0" w:type="auto"/>
            <w:tcMar>
              <w:left w:w="0" w:type="dxa"/>
              <w:bottom w:w="142" w:type="dxa"/>
              <w:right w:w="0" w:type="dxa"/>
            </w:tcMar>
          </w:tcPr>
          <w:p w:rsidR="00A953E1" w:rsidRDefault="00F50892">
            <w:r>
              <w:rPr>
                <w:noProof/>
                <w:lang w:eastAsia="en-US"/>
              </w:rPr>
              <w:drawing>
                <wp:inline distT="0" distB="0" distL="0" distR="0">
                  <wp:extent cx="1859280" cy="1333500"/>
                  <wp:effectExtent l="0" t="0" r="762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280" cy="1333500"/>
                          </a:xfrm>
                          <a:prstGeom prst="rect">
                            <a:avLst/>
                          </a:prstGeom>
                          <a:noFill/>
                          <a:ln>
                            <a:noFill/>
                          </a:ln>
                        </pic:spPr>
                      </pic:pic>
                    </a:graphicData>
                  </a:graphic>
                </wp:inline>
              </w:drawing>
            </w:r>
          </w:p>
        </w:tc>
      </w:tr>
    </w:tbl>
    <w:p w:rsidR="000F5E56" w:rsidRDefault="000F5E56"/>
    <w:p w:rsidR="00A953E1" w:rsidRDefault="00A953E1"/>
    <w:p w:rsidR="00F50892" w:rsidRPr="009B78E2" w:rsidRDefault="00F50892" w:rsidP="00F50892">
      <w:pPr>
        <w:rPr>
          <w:szCs w:val="22"/>
          <w:lang w:val="pt-BR"/>
        </w:rPr>
      </w:pPr>
    </w:p>
    <w:p w:rsidR="00F50892" w:rsidRPr="009B78E2" w:rsidRDefault="00F50892" w:rsidP="00F50892">
      <w:pPr>
        <w:pBdr>
          <w:top w:val="single" w:sz="18" w:space="1" w:color="800000"/>
          <w:left w:val="single" w:sz="18" w:space="4" w:color="800000"/>
          <w:bottom w:val="single" w:sz="18" w:space="1" w:color="800000"/>
          <w:right w:val="single" w:sz="18" w:space="4" w:color="800000"/>
        </w:pBdr>
        <w:rPr>
          <w:color w:val="800000"/>
          <w:szCs w:val="22"/>
        </w:rPr>
      </w:pPr>
    </w:p>
    <w:p w:rsidR="00F50892" w:rsidRPr="009B78E2" w:rsidRDefault="00F50892" w:rsidP="00F50892">
      <w:pPr>
        <w:pBdr>
          <w:top w:val="single" w:sz="18" w:space="1" w:color="800000"/>
          <w:left w:val="single" w:sz="18" w:space="4" w:color="800000"/>
          <w:bottom w:val="single" w:sz="18" w:space="1" w:color="800000"/>
          <w:right w:val="single" w:sz="18" w:space="4" w:color="800000"/>
        </w:pBdr>
        <w:jc w:val="center"/>
        <w:outlineLvl w:val="0"/>
        <w:rPr>
          <w:b/>
          <w:bCs/>
          <w:smallCaps/>
          <w:color w:val="800000"/>
          <w:szCs w:val="22"/>
        </w:rPr>
      </w:pPr>
      <w:r w:rsidRPr="009B78E2">
        <w:rPr>
          <w:b/>
          <w:bCs/>
          <w:smallCaps/>
          <w:color w:val="800000"/>
          <w:szCs w:val="22"/>
        </w:rPr>
        <w:t>CALL FOR EXPRESSIONS OF INTEREST</w:t>
      </w:r>
    </w:p>
    <w:p w:rsidR="00F50892" w:rsidRPr="009B78E2" w:rsidRDefault="00F50892" w:rsidP="00F50892">
      <w:pPr>
        <w:pBdr>
          <w:top w:val="single" w:sz="18" w:space="1" w:color="800000"/>
          <w:left w:val="single" w:sz="18" w:space="4" w:color="800000"/>
          <w:bottom w:val="single" w:sz="18" w:space="1" w:color="800000"/>
          <w:right w:val="single" w:sz="18" w:space="4" w:color="800000"/>
        </w:pBdr>
        <w:jc w:val="center"/>
        <w:outlineLvl w:val="0"/>
        <w:rPr>
          <w:b/>
          <w:bCs/>
          <w:smallCaps/>
          <w:color w:val="800000"/>
          <w:szCs w:val="22"/>
        </w:rPr>
      </w:pPr>
    </w:p>
    <w:p w:rsidR="00F50892" w:rsidRPr="009B78E2" w:rsidRDefault="00F50892" w:rsidP="00F50892">
      <w:pPr>
        <w:pBdr>
          <w:top w:val="single" w:sz="18" w:space="1" w:color="800000"/>
          <w:left w:val="single" w:sz="18" w:space="4" w:color="800000"/>
          <w:bottom w:val="single" w:sz="18" w:space="1" w:color="800000"/>
          <w:right w:val="single" w:sz="18" w:space="4" w:color="800000"/>
        </w:pBdr>
        <w:jc w:val="center"/>
        <w:outlineLvl w:val="0"/>
        <w:rPr>
          <w:b/>
          <w:bCs/>
          <w:color w:val="800000"/>
          <w:szCs w:val="22"/>
        </w:rPr>
      </w:pPr>
      <w:r w:rsidRPr="009B78E2">
        <w:rPr>
          <w:b/>
          <w:bCs/>
          <w:color w:val="800000"/>
          <w:szCs w:val="22"/>
        </w:rPr>
        <w:t>FUNDING OF INDIGENOUS AND LOCAL COMMUNITIES REPRESENTATIVES’ PARTICIPATION</w:t>
      </w:r>
    </w:p>
    <w:p w:rsidR="00F50892" w:rsidRPr="009B78E2" w:rsidRDefault="00F50892" w:rsidP="00F50892">
      <w:pPr>
        <w:pBdr>
          <w:top w:val="single" w:sz="18" w:space="1" w:color="800000"/>
          <w:left w:val="single" w:sz="18" w:space="4" w:color="800000"/>
          <w:bottom w:val="single" w:sz="18" w:space="1" w:color="800000"/>
          <w:right w:val="single" w:sz="18" w:space="4" w:color="800000"/>
        </w:pBdr>
        <w:jc w:val="center"/>
        <w:rPr>
          <w:b/>
          <w:bCs/>
          <w:color w:val="800000"/>
          <w:szCs w:val="22"/>
        </w:rPr>
      </w:pPr>
    </w:p>
    <w:p w:rsidR="00F50892" w:rsidRPr="009B78E2" w:rsidRDefault="00F50892" w:rsidP="00F50892">
      <w:pPr>
        <w:pBdr>
          <w:top w:val="single" w:sz="18" w:space="1" w:color="800000"/>
          <w:left w:val="single" w:sz="18" w:space="4" w:color="800000"/>
          <w:bottom w:val="single" w:sz="18" w:space="1" w:color="800000"/>
          <w:right w:val="single" w:sz="18" w:space="4" w:color="800000"/>
        </w:pBdr>
        <w:jc w:val="center"/>
        <w:outlineLvl w:val="0"/>
        <w:rPr>
          <w:b/>
          <w:bCs/>
          <w:color w:val="800000"/>
          <w:szCs w:val="22"/>
        </w:rPr>
      </w:pPr>
      <w:r w:rsidRPr="009B78E2">
        <w:rPr>
          <w:b/>
          <w:bCs/>
          <w:color w:val="800000"/>
          <w:szCs w:val="22"/>
        </w:rPr>
        <w:t xml:space="preserve">IN A SEMINAR ON INTELLECTUAL PROPERTY AND GENETIC RESOURCES, TRADITIONAL KNOWLEDGE AND TRADITIONAL CULTURAL EXPRESSIONS: </w:t>
      </w:r>
    </w:p>
    <w:p w:rsidR="00F50892" w:rsidRPr="009B78E2" w:rsidRDefault="00F50892" w:rsidP="00F50892">
      <w:pPr>
        <w:pBdr>
          <w:top w:val="single" w:sz="18" w:space="1" w:color="800000"/>
          <w:left w:val="single" w:sz="18" w:space="4" w:color="800000"/>
          <w:bottom w:val="single" w:sz="18" w:space="1" w:color="800000"/>
          <w:right w:val="single" w:sz="18" w:space="4" w:color="800000"/>
        </w:pBdr>
        <w:jc w:val="center"/>
        <w:outlineLvl w:val="0"/>
        <w:rPr>
          <w:b/>
          <w:bCs/>
          <w:color w:val="800000"/>
          <w:szCs w:val="22"/>
        </w:rPr>
      </w:pPr>
      <w:r w:rsidRPr="009B78E2">
        <w:rPr>
          <w:b/>
          <w:bCs/>
          <w:color w:val="800000"/>
          <w:szCs w:val="22"/>
        </w:rPr>
        <w:t xml:space="preserve">REGIONAL AND INTERNATIONAL DIMENSIONS </w:t>
      </w:r>
    </w:p>
    <w:p w:rsidR="00F50892" w:rsidRPr="009B78E2" w:rsidRDefault="00F50892" w:rsidP="00F50892">
      <w:pPr>
        <w:pBdr>
          <w:top w:val="single" w:sz="18" w:space="1" w:color="800000"/>
          <w:left w:val="single" w:sz="18" w:space="4" w:color="800000"/>
          <w:bottom w:val="single" w:sz="18" w:space="1" w:color="800000"/>
          <w:right w:val="single" w:sz="18" w:space="4" w:color="800000"/>
        </w:pBdr>
        <w:jc w:val="center"/>
        <w:outlineLvl w:val="0"/>
        <w:rPr>
          <w:b/>
          <w:bCs/>
          <w:color w:val="800000"/>
          <w:szCs w:val="22"/>
        </w:rPr>
      </w:pPr>
    </w:p>
    <w:p w:rsidR="00F50892" w:rsidRPr="009B78E2" w:rsidRDefault="00F50892" w:rsidP="00F50892">
      <w:pPr>
        <w:pBdr>
          <w:top w:val="single" w:sz="18" w:space="1" w:color="800000"/>
          <w:left w:val="single" w:sz="18" w:space="4" w:color="800000"/>
          <w:bottom w:val="single" w:sz="18" w:space="1" w:color="800000"/>
          <w:right w:val="single" w:sz="18" w:space="4" w:color="800000"/>
        </w:pBdr>
        <w:jc w:val="center"/>
        <w:outlineLvl w:val="0"/>
        <w:rPr>
          <w:b/>
          <w:bCs/>
          <w:color w:val="800000"/>
          <w:szCs w:val="22"/>
        </w:rPr>
      </w:pPr>
      <w:r w:rsidRPr="009B78E2">
        <w:rPr>
          <w:b/>
          <w:bCs/>
          <w:color w:val="800000"/>
          <w:szCs w:val="22"/>
        </w:rPr>
        <w:t>June 23 to 25, 2015</w:t>
      </w:r>
    </w:p>
    <w:p w:rsidR="00F50892" w:rsidRPr="009B78E2" w:rsidRDefault="00F50892" w:rsidP="00F50892">
      <w:pPr>
        <w:pBdr>
          <w:top w:val="single" w:sz="18" w:space="1" w:color="800000"/>
          <w:left w:val="single" w:sz="18" w:space="4" w:color="800000"/>
          <w:bottom w:val="single" w:sz="18" w:space="1" w:color="800000"/>
          <w:right w:val="single" w:sz="18" w:space="4" w:color="800000"/>
        </w:pBdr>
        <w:jc w:val="center"/>
        <w:outlineLvl w:val="0"/>
        <w:rPr>
          <w:b/>
          <w:bCs/>
          <w:color w:val="800000"/>
          <w:szCs w:val="22"/>
        </w:rPr>
      </w:pPr>
      <w:r w:rsidRPr="009B78E2">
        <w:rPr>
          <w:b/>
          <w:bCs/>
          <w:color w:val="800000"/>
          <w:szCs w:val="22"/>
        </w:rPr>
        <w:t>WIPO Headquarters, Geneva</w:t>
      </w:r>
    </w:p>
    <w:p w:rsidR="00F50892" w:rsidRPr="009B78E2" w:rsidRDefault="00F50892" w:rsidP="00F50892">
      <w:pPr>
        <w:pBdr>
          <w:top w:val="single" w:sz="18" w:space="1" w:color="800000"/>
          <w:left w:val="single" w:sz="18" w:space="4" w:color="800000"/>
          <w:bottom w:val="single" w:sz="18" w:space="1" w:color="800000"/>
          <w:right w:val="single" w:sz="18" w:space="4" w:color="800000"/>
        </w:pBdr>
        <w:jc w:val="center"/>
        <w:outlineLvl w:val="0"/>
        <w:rPr>
          <w:b/>
          <w:bCs/>
          <w:color w:val="800000"/>
          <w:szCs w:val="22"/>
        </w:rPr>
      </w:pPr>
    </w:p>
    <w:p w:rsidR="00F50892" w:rsidRPr="009B78E2" w:rsidRDefault="00F50892" w:rsidP="00F50892">
      <w:pPr>
        <w:pBdr>
          <w:top w:val="single" w:sz="18" w:space="1" w:color="800000"/>
          <w:left w:val="single" w:sz="18" w:space="4" w:color="800000"/>
          <w:bottom w:val="single" w:sz="18" w:space="1" w:color="800000"/>
          <w:right w:val="single" w:sz="18" w:space="4" w:color="800000"/>
        </w:pBdr>
        <w:rPr>
          <w:color w:val="800000"/>
          <w:szCs w:val="22"/>
        </w:rPr>
      </w:pPr>
    </w:p>
    <w:p w:rsidR="00F50892" w:rsidRPr="009B78E2" w:rsidRDefault="00F50892" w:rsidP="00F50892">
      <w:pPr>
        <w:rPr>
          <w:szCs w:val="22"/>
        </w:rPr>
      </w:pPr>
    </w:p>
    <w:p w:rsidR="00F50892" w:rsidRPr="009B78E2" w:rsidRDefault="00F50892" w:rsidP="00F50892">
      <w:pPr>
        <w:rPr>
          <w:szCs w:val="22"/>
        </w:rPr>
      </w:pPr>
    </w:p>
    <w:p w:rsidR="00F50892" w:rsidRPr="009B78E2" w:rsidRDefault="00F50892" w:rsidP="00F50892">
      <w:pPr>
        <w:outlineLvl w:val="0"/>
        <w:rPr>
          <w:b/>
          <w:bCs/>
          <w:smallCaps/>
          <w:szCs w:val="22"/>
        </w:rPr>
      </w:pPr>
      <w:r w:rsidRPr="009B78E2">
        <w:rPr>
          <w:b/>
          <w:bCs/>
          <w:smallCaps/>
          <w:szCs w:val="22"/>
        </w:rPr>
        <w:t>The Background</w:t>
      </w:r>
    </w:p>
    <w:p w:rsidR="00F50892" w:rsidRPr="009B78E2" w:rsidRDefault="00F50892" w:rsidP="00F50892">
      <w:pPr>
        <w:rPr>
          <w:szCs w:val="22"/>
        </w:rPr>
      </w:pPr>
    </w:p>
    <w:p w:rsidR="00F50892" w:rsidRPr="009B78E2" w:rsidRDefault="00F50892" w:rsidP="00F50892">
      <w:pPr>
        <w:rPr>
          <w:szCs w:val="22"/>
        </w:rPr>
      </w:pPr>
      <w:r w:rsidRPr="009B78E2">
        <w:rPr>
          <w:szCs w:val="22"/>
        </w:rPr>
        <w:t xml:space="preserve">The World Intellectual Property Organization (WIPO) is organizing a </w:t>
      </w:r>
      <w:r w:rsidRPr="009B78E2">
        <w:rPr>
          <w:i/>
          <w:szCs w:val="22"/>
        </w:rPr>
        <w:t>Seminar on Intellectual Property and Genetic Resources, Traditional Knowledge and Traditional Cultural Expressions:  Regional and International Dimensions</w:t>
      </w:r>
      <w:r w:rsidRPr="009B78E2">
        <w:rPr>
          <w:szCs w:val="22"/>
        </w:rPr>
        <w:t xml:space="preserve">, which will be held at its headquarters in Geneva, from June 23 to 25, 2015, commencing at 2 p.m. on June 23, for WIPO Member States and accredited Observers. </w:t>
      </w:r>
      <w:r w:rsidR="00C03AB1" w:rsidRPr="009B78E2">
        <w:rPr>
          <w:szCs w:val="22"/>
        </w:rPr>
        <w:t xml:space="preserve"> </w:t>
      </w:r>
      <w:r w:rsidRPr="009B78E2">
        <w:rPr>
          <w:szCs w:val="22"/>
        </w:rPr>
        <w:t xml:space="preserve">“Accredited Observers” refers to organizations and other entities that have either Permanent Observer status at WIPO or are already specially accredited to the WIPO Intergovernmental Committee on Intellectual Property and Genetic Resources, Traditional Knowledge and Folklore.  </w:t>
      </w:r>
    </w:p>
    <w:p w:rsidR="00F50892" w:rsidRPr="009B78E2" w:rsidRDefault="00F50892" w:rsidP="00F50892">
      <w:pPr>
        <w:rPr>
          <w:szCs w:val="22"/>
        </w:rPr>
      </w:pPr>
    </w:p>
    <w:p w:rsidR="00F50892" w:rsidRPr="009B78E2" w:rsidRDefault="00F50892" w:rsidP="00F50892">
      <w:pPr>
        <w:rPr>
          <w:szCs w:val="22"/>
        </w:rPr>
      </w:pPr>
      <w:r w:rsidRPr="009B78E2">
        <w:rPr>
          <w:szCs w:val="22"/>
        </w:rPr>
        <w:t>WIPO is pleased to announce that the Swiss Federal Institute of Intellectual Property has provided a generous financial contribution for the funding of indigenous and local community representatives which is intended to facilitate their participation and attendance in the Seminar.</w:t>
      </w:r>
    </w:p>
    <w:p w:rsidR="00F50892" w:rsidRPr="009B78E2" w:rsidRDefault="00F50892" w:rsidP="00F50892">
      <w:pPr>
        <w:rPr>
          <w:szCs w:val="22"/>
        </w:rPr>
      </w:pPr>
    </w:p>
    <w:p w:rsidR="00F50892" w:rsidRPr="009B78E2" w:rsidRDefault="00F50892" w:rsidP="00F50892">
      <w:pPr>
        <w:rPr>
          <w:szCs w:val="22"/>
        </w:rPr>
      </w:pPr>
      <w:r w:rsidRPr="009B78E2">
        <w:rPr>
          <w:szCs w:val="22"/>
        </w:rPr>
        <w:t xml:space="preserve">The funding will cover air travel in economy class from the domicile of the funded representative to Geneva in accordance with WIPO’s travel rules, a daily subsistence allowance of </w:t>
      </w:r>
      <w:proofErr w:type="spellStart"/>
      <w:r w:rsidRPr="009B78E2">
        <w:rPr>
          <w:szCs w:val="22"/>
        </w:rPr>
        <w:t>Sfr</w:t>
      </w:r>
      <w:proofErr w:type="spellEnd"/>
      <w:r w:rsidRPr="009B78E2">
        <w:rPr>
          <w:szCs w:val="22"/>
        </w:rPr>
        <w:t xml:space="preserve"> 250 and terminal expenses.</w:t>
      </w:r>
    </w:p>
    <w:p w:rsidR="00F50892" w:rsidRPr="009B78E2" w:rsidRDefault="00F50892" w:rsidP="00F50892">
      <w:pPr>
        <w:rPr>
          <w:szCs w:val="22"/>
        </w:rPr>
      </w:pPr>
    </w:p>
    <w:p w:rsidR="00F50892" w:rsidRPr="009B78E2" w:rsidRDefault="00F50892" w:rsidP="00F50892">
      <w:pPr>
        <w:rPr>
          <w:szCs w:val="22"/>
        </w:rPr>
      </w:pPr>
      <w:r w:rsidRPr="009B78E2">
        <w:rPr>
          <w:szCs w:val="22"/>
        </w:rPr>
        <w:t xml:space="preserve">The Seminar will focus on intellectual property (IP) and genetic resources (GRs), traditional knowledge (TK) and traditional cultural expressions (TCEs).  The objective is to share practices, experiences and case studies regarding IP and GRs/TK/TCEs.  </w:t>
      </w:r>
    </w:p>
    <w:p w:rsidR="00F50892" w:rsidRPr="009B78E2" w:rsidRDefault="00F50892" w:rsidP="00F50892">
      <w:pPr>
        <w:rPr>
          <w:szCs w:val="22"/>
        </w:rPr>
      </w:pPr>
    </w:p>
    <w:p w:rsidR="00F50892" w:rsidRPr="009B78E2" w:rsidRDefault="00F50892" w:rsidP="00F50892">
      <w:pPr>
        <w:rPr>
          <w:szCs w:val="22"/>
        </w:rPr>
      </w:pPr>
      <w:r w:rsidRPr="009B78E2">
        <w:rPr>
          <w:szCs w:val="22"/>
        </w:rPr>
        <w:t xml:space="preserve">The working languages of the Seminar will be English, French and Spanish with simultaneous interpretation being provided in those languages.  The Program will be available on the WIPO website at:  </w:t>
      </w:r>
      <w:hyperlink r:id="rId10" w:history="1">
        <w:r w:rsidRPr="009B78E2">
          <w:rPr>
            <w:rStyle w:val="Hyperlink"/>
            <w:color w:val="auto"/>
            <w:szCs w:val="22"/>
            <w:u w:val="none"/>
          </w:rPr>
          <w:t>http://www.wipo.int/meetings/en/details.jsp?meeting_id=36502</w:t>
        </w:r>
      </w:hyperlink>
      <w:r w:rsidRPr="009B78E2">
        <w:rPr>
          <w:szCs w:val="22"/>
        </w:rPr>
        <w:t>.</w:t>
      </w:r>
    </w:p>
    <w:p w:rsidR="00F50892" w:rsidRPr="009B78E2" w:rsidRDefault="00607FC4" w:rsidP="00607FC4">
      <w:pPr>
        <w:jc w:val="right"/>
        <w:rPr>
          <w:szCs w:val="22"/>
        </w:rPr>
      </w:pPr>
      <w:r w:rsidRPr="009B78E2">
        <w:rPr>
          <w:szCs w:val="22"/>
        </w:rPr>
        <w:t>/...</w:t>
      </w:r>
    </w:p>
    <w:p w:rsidR="00607FC4" w:rsidRPr="009B78E2" w:rsidRDefault="00607FC4" w:rsidP="00607FC4">
      <w:pPr>
        <w:rPr>
          <w:szCs w:val="22"/>
        </w:rPr>
      </w:pPr>
    </w:p>
    <w:p w:rsidR="00607FC4" w:rsidRPr="009B78E2" w:rsidRDefault="00607FC4" w:rsidP="00607FC4">
      <w:pPr>
        <w:rPr>
          <w:szCs w:val="22"/>
        </w:rPr>
      </w:pPr>
    </w:p>
    <w:p w:rsidR="00F50892" w:rsidRPr="009B78E2" w:rsidRDefault="00F50892" w:rsidP="00F50892">
      <w:pPr>
        <w:rPr>
          <w:szCs w:val="22"/>
        </w:rPr>
      </w:pPr>
      <w:r w:rsidRPr="009B78E2">
        <w:rPr>
          <w:szCs w:val="22"/>
        </w:rPr>
        <w:lastRenderedPageBreak/>
        <w:t xml:space="preserve">Participation of accredited Observers that represent indigenous and local communities is strongly encouraged.  The Seminar will provide the indigenous and local community representatives with a valuable opportunity to acquire and exchange information on existing regional, national and local practices, case studies and policy issues regarding IP and GRs, TK and TCEs. </w:t>
      </w:r>
    </w:p>
    <w:p w:rsidR="00F50892" w:rsidRPr="009B78E2" w:rsidRDefault="00F50892" w:rsidP="00F50892">
      <w:pPr>
        <w:rPr>
          <w:szCs w:val="22"/>
        </w:rPr>
      </w:pPr>
    </w:p>
    <w:p w:rsidR="00F50892" w:rsidRPr="009B78E2" w:rsidRDefault="00F50892" w:rsidP="00F50892">
      <w:pPr>
        <w:outlineLvl w:val="0"/>
        <w:rPr>
          <w:b/>
          <w:bCs/>
          <w:smallCaps/>
          <w:szCs w:val="22"/>
        </w:rPr>
      </w:pPr>
      <w:r w:rsidRPr="009B78E2">
        <w:rPr>
          <w:b/>
          <w:bCs/>
          <w:smallCaps/>
          <w:szCs w:val="22"/>
        </w:rPr>
        <w:t>The Requirements:  What qualifications are needed to apply?</w:t>
      </w:r>
    </w:p>
    <w:p w:rsidR="00F50892" w:rsidRPr="009B78E2" w:rsidRDefault="00F50892" w:rsidP="00F50892">
      <w:pPr>
        <w:rPr>
          <w:szCs w:val="22"/>
        </w:rPr>
      </w:pPr>
    </w:p>
    <w:p w:rsidR="00F50892" w:rsidRPr="009B78E2" w:rsidRDefault="00F50892" w:rsidP="00F50892">
      <w:pPr>
        <w:rPr>
          <w:szCs w:val="22"/>
        </w:rPr>
      </w:pPr>
      <w:r w:rsidRPr="009B78E2">
        <w:rPr>
          <w:szCs w:val="22"/>
        </w:rPr>
        <w:t>Applicants for funding need to:</w:t>
      </w:r>
    </w:p>
    <w:p w:rsidR="00F50892" w:rsidRPr="009B78E2" w:rsidRDefault="00F50892" w:rsidP="00F50892">
      <w:pPr>
        <w:rPr>
          <w:szCs w:val="22"/>
        </w:rPr>
      </w:pPr>
    </w:p>
    <w:p w:rsidR="00F50892" w:rsidRPr="009B78E2" w:rsidRDefault="00F50892" w:rsidP="00607FC4">
      <w:pPr>
        <w:numPr>
          <w:ilvl w:val="0"/>
          <w:numId w:val="7"/>
        </w:numPr>
        <w:rPr>
          <w:szCs w:val="22"/>
        </w:rPr>
      </w:pPr>
      <w:r w:rsidRPr="009B78E2">
        <w:rPr>
          <w:szCs w:val="22"/>
        </w:rPr>
        <w:t>be natural persons who belong to a WIPO accredited Observer which represents indigenous or local communities;</w:t>
      </w:r>
    </w:p>
    <w:p w:rsidR="00F50892" w:rsidRPr="009B78E2" w:rsidRDefault="00F50892" w:rsidP="00F50892">
      <w:pPr>
        <w:numPr>
          <w:ilvl w:val="0"/>
          <w:numId w:val="7"/>
        </w:numPr>
        <w:rPr>
          <w:szCs w:val="22"/>
        </w:rPr>
      </w:pPr>
      <w:r w:rsidRPr="009B78E2">
        <w:rPr>
          <w:szCs w:val="22"/>
        </w:rPr>
        <w:t xml:space="preserve">be able to participate actively and effectively and contribute to the Seminar, such as through expressing experience in the field and the concerns of indigenous and local communities;  </w:t>
      </w:r>
    </w:p>
    <w:p w:rsidR="00F50892" w:rsidRPr="009B78E2" w:rsidRDefault="00F50892" w:rsidP="00F50892">
      <w:pPr>
        <w:numPr>
          <w:ilvl w:val="0"/>
          <w:numId w:val="7"/>
        </w:numPr>
        <w:rPr>
          <w:szCs w:val="22"/>
        </w:rPr>
      </w:pPr>
      <w:r w:rsidRPr="009B78E2">
        <w:rPr>
          <w:szCs w:val="22"/>
        </w:rPr>
        <w:t xml:space="preserve"> depend on the funding in order to be able to participate in the above-mentioned seminar;  and</w:t>
      </w:r>
    </w:p>
    <w:p w:rsidR="00F50892" w:rsidRPr="009B78E2" w:rsidRDefault="00F50892" w:rsidP="00F50892">
      <w:pPr>
        <w:numPr>
          <w:ilvl w:val="0"/>
          <w:numId w:val="7"/>
        </w:numPr>
        <w:rPr>
          <w:szCs w:val="22"/>
        </w:rPr>
      </w:pPr>
      <w:r w:rsidRPr="009B78E2">
        <w:rPr>
          <w:szCs w:val="22"/>
        </w:rPr>
        <w:t xml:space="preserve"> </w:t>
      </w:r>
      <w:proofErr w:type="gramStart"/>
      <w:r w:rsidRPr="009B78E2">
        <w:rPr>
          <w:szCs w:val="22"/>
        </w:rPr>
        <w:t>be</w:t>
      </w:r>
      <w:proofErr w:type="gramEnd"/>
      <w:r w:rsidRPr="009B78E2">
        <w:rPr>
          <w:szCs w:val="22"/>
        </w:rPr>
        <w:t xml:space="preserve"> able to understand </w:t>
      </w:r>
      <w:r w:rsidR="00C03AB1" w:rsidRPr="009B78E2">
        <w:rPr>
          <w:szCs w:val="22"/>
        </w:rPr>
        <w:t xml:space="preserve">and speak </w:t>
      </w:r>
      <w:r w:rsidRPr="009B78E2">
        <w:rPr>
          <w:szCs w:val="22"/>
        </w:rPr>
        <w:t>English, Spanish or French.</w:t>
      </w:r>
    </w:p>
    <w:p w:rsidR="00F50892" w:rsidRPr="009B78E2" w:rsidRDefault="00F50892" w:rsidP="00F50892">
      <w:pPr>
        <w:ind w:left="680"/>
        <w:rPr>
          <w:szCs w:val="22"/>
        </w:rPr>
      </w:pPr>
    </w:p>
    <w:p w:rsidR="00F50892" w:rsidRPr="009B78E2" w:rsidRDefault="00F50892" w:rsidP="00F50892">
      <w:pPr>
        <w:rPr>
          <w:szCs w:val="22"/>
        </w:rPr>
      </w:pPr>
      <w:r w:rsidRPr="009B78E2">
        <w:rPr>
          <w:szCs w:val="22"/>
        </w:rPr>
        <w:t xml:space="preserve">Furthermore, due consideration will be given to geographical and gender balance. </w:t>
      </w:r>
    </w:p>
    <w:p w:rsidR="00F50892" w:rsidRPr="009B78E2" w:rsidRDefault="00F50892" w:rsidP="00F50892">
      <w:pPr>
        <w:rPr>
          <w:szCs w:val="22"/>
        </w:rPr>
      </w:pPr>
    </w:p>
    <w:p w:rsidR="00F50892" w:rsidRPr="009B78E2" w:rsidRDefault="00F50892" w:rsidP="00F50892">
      <w:pPr>
        <w:outlineLvl w:val="0"/>
        <w:rPr>
          <w:b/>
          <w:bCs/>
          <w:smallCaps/>
          <w:szCs w:val="22"/>
        </w:rPr>
      </w:pPr>
      <w:r w:rsidRPr="009B78E2">
        <w:rPr>
          <w:b/>
          <w:bCs/>
          <w:smallCaps/>
          <w:szCs w:val="22"/>
        </w:rPr>
        <w:t>Expressions of interest:   how to apply for funding?</w:t>
      </w:r>
    </w:p>
    <w:p w:rsidR="00F50892" w:rsidRPr="009B78E2" w:rsidRDefault="00F50892" w:rsidP="00F50892">
      <w:pPr>
        <w:rPr>
          <w:szCs w:val="22"/>
        </w:rPr>
      </w:pPr>
    </w:p>
    <w:p w:rsidR="00F50892" w:rsidRPr="009B78E2" w:rsidRDefault="00F50892" w:rsidP="00F50892">
      <w:pPr>
        <w:rPr>
          <w:szCs w:val="22"/>
        </w:rPr>
      </w:pPr>
      <w:r w:rsidRPr="009B78E2">
        <w:rPr>
          <w:szCs w:val="22"/>
        </w:rPr>
        <w:t xml:space="preserve">Expressions of interest, accompanied, either in English, Spanish or French, by a full </w:t>
      </w:r>
      <w:r w:rsidRPr="009B78E2">
        <w:rPr>
          <w:i/>
          <w:iCs/>
          <w:szCs w:val="22"/>
        </w:rPr>
        <w:t xml:space="preserve">curriculum vitae </w:t>
      </w:r>
      <w:r w:rsidRPr="009B78E2">
        <w:rPr>
          <w:iCs/>
          <w:szCs w:val="22"/>
        </w:rPr>
        <w:t>(</w:t>
      </w:r>
      <w:proofErr w:type="spellStart"/>
      <w:r w:rsidRPr="009B78E2">
        <w:rPr>
          <w:szCs w:val="22"/>
        </w:rPr>
        <w:t>resumé</w:t>
      </w:r>
      <w:proofErr w:type="spellEnd"/>
      <w:r w:rsidRPr="009B78E2">
        <w:rPr>
          <w:iCs/>
          <w:szCs w:val="22"/>
        </w:rPr>
        <w:t>)</w:t>
      </w:r>
      <w:r w:rsidRPr="009B78E2">
        <w:rPr>
          <w:szCs w:val="22"/>
        </w:rPr>
        <w:t xml:space="preserve"> and a brief statement by the candidate addressing each of the requirements set out above, </w:t>
      </w:r>
      <w:r w:rsidRPr="009B78E2">
        <w:rPr>
          <w:szCs w:val="22"/>
          <w:u w:val="single"/>
        </w:rPr>
        <w:t>including</w:t>
      </w:r>
      <w:r w:rsidRPr="009B78E2">
        <w:rPr>
          <w:szCs w:val="22"/>
        </w:rPr>
        <w:t xml:space="preserve"> the name of the accredited Observer the applicant is a member of, should be sent to:</w:t>
      </w:r>
    </w:p>
    <w:p w:rsidR="00F50892" w:rsidRPr="009B78E2" w:rsidRDefault="00F50892" w:rsidP="00F50892">
      <w:pPr>
        <w:rPr>
          <w:szCs w:val="22"/>
        </w:rPr>
      </w:pPr>
    </w:p>
    <w:p w:rsidR="00F50892" w:rsidRPr="009B78E2" w:rsidRDefault="00F50892" w:rsidP="00F50892">
      <w:pPr>
        <w:ind w:left="539"/>
        <w:rPr>
          <w:szCs w:val="22"/>
        </w:rPr>
      </w:pPr>
      <w:r w:rsidRPr="009B78E2">
        <w:rPr>
          <w:szCs w:val="22"/>
        </w:rPr>
        <w:t xml:space="preserve">Traditional Knowledge Division </w:t>
      </w:r>
    </w:p>
    <w:p w:rsidR="00F50892" w:rsidRPr="009B78E2" w:rsidRDefault="00F50892" w:rsidP="00F50892">
      <w:pPr>
        <w:ind w:left="539"/>
        <w:rPr>
          <w:szCs w:val="22"/>
        </w:rPr>
      </w:pPr>
      <w:r w:rsidRPr="009B78E2">
        <w:rPr>
          <w:szCs w:val="22"/>
        </w:rPr>
        <w:t>World Intellectual Property Organization</w:t>
      </w:r>
    </w:p>
    <w:p w:rsidR="00F50892" w:rsidRPr="009B78E2" w:rsidRDefault="00F50892" w:rsidP="00F50892">
      <w:pPr>
        <w:ind w:left="539"/>
        <w:rPr>
          <w:szCs w:val="22"/>
        </w:rPr>
      </w:pPr>
      <w:r w:rsidRPr="009B78E2">
        <w:rPr>
          <w:szCs w:val="22"/>
        </w:rPr>
        <w:t xml:space="preserve">34 </w:t>
      </w:r>
      <w:proofErr w:type="spellStart"/>
      <w:r w:rsidRPr="009B78E2">
        <w:rPr>
          <w:szCs w:val="22"/>
        </w:rPr>
        <w:t>chemin</w:t>
      </w:r>
      <w:proofErr w:type="spellEnd"/>
      <w:r w:rsidRPr="009B78E2">
        <w:rPr>
          <w:szCs w:val="22"/>
        </w:rPr>
        <w:t xml:space="preserve"> des </w:t>
      </w:r>
      <w:proofErr w:type="spellStart"/>
      <w:r w:rsidRPr="009B78E2">
        <w:rPr>
          <w:szCs w:val="22"/>
        </w:rPr>
        <w:t>Colombettes</w:t>
      </w:r>
      <w:proofErr w:type="spellEnd"/>
      <w:r w:rsidRPr="009B78E2">
        <w:rPr>
          <w:szCs w:val="22"/>
        </w:rPr>
        <w:t xml:space="preserve">, </w:t>
      </w:r>
    </w:p>
    <w:p w:rsidR="00F50892" w:rsidRPr="009B78E2" w:rsidRDefault="00F50892" w:rsidP="00F50892">
      <w:pPr>
        <w:ind w:left="539"/>
        <w:rPr>
          <w:szCs w:val="22"/>
        </w:rPr>
      </w:pPr>
      <w:r w:rsidRPr="009B78E2">
        <w:rPr>
          <w:szCs w:val="22"/>
        </w:rPr>
        <w:t xml:space="preserve">1211 Geneva 20, </w:t>
      </w:r>
    </w:p>
    <w:p w:rsidR="00F50892" w:rsidRPr="009B78E2" w:rsidRDefault="00F50892" w:rsidP="00F50892">
      <w:pPr>
        <w:ind w:left="539"/>
        <w:rPr>
          <w:szCs w:val="22"/>
        </w:rPr>
      </w:pPr>
      <w:r w:rsidRPr="009B78E2">
        <w:rPr>
          <w:szCs w:val="22"/>
        </w:rPr>
        <w:t>Switzerland</w:t>
      </w:r>
    </w:p>
    <w:p w:rsidR="00F50892" w:rsidRPr="009B78E2" w:rsidRDefault="00F50892" w:rsidP="00F50892">
      <w:pPr>
        <w:ind w:left="539"/>
        <w:rPr>
          <w:szCs w:val="22"/>
        </w:rPr>
      </w:pPr>
      <w:bookmarkStart w:id="0" w:name="_GoBack"/>
      <w:bookmarkEnd w:id="0"/>
    </w:p>
    <w:p w:rsidR="00F50892" w:rsidRPr="009B78E2" w:rsidRDefault="00F50892" w:rsidP="00F50892">
      <w:pPr>
        <w:ind w:left="539"/>
        <w:rPr>
          <w:szCs w:val="22"/>
        </w:rPr>
      </w:pPr>
      <w:proofErr w:type="gramStart"/>
      <w:r w:rsidRPr="009B78E2">
        <w:rPr>
          <w:szCs w:val="22"/>
        </w:rPr>
        <w:t>or</w:t>
      </w:r>
      <w:proofErr w:type="gramEnd"/>
      <w:r w:rsidRPr="009B78E2">
        <w:rPr>
          <w:szCs w:val="22"/>
        </w:rPr>
        <w:t xml:space="preserve"> by email (grtkf@wipo.int) </w:t>
      </w:r>
    </w:p>
    <w:p w:rsidR="00F50892" w:rsidRPr="009B78E2" w:rsidRDefault="00F50892" w:rsidP="00F50892">
      <w:pPr>
        <w:ind w:left="539"/>
        <w:rPr>
          <w:szCs w:val="22"/>
        </w:rPr>
      </w:pPr>
    </w:p>
    <w:p w:rsidR="00F50892" w:rsidRPr="009B78E2" w:rsidRDefault="00F50892" w:rsidP="00F50892">
      <w:pPr>
        <w:ind w:left="539"/>
        <w:rPr>
          <w:szCs w:val="22"/>
        </w:rPr>
      </w:pPr>
      <w:proofErr w:type="gramStart"/>
      <w:r w:rsidRPr="009B78E2">
        <w:rPr>
          <w:szCs w:val="22"/>
        </w:rPr>
        <w:t>or</w:t>
      </w:r>
      <w:proofErr w:type="gramEnd"/>
      <w:r w:rsidRPr="009B78E2">
        <w:rPr>
          <w:szCs w:val="22"/>
        </w:rPr>
        <w:t xml:space="preserve"> by fax (+41 22 338 8120)</w:t>
      </w:r>
    </w:p>
    <w:p w:rsidR="00F50892" w:rsidRPr="009B78E2" w:rsidRDefault="00F50892" w:rsidP="00F50892">
      <w:pPr>
        <w:rPr>
          <w:szCs w:val="22"/>
        </w:rPr>
      </w:pPr>
    </w:p>
    <w:p w:rsidR="00F50892" w:rsidRPr="009B78E2" w:rsidRDefault="00F50892" w:rsidP="00F50892">
      <w:pPr>
        <w:ind w:left="539"/>
        <w:rPr>
          <w:b/>
          <w:bCs/>
          <w:szCs w:val="22"/>
          <w:u w:val="single"/>
        </w:rPr>
      </w:pPr>
      <w:proofErr w:type="gramStart"/>
      <w:r w:rsidRPr="009B78E2">
        <w:rPr>
          <w:b/>
          <w:bCs/>
          <w:szCs w:val="22"/>
          <w:u w:val="single"/>
        </w:rPr>
        <w:t>before</w:t>
      </w:r>
      <w:proofErr w:type="gramEnd"/>
      <w:r w:rsidRPr="009B78E2">
        <w:rPr>
          <w:b/>
          <w:bCs/>
          <w:szCs w:val="22"/>
          <w:u w:val="single"/>
        </w:rPr>
        <w:t xml:space="preserve"> </w:t>
      </w:r>
      <w:r w:rsidR="00AF1603" w:rsidRPr="009B78E2">
        <w:rPr>
          <w:b/>
          <w:bCs/>
          <w:szCs w:val="22"/>
          <w:u w:val="single"/>
        </w:rPr>
        <w:t>May 25</w:t>
      </w:r>
      <w:r w:rsidRPr="009B78E2">
        <w:rPr>
          <w:b/>
          <w:bCs/>
          <w:szCs w:val="22"/>
          <w:u w:val="single"/>
        </w:rPr>
        <w:t>, 2015</w:t>
      </w:r>
    </w:p>
    <w:p w:rsidR="00F50892" w:rsidRPr="009B78E2" w:rsidRDefault="00F50892" w:rsidP="00F50892">
      <w:pPr>
        <w:rPr>
          <w:b/>
          <w:bCs/>
          <w:szCs w:val="22"/>
          <w:u w:val="single"/>
        </w:rPr>
      </w:pPr>
    </w:p>
    <w:p w:rsidR="00F50892" w:rsidRPr="009B78E2" w:rsidRDefault="00F50892" w:rsidP="00F50892">
      <w:pPr>
        <w:rPr>
          <w:b/>
          <w:bCs/>
          <w:szCs w:val="22"/>
          <w:u w:val="single"/>
        </w:rPr>
      </w:pPr>
      <w:r w:rsidRPr="009B78E2">
        <w:rPr>
          <w:b/>
          <w:bCs/>
          <w:szCs w:val="22"/>
          <w:u w:val="single"/>
        </w:rPr>
        <w:t>Please note that the expressions of interest should NOT include any other attachments or enclosures (such as copies of publications and other materials).</w:t>
      </w:r>
    </w:p>
    <w:p w:rsidR="00F50892" w:rsidRPr="009B78E2" w:rsidRDefault="00F50892" w:rsidP="00F50892">
      <w:pPr>
        <w:rPr>
          <w:b/>
          <w:bCs/>
          <w:szCs w:val="22"/>
          <w:u w:val="single"/>
        </w:rPr>
      </w:pPr>
    </w:p>
    <w:p w:rsidR="00F50892" w:rsidRPr="009B78E2" w:rsidRDefault="00F50892" w:rsidP="00F50892">
      <w:pPr>
        <w:rPr>
          <w:szCs w:val="22"/>
          <w:lang w:val="pt-BR"/>
        </w:rPr>
      </w:pPr>
    </w:p>
    <w:p w:rsidR="00DD4C78" w:rsidRPr="009B78E2" w:rsidRDefault="00DD4C78">
      <w:pPr>
        <w:rPr>
          <w:lang w:val="pt-BR"/>
        </w:rPr>
      </w:pPr>
    </w:p>
    <w:sectPr w:rsidR="00DD4C78" w:rsidRPr="009B78E2" w:rsidSect="00A953E1">
      <w:headerReference w:type="default" r:id="rId11"/>
      <w:pgSz w:w="11907" w:h="16840" w:code="9"/>
      <w:pgMar w:top="567" w:right="1134" w:bottom="1418" w:left="1418" w:header="510"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892" w:rsidRDefault="00F50892">
      <w:r>
        <w:separator/>
      </w:r>
    </w:p>
  </w:endnote>
  <w:endnote w:type="continuationSeparator" w:id="0">
    <w:p w:rsidR="00F50892" w:rsidRDefault="00F50892" w:rsidP="00A326CA">
      <w:r>
        <w:separator/>
      </w:r>
    </w:p>
    <w:p w:rsidR="00F50892" w:rsidRPr="00A326CA" w:rsidRDefault="00F50892" w:rsidP="00A326CA">
      <w:r>
        <w:rPr>
          <w:sz w:val="17"/>
        </w:rPr>
        <w:t>[Endnote continued from previous page]</w:t>
      </w:r>
    </w:p>
  </w:endnote>
  <w:endnote w:type="continuationNotice" w:id="1">
    <w:p w:rsidR="00F50892" w:rsidRPr="00A326CA" w:rsidRDefault="00F50892" w:rsidP="00A326CA">
      <w:pPr>
        <w:spacing w:before="60"/>
        <w:jc w:val="right"/>
        <w:rPr>
          <w:sz w:val="17"/>
          <w:szCs w:val="17"/>
        </w:rPr>
      </w:pPr>
      <w:r w:rsidRPr="000C7343">
        <w:rPr>
          <w:sz w:val="17"/>
          <w:szCs w:val="17"/>
        </w:rPr>
        <w:t>[Endnot</w:t>
      </w:r>
      <w:r>
        <w:rPr>
          <w:sz w:val="17"/>
          <w:szCs w:val="17"/>
        </w:rPr>
        <w: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892" w:rsidRDefault="00F50892">
      <w:r>
        <w:separator/>
      </w:r>
    </w:p>
  </w:footnote>
  <w:footnote w:type="continuationSeparator" w:id="0">
    <w:p w:rsidR="00F50892" w:rsidRDefault="00F50892" w:rsidP="00A326CA">
      <w:r>
        <w:separator/>
      </w:r>
    </w:p>
    <w:p w:rsidR="00F50892" w:rsidRPr="00A326CA" w:rsidRDefault="00F50892" w:rsidP="00A326CA">
      <w:pPr>
        <w:spacing w:after="60"/>
        <w:rPr>
          <w:sz w:val="17"/>
          <w:szCs w:val="17"/>
        </w:rPr>
      </w:pPr>
      <w:r w:rsidRPr="00ED77FB">
        <w:rPr>
          <w:sz w:val="17"/>
          <w:szCs w:val="17"/>
        </w:rPr>
        <w:t>[Footnot</w:t>
      </w:r>
      <w:r>
        <w:rPr>
          <w:sz w:val="17"/>
          <w:szCs w:val="17"/>
        </w:rPr>
        <w:t>e continued from previous page]</w:t>
      </w:r>
    </w:p>
  </w:footnote>
  <w:footnote w:type="continuationNotice" w:id="1">
    <w:p w:rsidR="00F50892" w:rsidRPr="00A326CA" w:rsidRDefault="00F50892" w:rsidP="00A326CA">
      <w:pPr>
        <w:spacing w:before="60"/>
        <w:jc w:val="right"/>
        <w:rPr>
          <w:sz w:val="17"/>
          <w:szCs w:val="17"/>
        </w:rPr>
      </w:pPr>
      <w:r w:rsidRPr="000C7343">
        <w:rPr>
          <w:sz w:val="17"/>
          <w:szCs w:val="17"/>
        </w:rPr>
        <w:t>[F</w:t>
      </w:r>
      <w:r>
        <w:rPr>
          <w:sz w:val="17"/>
          <w:szCs w:val="17"/>
        </w:rPr>
        <w:t>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C78" w:rsidRDefault="00DD4C78" w:rsidP="00DD4C78">
    <w:pPr>
      <w:pStyle w:val="Header"/>
      <w:jc w:val="right"/>
      <w:rPr>
        <w:lang w:val="fr-CH"/>
      </w:rPr>
    </w:pPr>
  </w:p>
  <w:p w:rsidR="00DD4C78" w:rsidRDefault="00DD4C78" w:rsidP="00DD4C78">
    <w:pPr>
      <w:pStyle w:val="Header"/>
      <w:jc w:val="right"/>
      <w:rPr>
        <w:lang w:val="fr-CH"/>
      </w:rPr>
    </w:pPr>
    <w:proofErr w:type="gramStart"/>
    <w:r>
      <w:rPr>
        <w:lang w:val="fr-CH"/>
      </w:rPr>
      <w:t>page</w:t>
    </w:r>
    <w:proofErr w:type="gramEnd"/>
    <w:r>
      <w:rPr>
        <w:lang w:val="fr-CH"/>
      </w:rPr>
      <w:t xml:space="preserve"> </w:t>
    </w:r>
    <w:r>
      <w:rPr>
        <w:rStyle w:val="PageNumber"/>
      </w:rPr>
      <w:fldChar w:fldCharType="begin"/>
    </w:r>
    <w:r>
      <w:rPr>
        <w:rStyle w:val="PageNumber"/>
      </w:rPr>
      <w:instrText xml:space="preserve"> PAGE </w:instrText>
    </w:r>
    <w:r>
      <w:rPr>
        <w:rStyle w:val="PageNumber"/>
      </w:rPr>
      <w:fldChar w:fldCharType="separate"/>
    </w:r>
    <w:r w:rsidR="00403FD3">
      <w:rPr>
        <w:rStyle w:val="PageNumber"/>
        <w:noProof/>
      </w:rPr>
      <w:t>2</w:t>
    </w:r>
    <w:r>
      <w:rPr>
        <w:rStyle w:val="PageNumber"/>
      </w:rPr>
      <w:fldChar w:fldCharType="end"/>
    </w:r>
  </w:p>
  <w:p w:rsidR="00DD4C78" w:rsidRPr="00DD4C78" w:rsidRDefault="00DD4C78" w:rsidP="00DD4C78">
    <w:pPr>
      <w:pStyle w:val="Header"/>
      <w:jc w:val="right"/>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8241F36"/>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4510DFF"/>
    <w:multiLevelType w:val="hybridMultilevel"/>
    <w:tmpl w:val="377C0B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892"/>
    <w:rsid w:val="000F5E56"/>
    <w:rsid w:val="00145B81"/>
    <w:rsid w:val="001A23AF"/>
    <w:rsid w:val="00294534"/>
    <w:rsid w:val="003C334B"/>
    <w:rsid w:val="00403FD3"/>
    <w:rsid w:val="00607FC4"/>
    <w:rsid w:val="007B5CAC"/>
    <w:rsid w:val="007F099A"/>
    <w:rsid w:val="009B78E2"/>
    <w:rsid w:val="009C216E"/>
    <w:rsid w:val="00A16459"/>
    <w:rsid w:val="00A326CA"/>
    <w:rsid w:val="00A5423E"/>
    <w:rsid w:val="00A953E1"/>
    <w:rsid w:val="00AF1603"/>
    <w:rsid w:val="00BB3AFA"/>
    <w:rsid w:val="00C03AB1"/>
    <w:rsid w:val="00C90726"/>
    <w:rsid w:val="00D872E7"/>
    <w:rsid w:val="00DB60CA"/>
    <w:rsid w:val="00DD4C78"/>
    <w:rsid w:val="00DE6474"/>
    <w:rsid w:val="00E43EB6"/>
    <w:rsid w:val="00F50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423E"/>
    <w:rPr>
      <w:rFonts w:ascii="Arial" w:eastAsia="SimSun" w:hAnsi="Arial" w:cs="Arial"/>
      <w:sz w:val="22"/>
      <w:lang w:eastAsia="zh-CN"/>
    </w:rPr>
  </w:style>
  <w:style w:type="paragraph" w:styleId="Heading1">
    <w:name w:val="heading 1"/>
    <w:basedOn w:val="Normal"/>
    <w:next w:val="Normal"/>
    <w:qFormat/>
    <w:rsid w:val="00A5423E"/>
    <w:pPr>
      <w:keepNext/>
      <w:spacing w:before="240" w:after="60"/>
      <w:outlineLvl w:val="0"/>
    </w:pPr>
    <w:rPr>
      <w:b/>
      <w:bCs/>
      <w:caps/>
      <w:kern w:val="32"/>
      <w:szCs w:val="32"/>
    </w:rPr>
  </w:style>
  <w:style w:type="paragraph" w:styleId="Heading2">
    <w:name w:val="heading 2"/>
    <w:basedOn w:val="Normal"/>
    <w:next w:val="Normal"/>
    <w:qFormat/>
    <w:rsid w:val="00A5423E"/>
    <w:pPr>
      <w:keepNext/>
      <w:spacing w:before="240" w:after="60"/>
      <w:outlineLvl w:val="1"/>
    </w:pPr>
    <w:rPr>
      <w:bCs/>
      <w:iCs/>
      <w:caps/>
      <w:szCs w:val="28"/>
    </w:rPr>
  </w:style>
  <w:style w:type="paragraph" w:styleId="Heading3">
    <w:name w:val="heading 3"/>
    <w:basedOn w:val="Normal"/>
    <w:next w:val="Normal"/>
    <w:qFormat/>
    <w:rsid w:val="00A5423E"/>
    <w:pPr>
      <w:keepNext/>
      <w:spacing w:before="240" w:after="60"/>
      <w:outlineLvl w:val="2"/>
    </w:pPr>
    <w:rPr>
      <w:bCs/>
      <w:szCs w:val="26"/>
      <w:u w:val="single"/>
    </w:rPr>
  </w:style>
  <w:style w:type="paragraph" w:styleId="Heading4">
    <w:name w:val="heading 4"/>
    <w:basedOn w:val="Normal"/>
    <w:next w:val="Normal"/>
    <w:qFormat/>
    <w:rsid w:val="00A5423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5423E"/>
    <w:pPr>
      <w:spacing w:after="220"/>
    </w:pPr>
  </w:style>
  <w:style w:type="paragraph" w:styleId="Caption">
    <w:name w:val="caption"/>
    <w:basedOn w:val="Normal"/>
    <w:next w:val="Normal"/>
    <w:qFormat/>
    <w:rsid w:val="00A5423E"/>
    <w:rPr>
      <w:b/>
      <w:bCs/>
      <w:sz w:val="18"/>
    </w:rPr>
  </w:style>
  <w:style w:type="paragraph" w:styleId="CommentText">
    <w:name w:val="annotation text"/>
    <w:basedOn w:val="Normal"/>
    <w:semiHidden/>
    <w:rsid w:val="00A5423E"/>
    <w:rPr>
      <w:sz w:val="18"/>
    </w:rPr>
  </w:style>
  <w:style w:type="paragraph" w:styleId="EndnoteText">
    <w:name w:val="endnote text"/>
    <w:basedOn w:val="Normal"/>
    <w:semiHidden/>
    <w:rsid w:val="00A5423E"/>
    <w:rPr>
      <w:sz w:val="18"/>
    </w:rPr>
  </w:style>
  <w:style w:type="paragraph" w:styleId="Footer">
    <w:name w:val="footer"/>
    <w:basedOn w:val="Normal"/>
    <w:semiHidden/>
    <w:rsid w:val="00A5423E"/>
    <w:pPr>
      <w:tabs>
        <w:tab w:val="center" w:pos="4320"/>
        <w:tab w:val="right" w:pos="8640"/>
      </w:tabs>
    </w:pPr>
  </w:style>
  <w:style w:type="paragraph" w:styleId="FootnoteText">
    <w:name w:val="footnote text"/>
    <w:basedOn w:val="Normal"/>
    <w:semiHidden/>
    <w:rsid w:val="00A5423E"/>
    <w:rPr>
      <w:sz w:val="18"/>
    </w:rPr>
  </w:style>
  <w:style w:type="paragraph" w:styleId="Header">
    <w:name w:val="header"/>
    <w:basedOn w:val="Normal"/>
    <w:semiHidden/>
    <w:rsid w:val="00A5423E"/>
    <w:pPr>
      <w:tabs>
        <w:tab w:val="center" w:pos="4536"/>
        <w:tab w:val="right" w:pos="9072"/>
      </w:tabs>
    </w:pPr>
  </w:style>
  <w:style w:type="paragraph" w:styleId="ListNumber">
    <w:name w:val="List Number"/>
    <w:basedOn w:val="Normal"/>
    <w:semiHidden/>
    <w:rsid w:val="00A5423E"/>
    <w:pPr>
      <w:numPr>
        <w:numId w:val="4"/>
      </w:numPr>
    </w:pPr>
  </w:style>
  <w:style w:type="paragraph" w:customStyle="1" w:styleId="ONUME">
    <w:name w:val="ONUM E"/>
    <w:basedOn w:val="BodyText"/>
    <w:rsid w:val="00A5423E"/>
    <w:pPr>
      <w:numPr>
        <w:numId w:val="5"/>
      </w:numPr>
    </w:pPr>
  </w:style>
  <w:style w:type="paragraph" w:customStyle="1" w:styleId="ONUMFS">
    <w:name w:val="ONUM FS"/>
    <w:basedOn w:val="BodyText"/>
    <w:rsid w:val="00A5423E"/>
    <w:pPr>
      <w:numPr>
        <w:numId w:val="6"/>
      </w:numPr>
    </w:pPr>
  </w:style>
  <w:style w:type="paragraph" w:styleId="Salutation">
    <w:name w:val="Salutation"/>
    <w:basedOn w:val="Normal"/>
    <w:next w:val="Normal"/>
    <w:semiHidden/>
    <w:rsid w:val="00A5423E"/>
  </w:style>
  <w:style w:type="paragraph" w:styleId="Signature">
    <w:name w:val="Signature"/>
    <w:basedOn w:val="Normal"/>
    <w:semiHidden/>
    <w:rsid w:val="00A5423E"/>
    <w:pPr>
      <w:ind w:left="5250"/>
    </w:pPr>
  </w:style>
  <w:style w:type="character" w:styleId="PageNumber">
    <w:name w:val="page number"/>
    <w:basedOn w:val="DefaultParagraphFont"/>
    <w:rsid w:val="00DD4C78"/>
  </w:style>
  <w:style w:type="character" w:styleId="Hyperlink">
    <w:name w:val="Hyperlink"/>
    <w:rsid w:val="00F50892"/>
    <w:rPr>
      <w:color w:val="0000FF"/>
      <w:u w:val="single"/>
    </w:rPr>
  </w:style>
  <w:style w:type="paragraph" w:styleId="BalloonText">
    <w:name w:val="Balloon Text"/>
    <w:basedOn w:val="Normal"/>
    <w:link w:val="BalloonTextChar"/>
    <w:rsid w:val="00607FC4"/>
    <w:rPr>
      <w:rFonts w:ascii="Tahoma" w:hAnsi="Tahoma" w:cs="Tahoma"/>
      <w:sz w:val="16"/>
      <w:szCs w:val="16"/>
    </w:rPr>
  </w:style>
  <w:style w:type="character" w:customStyle="1" w:styleId="BalloonTextChar">
    <w:name w:val="Balloon Text Char"/>
    <w:basedOn w:val="DefaultParagraphFont"/>
    <w:link w:val="BalloonText"/>
    <w:rsid w:val="00607FC4"/>
    <w:rPr>
      <w:rFonts w:ascii="Tahoma" w:eastAsia="SimSun" w:hAnsi="Tahoma" w:cs="Tahoma"/>
      <w:sz w:val="16"/>
      <w:szCs w:val="16"/>
      <w:lang w:eastAsia="zh-CN"/>
    </w:rPr>
  </w:style>
  <w:style w:type="character" w:styleId="FollowedHyperlink">
    <w:name w:val="FollowedHyperlink"/>
    <w:basedOn w:val="DefaultParagraphFont"/>
    <w:rsid w:val="00C03AB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423E"/>
    <w:rPr>
      <w:rFonts w:ascii="Arial" w:eastAsia="SimSun" w:hAnsi="Arial" w:cs="Arial"/>
      <w:sz w:val="22"/>
      <w:lang w:eastAsia="zh-CN"/>
    </w:rPr>
  </w:style>
  <w:style w:type="paragraph" w:styleId="Heading1">
    <w:name w:val="heading 1"/>
    <w:basedOn w:val="Normal"/>
    <w:next w:val="Normal"/>
    <w:qFormat/>
    <w:rsid w:val="00A5423E"/>
    <w:pPr>
      <w:keepNext/>
      <w:spacing w:before="240" w:after="60"/>
      <w:outlineLvl w:val="0"/>
    </w:pPr>
    <w:rPr>
      <w:b/>
      <w:bCs/>
      <w:caps/>
      <w:kern w:val="32"/>
      <w:szCs w:val="32"/>
    </w:rPr>
  </w:style>
  <w:style w:type="paragraph" w:styleId="Heading2">
    <w:name w:val="heading 2"/>
    <w:basedOn w:val="Normal"/>
    <w:next w:val="Normal"/>
    <w:qFormat/>
    <w:rsid w:val="00A5423E"/>
    <w:pPr>
      <w:keepNext/>
      <w:spacing w:before="240" w:after="60"/>
      <w:outlineLvl w:val="1"/>
    </w:pPr>
    <w:rPr>
      <w:bCs/>
      <w:iCs/>
      <w:caps/>
      <w:szCs w:val="28"/>
    </w:rPr>
  </w:style>
  <w:style w:type="paragraph" w:styleId="Heading3">
    <w:name w:val="heading 3"/>
    <w:basedOn w:val="Normal"/>
    <w:next w:val="Normal"/>
    <w:qFormat/>
    <w:rsid w:val="00A5423E"/>
    <w:pPr>
      <w:keepNext/>
      <w:spacing w:before="240" w:after="60"/>
      <w:outlineLvl w:val="2"/>
    </w:pPr>
    <w:rPr>
      <w:bCs/>
      <w:szCs w:val="26"/>
      <w:u w:val="single"/>
    </w:rPr>
  </w:style>
  <w:style w:type="paragraph" w:styleId="Heading4">
    <w:name w:val="heading 4"/>
    <w:basedOn w:val="Normal"/>
    <w:next w:val="Normal"/>
    <w:qFormat/>
    <w:rsid w:val="00A5423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5423E"/>
    <w:pPr>
      <w:spacing w:after="220"/>
    </w:pPr>
  </w:style>
  <w:style w:type="paragraph" w:styleId="Caption">
    <w:name w:val="caption"/>
    <w:basedOn w:val="Normal"/>
    <w:next w:val="Normal"/>
    <w:qFormat/>
    <w:rsid w:val="00A5423E"/>
    <w:rPr>
      <w:b/>
      <w:bCs/>
      <w:sz w:val="18"/>
    </w:rPr>
  </w:style>
  <w:style w:type="paragraph" w:styleId="CommentText">
    <w:name w:val="annotation text"/>
    <w:basedOn w:val="Normal"/>
    <w:semiHidden/>
    <w:rsid w:val="00A5423E"/>
    <w:rPr>
      <w:sz w:val="18"/>
    </w:rPr>
  </w:style>
  <w:style w:type="paragraph" w:styleId="EndnoteText">
    <w:name w:val="endnote text"/>
    <w:basedOn w:val="Normal"/>
    <w:semiHidden/>
    <w:rsid w:val="00A5423E"/>
    <w:rPr>
      <w:sz w:val="18"/>
    </w:rPr>
  </w:style>
  <w:style w:type="paragraph" w:styleId="Footer">
    <w:name w:val="footer"/>
    <w:basedOn w:val="Normal"/>
    <w:semiHidden/>
    <w:rsid w:val="00A5423E"/>
    <w:pPr>
      <w:tabs>
        <w:tab w:val="center" w:pos="4320"/>
        <w:tab w:val="right" w:pos="8640"/>
      </w:tabs>
    </w:pPr>
  </w:style>
  <w:style w:type="paragraph" w:styleId="FootnoteText">
    <w:name w:val="footnote text"/>
    <w:basedOn w:val="Normal"/>
    <w:semiHidden/>
    <w:rsid w:val="00A5423E"/>
    <w:rPr>
      <w:sz w:val="18"/>
    </w:rPr>
  </w:style>
  <w:style w:type="paragraph" w:styleId="Header">
    <w:name w:val="header"/>
    <w:basedOn w:val="Normal"/>
    <w:semiHidden/>
    <w:rsid w:val="00A5423E"/>
    <w:pPr>
      <w:tabs>
        <w:tab w:val="center" w:pos="4536"/>
        <w:tab w:val="right" w:pos="9072"/>
      </w:tabs>
    </w:pPr>
  </w:style>
  <w:style w:type="paragraph" w:styleId="ListNumber">
    <w:name w:val="List Number"/>
    <w:basedOn w:val="Normal"/>
    <w:semiHidden/>
    <w:rsid w:val="00A5423E"/>
    <w:pPr>
      <w:numPr>
        <w:numId w:val="4"/>
      </w:numPr>
    </w:pPr>
  </w:style>
  <w:style w:type="paragraph" w:customStyle="1" w:styleId="ONUME">
    <w:name w:val="ONUM E"/>
    <w:basedOn w:val="BodyText"/>
    <w:rsid w:val="00A5423E"/>
    <w:pPr>
      <w:numPr>
        <w:numId w:val="5"/>
      </w:numPr>
    </w:pPr>
  </w:style>
  <w:style w:type="paragraph" w:customStyle="1" w:styleId="ONUMFS">
    <w:name w:val="ONUM FS"/>
    <w:basedOn w:val="BodyText"/>
    <w:rsid w:val="00A5423E"/>
    <w:pPr>
      <w:numPr>
        <w:numId w:val="6"/>
      </w:numPr>
    </w:pPr>
  </w:style>
  <w:style w:type="paragraph" w:styleId="Salutation">
    <w:name w:val="Salutation"/>
    <w:basedOn w:val="Normal"/>
    <w:next w:val="Normal"/>
    <w:semiHidden/>
    <w:rsid w:val="00A5423E"/>
  </w:style>
  <w:style w:type="paragraph" w:styleId="Signature">
    <w:name w:val="Signature"/>
    <w:basedOn w:val="Normal"/>
    <w:semiHidden/>
    <w:rsid w:val="00A5423E"/>
    <w:pPr>
      <w:ind w:left="5250"/>
    </w:pPr>
  </w:style>
  <w:style w:type="character" w:styleId="PageNumber">
    <w:name w:val="page number"/>
    <w:basedOn w:val="DefaultParagraphFont"/>
    <w:rsid w:val="00DD4C78"/>
  </w:style>
  <w:style w:type="character" w:styleId="Hyperlink">
    <w:name w:val="Hyperlink"/>
    <w:rsid w:val="00F50892"/>
    <w:rPr>
      <w:color w:val="0000FF"/>
      <w:u w:val="single"/>
    </w:rPr>
  </w:style>
  <w:style w:type="paragraph" w:styleId="BalloonText">
    <w:name w:val="Balloon Text"/>
    <w:basedOn w:val="Normal"/>
    <w:link w:val="BalloonTextChar"/>
    <w:rsid w:val="00607FC4"/>
    <w:rPr>
      <w:rFonts w:ascii="Tahoma" w:hAnsi="Tahoma" w:cs="Tahoma"/>
      <w:sz w:val="16"/>
      <w:szCs w:val="16"/>
    </w:rPr>
  </w:style>
  <w:style w:type="character" w:customStyle="1" w:styleId="BalloonTextChar">
    <w:name w:val="Balloon Text Char"/>
    <w:basedOn w:val="DefaultParagraphFont"/>
    <w:link w:val="BalloonText"/>
    <w:rsid w:val="00607FC4"/>
    <w:rPr>
      <w:rFonts w:ascii="Tahoma" w:eastAsia="SimSun" w:hAnsi="Tahoma" w:cs="Tahoma"/>
      <w:sz w:val="16"/>
      <w:szCs w:val="16"/>
      <w:lang w:eastAsia="zh-CN"/>
    </w:rPr>
  </w:style>
  <w:style w:type="character" w:styleId="FollowedHyperlink">
    <w:name w:val="FollowedHyperlink"/>
    <w:basedOn w:val="DefaultParagraphFont"/>
    <w:rsid w:val="00C03A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wipo.int/meetings/en/details.jsp?meeting_id=36502" TargetMode="Externa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General_document%20(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General_document (E)</Template>
  <TotalTime>6</TotalTime>
  <Pages>2</Pages>
  <Words>527</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3820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lastModifiedBy>MORENO PALESTINI Maria Del Pilar</cp:lastModifiedBy>
  <cp:revision>7</cp:revision>
  <cp:lastPrinted>2015-05-08T12:49:00Z</cp:lastPrinted>
  <dcterms:created xsi:type="dcterms:W3CDTF">2015-05-07T15:11:00Z</dcterms:created>
  <dcterms:modified xsi:type="dcterms:W3CDTF">2015-05-08T12:50:00Z</dcterms:modified>
</cp:coreProperties>
</file>