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108" w:type="dxa"/>
        <w:tblLayout w:type="fixed"/>
        <w:tblLook w:val="01E0" w:firstRow="1" w:lastRow="1" w:firstColumn="1" w:lastColumn="1" w:noHBand="0" w:noVBand="0"/>
      </w:tblPr>
      <w:tblGrid>
        <w:gridCol w:w="4513"/>
        <w:gridCol w:w="4337"/>
        <w:gridCol w:w="506"/>
      </w:tblGrid>
      <w:tr w:rsidR="00B80B91" w:rsidRPr="00B80B91" w14:paraId="4F2B025D" w14:textId="77777777" w:rsidTr="00361450">
        <w:tc>
          <w:tcPr>
            <w:tcW w:w="4513" w:type="dxa"/>
            <w:tcBorders>
              <w:bottom w:val="single" w:sz="4" w:space="0" w:color="auto"/>
            </w:tcBorders>
            <w:tcMar>
              <w:bottom w:w="170" w:type="dxa"/>
            </w:tcMar>
          </w:tcPr>
          <w:p w14:paraId="1BA2025B" w14:textId="77777777" w:rsidR="00EC4E49" w:rsidRPr="00B80B91" w:rsidRDefault="00EC4E49" w:rsidP="00916EE2"/>
        </w:tc>
        <w:tc>
          <w:tcPr>
            <w:tcW w:w="4337" w:type="dxa"/>
            <w:tcBorders>
              <w:bottom w:val="single" w:sz="4" w:space="0" w:color="auto"/>
            </w:tcBorders>
            <w:tcMar>
              <w:left w:w="0" w:type="dxa"/>
              <w:right w:w="0" w:type="dxa"/>
            </w:tcMar>
          </w:tcPr>
          <w:p w14:paraId="314116C1" w14:textId="77777777" w:rsidR="00EC4E49" w:rsidRPr="00B80B91" w:rsidRDefault="00A37342" w:rsidP="00916EE2">
            <w:r w:rsidRPr="00B80B91">
              <w:rPr>
                <w:noProof/>
                <w:lang w:eastAsia="en-US"/>
              </w:rPr>
              <w:drawing>
                <wp:inline distT="0" distB="0" distL="0" distR="0" wp14:anchorId="3B98BBBD" wp14:editId="6D670E16">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2912BEB6" w14:textId="77777777" w:rsidR="00EC4E49" w:rsidRPr="00B80B91" w:rsidRDefault="00EC4E49" w:rsidP="00916EE2">
            <w:pPr>
              <w:jc w:val="right"/>
            </w:pPr>
            <w:r w:rsidRPr="00B80B91">
              <w:rPr>
                <w:b/>
                <w:sz w:val="40"/>
                <w:szCs w:val="40"/>
              </w:rPr>
              <w:t>E</w:t>
            </w:r>
          </w:p>
        </w:tc>
      </w:tr>
      <w:tr w:rsidR="00B80B91" w:rsidRPr="00B80B91" w14:paraId="57DFC12C"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4006971B" w14:textId="3FE6CCDB" w:rsidR="008B2CC1" w:rsidRPr="00B80B91" w:rsidRDefault="000D1DD6" w:rsidP="00090C21">
            <w:pPr>
              <w:jc w:val="right"/>
              <w:rPr>
                <w:rFonts w:ascii="Arial Black" w:hAnsi="Arial Black"/>
                <w:caps/>
                <w:sz w:val="15"/>
              </w:rPr>
            </w:pPr>
            <w:r w:rsidRPr="00B80B91">
              <w:rPr>
                <w:rFonts w:ascii="Arial Black" w:hAnsi="Arial Black"/>
                <w:caps/>
                <w:sz w:val="15"/>
              </w:rPr>
              <w:t>WIPO/GRTKF/IC/</w:t>
            </w:r>
            <w:r w:rsidR="00AE2A32">
              <w:rPr>
                <w:rFonts w:ascii="Arial Black" w:hAnsi="Arial Black"/>
                <w:caps/>
                <w:sz w:val="15"/>
              </w:rPr>
              <w:t>5</w:t>
            </w:r>
            <w:r w:rsidR="00090C21" w:rsidRPr="00B80B91">
              <w:rPr>
                <w:rFonts w:ascii="Arial Black" w:hAnsi="Arial Black"/>
                <w:caps/>
                <w:sz w:val="15"/>
              </w:rPr>
              <w:t>2</w:t>
            </w:r>
            <w:r w:rsidR="00835695" w:rsidRPr="00B80B91">
              <w:rPr>
                <w:rFonts w:ascii="Arial Black" w:hAnsi="Arial Black"/>
                <w:caps/>
                <w:sz w:val="15"/>
              </w:rPr>
              <w:t>/</w:t>
            </w:r>
            <w:r w:rsidR="00566FC7" w:rsidRPr="00B80B91">
              <w:rPr>
                <w:rFonts w:ascii="Arial Black" w:hAnsi="Arial Black"/>
                <w:caps/>
                <w:sz w:val="15"/>
              </w:rPr>
              <w:t>INF/</w:t>
            </w:r>
            <w:r w:rsidR="00AE2A32">
              <w:rPr>
                <w:rFonts w:ascii="Arial Black" w:hAnsi="Arial Black"/>
                <w:caps/>
                <w:sz w:val="15"/>
              </w:rPr>
              <w:t>8</w:t>
            </w:r>
            <w:r w:rsidR="008B2CC1" w:rsidRPr="00B80B91">
              <w:rPr>
                <w:rFonts w:ascii="Arial Black" w:hAnsi="Arial Black"/>
                <w:caps/>
                <w:sz w:val="15"/>
              </w:rPr>
              <w:t xml:space="preserve"> </w:t>
            </w:r>
            <w:bookmarkStart w:id="0" w:name="Code"/>
            <w:bookmarkEnd w:id="0"/>
            <w:r w:rsidR="008B2CC1" w:rsidRPr="00B80B91">
              <w:rPr>
                <w:rFonts w:ascii="Arial Black" w:hAnsi="Arial Black"/>
                <w:caps/>
                <w:sz w:val="15"/>
              </w:rPr>
              <w:t xml:space="preserve">  </w:t>
            </w:r>
          </w:p>
        </w:tc>
      </w:tr>
      <w:tr w:rsidR="00B80B91" w:rsidRPr="00B80B91" w14:paraId="03844273" w14:textId="77777777" w:rsidTr="00916EE2">
        <w:trPr>
          <w:trHeight w:hRule="exact" w:val="170"/>
        </w:trPr>
        <w:tc>
          <w:tcPr>
            <w:tcW w:w="9356" w:type="dxa"/>
            <w:gridSpan w:val="3"/>
            <w:noWrap/>
            <w:tcMar>
              <w:left w:w="0" w:type="dxa"/>
              <w:right w:w="0" w:type="dxa"/>
            </w:tcMar>
            <w:vAlign w:val="bottom"/>
          </w:tcPr>
          <w:p w14:paraId="3E029112" w14:textId="77777777" w:rsidR="008B2CC1" w:rsidRPr="00B80B91" w:rsidRDefault="008B2CC1" w:rsidP="00CD04F1">
            <w:pPr>
              <w:jc w:val="right"/>
              <w:rPr>
                <w:rFonts w:ascii="Arial Black" w:hAnsi="Arial Black"/>
                <w:caps/>
                <w:sz w:val="15"/>
              </w:rPr>
            </w:pPr>
            <w:r w:rsidRPr="00B80B91">
              <w:rPr>
                <w:rFonts w:ascii="Arial Black" w:hAnsi="Arial Black"/>
                <w:caps/>
                <w:sz w:val="15"/>
              </w:rPr>
              <w:t>ORIGINAL:</w:t>
            </w:r>
            <w:r w:rsidR="000D1DD6" w:rsidRPr="00B80B91">
              <w:rPr>
                <w:rFonts w:ascii="Arial Black" w:hAnsi="Arial Black"/>
                <w:caps/>
                <w:sz w:val="15"/>
              </w:rPr>
              <w:t xml:space="preserve">  English</w:t>
            </w:r>
            <w:r w:rsidR="001647D5" w:rsidRPr="00B80B91">
              <w:rPr>
                <w:rFonts w:ascii="Arial Black" w:hAnsi="Arial Black"/>
                <w:caps/>
                <w:sz w:val="15"/>
              </w:rPr>
              <w:t xml:space="preserve">  </w:t>
            </w:r>
            <w:bookmarkStart w:id="1" w:name="Original"/>
            <w:bookmarkEnd w:id="1"/>
            <w:r w:rsidRPr="00B80B91">
              <w:rPr>
                <w:rFonts w:ascii="Arial Black" w:hAnsi="Arial Black"/>
                <w:caps/>
                <w:sz w:val="15"/>
              </w:rPr>
              <w:t xml:space="preserve"> </w:t>
            </w:r>
          </w:p>
        </w:tc>
      </w:tr>
      <w:tr w:rsidR="008B2CC1" w:rsidRPr="00B80B91" w14:paraId="0AA943CF" w14:textId="77777777" w:rsidTr="00916EE2">
        <w:trPr>
          <w:trHeight w:hRule="exact" w:val="198"/>
        </w:trPr>
        <w:tc>
          <w:tcPr>
            <w:tcW w:w="9356" w:type="dxa"/>
            <w:gridSpan w:val="3"/>
            <w:tcMar>
              <w:left w:w="0" w:type="dxa"/>
              <w:right w:w="0" w:type="dxa"/>
            </w:tcMar>
            <w:vAlign w:val="bottom"/>
          </w:tcPr>
          <w:p w14:paraId="03F5E044" w14:textId="150532B7" w:rsidR="008B2CC1" w:rsidRPr="00B80B91" w:rsidRDefault="008B2CC1" w:rsidP="00B4759F">
            <w:pPr>
              <w:jc w:val="right"/>
              <w:rPr>
                <w:rFonts w:ascii="Arial Black" w:hAnsi="Arial Black"/>
                <w:caps/>
                <w:sz w:val="15"/>
              </w:rPr>
            </w:pPr>
            <w:r w:rsidRPr="00B80B91">
              <w:rPr>
                <w:rFonts w:ascii="Arial Black" w:hAnsi="Arial Black"/>
                <w:caps/>
                <w:sz w:val="15"/>
              </w:rPr>
              <w:t>DATE</w:t>
            </w:r>
            <w:r w:rsidR="000D1DD6" w:rsidRPr="00B80B91">
              <w:rPr>
                <w:rFonts w:ascii="Arial Black" w:hAnsi="Arial Black"/>
                <w:caps/>
                <w:sz w:val="15"/>
              </w:rPr>
              <w:t>:</w:t>
            </w:r>
            <w:r w:rsidR="00566FC7" w:rsidRPr="00B80B91">
              <w:rPr>
                <w:rFonts w:ascii="Arial Black" w:hAnsi="Arial Black"/>
                <w:caps/>
                <w:sz w:val="15"/>
              </w:rPr>
              <w:t xml:space="preserve">  </w:t>
            </w:r>
            <w:r w:rsidR="004D6B32">
              <w:rPr>
                <w:rFonts w:ascii="Arial Black" w:hAnsi="Arial Black"/>
                <w:caps/>
                <w:sz w:val="15"/>
              </w:rPr>
              <w:t>january</w:t>
            </w:r>
            <w:r w:rsidR="00566FC7" w:rsidRPr="00B80B91">
              <w:rPr>
                <w:rFonts w:ascii="Arial Black" w:hAnsi="Arial Black"/>
                <w:caps/>
                <w:sz w:val="15"/>
              </w:rPr>
              <w:t xml:space="preserve"> </w:t>
            </w:r>
            <w:r w:rsidR="004D6B32">
              <w:rPr>
                <w:rFonts w:ascii="Arial Black" w:hAnsi="Arial Black"/>
                <w:caps/>
                <w:sz w:val="15"/>
              </w:rPr>
              <w:t>8</w:t>
            </w:r>
            <w:r w:rsidR="00835695" w:rsidRPr="00B80B91">
              <w:rPr>
                <w:rFonts w:ascii="Arial Black" w:hAnsi="Arial Black"/>
                <w:caps/>
                <w:sz w:val="15"/>
              </w:rPr>
              <w:t>, 202</w:t>
            </w:r>
            <w:r w:rsidR="004D6B32">
              <w:rPr>
                <w:rFonts w:ascii="Arial Black" w:hAnsi="Arial Black"/>
                <w:caps/>
                <w:sz w:val="15"/>
              </w:rPr>
              <w:t>6</w:t>
            </w:r>
            <w:r w:rsidR="000D1DD6" w:rsidRPr="00B80B91">
              <w:rPr>
                <w:rFonts w:ascii="Arial Black" w:hAnsi="Arial Black"/>
                <w:caps/>
                <w:sz w:val="15"/>
              </w:rPr>
              <w:t xml:space="preserve">    </w:t>
            </w:r>
            <w:r w:rsidR="001647D5" w:rsidRPr="00B80B91">
              <w:rPr>
                <w:rFonts w:ascii="Arial Black" w:hAnsi="Arial Black"/>
                <w:caps/>
                <w:sz w:val="15"/>
              </w:rPr>
              <w:t xml:space="preserve">  </w:t>
            </w:r>
            <w:bookmarkStart w:id="2" w:name="Date"/>
            <w:bookmarkEnd w:id="2"/>
            <w:r w:rsidRPr="00B80B91">
              <w:rPr>
                <w:rFonts w:ascii="Arial Black" w:hAnsi="Arial Black"/>
                <w:caps/>
                <w:sz w:val="15"/>
              </w:rPr>
              <w:t xml:space="preserve"> </w:t>
            </w:r>
          </w:p>
        </w:tc>
      </w:tr>
    </w:tbl>
    <w:p w14:paraId="1A9B0B08" w14:textId="77777777" w:rsidR="008B2CC1" w:rsidRPr="00B80B91" w:rsidRDefault="008B2CC1" w:rsidP="008B2CC1"/>
    <w:p w14:paraId="4902F98A" w14:textId="77777777" w:rsidR="008B2CC1" w:rsidRPr="00B80B91" w:rsidRDefault="008B2CC1" w:rsidP="008B2CC1"/>
    <w:p w14:paraId="122BEF7D" w14:textId="77777777" w:rsidR="008B2CC1" w:rsidRPr="00B80B91" w:rsidRDefault="008B2CC1" w:rsidP="008B2CC1"/>
    <w:p w14:paraId="3A8F4568" w14:textId="77777777" w:rsidR="008B2CC1" w:rsidRPr="00B80B91" w:rsidRDefault="008B2CC1" w:rsidP="008B2CC1"/>
    <w:p w14:paraId="25668D0F" w14:textId="77777777" w:rsidR="008B2CC1" w:rsidRPr="00B80B91" w:rsidRDefault="008B2CC1" w:rsidP="008B2CC1"/>
    <w:p w14:paraId="6A3E4FF7" w14:textId="77777777" w:rsidR="000D1DD6" w:rsidRPr="00B80B91" w:rsidRDefault="000D1DD6" w:rsidP="000D1DD6">
      <w:pPr>
        <w:rPr>
          <w:b/>
          <w:sz w:val="28"/>
          <w:szCs w:val="28"/>
        </w:rPr>
      </w:pPr>
      <w:r w:rsidRPr="00B80B91">
        <w:rPr>
          <w:b/>
          <w:sz w:val="28"/>
          <w:szCs w:val="28"/>
        </w:rPr>
        <w:t>Intergovernmental Committee on Intellectual Property and Genetic Resources, Traditional Knowledge and Folklore</w:t>
      </w:r>
    </w:p>
    <w:p w14:paraId="738E9690" w14:textId="77777777" w:rsidR="003845C1" w:rsidRPr="00B80B91" w:rsidRDefault="003845C1" w:rsidP="003845C1"/>
    <w:p w14:paraId="4032F85D" w14:textId="77777777" w:rsidR="003845C1" w:rsidRPr="00B80B91" w:rsidRDefault="003845C1" w:rsidP="003845C1"/>
    <w:p w14:paraId="7E6EF0E8" w14:textId="3C7532F3" w:rsidR="008B2CC1" w:rsidRPr="00B80B91" w:rsidRDefault="000D1DD6" w:rsidP="008B2CC1">
      <w:pPr>
        <w:rPr>
          <w:b/>
          <w:sz w:val="24"/>
          <w:szCs w:val="24"/>
        </w:rPr>
      </w:pPr>
      <w:r w:rsidRPr="00B80B91">
        <w:rPr>
          <w:b/>
          <w:sz w:val="24"/>
          <w:szCs w:val="24"/>
        </w:rPr>
        <w:t>F</w:t>
      </w:r>
      <w:r w:rsidR="00A35B53">
        <w:rPr>
          <w:b/>
          <w:sz w:val="24"/>
          <w:szCs w:val="24"/>
        </w:rPr>
        <w:t>ifty</w:t>
      </w:r>
      <w:r w:rsidRPr="00B80B91">
        <w:rPr>
          <w:b/>
          <w:sz w:val="24"/>
          <w:szCs w:val="24"/>
        </w:rPr>
        <w:t>-</w:t>
      </w:r>
      <w:r w:rsidR="00090C21" w:rsidRPr="00B80B91">
        <w:rPr>
          <w:b/>
          <w:sz w:val="24"/>
          <w:szCs w:val="24"/>
        </w:rPr>
        <w:t>Second</w:t>
      </w:r>
      <w:r w:rsidRPr="00B80B91">
        <w:rPr>
          <w:b/>
          <w:sz w:val="24"/>
          <w:szCs w:val="24"/>
        </w:rPr>
        <w:t xml:space="preserve"> </w:t>
      </w:r>
      <w:r w:rsidR="003845C1" w:rsidRPr="00B80B91">
        <w:rPr>
          <w:b/>
          <w:sz w:val="24"/>
          <w:szCs w:val="24"/>
        </w:rPr>
        <w:t>Session</w:t>
      </w:r>
    </w:p>
    <w:p w14:paraId="011CEE6B" w14:textId="449BA06B" w:rsidR="008B2CC1" w:rsidRPr="00B80B91" w:rsidRDefault="000D1DD6" w:rsidP="008B2CC1">
      <w:pPr>
        <w:rPr>
          <w:b/>
          <w:sz w:val="24"/>
          <w:szCs w:val="24"/>
        </w:rPr>
      </w:pPr>
      <w:r w:rsidRPr="00B80B91">
        <w:rPr>
          <w:b/>
          <w:sz w:val="24"/>
          <w:szCs w:val="24"/>
        </w:rPr>
        <w:t xml:space="preserve">Geneva, </w:t>
      </w:r>
      <w:r w:rsidR="00A35B53">
        <w:rPr>
          <w:b/>
          <w:sz w:val="24"/>
          <w:szCs w:val="24"/>
        </w:rPr>
        <w:t>March</w:t>
      </w:r>
      <w:r w:rsidR="00DD3F47" w:rsidRPr="00B80B91">
        <w:rPr>
          <w:b/>
          <w:sz w:val="24"/>
          <w:szCs w:val="24"/>
        </w:rPr>
        <w:t xml:space="preserve"> </w:t>
      </w:r>
      <w:r w:rsidR="00A35B53">
        <w:rPr>
          <w:b/>
          <w:sz w:val="24"/>
          <w:szCs w:val="24"/>
        </w:rPr>
        <w:t>4</w:t>
      </w:r>
      <w:r w:rsidR="00DD3F47" w:rsidRPr="00B80B91">
        <w:rPr>
          <w:b/>
          <w:sz w:val="24"/>
          <w:szCs w:val="24"/>
        </w:rPr>
        <w:t xml:space="preserve"> to</w:t>
      </w:r>
      <w:r w:rsidR="00A35B53">
        <w:rPr>
          <w:b/>
          <w:sz w:val="24"/>
          <w:szCs w:val="24"/>
        </w:rPr>
        <w:t xml:space="preserve"> 13</w:t>
      </w:r>
      <w:r w:rsidR="00B4759F" w:rsidRPr="00B80B91">
        <w:rPr>
          <w:b/>
          <w:sz w:val="24"/>
          <w:szCs w:val="24"/>
        </w:rPr>
        <w:t>, 202</w:t>
      </w:r>
      <w:r w:rsidR="00A35B53">
        <w:rPr>
          <w:b/>
          <w:sz w:val="24"/>
          <w:szCs w:val="24"/>
        </w:rPr>
        <w:t>6</w:t>
      </w:r>
    </w:p>
    <w:p w14:paraId="4DF33558" w14:textId="77777777" w:rsidR="008B2CC1" w:rsidRPr="00B80B91" w:rsidRDefault="008B2CC1" w:rsidP="008B2CC1"/>
    <w:p w14:paraId="06524CD6" w14:textId="77777777" w:rsidR="008B2CC1" w:rsidRPr="00B80B91" w:rsidRDefault="008B2CC1" w:rsidP="008B2CC1"/>
    <w:p w14:paraId="1E5A60D8" w14:textId="77777777" w:rsidR="008B2CC1" w:rsidRPr="00B80B91" w:rsidRDefault="008B2CC1" w:rsidP="008B2CC1"/>
    <w:p w14:paraId="0C4213AA" w14:textId="77777777" w:rsidR="00566FC7" w:rsidRPr="00B80B91" w:rsidRDefault="00566FC7" w:rsidP="00566FC7">
      <w:pPr>
        <w:rPr>
          <w:caps/>
          <w:sz w:val="24"/>
        </w:rPr>
      </w:pPr>
      <w:bookmarkStart w:id="3" w:name="TitleOfDoc"/>
      <w:bookmarkEnd w:id="3"/>
    </w:p>
    <w:p w14:paraId="5DF92863" w14:textId="77777777" w:rsidR="00B80B91" w:rsidRPr="00B80B91" w:rsidRDefault="00B80B91" w:rsidP="00B80B91">
      <w:pPr>
        <w:rPr>
          <w:caps/>
          <w:sz w:val="24"/>
        </w:rPr>
      </w:pPr>
      <w:r w:rsidRPr="00B80B91">
        <w:rPr>
          <w:caps/>
          <w:sz w:val="24"/>
        </w:rPr>
        <w:t>RESOURCES AVAILABLE ON THE WIPO TRADITIONAL KNOWLEDGE, TRADITIONAL CULTURAL EXPRESSIONS AND GENETIC RESOURCES WEBSITE</w:t>
      </w:r>
    </w:p>
    <w:p w14:paraId="3A8F50AE" w14:textId="77777777" w:rsidR="00B80B91" w:rsidRPr="00B80B91" w:rsidRDefault="00B80B91" w:rsidP="00B80B91"/>
    <w:p w14:paraId="27170093" w14:textId="77777777" w:rsidR="00B80B91" w:rsidRPr="00B80B91" w:rsidRDefault="00B80B91" w:rsidP="00B80B91">
      <w:pPr>
        <w:rPr>
          <w:i/>
        </w:rPr>
      </w:pPr>
      <w:bookmarkStart w:id="4" w:name="Prepared"/>
      <w:bookmarkEnd w:id="4"/>
      <w:r w:rsidRPr="00B80B91">
        <w:rPr>
          <w:i/>
        </w:rPr>
        <w:t>Document prepared by the Secretariat</w:t>
      </w:r>
    </w:p>
    <w:p w14:paraId="387DC751" w14:textId="77777777" w:rsidR="00B80B91" w:rsidRPr="00B80B91" w:rsidRDefault="00B80B91" w:rsidP="00B80B91"/>
    <w:p w14:paraId="4C5445F1" w14:textId="77777777" w:rsidR="00B80B91" w:rsidRPr="00B80B91" w:rsidRDefault="00B80B91" w:rsidP="00B80B91"/>
    <w:p w14:paraId="580C0E62" w14:textId="77777777" w:rsidR="00B80B91" w:rsidRPr="00B80B91" w:rsidRDefault="00B80B91" w:rsidP="00B80B91"/>
    <w:p w14:paraId="6190ABA7" w14:textId="77777777" w:rsidR="00B80B91" w:rsidRPr="00B80B91" w:rsidRDefault="00B80B91" w:rsidP="00B80B91"/>
    <w:p w14:paraId="06160EA5" w14:textId="77777777" w:rsidR="00B80B91" w:rsidRPr="00B80B91" w:rsidRDefault="00B80B91" w:rsidP="00B80B91">
      <w:pPr>
        <w:pStyle w:val="ListParagraph"/>
        <w:numPr>
          <w:ilvl w:val="0"/>
          <w:numId w:val="13"/>
        </w:numPr>
        <w:ind w:left="0" w:firstLine="0"/>
        <w:contextualSpacing w:val="0"/>
        <w:rPr>
          <w:szCs w:val="22"/>
        </w:rPr>
      </w:pPr>
      <w:r w:rsidRPr="00B80B91">
        <w:t>At its Twentieth Session, held from February 14 to 22, 2012, the Intergovernmental Committee on Intellectual Property and Genetic Resources, Traditional Knowledge and Folklore (“the IGC”) invited the Secretariat to produce an information document briefly describing the resources available on the WIPO Traditional Knowledge, Traditional Cultural Expressions and Genetic Resources website (“the WIPO TK website”)</w:t>
      </w:r>
      <w:r w:rsidRPr="00B80B91">
        <w:rPr>
          <w:rStyle w:val="FootnoteReference"/>
          <w:szCs w:val="22"/>
        </w:rPr>
        <w:footnoteReference w:id="2"/>
      </w:r>
      <w:r w:rsidRPr="00B80B91">
        <w:t xml:space="preserve">.  </w:t>
      </w:r>
    </w:p>
    <w:p w14:paraId="173C95C7" w14:textId="77777777" w:rsidR="00B80B91" w:rsidRPr="00B80B91" w:rsidRDefault="00B80B91" w:rsidP="00B80B91">
      <w:pPr>
        <w:contextualSpacing/>
        <w:rPr>
          <w:szCs w:val="22"/>
          <w:lang w:eastAsia="en-US"/>
        </w:rPr>
      </w:pPr>
    </w:p>
    <w:p w14:paraId="0A4AB1DD" w14:textId="582EC771" w:rsidR="00B80B91" w:rsidRPr="00B80B91" w:rsidRDefault="00B80B91" w:rsidP="00B80B91">
      <w:pPr>
        <w:pStyle w:val="ListParagraph"/>
        <w:numPr>
          <w:ilvl w:val="0"/>
          <w:numId w:val="13"/>
        </w:numPr>
        <w:ind w:left="0" w:firstLine="0"/>
        <w:rPr>
          <w:szCs w:val="22"/>
          <w:lang w:eastAsia="en-US"/>
        </w:rPr>
      </w:pPr>
      <w:r w:rsidRPr="00B80B91">
        <w:rPr>
          <w:szCs w:val="22"/>
          <w:lang w:eastAsia="en-US"/>
        </w:rPr>
        <w:t>Pursuant to that decision, a detailed description of the resources available on the WIPO TK website (</w:t>
      </w:r>
      <w:r w:rsidR="00560A39" w:rsidRPr="00560A39">
        <w:rPr>
          <w:szCs w:val="22"/>
          <w:lang w:eastAsia="en-US"/>
        </w:rPr>
        <w:t>https://www.wipo.int/en/web/igc</w:t>
      </w:r>
      <w:r w:rsidRPr="00B80B91">
        <w:rPr>
          <w:szCs w:val="22"/>
          <w:lang w:eastAsia="en-US"/>
        </w:rPr>
        <w:t>) was prepared for all subsequent IGC sessions.  The latest version of such description was included in document WIPO/GRTKF/IC/</w:t>
      </w:r>
      <w:r w:rsidR="00110E22">
        <w:rPr>
          <w:szCs w:val="22"/>
          <w:lang w:eastAsia="en-US"/>
        </w:rPr>
        <w:t>42</w:t>
      </w:r>
      <w:r w:rsidRPr="00B80B91">
        <w:rPr>
          <w:szCs w:val="22"/>
          <w:lang w:eastAsia="en-US"/>
        </w:rPr>
        <w:t>/INF/</w:t>
      </w:r>
      <w:r w:rsidR="00110E22">
        <w:rPr>
          <w:szCs w:val="22"/>
          <w:lang w:eastAsia="en-US"/>
        </w:rPr>
        <w:t>10</w:t>
      </w:r>
      <w:r w:rsidRPr="00B80B91">
        <w:rPr>
          <w:szCs w:val="22"/>
          <w:lang w:eastAsia="en-US"/>
        </w:rPr>
        <w:t xml:space="preserve">.  </w:t>
      </w:r>
    </w:p>
    <w:p w14:paraId="6E961218" w14:textId="77777777" w:rsidR="00B80B91" w:rsidRPr="00B80B91" w:rsidRDefault="00B80B91" w:rsidP="00B80B91">
      <w:pPr>
        <w:contextualSpacing/>
        <w:rPr>
          <w:szCs w:val="22"/>
          <w:lang w:eastAsia="en-US"/>
        </w:rPr>
      </w:pPr>
    </w:p>
    <w:p w14:paraId="0E41265F" w14:textId="77777777" w:rsidR="00B80B91" w:rsidRPr="00B80B91" w:rsidRDefault="00B80B91" w:rsidP="00B80B91">
      <w:pPr>
        <w:pStyle w:val="ListParagraph"/>
        <w:numPr>
          <w:ilvl w:val="0"/>
          <w:numId w:val="13"/>
        </w:numPr>
        <w:ind w:left="0" w:firstLine="0"/>
        <w:rPr>
          <w:szCs w:val="22"/>
        </w:rPr>
      </w:pPr>
      <w:r w:rsidRPr="00B80B91">
        <w:rPr>
          <w:szCs w:val="22"/>
        </w:rPr>
        <w:t xml:space="preserve">As indicated in document WIPO/GRTKF/IC/30/INF/8 prepared for the Thirtieth Session of the IGC, this information document would only be issued once a year or when significant amendments have been made to the website. </w:t>
      </w:r>
    </w:p>
    <w:p w14:paraId="7469C387" w14:textId="77777777" w:rsidR="00B80B91" w:rsidRPr="00B80B91" w:rsidRDefault="00B80B91" w:rsidP="00B80B91">
      <w:pPr>
        <w:contextualSpacing/>
        <w:rPr>
          <w:szCs w:val="22"/>
        </w:rPr>
        <w:sectPr w:rsidR="00B80B91" w:rsidRPr="00B80B91" w:rsidSect="00CD7342">
          <w:headerReference w:type="default" r:id="rId8"/>
          <w:footerReference w:type="even" r:id="rId9"/>
          <w:footerReference w:type="defaul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p>
    <w:p w14:paraId="187F1B04" w14:textId="37F9BFDE" w:rsidR="00B80B91" w:rsidRPr="00B80B91" w:rsidRDefault="00B80B91" w:rsidP="00B80B91">
      <w:pPr>
        <w:pStyle w:val="ListParagraph"/>
        <w:numPr>
          <w:ilvl w:val="0"/>
          <w:numId w:val="13"/>
        </w:numPr>
        <w:ind w:left="0" w:firstLine="0"/>
        <w:rPr>
          <w:szCs w:val="22"/>
        </w:rPr>
      </w:pPr>
      <w:r w:rsidRPr="00B80B91">
        <w:rPr>
          <w:szCs w:val="22"/>
        </w:rPr>
        <w:lastRenderedPageBreak/>
        <w:t xml:space="preserve">The Annex of the current document provides a concise list of main entries of the </w:t>
      </w:r>
      <w:r w:rsidRPr="00B80B91">
        <w:rPr>
          <w:szCs w:val="22"/>
        </w:rPr>
        <w:br/>
        <w:t>WIPO TK website and an update on the resources available on the website since January 20</w:t>
      </w:r>
      <w:r w:rsidR="00424621">
        <w:rPr>
          <w:szCs w:val="22"/>
        </w:rPr>
        <w:t>22</w:t>
      </w:r>
      <w:r w:rsidRPr="00B80B91">
        <w:rPr>
          <w:szCs w:val="22"/>
        </w:rPr>
        <w:t xml:space="preserve">, when such an information document was last prepared. </w:t>
      </w:r>
    </w:p>
    <w:p w14:paraId="5F3C1D6D" w14:textId="77777777" w:rsidR="00B80B91" w:rsidRPr="00B80B91" w:rsidRDefault="00B80B91" w:rsidP="00B80B91">
      <w:pPr>
        <w:contextualSpacing/>
        <w:rPr>
          <w:szCs w:val="22"/>
        </w:rPr>
      </w:pPr>
    </w:p>
    <w:p w14:paraId="2041C88C" w14:textId="77777777" w:rsidR="00B80B91" w:rsidRPr="00B80B91" w:rsidRDefault="00B80B91" w:rsidP="00B80B91">
      <w:pPr>
        <w:pStyle w:val="DecisionInvitingPara"/>
        <w:numPr>
          <w:ilvl w:val="0"/>
          <w:numId w:val="13"/>
        </w:numPr>
        <w:ind w:left="5533" w:firstLine="0"/>
        <w:rPr>
          <w:rFonts w:cs="Arial"/>
          <w:sz w:val="22"/>
          <w:szCs w:val="22"/>
        </w:rPr>
      </w:pPr>
      <w:r w:rsidRPr="00B80B91">
        <w:rPr>
          <w:rFonts w:cs="Arial"/>
          <w:sz w:val="22"/>
          <w:szCs w:val="22"/>
        </w:rPr>
        <w:t>The IGC is invited to take note of this document and the Annex to it.</w:t>
      </w:r>
    </w:p>
    <w:p w14:paraId="16B7768F" w14:textId="77777777" w:rsidR="00B80B91" w:rsidRPr="00B80B91" w:rsidRDefault="00B80B91" w:rsidP="00B80B91">
      <w:pPr>
        <w:spacing w:after="120" w:line="260" w:lineRule="atLeast"/>
        <w:rPr>
          <w:i/>
          <w:szCs w:val="22"/>
        </w:rPr>
      </w:pPr>
    </w:p>
    <w:p w14:paraId="174BFB4F" w14:textId="77777777" w:rsidR="00B80B91" w:rsidRPr="00B80B91" w:rsidRDefault="00B80B91" w:rsidP="00B80B91">
      <w:pPr>
        <w:pStyle w:val="Endofdocument"/>
        <w:spacing w:after="0"/>
        <w:ind w:left="5533"/>
        <w:rPr>
          <w:sz w:val="22"/>
          <w:szCs w:val="22"/>
        </w:rPr>
      </w:pPr>
      <w:r w:rsidRPr="00B80B91">
        <w:rPr>
          <w:sz w:val="22"/>
          <w:szCs w:val="22"/>
        </w:rPr>
        <w:t>[Annex follows]</w:t>
      </w:r>
    </w:p>
    <w:p w14:paraId="58F4B162" w14:textId="77777777" w:rsidR="00B80B91" w:rsidRPr="00B80B91" w:rsidRDefault="00B80B91" w:rsidP="00B80B91">
      <w:pPr>
        <w:pStyle w:val="Endofdocument"/>
        <w:spacing w:after="0"/>
        <w:ind w:left="0"/>
        <w:sectPr w:rsidR="00B80B91" w:rsidRPr="00B80B91" w:rsidSect="00CD7342">
          <w:headerReference w:type="first" r:id="rId12"/>
          <w:endnotePr>
            <w:numFmt w:val="decimal"/>
          </w:endnotePr>
          <w:pgSz w:w="11907" w:h="16840" w:code="9"/>
          <w:pgMar w:top="567" w:right="1134" w:bottom="1418" w:left="1418" w:header="510" w:footer="1021" w:gutter="0"/>
          <w:pgNumType w:start="1"/>
          <w:cols w:space="720"/>
          <w:titlePg/>
          <w:docGrid w:linePitch="299"/>
        </w:sectPr>
      </w:pPr>
    </w:p>
    <w:p w14:paraId="3E45D278" w14:textId="77777777" w:rsidR="00B80B91" w:rsidRPr="00B80B91" w:rsidRDefault="00B80B91" w:rsidP="00B80B91">
      <w:pPr>
        <w:spacing w:line="260" w:lineRule="atLeast"/>
        <w:rPr>
          <w:caps/>
          <w:sz w:val="24"/>
        </w:rPr>
      </w:pPr>
    </w:p>
    <w:p w14:paraId="17A82594" w14:textId="77777777" w:rsidR="00B80B91" w:rsidRPr="00B80B91" w:rsidRDefault="00B80B91" w:rsidP="00B80B91">
      <w:pPr>
        <w:spacing w:line="260" w:lineRule="atLeast"/>
        <w:rPr>
          <w:szCs w:val="22"/>
        </w:rPr>
      </w:pPr>
      <w:r w:rsidRPr="00B80B91">
        <w:rPr>
          <w:caps/>
          <w:sz w:val="24"/>
        </w:rPr>
        <w:t xml:space="preserve">RESOURCES AVAILABLE ON THE wipo tRADITIONAL KNOWLEDGE, TRADITIONAL CULTURAL EXPRESSIONS AND GENETIC RESOURCES wEBSITE </w:t>
      </w:r>
    </w:p>
    <w:p w14:paraId="28B66C65" w14:textId="77777777" w:rsidR="00B80B91" w:rsidRPr="00B80B91" w:rsidRDefault="00B80B91" w:rsidP="00B80B91">
      <w:pPr>
        <w:rPr>
          <w:szCs w:val="22"/>
        </w:rPr>
      </w:pPr>
    </w:p>
    <w:p w14:paraId="7969190F" w14:textId="77777777" w:rsidR="00B80B91" w:rsidRPr="00B80B91" w:rsidRDefault="00B80B91" w:rsidP="00B80B91">
      <w:pPr>
        <w:rPr>
          <w:szCs w:val="22"/>
        </w:rPr>
      </w:pPr>
    </w:p>
    <w:p w14:paraId="4FF34165" w14:textId="314659E6" w:rsidR="00B80B91" w:rsidRPr="00753DC6" w:rsidRDefault="00B80B91" w:rsidP="00B80B91">
      <w:pPr>
        <w:pStyle w:val="ListParagraph"/>
        <w:numPr>
          <w:ilvl w:val="0"/>
          <w:numId w:val="14"/>
        </w:numPr>
        <w:ind w:left="0" w:firstLine="0"/>
        <w:contextualSpacing w:val="0"/>
        <w:rPr>
          <w:szCs w:val="22"/>
        </w:rPr>
      </w:pPr>
      <w:r w:rsidRPr="00753DC6">
        <w:rPr>
          <w:szCs w:val="22"/>
        </w:rPr>
        <w:t xml:space="preserve">The present Annex provides </w:t>
      </w:r>
      <w:r w:rsidRPr="00753DC6">
        <w:rPr>
          <w:szCs w:val="22"/>
          <w:lang w:eastAsia="en-US"/>
        </w:rPr>
        <w:t xml:space="preserve">a list of the main entries of the WIPO TK website </w:t>
      </w:r>
      <w:r w:rsidRPr="00753DC6">
        <w:rPr>
          <w:szCs w:val="22"/>
          <w:lang w:val="en-GB"/>
        </w:rPr>
        <w:t>(</w:t>
      </w:r>
      <w:r w:rsidR="00A0151C" w:rsidRPr="00A0151C">
        <w:rPr>
          <w:szCs w:val="22"/>
          <w:lang w:val="en-GB"/>
        </w:rPr>
        <w:t>https://www.wipo.int/en/web/traditional-knowledge</w:t>
      </w:r>
      <w:r w:rsidRPr="00753DC6">
        <w:rPr>
          <w:szCs w:val="22"/>
          <w:lang w:val="en-GB"/>
        </w:rPr>
        <w:t>)</w:t>
      </w:r>
      <w:r w:rsidR="00A0151C">
        <w:rPr>
          <w:szCs w:val="22"/>
          <w:lang w:val="en-GB"/>
        </w:rPr>
        <w:t xml:space="preserve"> </w:t>
      </w:r>
      <w:r w:rsidRPr="00753DC6">
        <w:rPr>
          <w:szCs w:val="22"/>
          <w:lang w:eastAsia="en-US"/>
        </w:rPr>
        <w:t xml:space="preserve">and </w:t>
      </w:r>
      <w:r w:rsidRPr="00753DC6">
        <w:rPr>
          <w:szCs w:val="22"/>
        </w:rPr>
        <w:t>an update on the new resources since January 20</w:t>
      </w:r>
      <w:r w:rsidR="009A50CE">
        <w:rPr>
          <w:szCs w:val="22"/>
        </w:rPr>
        <w:t>22</w:t>
      </w:r>
      <w:r w:rsidRPr="00753DC6">
        <w:rPr>
          <w:szCs w:val="22"/>
        </w:rPr>
        <w:t xml:space="preserve">.  </w:t>
      </w:r>
    </w:p>
    <w:p w14:paraId="42209DBA" w14:textId="77777777" w:rsidR="00B80B91" w:rsidRPr="00753DC6" w:rsidRDefault="00B80B91" w:rsidP="00B80B91">
      <w:pPr>
        <w:rPr>
          <w:szCs w:val="22"/>
        </w:rPr>
      </w:pPr>
    </w:p>
    <w:p w14:paraId="784FC0D5" w14:textId="321D5F03" w:rsidR="00B80B91" w:rsidRPr="00753DC6" w:rsidRDefault="00B80B91" w:rsidP="00B80B91">
      <w:pPr>
        <w:pStyle w:val="ListParagraph"/>
        <w:numPr>
          <w:ilvl w:val="0"/>
          <w:numId w:val="14"/>
        </w:numPr>
        <w:ind w:left="0" w:firstLine="0"/>
        <w:contextualSpacing w:val="0"/>
        <w:rPr>
          <w:szCs w:val="22"/>
        </w:rPr>
      </w:pPr>
      <w:r w:rsidRPr="00753DC6">
        <w:rPr>
          <w:szCs w:val="22"/>
        </w:rPr>
        <w:t xml:space="preserve">The WIPO TK website has been redesigned to better reflect the services provided by the Traditional Knowledge Division.  Currently, there are </w:t>
      </w:r>
      <w:r w:rsidR="0096726C">
        <w:rPr>
          <w:szCs w:val="22"/>
        </w:rPr>
        <w:t>eight</w:t>
      </w:r>
      <w:r w:rsidRPr="00753DC6">
        <w:rPr>
          <w:szCs w:val="22"/>
        </w:rPr>
        <w:t xml:space="preserve"> main entries of the website:</w:t>
      </w:r>
    </w:p>
    <w:p w14:paraId="26A5AA89" w14:textId="77777777" w:rsidR="00B80B91" w:rsidRPr="00753DC6" w:rsidRDefault="00B80B91" w:rsidP="00B80B91">
      <w:pPr>
        <w:rPr>
          <w:szCs w:val="22"/>
        </w:rPr>
      </w:pPr>
    </w:p>
    <w:p w14:paraId="3C8C06B0" w14:textId="4CF45DA5" w:rsidR="00B80B91" w:rsidRPr="00753DC6" w:rsidRDefault="00B80B91" w:rsidP="00B80B91">
      <w:pPr>
        <w:numPr>
          <w:ilvl w:val="0"/>
          <w:numId w:val="11"/>
        </w:numPr>
        <w:rPr>
          <w:szCs w:val="22"/>
        </w:rPr>
      </w:pPr>
      <w:r w:rsidRPr="00753DC6">
        <w:rPr>
          <w:szCs w:val="22"/>
        </w:rPr>
        <w:t>Facilitation of international negotiations:</w:t>
      </w:r>
      <w:r w:rsidR="00560A39">
        <w:rPr>
          <w:szCs w:val="22"/>
        </w:rPr>
        <w:t xml:space="preserve">  </w:t>
      </w:r>
      <w:hyperlink r:id="rId13" w:history="1">
        <w:r w:rsidR="00DD3BAD" w:rsidRPr="0047391F">
          <w:rPr>
            <w:rStyle w:val="Hyperlink"/>
            <w:szCs w:val="22"/>
          </w:rPr>
          <w:t>https://www.wipo.int/en/web/igc</w:t>
        </w:r>
      </w:hyperlink>
      <w:r w:rsidRPr="00753DC6">
        <w:rPr>
          <w:szCs w:val="22"/>
        </w:rPr>
        <w:t>.</w:t>
      </w:r>
      <w:r w:rsidR="00DD3BAD">
        <w:rPr>
          <w:szCs w:val="22"/>
        </w:rPr>
        <w:t xml:space="preserve"> </w:t>
      </w:r>
      <w:r w:rsidRPr="00753DC6">
        <w:rPr>
          <w:szCs w:val="22"/>
        </w:rPr>
        <w:t xml:space="preserve"> This webpage constitutes the most important gateway to detailed information for IGC participants.</w:t>
      </w:r>
    </w:p>
    <w:p w14:paraId="62E95B43" w14:textId="77777777" w:rsidR="00B80B91" w:rsidRPr="00753DC6" w:rsidRDefault="00B80B91" w:rsidP="00B80B91">
      <w:pPr>
        <w:ind w:left="720"/>
        <w:rPr>
          <w:szCs w:val="22"/>
        </w:rPr>
      </w:pPr>
    </w:p>
    <w:p w14:paraId="2D5F0490" w14:textId="02DFBCC8" w:rsidR="00B80B91" w:rsidRPr="00753DC6" w:rsidRDefault="00856FE4" w:rsidP="00B80B91">
      <w:pPr>
        <w:numPr>
          <w:ilvl w:val="0"/>
          <w:numId w:val="11"/>
        </w:numPr>
        <w:rPr>
          <w:szCs w:val="22"/>
        </w:rPr>
      </w:pPr>
      <w:r>
        <w:rPr>
          <w:szCs w:val="22"/>
        </w:rPr>
        <w:t xml:space="preserve">WIPO GRATK </w:t>
      </w:r>
      <w:r w:rsidR="006552DE">
        <w:rPr>
          <w:szCs w:val="22"/>
        </w:rPr>
        <w:t>Treaty Resource Center:</w:t>
      </w:r>
      <w:r w:rsidR="00DD3BAD">
        <w:rPr>
          <w:szCs w:val="22"/>
        </w:rPr>
        <w:t xml:space="preserve"> </w:t>
      </w:r>
      <w:r w:rsidR="00B80B91" w:rsidRPr="00753DC6">
        <w:rPr>
          <w:szCs w:val="22"/>
        </w:rPr>
        <w:t xml:space="preserve"> </w:t>
      </w:r>
      <w:hyperlink r:id="rId14" w:history="1">
        <w:r w:rsidR="00C5324B" w:rsidRPr="003568BB">
          <w:rPr>
            <w:rStyle w:val="Hyperlink"/>
            <w:szCs w:val="22"/>
          </w:rPr>
          <w:t>https://www.wipo.int/en/web/traditional-knowledge/wipo-treaty-on-ip-gr-and-associated-tk</w:t>
        </w:r>
      </w:hyperlink>
      <w:r w:rsidR="006552DE">
        <w:rPr>
          <w:szCs w:val="22"/>
        </w:rPr>
        <w:t>.</w:t>
      </w:r>
      <w:r w:rsidR="00C5324B">
        <w:rPr>
          <w:szCs w:val="22"/>
        </w:rPr>
        <w:t xml:space="preserve">  </w:t>
      </w:r>
      <w:r w:rsidR="00B80B91" w:rsidRPr="00753DC6">
        <w:t xml:space="preserve">This webpage </w:t>
      </w:r>
      <w:r w:rsidR="00432321">
        <w:t>serves a</w:t>
      </w:r>
      <w:r w:rsidR="00A33C69">
        <w:t>s a</w:t>
      </w:r>
      <w:r w:rsidR="00432321">
        <w:t xml:space="preserve"> resource center for the </w:t>
      </w:r>
      <w:r w:rsidR="00BA79E6">
        <w:t>WIPO Treaty on Intellectual Property, Genetic Resources and Associated Traditional Knowledge, presenting information about the historic Treaty</w:t>
      </w:r>
      <w:r w:rsidR="0081259E">
        <w:t xml:space="preserve"> and offering access to background materials, </w:t>
      </w:r>
      <w:r w:rsidR="00EA6F82">
        <w:t>t</w:t>
      </w:r>
      <w:r w:rsidR="0081259E">
        <w:t>reaty text</w:t>
      </w:r>
      <w:r w:rsidR="00B45CFB">
        <w:t xml:space="preserve">, and related documents reflecting the negotiations and objectives of the </w:t>
      </w:r>
      <w:r w:rsidR="00EA6F82">
        <w:t>t</w:t>
      </w:r>
      <w:r w:rsidR="00B45CFB">
        <w:t xml:space="preserve">reaty, including its relevance for Indigenous Peoples and local communities. </w:t>
      </w:r>
    </w:p>
    <w:p w14:paraId="313EDF61" w14:textId="77777777" w:rsidR="00B80B91" w:rsidRPr="00753DC6" w:rsidRDefault="00B80B91" w:rsidP="00B80B91">
      <w:pPr>
        <w:rPr>
          <w:szCs w:val="22"/>
        </w:rPr>
      </w:pPr>
    </w:p>
    <w:p w14:paraId="540C68A0" w14:textId="6ECE9570" w:rsidR="00B80B91" w:rsidRPr="00753DC6" w:rsidRDefault="00115E49" w:rsidP="00B80B91">
      <w:pPr>
        <w:numPr>
          <w:ilvl w:val="0"/>
          <w:numId w:val="11"/>
        </w:numPr>
        <w:rPr>
          <w:szCs w:val="22"/>
        </w:rPr>
      </w:pPr>
      <w:r>
        <w:rPr>
          <w:szCs w:val="22"/>
        </w:rPr>
        <w:t xml:space="preserve">Engagement </w:t>
      </w:r>
      <w:r w:rsidR="007A0C68">
        <w:rPr>
          <w:szCs w:val="22"/>
        </w:rPr>
        <w:t xml:space="preserve">with </w:t>
      </w:r>
      <w:r w:rsidR="00B80B91" w:rsidRPr="00753DC6">
        <w:rPr>
          <w:szCs w:val="22"/>
        </w:rPr>
        <w:t xml:space="preserve">Indigenous </w:t>
      </w:r>
      <w:r w:rsidR="007A0C68">
        <w:rPr>
          <w:szCs w:val="22"/>
        </w:rPr>
        <w:t>P</w:t>
      </w:r>
      <w:r w:rsidR="00B80B91" w:rsidRPr="00753DC6">
        <w:rPr>
          <w:szCs w:val="22"/>
        </w:rPr>
        <w:t>eoples and local communities:</w:t>
      </w:r>
      <w:r w:rsidR="00A4235D" w:rsidRPr="00A4235D">
        <w:t xml:space="preserve"> </w:t>
      </w:r>
      <w:hyperlink r:id="rId15" w:history="1">
        <w:r w:rsidR="00A4235D" w:rsidRPr="00B020D9">
          <w:rPr>
            <w:rStyle w:val="Hyperlink"/>
            <w:szCs w:val="22"/>
          </w:rPr>
          <w:t>https://www.wipo.int/en/web/traditional-knowledge/engagement</w:t>
        </w:r>
      </w:hyperlink>
      <w:r w:rsidR="000D73A0">
        <w:t>.</w:t>
      </w:r>
      <w:r w:rsidR="00A4235D">
        <w:t xml:space="preserve">  </w:t>
      </w:r>
      <w:r w:rsidR="00B80B91" w:rsidRPr="00753DC6">
        <w:rPr>
          <w:szCs w:val="22"/>
        </w:rPr>
        <w:t xml:space="preserve">This is part of the WIPO Secretariat’s effort to improve access to available information for and relating specifically to </w:t>
      </w:r>
      <w:r w:rsidR="00FF0BCB">
        <w:rPr>
          <w:szCs w:val="22"/>
        </w:rPr>
        <w:t>I</w:t>
      </w:r>
      <w:r w:rsidR="00B80B91" w:rsidRPr="00753DC6">
        <w:rPr>
          <w:szCs w:val="22"/>
        </w:rPr>
        <w:t xml:space="preserve">ndigenous </w:t>
      </w:r>
      <w:r w:rsidR="00FF0BCB">
        <w:rPr>
          <w:szCs w:val="22"/>
        </w:rPr>
        <w:t>P</w:t>
      </w:r>
      <w:r w:rsidR="00B80B91" w:rsidRPr="00753DC6">
        <w:rPr>
          <w:szCs w:val="22"/>
        </w:rPr>
        <w:t xml:space="preserve">eoples and local communities.  It offers links to the practical workshops, relevant WIPO resources, information on accreditation to, and participation in, the IGC process and provides access to external links of interest to </w:t>
      </w:r>
      <w:r w:rsidR="002B3232">
        <w:rPr>
          <w:szCs w:val="22"/>
        </w:rPr>
        <w:t>I</w:t>
      </w:r>
      <w:r w:rsidR="00B80B91" w:rsidRPr="00753DC6">
        <w:rPr>
          <w:szCs w:val="22"/>
        </w:rPr>
        <w:t xml:space="preserve">ndigenous </w:t>
      </w:r>
      <w:r w:rsidR="002B3232">
        <w:rPr>
          <w:szCs w:val="22"/>
        </w:rPr>
        <w:t>P</w:t>
      </w:r>
      <w:r w:rsidR="00B80B91" w:rsidRPr="00753DC6">
        <w:rPr>
          <w:szCs w:val="22"/>
        </w:rPr>
        <w:t>eoples and local communities.</w:t>
      </w:r>
    </w:p>
    <w:p w14:paraId="7B169A89" w14:textId="77777777" w:rsidR="00B80B91" w:rsidRPr="00753DC6" w:rsidRDefault="00B80B91" w:rsidP="00B80B91">
      <w:pPr>
        <w:rPr>
          <w:szCs w:val="22"/>
        </w:rPr>
      </w:pPr>
    </w:p>
    <w:p w14:paraId="2D3386DC" w14:textId="395EDD0E" w:rsidR="00B80B91" w:rsidRPr="00B80B91" w:rsidRDefault="00B80B91" w:rsidP="001539AC">
      <w:pPr>
        <w:numPr>
          <w:ilvl w:val="0"/>
          <w:numId w:val="11"/>
        </w:numPr>
        <w:rPr>
          <w:szCs w:val="22"/>
        </w:rPr>
      </w:pPr>
      <w:r w:rsidRPr="00753DC6">
        <w:rPr>
          <w:szCs w:val="22"/>
        </w:rPr>
        <w:t>Indigenous and local community entrepreneurship:</w:t>
      </w:r>
      <w:r w:rsidR="00806D83">
        <w:t xml:space="preserve"> </w:t>
      </w:r>
      <w:hyperlink r:id="rId16" w:history="1">
        <w:r w:rsidR="00B61189" w:rsidRPr="00B020D9">
          <w:rPr>
            <w:rStyle w:val="Hyperlink"/>
          </w:rPr>
          <w:t>https://www.wipo.int/en/web/traditional-knowledge/entrepreneurship/index</w:t>
        </w:r>
      </w:hyperlink>
      <w:r w:rsidRPr="00B80B91">
        <w:rPr>
          <w:szCs w:val="22"/>
        </w:rPr>
        <w:t>.</w:t>
      </w:r>
      <w:r w:rsidR="00B61189">
        <w:rPr>
          <w:szCs w:val="22"/>
        </w:rPr>
        <w:t xml:space="preserve">  </w:t>
      </w:r>
      <w:r w:rsidRPr="00B80B91">
        <w:rPr>
          <w:szCs w:val="22"/>
        </w:rPr>
        <w:t xml:space="preserve">This webpage includes information of the practical workshops and relevant WIPO resources designed to provide assistance to </w:t>
      </w:r>
      <w:r w:rsidR="00806D83">
        <w:rPr>
          <w:szCs w:val="22"/>
        </w:rPr>
        <w:t>I</w:t>
      </w:r>
      <w:r w:rsidRPr="00B80B91">
        <w:rPr>
          <w:szCs w:val="22"/>
        </w:rPr>
        <w:t xml:space="preserve">ndigenous </w:t>
      </w:r>
      <w:r w:rsidR="00806D83">
        <w:rPr>
          <w:szCs w:val="22"/>
        </w:rPr>
        <w:t>P</w:t>
      </w:r>
      <w:r w:rsidRPr="00B80B91">
        <w:rPr>
          <w:szCs w:val="22"/>
        </w:rPr>
        <w:t>eoples and local communities in making strategic and effective use of intellectual property tools in their businesses.</w:t>
      </w:r>
    </w:p>
    <w:p w14:paraId="2CC980F6" w14:textId="77777777" w:rsidR="00B80B91" w:rsidRPr="00B80B91" w:rsidRDefault="00B80B91" w:rsidP="00B80B91">
      <w:pPr>
        <w:rPr>
          <w:szCs w:val="22"/>
        </w:rPr>
      </w:pPr>
    </w:p>
    <w:p w14:paraId="49652B71" w14:textId="57D39C71" w:rsidR="00B80B91" w:rsidRPr="00B80B91" w:rsidRDefault="00B80B91" w:rsidP="00B80B91">
      <w:pPr>
        <w:numPr>
          <w:ilvl w:val="0"/>
          <w:numId w:val="11"/>
        </w:numPr>
        <w:rPr>
          <w:szCs w:val="22"/>
        </w:rPr>
      </w:pPr>
      <w:r w:rsidRPr="00B80B91">
        <w:rPr>
          <w:szCs w:val="22"/>
        </w:rPr>
        <w:t xml:space="preserve">Documentation of traditional knowledge and traditional cultural expressions:  </w:t>
      </w:r>
      <w:hyperlink r:id="rId17" w:history="1">
        <w:r w:rsidR="008F7419" w:rsidRPr="003568BB">
          <w:rPr>
            <w:rStyle w:val="Hyperlink"/>
          </w:rPr>
          <w:t>https://www.wipo.int/en/web/traditional-knowledge/resources/tk-and-tces</w:t>
        </w:r>
      </w:hyperlink>
      <w:r w:rsidR="008F7419">
        <w:t xml:space="preserve">.  </w:t>
      </w:r>
      <w:r w:rsidRPr="00B80B91">
        <w:rPr>
          <w:szCs w:val="22"/>
        </w:rPr>
        <w:t xml:space="preserve">This webpage includes information, practical tools and </w:t>
      </w:r>
      <w:r w:rsidRPr="00B80B91">
        <w:t>technical assistance services provided by the WIPO Traditional Knowledge Division in relation to the documentation of traditional knowledge and traditional cultural expressions</w:t>
      </w:r>
      <w:r w:rsidRPr="00B80B91">
        <w:rPr>
          <w:szCs w:val="22"/>
        </w:rPr>
        <w:t>.</w:t>
      </w:r>
    </w:p>
    <w:p w14:paraId="4940723B" w14:textId="77777777" w:rsidR="00B80B91" w:rsidRPr="00B80B91" w:rsidRDefault="00B80B91" w:rsidP="00B80B91">
      <w:pPr>
        <w:rPr>
          <w:szCs w:val="22"/>
        </w:rPr>
      </w:pPr>
    </w:p>
    <w:p w14:paraId="486B15A7" w14:textId="2EB4779C" w:rsidR="00B80B91" w:rsidRPr="0096726C" w:rsidRDefault="00B80B91" w:rsidP="00B80B91">
      <w:pPr>
        <w:numPr>
          <w:ilvl w:val="0"/>
          <w:numId w:val="11"/>
        </w:numPr>
        <w:rPr>
          <w:szCs w:val="22"/>
        </w:rPr>
      </w:pPr>
      <w:r w:rsidRPr="00B80B91">
        <w:rPr>
          <w:szCs w:val="22"/>
        </w:rPr>
        <w:t xml:space="preserve">IP rights management in genetic resources and data:  </w:t>
      </w:r>
      <w:hyperlink r:id="rId18" w:history="1">
        <w:r w:rsidR="00F83E0A" w:rsidRPr="00471FF2">
          <w:rPr>
            <w:rStyle w:val="Hyperlink"/>
          </w:rPr>
          <w:t>https://www.wipo.int/en/web/traditional-knowledge/ip-rights-management</w:t>
        </w:r>
      </w:hyperlink>
      <w:r w:rsidR="00383323">
        <w:t xml:space="preserve">.  </w:t>
      </w:r>
      <w:r w:rsidRPr="00B80B91">
        <w:rPr>
          <w:szCs w:val="22"/>
        </w:rPr>
        <w:t xml:space="preserve">This webpage includes a concise description of the </w:t>
      </w:r>
      <w:r w:rsidRPr="00B80B91">
        <w:t>technical assistance services provided by the WIPO Traditional Knowledge Division in relation to the management of intellectual property in genetic resources, information and data</w:t>
      </w:r>
      <w:r w:rsidRPr="00B80B91">
        <w:rPr>
          <w:szCs w:val="22"/>
        </w:rPr>
        <w:t xml:space="preserve">.  </w:t>
      </w:r>
      <w:r w:rsidRPr="00B80B91">
        <w:t>This webpage also includes links to relevant resources.</w:t>
      </w:r>
    </w:p>
    <w:p w14:paraId="4A714027" w14:textId="77777777" w:rsidR="0096726C" w:rsidRDefault="0096726C" w:rsidP="0096726C">
      <w:pPr>
        <w:pStyle w:val="ListParagraph"/>
        <w:rPr>
          <w:szCs w:val="22"/>
        </w:rPr>
      </w:pPr>
    </w:p>
    <w:p w14:paraId="4E7A71EC" w14:textId="3201AD08" w:rsidR="0096726C" w:rsidRPr="00B80B91" w:rsidRDefault="0096726C" w:rsidP="00B80B91">
      <w:pPr>
        <w:numPr>
          <w:ilvl w:val="0"/>
          <w:numId w:val="11"/>
        </w:numPr>
        <w:rPr>
          <w:szCs w:val="22"/>
        </w:rPr>
      </w:pPr>
      <w:r>
        <w:rPr>
          <w:szCs w:val="22"/>
        </w:rPr>
        <w:t>Stories on Indigenous Peoples and local communities</w:t>
      </w:r>
      <w:r w:rsidR="00B44EB1">
        <w:rPr>
          <w:szCs w:val="22"/>
        </w:rPr>
        <w:t xml:space="preserve">: </w:t>
      </w:r>
      <w:hyperlink r:id="rId19" w:history="1">
        <w:r w:rsidR="00B44EB1" w:rsidRPr="003568BB">
          <w:rPr>
            <w:rStyle w:val="Hyperlink"/>
            <w:szCs w:val="22"/>
          </w:rPr>
          <w:t>https://www.wipo.int/en/web/ip-advantage/indigenous-peoples-stories</w:t>
        </w:r>
      </w:hyperlink>
      <w:r w:rsidR="00B44EB1">
        <w:rPr>
          <w:szCs w:val="22"/>
        </w:rPr>
        <w:t xml:space="preserve">.  </w:t>
      </w:r>
      <w:r w:rsidR="001D54DC">
        <w:rPr>
          <w:szCs w:val="22"/>
        </w:rPr>
        <w:t xml:space="preserve">This webpage </w:t>
      </w:r>
      <w:r w:rsidR="001C2657">
        <w:rPr>
          <w:szCs w:val="22"/>
        </w:rPr>
        <w:t xml:space="preserve">includes stories </w:t>
      </w:r>
      <w:r w:rsidR="001A308F">
        <w:rPr>
          <w:szCs w:val="22"/>
        </w:rPr>
        <w:t xml:space="preserve">of Indigenous </w:t>
      </w:r>
      <w:r w:rsidR="001A308F">
        <w:rPr>
          <w:szCs w:val="22"/>
        </w:rPr>
        <w:lastRenderedPageBreak/>
        <w:t>Peoples and local communities</w:t>
      </w:r>
      <w:r w:rsidR="009940A0">
        <w:rPr>
          <w:szCs w:val="22"/>
        </w:rPr>
        <w:t xml:space="preserve">, showcasing the ways in which they promote and protect </w:t>
      </w:r>
      <w:r w:rsidR="003C1B6A">
        <w:rPr>
          <w:szCs w:val="22"/>
        </w:rPr>
        <w:t xml:space="preserve">their traditional knowledge, traditional cultural expressions and genetic resources. </w:t>
      </w:r>
    </w:p>
    <w:p w14:paraId="4F2A87CD" w14:textId="77777777" w:rsidR="00B80B91" w:rsidRPr="00B80B91" w:rsidRDefault="00B80B91" w:rsidP="00B80B91">
      <w:pPr>
        <w:rPr>
          <w:szCs w:val="22"/>
        </w:rPr>
      </w:pPr>
    </w:p>
    <w:p w14:paraId="2DA89F09" w14:textId="46489CA0" w:rsidR="00B80B91" w:rsidRPr="00B80B91" w:rsidRDefault="00B80B91" w:rsidP="00B80B91">
      <w:pPr>
        <w:numPr>
          <w:ilvl w:val="0"/>
          <w:numId w:val="11"/>
        </w:numPr>
        <w:rPr>
          <w:szCs w:val="22"/>
        </w:rPr>
      </w:pPr>
      <w:r w:rsidRPr="00B80B91">
        <w:rPr>
          <w:szCs w:val="22"/>
        </w:rPr>
        <w:t xml:space="preserve">Global reference point on </w:t>
      </w:r>
      <w:r w:rsidR="00F40E9A">
        <w:rPr>
          <w:szCs w:val="22"/>
        </w:rPr>
        <w:t>intellectual property</w:t>
      </w:r>
      <w:r w:rsidRPr="00B80B91">
        <w:rPr>
          <w:szCs w:val="22"/>
        </w:rPr>
        <w:t xml:space="preserve"> and </w:t>
      </w:r>
      <w:r w:rsidR="00F40E9A">
        <w:rPr>
          <w:szCs w:val="22"/>
        </w:rPr>
        <w:t>genetic resources</w:t>
      </w:r>
      <w:r w:rsidRPr="00B80B91">
        <w:rPr>
          <w:szCs w:val="22"/>
        </w:rPr>
        <w:t xml:space="preserve">, </w:t>
      </w:r>
      <w:r w:rsidR="00F40E9A">
        <w:rPr>
          <w:szCs w:val="22"/>
        </w:rPr>
        <w:t>traditional knowledge</w:t>
      </w:r>
      <w:r w:rsidRPr="00B80B91">
        <w:rPr>
          <w:szCs w:val="22"/>
        </w:rPr>
        <w:t xml:space="preserve"> and </w:t>
      </w:r>
      <w:r w:rsidR="00F40E9A">
        <w:rPr>
          <w:szCs w:val="22"/>
        </w:rPr>
        <w:t>traditional cultural expressions</w:t>
      </w:r>
      <w:r w:rsidRPr="00B80B91">
        <w:rPr>
          <w:szCs w:val="22"/>
        </w:rPr>
        <w:t xml:space="preserve">:  </w:t>
      </w:r>
      <w:hyperlink r:id="rId20" w:history="1">
        <w:r w:rsidR="001977F4" w:rsidRPr="00B020D9">
          <w:rPr>
            <w:rStyle w:val="Hyperlink"/>
          </w:rPr>
          <w:t>https://www.wipo.int/en/web/traditional-knowledge/global-reference</w:t>
        </w:r>
      </w:hyperlink>
      <w:r w:rsidRPr="00B80B91">
        <w:rPr>
          <w:szCs w:val="22"/>
        </w:rPr>
        <w:t>.</w:t>
      </w:r>
      <w:r w:rsidR="001977F4">
        <w:rPr>
          <w:szCs w:val="22"/>
        </w:rPr>
        <w:t xml:space="preserve">  </w:t>
      </w:r>
      <w:r w:rsidRPr="00B80B91">
        <w:rPr>
          <w:szCs w:val="22"/>
        </w:rPr>
        <w:t xml:space="preserve">This webpage includes various information resources on intellectual property and genetic resources, traditional knowledge and traditional cultural expressions.  </w:t>
      </w:r>
    </w:p>
    <w:p w14:paraId="025FA42D" w14:textId="77777777" w:rsidR="00B80B91" w:rsidRPr="00B80B91" w:rsidRDefault="00B80B91" w:rsidP="00B80B91">
      <w:pPr>
        <w:rPr>
          <w:szCs w:val="22"/>
        </w:rPr>
      </w:pPr>
    </w:p>
    <w:p w14:paraId="2A2A02D4" w14:textId="19E82880" w:rsidR="00B80B91" w:rsidRPr="00B80B91" w:rsidRDefault="00B80B91" w:rsidP="00B80B91">
      <w:pPr>
        <w:pStyle w:val="ListParagraph"/>
        <w:numPr>
          <w:ilvl w:val="0"/>
          <w:numId w:val="14"/>
        </w:numPr>
        <w:ind w:left="0" w:firstLine="0"/>
        <w:contextualSpacing w:val="0"/>
        <w:rPr>
          <w:szCs w:val="22"/>
        </w:rPr>
      </w:pPr>
      <w:r w:rsidRPr="00B80B91">
        <w:rPr>
          <w:szCs w:val="22"/>
        </w:rPr>
        <w:t>Below are the main updates since January 20</w:t>
      </w:r>
      <w:r w:rsidR="00222CEC">
        <w:rPr>
          <w:szCs w:val="22"/>
        </w:rPr>
        <w:t>22</w:t>
      </w:r>
      <w:r w:rsidRPr="00B80B91">
        <w:rPr>
          <w:szCs w:val="22"/>
        </w:rPr>
        <w:t>.</w:t>
      </w:r>
    </w:p>
    <w:p w14:paraId="28BB4680" w14:textId="77777777" w:rsidR="00B80B91" w:rsidRPr="00B80B91" w:rsidRDefault="00B80B91" w:rsidP="00B80B91">
      <w:pPr>
        <w:ind w:left="720"/>
        <w:rPr>
          <w:szCs w:val="22"/>
        </w:rPr>
      </w:pPr>
    </w:p>
    <w:p w14:paraId="338C71EB" w14:textId="77777777" w:rsidR="00B80B91" w:rsidRPr="00B80B91" w:rsidRDefault="00B80B91" w:rsidP="00B80B91">
      <w:pPr>
        <w:rPr>
          <w:b/>
          <w:szCs w:val="22"/>
          <w:lang w:val="en-GB"/>
        </w:rPr>
      </w:pPr>
      <w:r w:rsidRPr="00B80B91">
        <w:rPr>
          <w:b/>
          <w:szCs w:val="22"/>
          <w:lang w:val="en-GB"/>
        </w:rPr>
        <w:t>The IGC</w:t>
      </w:r>
    </w:p>
    <w:p w14:paraId="2DFB20E9" w14:textId="77777777" w:rsidR="00B80B91" w:rsidRPr="00B80B91" w:rsidRDefault="00B80B91" w:rsidP="00B80B91">
      <w:pPr>
        <w:rPr>
          <w:szCs w:val="22"/>
          <w:lang w:val="en-GB"/>
        </w:rPr>
      </w:pPr>
    </w:p>
    <w:p w14:paraId="162A4AA3" w14:textId="7C542DDD" w:rsidR="00B80B91" w:rsidRDefault="00B80B91" w:rsidP="00B80B91">
      <w:pPr>
        <w:pStyle w:val="ListParagraph"/>
        <w:numPr>
          <w:ilvl w:val="0"/>
          <w:numId w:val="14"/>
        </w:numPr>
        <w:ind w:left="0" w:firstLine="0"/>
        <w:contextualSpacing w:val="0"/>
        <w:rPr>
          <w:szCs w:val="22"/>
          <w:lang w:val="en-GB"/>
        </w:rPr>
      </w:pPr>
      <w:r w:rsidRPr="00B80B91">
        <w:rPr>
          <w:szCs w:val="22"/>
          <w:lang w:val="en-GB"/>
        </w:rPr>
        <w:t xml:space="preserve">The IGC webpage offers direct link to, </w:t>
      </w:r>
      <w:r w:rsidRPr="00B80B91">
        <w:rPr>
          <w:i/>
          <w:szCs w:val="22"/>
          <w:lang w:val="en-GB"/>
        </w:rPr>
        <w:t>inter alia</w:t>
      </w:r>
      <w:r w:rsidRPr="00B80B91">
        <w:rPr>
          <w:szCs w:val="22"/>
          <w:lang w:val="en-GB"/>
        </w:rPr>
        <w:t>, the ren</w:t>
      </w:r>
      <w:r w:rsidR="00A21CFA">
        <w:rPr>
          <w:szCs w:val="22"/>
          <w:lang w:val="en-GB"/>
        </w:rPr>
        <w:t>ewed mandate of the IGC for 202</w:t>
      </w:r>
      <w:r w:rsidR="002B5AFB">
        <w:rPr>
          <w:szCs w:val="22"/>
          <w:lang w:val="en-GB"/>
        </w:rPr>
        <w:t>6</w:t>
      </w:r>
      <w:r w:rsidR="00A21CFA">
        <w:rPr>
          <w:szCs w:val="22"/>
          <w:lang w:val="en-GB"/>
        </w:rPr>
        <w:t>-202</w:t>
      </w:r>
      <w:r w:rsidR="002B5AFB">
        <w:rPr>
          <w:szCs w:val="22"/>
          <w:lang w:val="en-GB"/>
        </w:rPr>
        <w:t>7</w:t>
      </w:r>
      <w:r w:rsidRPr="00B80B91">
        <w:rPr>
          <w:szCs w:val="22"/>
          <w:lang w:val="en-GB"/>
        </w:rPr>
        <w:t>:</w:t>
      </w:r>
      <w:r w:rsidRPr="00B80B91">
        <w:t xml:space="preserve">  </w:t>
      </w:r>
      <w:hyperlink r:id="rId21" w:history="1">
        <w:r w:rsidR="002E712F" w:rsidRPr="00B020D9">
          <w:rPr>
            <w:rStyle w:val="Hyperlink"/>
          </w:rPr>
          <w:t>https://www.wipo.int/documents/d/igc/docs-en-igc-mandate-2026-2027.pdf</w:t>
        </w:r>
      </w:hyperlink>
      <w:r w:rsidR="00A21CFA" w:rsidRPr="00A21CFA">
        <w:rPr>
          <w:szCs w:val="22"/>
          <w:lang w:val="en-GB"/>
        </w:rPr>
        <w:t>.</w:t>
      </w:r>
      <w:r w:rsidR="002E712F">
        <w:rPr>
          <w:szCs w:val="22"/>
          <w:lang w:val="en-GB"/>
        </w:rPr>
        <w:t xml:space="preserve"> </w:t>
      </w:r>
      <w:r w:rsidR="00A21CFA" w:rsidRPr="00A21CFA">
        <w:rPr>
          <w:szCs w:val="22"/>
          <w:lang w:val="en-GB"/>
        </w:rPr>
        <w:t xml:space="preserve"> </w:t>
      </w:r>
    </w:p>
    <w:p w14:paraId="6F7E0755" w14:textId="77777777" w:rsidR="00A21CFA" w:rsidRDefault="00A21CFA" w:rsidP="00A21CFA">
      <w:pPr>
        <w:pStyle w:val="ListParagraph"/>
        <w:ind w:left="0"/>
        <w:contextualSpacing w:val="0"/>
        <w:rPr>
          <w:szCs w:val="22"/>
          <w:lang w:val="en-GB"/>
        </w:rPr>
      </w:pPr>
    </w:p>
    <w:p w14:paraId="461BFDA1" w14:textId="45F1BCCB" w:rsidR="00A21CFA" w:rsidRPr="00A21CFA" w:rsidRDefault="00B80B91" w:rsidP="00A21CFA">
      <w:pPr>
        <w:pStyle w:val="ListParagraph"/>
        <w:numPr>
          <w:ilvl w:val="0"/>
          <w:numId w:val="14"/>
        </w:numPr>
        <w:ind w:left="0" w:firstLine="0"/>
        <w:contextualSpacing w:val="0"/>
        <w:rPr>
          <w:szCs w:val="22"/>
          <w:lang w:val="en-GB"/>
        </w:rPr>
      </w:pPr>
      <w:r w:rsidRPr="00B80B91">
        <w:rPr>
          <w:szCs w:val="22"/>
          <w:lang w:val="en-GB"/>
        </w:rPr>
        <w:t>The complete list of available docu</w:t>
      </w:r>
      <w:r w:rsidR="00A21CFA">
        <w:rPr>
          <w:szCs w:val="22"/>
          <w:lang w:val="en-GB"/>
        </w:rPr>
        <w:t>ments related to the F</w:t>
      </w:r>
      <w:r w:rsidR="005B74EA">
        <w:rPr>
          <w:szCs w:val="22"/>
          <w:lang w:val="en-GB"/>
        </w:rPr>
        <w:t>ifty</w:t>
      </w:r>
      <w:r w:rsidR="00A21CFA">
        <w:rPr>
          <w:szCs w:val="22"/>
          <w:lang w:val="en-GB"/>
        </w:rPr>
        <w:t>-Second</w:t>
      </w:r>
      <w:r w:rsidRPr="00B80B91">
        <w:rPr>
          <w:szCs w:val="22"/>
          <w:lang w:val="en-GB"/>
        </w:rPr>
        <w:t xml:space="preserve"> Sessi</w:t>
      </w:r>
      <w:r w:rsidR="00A21CFA">
        <w:rPr>
          <w:szCs w:val="22"/>
          <w:lang w:val="en-GB"/>
        </w:rPr>
        <w:t xml:space="preserve">on of the IGC is available at:  </w:t>
      </w:r>
      <w:hyperlink r:id="rId22" w:history="1">
        <w:r w:rsidR="004C3D98" w:rsidRPr="003568BB">
          <w:rPr>
            <w:rStyle w:val="Hyperlink"/>
          </w:rPr>
          <w:t>https://www.wipo.int/meetings/en/details.jsp?meeting_id=89810</w:t>
        </w:r>
      </w:hyperlink>
      <w:r w:rsidR="00A21CFA">
        <w:rPr>
          <w:szCs w:val="22"/>
          <w:lang w:val="en-GB"/>
        </w:rPr>
        <w:t>.</w:t>
      </w:r>
      <w:r w:rsidR="004C3D98">
        <w:rPr>
          <w:szCs w:val="22"/>
          <w:lang w:val="en-GB"/>
        </w:rPr>
        <w:t xml:space="preserve"> </w:t>
      </w:r>
    </w:p>
    <w:p w14:paraId="3ADDE115" w14:textId="77777777" w:rsidR="00B80B91" w:rsidRPr="00B80B91" w:rsidRDefault="00B80B91" w:rsidP="00B80B91">
      <w:pPr>
        <w:rPr>
          <w:b/>
          <w:szCs w:val="22"/>
          <w:lang w:val="en-GB"/>
        </w:rPr>
      </w:pPr>
    </w:p>
    <w:p w14:paraId="191BAC78" w14:textId="4C964967" w:rsidR="008309AB" w:rsidRDefault="008309AB" w:rsidP="008309AB">
      <w:pPr>
        <w:pStyle w:val="ListParagraph"/>
        <w:ind w:left="0"/>
        <w:contextualSpacing w:val="0"/>
        <w:rPr>
          <w:szCs w:val="22"/>
        </w:rPr>
      </w:pPr>
      <w:r w:rsidRPr="008309AB">
        <w:rPr>
          <w:b/>
          <w:szCs w:val="22"/>
        </w:rPr>
        <w:t>WIPO</w:t>
      </w:r>
      <w:r w:rsidR="00AA4FC4">
        <w:rPr>
          <w:b/>
          <w:szCs w:val="22"/>
        </w:rPr>
        <w:t xml:space="preserve"> Training, Mentoring and Match-Making Program on Intellectual Property and</w:t>
      </w:r>
      <w:r w:rsidRPr="008309AB">
        <w:rPr>
          <w:b/>
          <w:szCs w:val="22"/>
        </w:rPr>
        <w:t xml:space="preserve"> </w:t>
      </w:r>
      <w:r w:rsidR="005B60CE">
        <w:rPr>
          <w:b/>
          <w:szCs w:val="22"/>
        </w:rPr>
        <w:t>Traditional Medical Knowledge</w:t>
      </w:r>
    </w:p>
    <w:p w14:paraId="55B44704" w14:textId="77777777" w:rsidR="008309AB" w:rsidRPr="008309AB" w:rsidRDefault="008309AB" w:rsidP="008309AB">
      <w:pPr>
        <w:pStyle w:val="ListParagraph"/>
        <w:ind w:left="0"/>
        <w:contextualSpacing w:val="0"/>
        <w:rPr>
          <w:szCs w:val="22"/>
          <w:lang w:val="en-GB"/>
        </w:rPr>
      </w:pPr>
    </w:p>
    <w:p w14:paraId="001552FA" w14:textId="36129220" w:rsidR="008309AB" w:rsidRPr="00610FB4" w:rsidRDefault="008309AB" w:rsidP="00B80B91">
      <w:pPr>
        <w:pStyle w:val="ListParagraph"/>
        <w:numPr>
          <w:ilvl w:val="0"/>
          <w:numId w:val="14"/>
        </w:numPr>
        <w:ind w:left="0" w:firstLine="0"/>
        <w:contextualSpacing w:val="0"/>
        <w:rPr>
          <w:szCs w:val="22"/>
          <w:lang w:val="en-GB"/>
        </w:rPr>
      </w:pPr>
      <w:r w:rsidRPr="008309AB">
        <w:rPr>
          <w:szCs w:val="22"/>
        </w:rPr>
        <w:t xml:space="preserve">The WIPO Secretariat </w:t>
      </w:r>
      <w:r w:rsidR="0071755F">
        <w:rPr>
          <w:szCs w:val="22"/>
        </w:rPr>
        <w:t xml:space="preserve">launched the WIPO Training, Mentoring and Match-Making Program on Intellectual Property </w:t>
      </w:r>
      <w:r w:rsidR="007F07F4">
        <w:rPr>
          <w:szCs w:val="22"/>
        </w:rPr>
        <w:t>and Traditional Medical Knowledge in 2023, aiming to establish and support an innovation ecosystem</w:t>
      </w:r>
      <w:r w:rsidR="005F2EB1">
        <w:rPr>
          <w:szCs w:val="22"/>
        </w:rPr>
        <w:t xml:space="preserve"> based on traditional medical knowledge.  The Program provides participants with the opportunity to acquire knowledge on policies and legislation relating to the intellectual property protect</w:t>
      </w:r>
      <w:r w:rsidR="00EE72BF">
        <w:rPr>
          <w:szCs w:val="22"/>
        </w:rPr>
        <w:t xml:space="preserve">ion of traditional medical knowledge; benefit from mentorship and tailored </w:t>
      </w:r>
      <w:r w:rsidR="00935315">
        <w:rPr>
          <w:szCs w:val="22"/>
        </w:rPr>
        <w:t>training</w:t>
      </w:r>
      <w:r w:rsidR="00EE72BF">
        <w:rPr>
          <w:szCs w:val="22"/>
        </w:rPr>
        <w:t xml:space="preserve"> in intellectual property and its relationship with tradi</w:t>
      </w:r>
      <w:r w:rsidR="00802C3E">
        <w:rPr>
          <w:szCs w:val="22"/>
        </w:rPr>
        <w:t>tional medical knowledge; participate in match-making with potential collaborators, partners, and investors</w:t>
      </w:r>
      <w:r w:rsidR="00877251">
        <w:rPr>
          <w:szCs w:val="22"/>
        </w:rPr>
        <w:t>; and build capacity to effectively use the intellectual property system.  Information on this Program is available at:</w:t>
      </w:r>
      <w:r w:rsidR="00AF2986">
        <w:rPr>
          <w:szCs w:val="22"/>
        </w:rPr>
        <w:t xml:space="preserve"> </w:t>
      </w:r>
      <w:r w:rsidR="00877251">
        <w:rPr>
          <w:szCs w:val="22"/>
        </w:rPr>
        <w:t xml:space="preserve"> </w:t>
      </w:r>
      <w:hyperlink r:id="rId23" w:history="1">
        <w:r w:rsidR="00935315" w:rsidRPr="003568BB">
          <w:rPr>
            <w:rStyle w:val="Hyperlink"/>
            <w:szCs w:val="22"/>
          </w:rPr>
          <w:t>https://www.wipo.int/en/web/traditional-knowledge/entrepreneurship/tk-medical-knowledge-program</w:t>
        </w:r>
      </w:hyperlink>
      <w:r w:rsidR="00935315">
        <w:rPr>
          <w:szCs w:val="22"/>
        </w:rPr>
        <w:t xml:space="preserve">. </w:t>
      </w:r>
      <w:r w:rsidR="00802C3E">
        <w:rPr>
          <w:szCs w:val="22"/>
        </w:rPr>
        <w:t xml:space="preserve"> </w:t>
      </w:r>
    </w:p>
    <w:p w14:paraId="690A7B1B" w14:textId="77777777" w:rsidR="00610FB4" w:rsidRDefault="00610FB4" w:rsidP="00610FB4">
      <w:pPr>
        <w:rPr>
          <w:szCs w:val="22"/>
          <w:lang w:val="en-GB"/>
        </w:rPr>
      </w:pPr>
    </w:p>
    <w:p w14:paraId="39E533C9" w14:textId="77777777" w:rsidR="00610FB4" w:rsidRDefault="00610FB4" w:rsidP="00610FB4">
      <w:pPr>
        <w:rPr>
          <w:b/>
          <w:szCs w:val="22"/>
          <w:lang w:val="en-GB"/>
        </w:rPr>
      </w:pPr>
      <w:r w:rsidRPr="00F5412D">
        <w:rPr>
          <w:b/>
          <w:szCs w:val="22"/>
          <w:lang w:val="en-GB"/>
        </w:rPr>
        <w:t>Traditional Cultural Expressions and Fashion</w:t>
      </w:r>
    </w:p>
    <w:p w14:paraId="4B8BBC20" w14:textId="77777777" w:rsidR="00610FB4" w:rsidRPr="00610FB4" w:rsidRDefault="00610FB4" w:rsidP="00610FB4">
      <w:pPr>
        <w:rPr>
          <w:szCs w:val="22"/>
          <w:lang w:val="en-GB"/>
        </w:rPr>
      </w:pPr>
    </w:p>
    <w:p w14:paraId="74C87889" w14:textId="58A1D0ED" w:rsidR="00B90FFA" w:rsidRPr="00610FB4" w:rsidRDefault="000E3569" w:rsidP="00B90FFA">
      <w:pPr>
        <w:pStyle w:val="ListParagraph"/>
        <w:numPr>
          <w:ilvl w:val="0"/>
          <w:numId w:val="14"/>
        </w:numPr>
        <w:ind w:left="0" w:firstLine="0"/>
        <w:contextualSpacing w:val="0"/>
        <w:rPr>
          <w:szCs w:val="22"/>
          <w:lang w:val="en-GB"/>
        </w:rPr>
      </w:pPr>
      <w:r>
        <w:rPr>
          <w:szCs w:val="22"/>
          <w:lang w:val="en-GB"/>
        </w:rPr>
        <w:t xml:space="preserve">The WIPO Secretariat provides guidance to support respectful and equitable use of Indigenous Peoples’ </w:t>
      </w:r>
      <w:r w:rsidR="00CA129C">
        <w:rPr>
          <w:szCs w:val="22"/>
          <w:lang w:val="en-GB"/>
        </w:rPr>
        <w:t>traditional cultural expressions in the fashion industry.</w:t>
      </w:r>
      <w:r w:rsidR="00F257A9">
        <w:rPr>
          <w:szCs w:val="22"/>
          <w:lang w:val="en-GB"/>
        </w:rPr>
        <w:t xml:space="preserve">  </w:t>
      </w:r>
      <w:r w:rsidR="00CA129C">
        <w:rPr>
          <w:szCs w:val="22"/>
          <w:lang w:val="en-GB"/>
        </w:rPr>
        <w:t>WIPO facilitates dialogue between Indigenous Peoples and fashion companies, exemplified by the first High</w:t>
      </w:r>
      <w:r w:rsidR="00D43624">
        <w:rPr>
          <w:szCs w:val="22"/>
          <w:lang w:val="en-GB"/>
        </w:rPr>
        <w:t>-</w:t>
      </w:r>
      <w:r w:rsidR="00CA129C">
        <w:rPr>
          <w:szCs w:val="22"/>
          <w:lang w:val="en-GB"/>
        </w:rPr>
        <w:t xml:space="preserve">Level Dialogue on Indigenous Peoples, </w:t>
      </w:r>
      <w:r w:rsidR="00AD222F">
        <w:rPr>
          <w:szCs w:val="22"/>
          <w:lang w:val="en-GB"/>
        </w:rPr>
        <w:t>Traditional Cultural Expressions and Fashion held in November 2023</w:t>
      </w:r>
      <w:r w:rsidR="004D5B03">
        <w:rPr>
          <w:szCs w:val="22"/>
          <w:lang w:val="en-GB"/>
        </w:rPr>
        <w:t xml:space="preserve">.  </w:t>
      </w:r>
      <w:r w:rsidR="00B80B23">
        <w:rPr>
          <w:szCs w:val="22"/>
          <w:lang w:val="en-GB"/>
        </w:rPr>
        <w:t xml:space="preserve">To support ethical engagement, the WIPO Secretariat also introduced the document </w:t>
      </w:r>
      <w:r w:rsidR="00B80B23">
        <w:rPr>
          <w:i/>
          <w:iCs/>
          <w:szCs w:val="22"/>
          <w:lang w:val="en-GB"/>
        </w:rPr>
        <w:t xml:space="preserve">Draft Steps When Considering the Use of Elements of Indigenous Peoples’ Traditional Cultural Expressions in Fashion, </w:t>
      </w:r>
      <w:r w:rsidR="0000501D">
        <w:rPr>
          <w:szCs w:val="22"/>
          <w:lang w:val="en-GB"/>
        </w:rPr>
        <w:t xml:space="preserve">developed in consultation with Indigenous Peoples, fashion companies, and experts in </w:t>
      </w:r>
      <w:r w:rsidR="00975069">
        <w:rPr>
          <w:szCs w:val="22"/>
          <w:lang w:val="en-GB"/>
        </w:rPr>
        <w:t>intellectual property, cultural heritage, and fashion</w:t>
      </w:r>
      <w:r w:rsidR="00AF2986">
        <w:rPr>
          <w:szCs w:val="22"/>
          <w:lang w:val="en-GB"/>
        </w:rPr>
        <w:t xml:space="preserve">.  Information is available at: </w:t>
      </w:r>
      <w:r w:rsidR="00975069">
        <w:rPr>
          <w:szCs w:val="22"/>
          <w:lang w:val="en-GB"/>
        </w:rPr>
        <w:t xml:space="preserve"> </w:t>
      </w:r>
      <w:hyperlink r:id="rId24" w:history="1">
        <w:r w:rsidR="00975069" w:rsidRPr="00471FF2">
          <w:rPr>
            <w:rStyle w:val="Hyperlink"/>
            <w:szCs w:val="22"/>
            <w:lang w:val="en-GB"/>
          </w:rPr>
          <w:t>https://www.wipo.int/en/web/traditional-knowledge/fashion</w:t>
        </w:r>
      </w:hyperlink>
      <w:r w:rsidR="00975069">
        <w:rPr>
          <w:szCs w:val="22"/>
          <w:lang w:val="en-GB"/>
        </w:rPr>
        <w:t xml:space="preserve">. </w:t>
      </w:r>
    </w:p>
    <w:p w14:paraId="2EDCE3E8" w14:textId="77777777" w:rsidR="00F5412D" w:rsidRDefault="00F5412D" w:rsidP="00B80B91">
      <w:pPr>
        <w:rPr>
          <w:b/>
          <w:szCs w:val="22"/>
          <w:lang w:val="en-GB"/>
        </w:rPr>
      </w:pPr>
    </w:p>
    <w:p w14:paraId="6A5EFE95" w14:textId="5E2AE696" w:rsidR="00B80B91" w:rsidRPr="00B80B91" w:rsidRDefault="00B80B91" w:rsidP="00B80B91">
      <w:pPr>
        <w:rPr>
          <w:b/>
          <w:szCs w:val="22"/>
          <w:lang w:val="en-GB"/>
        </w:rPr>
      </w:pPr>
      <w:r w:rsidRPr="00B80B91">
        <w:rPr>
          <w:b/>
          <w:szCs w:val="22"/>
          <w:lang w:val="en-GB"/>
        </w:rPr>
        <w:t>New Resources</w:t>
      </w:r>
    </w:p>
    <w:p w14:paraId="17AC56A0" w14:textId="77777777" w:rsidR="00B80B91" w:rsidRPr="00B80B91" w:rsidRDefault="00B80B91" w:rsidP="00B80B91"/>
    <w:p w14:paraId="353F8D81" w14:textId="6E319356" w:rsidR="00010FBF" w:rsidRDefault="009C44A4" w:rsidP="00010FBF">
      <w:pPr>
        <w:pStyle w:val="ListParagraph"/>
        <w:numPr>
          <w:ilvl w:val="0"/>
          <w:numId w:val="14"/>
        </w:numPr>
        <w:ind w:left="0" w:firstLine="0"/>
        <w:contextualSpacing w:val="0"/>
        <w:rPr>
          <w:szCs w:val="22"/>
        </w:rPr>
      </w:pPr>
      <w:r>
        <w:rPr>
          <w:szCs w:val="22"/>
        </w:rPr>
        <w:t>The WIPO Secretariat developed a guide and t</w:t>
      </w:r>
      <w:r w:rsidR="00352D1C">
        <w:rPr>
          <w:szCs w:val="22"/>
        </w:rPr>
        <w:t>ips</w:t>
      </w:r>
      <w:r>
        <w:rPr>
          <w:szCs w:val="22"/>
        </w:rPr>
        <w:t xml:space="preserve"> to support Indigenous </w:t>
      </w:r>
      <w:r w:rsidR="00F40E9A">
        <w:rPr>
          <w:szCs w:val="22"/>
        </w:rPr>
        <w:t xml:space="preserve">Peoples </w:t>
      </w:r>
      <w:r>
        <w:rPr>
          <w:szCs w:val="22"/>
        </w:rPr>
        <w:t xml:space="preserve">and local community entrepreneurs </w:t>
      </w:r>
      <w:r w:rsidR="00472589">
        <w:rPr>
          <w:szCs w:val="22"/>
        </w:rPr>
        <w:t>in navigating the intellectual property system and protecting tradition-based g</w:t>
      </w:r>
      <w:r w:rsidR="00A55D9F">
        <w:rPr>
          <w:szCs w:val="22"/>
        </w:rPr>
        <w:t>oo</w:t>
      </w:r>
      <w:r w:rsidR="00472589">
        <w:rPr>
          <w:szCs w:val="22"/>
        </w:rPr>
        <w:t>ds and services</w:t>
      </w:r>
      <w:r w:rsidR="00620728">
        <w:rPr>
          <w:szCs w:val="22"/>
        </w:rPr>
        <w:t xml:space="preserve">: </w:t>
      </w:r>
      <w:r w:rsidR="00AF2986">
        <w:rPr>
          <w:szCs w:val="22"/>
        </w:rPr>
        <w:t xml:space="preserve"> </w:t>
      </w:r>
      <w:hyperlink r:id="rId25" w:history="1">
        <w:r w:rsidR="00260F32" w:rsidRPr="0093161B">
          <w:rPr>
            <w:rStyle w:val="Hyperlink"/>
            <w:szCs w:val="22"/>
          </w:rPr>
          <w:t>https://www.wipo.int/en/web/traditional-knowledge/entrepreneurship/top-tips</w:t>
        </w:r>
      </w:hyperlink>
      <w:r w:rsidR="00260F32">
        <w:rPr>
          <w:szCs w:val="22"/>
        </w:rPr>
        <w:t xml:space="preserve">. </w:t>
      </w:r>
    </w:p>
    <w:p w14:paraId="1FB2D4BD" w14:textId="77777777" w:rsidR="000939CE" w:rsidRPr="000939CE" w:rsidRDefault="000939CE" w:rsidP="000939CE">
      <w:pPr>
        <w:pStyle w:val="ListParagraph"/>
        <w:rPr>
          <w:szCs w:val="22"/>
        </w:rPr>
      </w:pPr>
    </w:p>
    <w:p w14:paraId="771C9CA8" w14:textId="6AE47A68" w:rsidR="000939CE" w:rsidRPr="00010FBF" w:rsidRDefault="00140A77" w:rsidP="00010FBF">
      <w:pPr>
        <w:pStyle w:val="ListParagraph"/>
        <w:numPr>
          <w:ilvl w:val="0"/>
          <w:numId w:val="14"/>
        </w:numPr>
        <w:ind w:left="0" w:firstLine="0"/>
        <w:contextualSpacing w:val="0"/>
        <w:rPr>
          <w:szCs w:val="22"/>
        </w:rPr>
      </w:pPr>
      <w:r>
        <w:rPr>
          <w:szCs w:val="22"/>
        </w:rPr>
        <w:lastRenderedPageBreak/>
        <w:t xml:space="preserve">The WIPO Secretariat provides practical guidance for Indigenous </w:t>
      </w:r>
      <w:r w:rsidR="00F40E9A">
        <w:rPr>
          <w:szCs w:val="22"/>
        </w:rPr>
        <w:t xml:space="preserve">Peoples </w:t>
      </w:r>
      <w:r>
        <w:rPr>
          <w:szCs w:val="22"/>
        </w:rPr>
        <w:t xml:space="preserve">and local community entrepreneurs seeking to take their tradition-based businesses online. </w:t>
      </w:r>
      <w:r w:rsidR="00F40E9A">
        <w:rPr>
          <w:szCs w:val="22"/>
        </w:rPr>
        <w:t xml:space="preserve"> </w:t>
      </w:r>
      <w:r>
        <w:rPr>
          <w:szCs w:val="22"/>
        </w:rPr>
        <w:t xml:space="preserve">This resource </w:t>
      </w:r>
      <w:r w:rsidR="00A048C4">
        <w:rPr>
          <w:szCs w:val="22"/>
        </w:rPr>
        <w:t xml:space="preserve">offers practical tips for taking tradition-based businesses online and identify where Indigenous </w:t>
      </w:r>
      <w:r w:rsidR="0067439E">
        <w:rPr>
          <w:szCs w:val="22"/>
        </w:rPr>
        <w:t xml:space="preserve">Peoples </w:t>
      </w:r>
      <w:r w:rsidR="00A048C4">
        <w:rPr>
          <w:szCs w:val="22"/>
        </w:rPr>
        <w:t xml:space="preserve">and local community entrepreneurs may access further support: </w:t>
      </w:r>
      <w:r w:rsidR="00AF2986">
        <w:rPr>
          <w:szCs w:val="22"/>
        </w:rPr>
        <w:t xml:space="preserve"> </w:t>
      </w:r>
      <w:hyperlink r:id="rId26" w:history="1">
        <w:r w:rsidR="00260F32" w:rsidRPr="0093161B">
          <w:rPr>
            <w:rStyle w:val="Hyperlink"/>
            <w:szCs w:val="22"/>
          </w:rPr>
          <w:t>https://www.wipo.int/en/web/traditional-knowledge/entrepreneurship/digital-economy-tips</w:t>
        </w:r>
      </w:hyperlink>
      <w:r w:rsidR="00C51706">
        <w:rPr>
          <w:szCs w:val="22"/>
        </w:rPr>
        <w:t>.</w:t>
      </w:r>
      <w:r w:rsidR="00260F32">
        <w:rPr>
          <w:szCs w:val="22"/>
        </w:rPr>
        <w:t xml:space="preserve"> </w:t>
      </w:r>
      <w:r w:rsidR="00C51706">
        <w:rPr>
          <w:szCs w:val="22"/>
        </w:rPr>
        <w:t xml:space="preserve"> </w:t>
      </w:r>
    </w:p>
    <w:p w14:paraId="6559BFF6" w14:textId="77777777" w:rsidR="00B80B91" w:rsidRDefault="00B80B91" w:rsidP="00B80B91">
      <w:pPr>
        <w:pStyle w:val="ListParagraph"/>
        <w:ind w:left="0"/>
        <w:rPr>
          <w:szCs w:val="22"/>
        </w:rPr>
      </w:pPr>
    </w:p>
    <w:p w14:paraId="1512A3EE" w14:textId="06DE1B34" w:rsidR="0067439E" w:rsidRPr="00B80B91" w:rsidRDefault="0067439E" w:rsidP="00BB2C70">
      <w:pPr>
        <w:pStyle w:val="ListParagraph"/>
        <w:numPr>
          <w:ilvl w:val="0"/>
          <w:numId w:val="14"/>
        </w:numPr>
        <w:ind w:left="0" w:firstLine="0"/>
        <w:rPr>
          <w:szCs w:val="22"/>
        </w:rPr>
      </w:pPr>
      <w:r>
        <w:rPr>
          <w:szCs w:val="22"/>
        </w:rPr>
        <w:t xml:space="preserve">WIPO and the </w:t>
      </w:r>
      <w:r w:rsidRPr="0067439E">
        <w:rPr>
          <w:szCs w:val="22"/>
        </w:rPr>
        <w:t>National Copyright Administration of China (NCAC)</w:t>
      </w:r>
      <w:r>
        <w:rPr>
          <w:szCs w:val="22"/>
        </w:rPr>
        <w:t xml:space="preserve"> co-organized an </w:t>
      </w:r>
      <w:r w:rsidRPr="0067439E">
        <w:rPr>
          <w:szCs w:val="22"/>
        </w:rPr>
        <w:t>International Symposium on Intellectual Property and Traditional Cultural Expressions</w:t>
      </w:r>
      <w:r>
        <w:rPr>
          <w:szCs w:val="22"/>
        </w:rPr>
        <w:t xml:space="preserve"> from November 25 to 27, 2025.  The presentations are available at:  </w:t>
      </w:r>
      <w:hyperlink r:id="rId27" w:history="1">
        <w:r w:rsidRPr="0047391F">
          <w:rPr>
            <w:rStyle w:val="Hyperlink"/>
            <w:szCs w:val="22"/>
          </w:rPr>
          <w:t>https://www.wipo.int/meetings/en/details.jsp?meeting_id=90468</w:t>
        </w:r>
      </w:hyperlink>
      <w:r>
        <w:rPr>
          <w:szCs w:val="22"/>
        </w:rPr>
        <w:t xml:space="preserve">. </w:t>
      </w:r>
    </w:p>
    <w:p w14:paraId="0F728FFD" w14:textId="77777777" w:rsidR="00B80B91" w:rsidRPr="00B80B91" w:rsidRDefault="00B80B91" w:rsidP="00B80B91">
      <w:pPr>
        <w:pStyle w:val="ListParagraph"/>
        <w:ind w:left="990"/>
        <w:rPr>
          <w:szCs w:val="22"/>
        </w:rPr>
      </w:pPr>
    </w:p>
    <w:p w14:paraId="390A9F5F" w14:textId="77777777" w:rsidR="00B80B91" w:rsidRPr="00B80B91" w:rsidRDefault="00B80B91" w:rsidP="00B80B91"/>
    <w:p w14:paraId="6790DDC5" w14:textId="77777777" w:rsidR="002928D3" w:rsidRPr="00B80B91" w:rsidRDefault="00B80B91" w:rsidP="00753DC6">
      <w:pPr>
        <w:pStyle w:val="Endofdocument"/>
      </w:pPr>
      <w:r w:rsidRPr="00B80B91">
        <w:rPr>
          <w:sz w:val="22"/>
          <w:szCs w:val="22"/>
        </w:rPr>
        <w:t>[End of Annex and of document]</w:t>
      </w:r>
    </w:p>
    <w:sectPr w:rsidR="002928D3" w:rsidRPr="00B80B91" w:rsidSect="006605C7">
      <w:headerReference w:type="even" r:id="rId28"/>
      <w:headerReference w:type="default" r:id="rId29"/>
      <w:headerReference w:type="first" r:id="rId3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E96DD" w14:textId="77777777" w:rsidR="00FE63F2" w:rsidRDefault="00FE63F2">
      <w:r>
        <w:separator/>
      </w:r>
    </w:p>
  </w:endnote>
  <w:endnote w:type="continuationSeparator" w:id="0">
    <w:p w14:paraId="5C4B67A3" w14:textId="77777777" w:rsidR="00FE63F2" w:rsidRDefault="00FE63F2" w:rsidP="003B38C1">
      <w:r>
        <w:separator/>
      </w:r>
    </w:p>
    <w:p w14:paraId="53D3CB61" w14:textId="77777777" w:rsidR="00FE63F2" w:rsidRPr="003B38C1" w:rsidRDefault="00FE63F2" w:rsidP="003B38C1">
      <w:pPr>
        <w:spacing w:after="60"/>
        <w:rPr>
          <w:sz w:val="17"/>
        </w:rPr>
      </w:pPr>
      <w:r>
        <w:rPr>
          <w:sz w:val="17"/>
        </w:rPr>
        <w:t>[Endnote continued from previous page]</w:t>
      </w:r>
    </w:p>
  </w:endnote>
  <w:endnote w:type="continuationNotice" w:id="1">
    <w:p w14:paraId="28E97EE9" w14:textId="77777777" w:rsidR="00FE63F2" w:rsidRPr="003B38C1" w:rsidRDefault="00FE63F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72F6" w14:textId="67FCB6EF" w:rsidR="00594650" w:rsidRDefault="00594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0B83" w14:textId="7B5787AB" w:rsidR="00594650" w:rsidRDefault="00594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7657" w14:textId="39FEB44C" w:rsidR="00594650" w:rsidRDefault="00594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C1D85" w14:textId="77777777" w:rsidR="00FE63F2" w:rsidRDefault="00FE63F2">
      <w:r>
        <w:separator/>
      </w:r>
    </w:p>
  </w:footnote>
  <w:footnote w:type="continuationSeparator" w:id="0">
    <w:p w14:paraId="7C608907" w14:textId="77777777" w:rsidR="00FE63F2" w:rsidRDefault="00FE63F2" w:rsidP="008B60B2">
      <w:r>
        <w:separator/>
      </w:r>
    </w:p>
    <w:p w14:paraId="1E75C8FB" w14:textId="77777777" w:rsidR="00FE63F2" w:rsidRPr="00ED77FB" w:rsidRDefault="00FE63F2" w:rsidP="008B60B2">
      <w:pPr>
        <w:spacing w:after="60"/>
        <w:rPr>
          <w:sz w:val="17"/>
          <w:szCs w:val="17"/>
        </w:rPr>
      </w:pPr>
      <w:r w:rsidRPr="00ED77FB">
        <w:rPr>
          <w:sz w:val="17"/>
          <w:szCs w:val="17"/>
        </w:rPr>
        <w:t>[Footnote continued from previous page]</w:t>
      </w:r>
    </w:p>
  </w:footnote>
  <w:footnote w:type="continuationNotice" w:id="1">
    <w:p w14:paraId="0E889960" w14:textId="77777777" w:rsidR="00FE63F2" w:rsidRPr="00ED77FB" w:rsidRDefault="00FE63F2" w:rsidP="008B60B2">
      <w:pPr>
        <w:spacing w:before="60"/>
        <w:jc w:val="right"/>
        <w:rPr>
          <w:sz w:val="17"/>
          <w:szCs w:val="17"/>
        </w:rPr>
      </w:pPr>
      <w:r w:rsidRPr="00ED77FB">
        <w:rPr>
          <w:sz w:val="17"/>
          <w:szCs w:val="17"/>
        </w:rPr>
        <w:t>[Footnote continued on next page]</w:t>
      </w:r>
    </w:p>
  </w:footnote>
  <w:footnote w:id="2">
    <w:p w14:paraId="4CDCCA80" w14:textId="77777777" w:rsidR="00B80B91" w:rsidRDefault="00B80B91" w:rsidP="00B80B91">
      <w:pPr>
        <w:pStyle w:val="FootnoteText"/>
      </w:pPr>
      <w:r>
        <w:rPr>
          <w:rStyle w:val="FootnoteReference"/>
        </w:rPr>
        <w:footnoteRef/>
      </w:r>
      <w:r>
        <w:t xml:space="preserve"> See report of the Twentieth Session (WIPO/GRTKF/IC/20/10), paragraph 801 (f).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815E" w14:textId="77777777" w:rsidR="00B80B91" w:rsidRDefault="00B80B91" w:rsidP="00CD7342">
    <w:pPr>
      <w:pStyle w:val="Header"/>
      <w:jc w:val="right"/>
    </w:pPr>
    <w:r>
      <w:t>WIPO/GRTKF/IC/35/INF/8</w:t>
    </w:r>
  </w:p>
  <w:p w14:paraId="131CC7BF" w14:textId="77777777" w:rsidR="00B80B91" w:rsidRDefault="00B80B91" w:rsidP="00CD7342">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227A0A2" w14:textId="77777777" w:rsidR="00B80B91" w:rsidRDefault="00B80B91" w:rsidP="00CD7342">
    <w:pPr>
      <w:pStyle w:val="Header"/>
      <w:jc w:val="right"/>
    </w:pPr>
  </w:p>
  <w:p w14:paraId="554A542C" w14:textId="77777777" w:rsidR="00B80B91" w:rsidRDefault="00B80B91" w:rsidP="00CD734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906B" w14:textId="59E1309B" w:rsidR="00B80B91" w:rsidRDefault="00B80B91" w:rsidP="00B80B91">
    <w:pPr>
      <w:pStyle w:val="Header"/>
      <w:ind w:left="6570" w:hanging="180"/>
      <w:jc w:val="right"/>
    </w:pPr>
    <w:r>
      <w:t>WIPO/GRTKF/IC/</w:t>
    </w:r>
    <w:r w:rsidR="00037B2B">
      <w:t>5</w:t>
    </w:r>
    <w:r>
      <w:t>2/INF/</w:t>
    </w:r>
    <w:r w:rsidR="00037B2B">
      <w:t>8</w:t>
    </w:r>
  </w:p>
  <w:p w14:paraId="7A8F3BC6" w14:textId="77777777" w:rsidR="00B80B91" w:rsidRDefault="00B80B91" w:rsidP="00574486">
    <w:pPr>
      <w:pStyle w:val="Header"/>
      <w:tabs>
        <w:tab w:val="clear" w:pos="9072"/>
        <w:tab w:val="right" w:pos="9270"/>
      </w:tabs>
      <w:ind w:left="6804" w:firstLine="216"/>
      <w:jc w:val="right"/>
    </w:pPr>
    <w:r>
      <w:t>page 2</w:t>
    </w:r>
  </w:p>
  <w:p w14:paraId="63F51224" w14:textId="77777777" w:rsidR="00B80B91" w:rsidRDefault="00B80B91" w:rsidP="00CD7342">
    <w:pPr>
      <w:pStyle w:val="Header"/>
      <w:ind w:left="6804"/>
    </w:pPr>
  </w:p>
  <w:p w14:paraId="4BC5C89E" w14:textId="77777777" w:rsidR="00B80B91" w:rsidRDefault="00B80B91" w:rsidP="00CD7342">
    <w:pPr>
      <w:pStyle w:val="Header"/>
      <w:ind w:left="680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24D3" w14:textId="77777777" w:rsidR="000F2AD2" w:rsidRDefault="000F2AD2" w:rsidP="000F2AD2">
    <w:pPr>
      <w:jc w:val="right"/>
    </w:pPr>
  </w:p>
  <w:p w14:paraId="66817F74" w14:textId="77777777" w:rsidR="000F2AD2" w:rsidRDefault="000F2AD2" w:rsidP="000F2AD2">
    <w:pPr>
      <w:jc w:val="right"/>
    </w:pPr>
    <w:r>
      <w:t xml:space="preserve">page </w:t>
    </w:r>
    <w:r>
      <w:fldChar w:fldCharType="begin"/>
    </w:r>
    <w:r>
      <w:instrText xml:space="preserve"> PAGE  \* MERGEFORMAT </w:instrText>
    </w:r>
    <w:r>
      <w:fldChar w:fldCharType="separate"/>
    </w:r>
    <w:r w:rsidR="006605C7">
      <w:rPr>
        <w:noProof/>
      </w:rPr>
      <w:t>4</w:t>
    </w:r>
    <w:r>
      <w:fldChar w:fldCharType="end"/>
    </w:r>
  </w:p>
  <w:p w14:paraId="110365F3" w14:textId="77777777" w:rsidR="000F2AD2" w:rsidRDefault="000F2AD2" w:rsidP="000F2AD2">
    <w:pPr>
      <w:jc w:val="right"/>
    </w:pPr>
  </w:p>
  <w:p w14:paraId="4A6AE8D4" w14:textId="77777777" w:rsidR="000F2AD2" w:rsidRDefault="000F2AD2" w:rsidP="000F2AD2">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C515D" w14:textId="5DAD46EF" w:rsidR="00EC4E49" w:rsidRDefault="006605C7" w:rsidP="00477D6B">
    <w:pPr>
      <w:jc w:val="right"/>
    </w:pPr>
    <w:bookmarkStart w:id="5" w:name="Code2"/>
    <w:bookmarkEnd w:id="5"/>
    <w:r>
      <w:t>WIPO/GRTKF/IC/</w:t>
    </w:r>
    <w:r w:rsidR="007D01A1">
      <w:t>5</w:t>
    </w:r>
    <w:r>
      <w:t>2/</w:t>
    </w:r>
    <w:r w:rsidR="00566FC7">
      <w:t>INF/</w:t>
    </w:r>
    <w:r w:rsidR="007D01A1">
      <w:t>8</w:t>
    </w:r>
  </w:p>
  <w:p w14:paraId="2C9A13F0" w14:textId="77777777" w:rsidR="00EC4E49" w:rsidRDefault="00A21CFA" w:rsidP="00477D6B">
    <w:pPr>
      <w:jc w:val="right"/>
    </w:pPr>
    <w:r>
      <w:t xml:space="preserve">Annex, </w:t>
    </w:r>
    <w:r w:rsidR="00EC4E49">
      <w:t xml:space="preserve">page </w:t>
    </w:r>
    <w:r w:rsidR="00EC4E49">
      <w:fldChar w:fldCharType="begin"/>
    </w:r>
    <w:r w:rsidR="00EC4E49">
      <w:instrText xml:space="preserve"> PAGE  \* MERGEFORMAT </w:instrText>
    </w:r>
    <w:r w:rsidR="00EC4E49">
      <w:fldChar w:fldCharType="separate"/>
    </w:r>
    <w:r w:rsidR="00753DC6">
      <w:rPr>
        <w:noProof/>
      </w:rPr>
      <w:t>3</w:t>
    </w:r>
    <w:r w:rsidR="00EC4E49">
      <w:fldChar w:fldCharType="end"/>
    </w:r>
  </w:p>
  <w:p w14:paraId="2DFB9CAB" w14:textId="77777777" w:rsidR="00EC4E49" w:rsidRDefault="00EC4E49" w:rsidP="00477D6B">
    <w:pPr>
      <w:jc w:val="right"/>
    </w:pPr>
  </w:p>
  <w:p w14:paraId="28B62972" w14:textId="77777777" w:rsidR="008A134B" w:rsidRDefault="008A134B"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334F0" w14:textId="3AC20DBF" w:rsidR="00A21CFA" w:rsidRDefault="00A21CFA" w:rsidP="00B80B91">
    <w:pPr>
      <w:pStyle w:val="Header"/>
      <w:ind w:left="6570" w:hanging="180"/>
      <w:jc w:val="right"/>
    </w:pPr>
    <w:r>
      <w:t>WIPO/GRTKF/IC/</w:t>
    </w:r>
    <w:r w:rsidR="00424621">
      <w:t>5</w:t>
    </w:r>
    <w:r>
      <w:t>2/INF/</w:t>
    </w:r>
    <w:r w:rsidR="00F41C04">
      <w:t>8</w:t>
    </w:r>
  </w:p>
  <w:p w14:paraId="1A82BAE0" w14:textId="77777777" w:rsidR="00A21CFA" w:rsidRDefault="00A21CFA" w:rsidP="00574486">
    <w:pPr>
      <w:pStyle w:val="Header"/>
      <w:tabs>
        <w:tab w:val="clear" w:pos="9072"/>
        <w:tab w:val="right" w:pos="9270"/>
      </w:tabs>
      <w:ind w:left="6804" w:firstLine="216"/>
      <w:jc w:val="right"/>
    </w:pPr>
    <w:r>
      <w:t>ANNEX</w:t>
    </w:r>
  </w:p>
  <w:p w14:paraId="2447D534" w14:textId="77777777" w:rsidR="00A21CFA" w:rsidRDefault="00A21CFA" w:rsidP="00CD7342">
    <w:pPr>
      <w:pStyle w:val="Header"/>
      <w:ind w:left="6804"/>
    </w:pPr>
  </w:p>
  <w:p w14:paraId="72CAFDB6" w14:textId="77777777" w:rsidR="00A21CFA" w:rsidRDefault="00A21CFA" w:rsidP="00CD7342">
    <w:pPr>
      <w:pStyle w:val="Header"/>
      <w:ind w:left="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6F70C3"/>
    <w:multiLevelType w:val="hybridMultilevel"/>
    <w:tmpl w:val="8AB020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EB2CDB"/>
    <w:multiLevelType w:val="hybridMultilevel"/>
    <w:tmpl w:val="E44E379A"/>
    <w:lvl w:ilvl="0" w:tplc="2674AB7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7E1039"/>
    <w:multiLevelType w:val="hybridMultilevel"/>
    <w:tmpl w:val="011ABDCA"/>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58F1833"/>
    <w:multiLevelType w:val="hybridMultilevel"/>
    <w:tmpl w:val="03AAE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9E3F35"/>
    <w:multiLevelType w:val="hybridMultilevel"/>
    <w:tmpl w:val="2D6CDF4C"/>
    <w:lvl w:ilvl="0" w:tplc="04090005">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2EFE050F"/>
    <w:multiLevelType w:val="hybridMultilevel"/>
    <w:tmpl w:val="FB4E6760"/>
    <w:lvl w:ilvl="0" w:tplc="6C50979A">
      <w:start w:val="1"/>
      <w:numFmt w:val="decimal"/>
      <w:lvlText w:val="%1."/>
      <w:lvlJc w:val="left"/>
      <w:pPr>
        <w:ind w:left="36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9521B23"/>
    <w:multiLevelType w:val="hybridMultilevel"/>
    <w:tmpl w:val="93A6CF66"/>
    <w:lvl w:ilvl="0" w:tplc="393AC1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B53E48"/>
    <w:multiLevelType w:val="hybridMultilevel"/>
    <w:tmpl w:val="D8BC35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3475713">
    <w:abstractNumId w:val="3"/>
  </w:num>
  <w:num w:numId="2" w16cid:durableId="1578902249">
    <w:abstractNumId w:val="10"/>
  </w:num>
  <w:num w:numId="3" w16cid:durableId="1220365386">
    <w:abstractNumId w:val="0"/>
  </w:num>
  <w:num w:numId="4" w16cid:durableId="1810125797">
    <w:abstractNumId w:val="13"/>
  </w:num>
  <w:num w:numId="5" w16cid:durableId="1221483726">
    <w:abstractNumId w:val="1"/>
  </w:num>
  <w:num w:numId="6" w16cid:durableId="450823899">
    <w:abstractNumId w:val="6"/>
  </w:num>
  <w:num w:numId="7" w16cid:durableId="1805389263">
    <w:abstractNumId w:val="7"/>
  </w:num>
  <w:num w:numId="8" w16cid:durableId="1464885883">
    <w:abstractNumId w:val="12"/>
  </w:num>
  <w:num w:numId="9" w16cid:durableId="1941717974">
    <w:abstractNumId w:val="11"/>
  </w:num>
  <w:num w:numId="10" w16cid:durableId="1287472420">
    <w:abstractNumId w:val="4"/>
  </w:num>
  <w:num w:numId="11" w16cid:durableId="125247628">
    <w:abstractNumId w:val="5"/>
  </w:num>
  <w:num w:numId="12" w16cid:durableId="1308128658">
    <w:abstractNumId w:val="8"/>
  </w:num>
  <w:num w:numId="13" w16cid:durableId="58290494">
    <w:abstractNumId w:val="9"/>
  </w:num>
  <w:num w:numId="14" w16cid:durableId="8151003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D2"/>
    <w:rsid w:val="0000501D"/>
    <w:rsid w:val="00010FBF"/>
    <w:rsid w:val="00037B2B"/>
    <w:rsid w:val="00043CAA"/>
    <w:rsid w:val="00075432"/>
    <w:rsid w:val="00090C21"/>
    <w:rsid w:val="000939CE"/>
    <w:rsid w:val="000968ED"/>
    <w:rsid w:val="000C2C18"/>
    <w:rsid w:val="000D1DD6"/>
    <w:rsid w:val="000D73A0"/>
    <w:rsid w:val="000E0203"/>
    <w:rsid w:val="000E3569"/>
    <w:rsid w:val="000E74EE"/>
    <w:rsid w:val="000F2AD2"/>
    <w:rsid w:val="000F5E56"/>
    <w:rsid w:val="00104D6B"/>
    <w:rsid w:val="00107159"/>
    <w:rsid w:val="00110E22"/>
    <w:rsid w:val="00115E49"/>
    <w:rsid w:val="0013565A"/>
    <w:rsid w:val="001362EE"/>
    <w:rsid w:val="00140A77"/>
    <w:rsid w:val="00147D7A"/>
    <w:rsid w:val="001539AC"/>
    <w:rsid w:val="001647D5"/>
    <w:rsid w:val="001832A6"/>
    <w:rsid w:val="00183BAE"/>
    <w:rsid w:val="001977F4"/>
    <w:rsid w:val="001A308F"/>
    <w:rsid w:val="001A645A"/>
    <w:rsid w:val="001B3090"/>
    <w:rsid w:val="001B415F"/>
    <w:rsid w:val="001C2657"/>
    <w:rsid w:val="001D54DC"/>
    <w:rsid w:val="002077A2"/>
    <w:rsid w:val="0021217E"/>
    <w:rsid w:val="00222CEC"/>
    <w:rsid w:val="002344AF"/>
    <w:rsid w:val="00246001"/>
    <w:rsid w:val="002605C8"/>
    <w:rsid w:val="002609C9"/>
    <w:rsid w:val="00260F32"/>
    <w:rsid w:val="002634C4"/>
    <w:rsid w:val="002928D3"/>
    <w:rsid w:val="00293276"/>
    <w:rsid w:val="002B3232"/>
    <w:rsid w:val="002B4CA8"/>
    <w:rsid w:val="002B5AFB"/>
    <w:rsid w:val="002D7E80"/>
    <w:rsid w:val="002E1A24"/>
    <w:rsid w:val="002E712F"/>
    <w:rsid w:val="002F1FE6"/>
    <w:rsid w:val="002F4E68"/>
    <w:rsid w:val="00305A27"/>
    <w:rsid w:val="00312F7F"/>
    <w:rsid w:val="00352D1C"/>
    <w:rsid w:val="00361450"/>
    <w:rsid w:val="003673CF"/>
    <w:rsid w:val="00383323"/>
    <w:rsid w:val="003845C1"/>
    <w:rsid w:val="003A0A30"/>
    <w:rsid w:val="003A6F89"/>
    <w:rsid w:val="003B38C1"/>
    <w:rsid w:val="003C1B6A"/>
    <w:rsid w:val="00410EA8"/>
    <w:rsid w:val="00423E3E"/>
    <w:rsid w:val="00424621"/>
    <w:rsid w:val="00427AF4"/>
    <w:rsid w:val="00432321"/>
    <w:rsid w:val="004647DA"/>
    <w:rsid w:val="004650FD"/>
    <w:rsid w:val="00472589"/>
    <w:rsid w:val="00474062"/>
    <w:rsid w:val="00477D6B"/>
    <w:rsid w:val="00486A76"/>
    <w:rsid w:val="004C3D98"/>
    <w:rsid w:val="004C3FBE"/>
    <w:rsid w:val="004D5B03"/>
    <w:rsid w:val="004D6B32"/>
    <w:rsid w:val="005019FF"/>
    <w:rsid w:val="00502F48"/>
    <w:rsid w:val="00502FA1"/>
    <w:rsid w:val="0053057A"/>
    <w:rsid w:val="00530BDD"/>
    <w:rsid w:val="00560A29"/>
    <w:rsid w:val="00560A39"/>
    <w:rsid w:val="00566FC7"/>
    <w:rsid w:val="00594650"/>
    <w:rsid w:val="005B60CE"/>
    <w:rsid w:val="005B74EA"/>
    <w:rsid w:val="005C6649"/>
    <w:rsid w:val="005E0B89"/>
    <w:rsid w:val="005F2EB1"/>
    <w:rsid w:val="00605827"/>
    <w:rsid w:val="00610FB4"/>
    <w:rsid w:val="00613753"/>
    <w:rsid w:val="00620728"/>
    <w:rsid w:val="00631C78"/>
    <w:rsid w:val="00646050"/>
    <w:rsid w:val="006552DE"/>
    <w:rsid w:val="006605C7"/>
    <w:rsid w:val="006713CA"/>
    <w:rsid w:val="0067439E"/>
    <w:rsid w:val="00676C5C"/>
    <w:rsid w:val="006D7527"/>
    <w:rsid w:val="0071755F"/>
    <w:rsid w:val="0073000C"/>
    <w:rsid w:val="00733570"/>
    <w:rsid w:val="00753DC6"/>
    <w:rsid w:val="007A0C68"/>
    <w:rsid w:val="007C21E5"/>
    <w:rsid w:val="007D01A1"/>
    <w:rsid w:val="007D1613"/>
    <w:rsid w:val="007E4BBF"/>
    <w:rsid w:val="007E4C0E"/>
    <w:rsid w:val="007F07F4"/>
    <w:rsid w:val="00802C3E"/>
    <w:rsid w:val="00806D83"/>
    <w:rsid w:val="0081259E"/>
    <w:rsid w:val="008309AB"/>
    <w:rsid w:val="00835695"/>
    <w:rsid w:val="00856FE4"/>
    <w:rsid w:val="0086701C"/>
    <w:rsid w:val="00877251"/>
    <w:rsid w:val="008A134B"/>
    <w:rsid w:val="008B2CC1"/>
    <w:rsid w:val="008B60B2"/>
    <w:rsid w:val="008E0BE1"/>
    <w:rsid w:val="008F7419"/>
    <w:rsid w:val="0090731E"/>
    <w:rsid w:val="00916EE2"/>
    <w:rsid w:val="00926155"/>
    <w:rsid w:val="00926FAE"/>
    <w:rsid w:val="0092710E"/>
    <w:rsid w:val="00935315"/>
    <w:rsid w:val="00943D90"/>
    <w:rsid w:val="00966A22"/>
    <w:rsid w:val="0096722F"/>
    <w:rsid w:val="0096726C"/>
    <w:rsid w:val="00975069"/>
    <w:rsid w:val="00980843"/>
    <w:rsid w:val="00983E37"/>
    <w:rsid w:val="009940A0"/>
    <w:rsid w:val="009A50CE"/>
    <w:rsid w:val="009B0198"/>
    <w:rsid w:val="009B06C6"/>
    <w:rsid w:val="009C44A4"/>
    <w:rsid w:val="009E2791"/>
    <w:rsid w:val="009E3F6F"/>
    <w:rsid w:val="009F499F"/>
    <w:rsid w:val="00A0151C"/>
    <w:rsid w:val="00A048C4"/>
    <w:rsid w:val="00A21CFA"/>
    <w:rsid w:val="00A33C69"/>
    <w:rsid w:val="00A35B53"/>
    <w:rsid w:val="00A37342"/>
    <w:rsid w:val="00A4235D"/>
    <w:rsid w:val="00A42DAF"/>
    <w:rsid w:val="00A45BD8"/>
    <w:rsid w:val="00A55D9F"/>
    <w:rsid w:val="00A614A9"/>
    <w:rsid w:val="00A869B7"/>
    <w:rsid w:val="00AA4FC4"/>
    <w:rsid w:val="00AC205C"/>
    <w:rsid w:val="00AC6237"/>
    <w:rsid w:val="00AD222F"/>
    <w:rsid w:val="00AE2A32"/>
    <w:rsid w:val="00AF0A6B"/>
    <w:rsid w:val="00AF2986"/>
    <w:rsid w:val="00B05A69"/>
    <w:rsid w:val="00B44EB1"/>
    <w:rsid w:val="00B45CFB"/>
    <w:rsid w:val="00B4759F"/>
    <w:rsid w:val="00B61189"/>
    <w:rsid w:val="00B67969"/>
    <w:rsid w:val="00B80B23"/>
    <w:rsid w:val="00B80B91"/>
    <w:rsid w:val="00B8484F"/>
    <w:rsid w:val="00B90FFA"/>
    <w:rsid w:val="00B91C06"/>
    <w:rsid w:val="00B9734B"/>
    <w:rsid w:val="00BA30E2"/>
    <w:rsid w:val="00BA79E6"/>
    <w:rsid w:val="00BB2C70"/>
    <w:rsid w:val="00BC55B0"/>
    <w:rsid w:val="00BC7DD2"/>
    <w:rsid w:val="00BD27BA"/>
    <w:rsid w:val="00C00E16"/>
    <w:rsid w:val="00C11BFE"/>
    <w:rsid w:val="00C370E7"/>
    <w:rsid w:val="00C5068F"/>
    <w:rsid w:val="00C51706"/>
    <w:rsid w:val="00C5324B"/>
    <w:rsid w:val="00C67768"/>
    <w:rsid w:val="00C86D74"/>
    <w:rsid w:val="00CA129C"/>
    <w:rsid w:val="00CC3F02"/>
    <w:rsid w:val="00CD04F1"/>
    <w:rsid w:val="00CE6408"/>
    <w:rsid w:val="00D02894"/>
    <w:rsid w:val="00D152E3"/>
    <w:rsid w:val="00D43624"/>
    <w:rsid w:val="00D447A4"/>
    <w:rsid w:val="00D45252"/>
    <w:rsid w:val="00D71B4D"/>
    <w:rsid w:val="00D80F61"/>
    <w:rsid w:val="00D93D55"/>
    <w:rsid w:val="00DB2E45"/>
    <w:rsid w:val="00DD3BAD"/>
    <w:rsid w:val="00DD3F47"/>
    <w:rsid w:val="00DD7BD0"/>
    <w:rsid w:val="00E13D88"/>
    <w:rsid w:val="00E15015"/>
    <w:rsid w:val="00E31716"/>
    <w:rsid w:val="00E335FE"/>
    <w:rsid w:val="00E40366"/>
    <w:rsid w:val="00E45DA4"/>
    <w:rsid w:val="00E914F9"/>
    <w:rsid w:val="00EA6F82"/>
    <w:rsid w:val="00EA7D6E"/>
    <w:rsid w:val="00EB1357"/>
    <w:rsid w:val="00EC4E49"/>
    <w:rsid w:val="00ED77FB"/>
    <w:rsid w:val="00EE2E6B"/>
    <w:rsid w:val="00EE45FA"/>
    <w:rsid w:val="00EE72BF"/>
    <w:rsid w:val="00F231B9"/>
    <w:rsid w:val="00F257A9"/>
    <w:rsid w:val="00F3045B"/>
    <w:rsid w:val="00F349D4"/>
    <w:rsid w:val="00F40E9A"/>
    <w:rsid w:val="00F41C04"/>
    <w:rsid w:val="00F432DC"/>
    <w:rsid w:val="00F5412D"/>
    <w:rsid w:val="00F655CD"/>
    <w:rsid w:val="00F66152"/>
    <w:rsid w:val="00F70117"/>
    <w:rsid w:val="00F83E0A"/>
    <w:rsid w:val="00FB4DB3"/>
    <w:rsid w:val="00FE63F2"/>
    <w:rsid w:val="00FF0BCB"/>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65E8D"/>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aliases w:val="Footnote ak"/>
    <w:basedOn w:val="Normal"/>
    <w:link w:val="FootnoteTextChar"/>
    <w:semiHidden/>
    <w:rsid w:val="00676C5C"/>
    <w:rPr>
      <w:sz w:val="18"/>
    </w:rPr>
  </w:style>
  <w:style w:type="paragraph" w:styleId="Header">
    <w:name w:val="header"/>
    <w:aliases w:val="Heading"/>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835695"/>
    <w:pPr>
      <w:ind w:left="720"/>
      <w:contextualSpacing/>
    </w:pPr>
  </w:style>
  <w:style w:type="character" w:customStyle="1" w:styleId="FootnoteTextChar">
    <w:name w:val="Footnote Text Char"/>
    <w:aliases w:val="Footnote ak Char"/>
    <w:basedOn w:val="DefaultParagraphFont"/>
    <w:link w:val="FootnoteText"/>
    <w:semiHidden/>
    <w:rsid w:val="00B80B91"/>
    <w:rPr>
      <w:rFonts w:ascii="Arial" w:eastAsia="SimSun" w:hAnsi="Arial" w:cs="Arial"/>
      <w:sz w:val="18"/>
      <w:lang w:val="en-US" w:eastAsia="zh-CN"/>
    </w:rPr>
  </w:style>
  <w:style w:type="character" w:customStyle="1" w:styleId="HeaderChar">
    <w:name w:val="Header Char"/>
    <w:aliases w:val="Heading Char"/>
    <w:basedOn w:val="DefaultParagraphFont"/>
    <w:link w:val="Header"/>
    <w:semiHidden/>
    <w:rsid w:val="00B80B91"/>
    <w:rPr>
      <w:rFonts w:ascii="Arial" w:eastAsia="SimSun" w:hAnsi="Arial" w:cs="Arial"/>
      <w:sz w:val="22"/>
      <w:lang w:val="en-US" w:eastAsia="zh-CN"/>
    </w:rPr>
  </w:style>
  <w:style w:type="paragraph" w:customStyle="1" w:styleId="Endofdocument">
    <w:name w:val="End of document"/>
    <w:basedOn w:val="Normal"/>
    <w:semiHidden/>
    <w:rsid w:val="00B80B91"/>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B80B91"/>
    <w:rPr>
      <w:vertAlign w:val="superscript"/>
    </w:rPr>
  </w:style>
  <w:style w:type="character" w:styleId="PageNumber">
    <w:name w:val="page number"/>
    <w:basedOn w:val="DefaultParagraphFont"/>
    <w:rsid w:val="00B80B91"/>
  </w:style>
  <w:style w:type="character" w:styleId="Hyperlink">
    <w:name w:val="Hyperlink"/>
    <w:unhideWhenUsed/>
    <w:rsid w:val="00B80B91"/>
    <w:rPr>
      <w:color w:val="0000FF"/>
      <w:u w:val="single"/>
    </w:rPr>
  </w:style>
  <w:style w:type="paragraph" w:customStyle="1" w:styleId="DecisionInvitingPara">
    <w:name w:val="Decision Inviting Para."/>
    <w:basedOn w:val="Normal"/>
    <w:rsid w:val="00B80B91"/>
    <w:pPr>
      <w:spacing w:after="120" w:line="260" w:lineRule="atLeast"/>
      <w:ind w:left="5534"/>
      <w:contextualSpacing/>
    </w:pPr>
    <w:rPr>
      <w:rFonts w:eastAsia="Times New Roman" w:cs="Times New Roman"/>
      <w:i/>
      <w:sz w:val="20"/>
      <w:lang w:eastAsia="en-US"/>
    </w:rPr>
  </w:style>
  <w:style w:type="character" w:styleId="FollowedHyperlink">
    <w:name w:val="FollowedHyperlink"/>
    <w:basedOn w:val="DefaultParagraphFont"/>
    <w:semiHidden/>
    <w:unhideWhenUsed/>
    <w:rsid w:val="001539AC"/>
    <w:rPr>
      <w:color w:val="800080" w:themeColor="followedHyperlink"/>
      <w:u w:val="single"/>
    </w:rPr>
  </w:style>
  <w:style w:type="character" w:styleId="UnresolvedMention">
    <w:name w:val="Unresolved Mention"/>
    <w:basedOn w:val="DefaultParagraphFont"/>
    <w:uiPriority w:val="99"/>
    <w:semiHidden/>
    <w:unhideWhenUsed/>
    <w:rsid w:val="006552DE"/>
    <w:rPr>
      <w:color w:val="605E5C"/>
      <w:shd w:val="clear" w:color="auto" w:fill="E1DFDD"/>
    </w:rPr>
  </w:style>
  <w:style w:type="character" w:styleId="CommentReference">
    <w:name w:val="annotation reference"/>
    <w:basedOn w:val="DefaultParagraphFont"/>
    <w:semiHidden/>
    <w:unhideWhenUsed/>
    <w:rsid w:val="002B4CA8"/>
    <w:rPr>
      <w:sz w:val="16"/>
      <w:szCs w:val="16"/>
    </w:rPr>
  </w:style>
  <w:style w:type="paragraph" w:styleId="CommentSubject">
    <w:name w:val="annotation subject"/>
    <w:basedOn w:val="CommentText"/>
    <w:next w:val="CommentText"/>
    <w:link w:val="CommentSubjectChar"/>
    <w:semiHidden/>
    <w:unhideWhenUsed/>
    <w:rsid w:val="002B4CA8"/>
    <w:rPr>
      <w:b/>
      <w:bCs/>
      <w:sz w:val="20"/>
    </w:rPr>
  </w:style>
  <w:style w:type="character" w:customStyle="1" w:styleId="CommentTextChar">
    <w:name w:val="Comment Text Char"/>
    <w:basedOn w:val="DefaultParagraphFont"/>
    <w:link w:val="CommentText"/>
    <w:semiHidden/>
    <w:rsid w:val="002B4CA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B4CA8"/>
    <w:rPr>
      <w:rFonts w:ascii="Arial" w:eastAsia="SimSun" w:hAnsi="Arial" w:cs="Arial"/>
      <w:b/>
      <w:bCs/>
      <w:sz w:val="18"/>
      <w:lang w:val="en-US" w:eastAsia="zh-CN"/>
    </w:rPr>
  </w:style>
  <w:style w:type="paragraph" w:styleId="Revision">
    <w:name w:val="Revision"/>
    <w:hidden/>
    <w:uiPriority w:val="99"/>
    <w:semiHidden/>
    <w:rsid w:val="00560A39"/>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0920">
      <w:bodyDiv w:val="1"/>
      <w:marLeft w:val="0"/>
      <w:marRight w:val="0"/>
      <w:marTop w:val="0"/>
      <w:marBottom w:val="0"/>
      <w:divBdr>
        <w:top w:val="none" w:sz="0" w:space="0" w:color="auto"/>
        <w:left w:val="none" w:sz="0" w:space="0" w:color="auto"/>
        <w:bottom w:val="none" w:sz="0" w:space="0" w:color="auto"/>
        <w:right w:val="none" w:sz="0" w:space="0" w:color="auto"/>
      </w:divBdr>
    </w:div>
    <w:div w:id="301347098">
      <w:bodyDiv w:val="1"/>
      <w:marLeft w:val="0"/>
      <w:marRight w:val="0"/>
      <w:marTop w:val="0"/>
      <w:marBottom w:val="0"/>
      <w:divBdr>
        <w:top w:val="none" w:sz="0" w:space="0" w:color="auto"/>
        <w:left w:val="none" w:sz="0" w:space="0" w:color="auto"/>
        <w:bottom w:val="none" w:sz="0" w:space="0" w:color="auto"/>
        <w:right w:val="none" w:sz="0" w:space="0" w:color="auto"/>
      </w:divBdr>
    </w:div>
    <w:div w:id="667175860">
      <w:bodyDiv w:val="1"/>
      <w:marLeft w:val="0"/>
      <w:marRight w:val="0"/>
      <w:marTop w:val="0"/>
      <w:marBottom w:val="0"/>
      <w:divBdr>
        <w:top w:val="none" w:sz="0" w:space="0" w:color="auto"/>
        <w:left w:val="none" w:sz="0" w:space="0" w:color="auto"/>
        <w:bottom w:val="none" w:sz="0" w:space="0" w:color="auto"/>
        <w:right w:val="none" w:sz="0" w:space="0" w:color="auto"/>
      </w:divBdr>
    </w:div>
    <w:div w:id="1459252331">
      <w:bodyDiv w:val="1"/>
      <w:marLeft w:val="0"/>
      <w:marRight w:val="0"/>
      <w:marTop w:val="0"/>
      <w:marBottom w:val="0"/>
      <w:divBdr>
        <w:top w:val="none" w:sz="0" w:space="0" w:color="auto"/>
        <w:left w:val="none" w:sz="0" w:space="0" w:color="auto"/>
        <w:bottom w:val="none" w:sz="0" w:space="0" w:color="auto"/>
        <w:right w:val="none" w:sz="0" w:space="0" w:color="auto"/>
      </w:divBdr>
    </w:div>
    <w:div w:id="147090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wipo.int/en/web/igc" TargetMode="External"/><Relationship Id="rId18" Type="http://schemas.openxmlformats.org/officeDocument/2006/relationships/hyperlink" Target="https://www.wipo.int/en/web/traditional-knowledge/ip-rights-management" TargetMode="External"/><Relationship Id="rId26" Type="http://schemas.openxmlformats.org/officeDocument/2006/relationships/hyperlink" Target="https://www.wipo.int/en/web/traditional-knowledge/entrepreneurship/digital-economy-tips" TargetMode="External"/><Relationship Id="rId3" Type="http://schemas.openxmlformats.org/officeDocument/2006/relationships/settings" Target="settings.xml"/><Relationship Id="rId21" Type="http://schemas.openxmlformats.org/officeDocument/2006/relationships/hyperlink" Target="https://www.wipo.int/documents/d/igc/docs-en-igc-mandate-2026-2027.pdf" TargetMode="Externa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yperlink" Target="https://www.wipo.int/en/web/traditional-knowledge/resources/tk-and-tces" TargetMode="External"/><Relationship Id="rId25" Type="http://schemas.openxmlformats.org/officeDocument/2006/relationships/hyperlink" Target="https://www.wipo.int/en/web/traditional-knowledge/entrepreneurship/top-tips" TargetMode="External"/><Relationship Id="rId2" Type="http://schemas.openxmlformats.org/officeDocument/2006/relationships/styles" Target="styles.xml"/><Relationship Id="rId16" Type="http://schemas.openxmlformats.org/officeDocument/2006/relationships/hyperlink" Target="https://www.wipo.int/en/web/traditional-knowledge/entrepreneurship/index" TargetMode="External"/><Relationship Id="rId20" Type="http://schemas.openxmlformats.org/officeDocument/2006/relationships/hyperlink" Target="https://www.wipo.int/en/web/traditional-knowledge/global-reference"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www.wipo.int/en/web/traditional-knowledge/fashion"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wipo.int/en/web/traditional-knowledge/engagement" TargetMode="External"/><Relationship Id="rId23" Type="http://schemas.openxmlformats.org/officeDocument/2006/relationships/hyperlink" Target="https://www.wipo.int/en/web/traditional-knowledge/entrepreneurship/tk-medical-knowledge-program" TargetMode="External"/><Relationship Id="rId28"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https://www.wipo.int/en/web/ip-advantage/indigenous-peoples-stori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wipo.int/en/web/traditional-knowledge/wipo-treaty-on-ip-gr-and-associated-tk" TargetMode="External"/><Relationship Id="rId22" Type="http://schemas.openxmlformats.org/officeDocument/2006/relationships/hyperlink" Target="https://www.wipo.int/meetings/en/details.jsp?meeting_id=89810" TargetMode="External"/><Relationship Id="rId27" Type="http://schemas.openxmlformats.org/officeDocument/2006/relationships/hyperlink" Target="https://www.wipo.int/meetings/en/details.jsp?meeting_id=90468" TargetMode="External"/><Relationship Id="rId30"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IGC 41 Document E - WIPO-GRTKF-IC-41</Template>
  <TotalTime>21</TotalTime>
  <Pages>5</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MORENO PALESTINI Maria del Pilar</cp:lastModifiedBy>
  <cp:revision>4</cp:revision>
  <cp:lastPrinted>2011-02-15T11:56:00Z</cp:lastPrinted>
  <dcterms:created xsi:type="dcterms:W3CDTF">2025-12-23T15:35:00Z</dcterms:created>
  <dcterms:modified xsi:type="dcterms:W3CDTF">2026-01-08T16:46:00Z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72f89caf-69ac-4686-90bc-664695a0e943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2025-12-23T09:07:20Z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5e1ff38b-a0de-4959-862d-4d158c4e3e20</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