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58D35"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58CDCEA9" wp14:editId="6A7E03E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DB6E512" w14:textId="1F0E2BD0" w:rsidR="008B2CC1" w:rsidRPr="00424326" w:rsidRDefault="005F7E4F" w:rsidP="00EB2F76">
      <w:pPr>
        <w:jc w:val="right"/>
        <w:rPr>
          <w:rFonts w:ascii="Arial Black" w:hAnsi="Arial Black"/>
          <w:caps/>
          <w:sz w:val="15"/>
          <w:szCs w:val="15"/>
        </w:rPr>
      </w:pPr>
      <w:r w:rsidRPr="00424326">
        <w:rPr>
          <w:rFonts w:ascii="Arial Black" w:hAnsi="Arial Black"/>
          <w:caps/>
          <w:sz w:val="15"/>
        </w:rPr>
        <w:t>WIPO/GRTKF/IC/</w:t>
      </w:r>
      <w:r w:rsidR="00130307" w:rsidRPr="00424326">
        <w:rPr>
          <w:rFonts w:ascii="Arial Black" w:hAnsi="Arial Black"/>
          <w:caps/>
          <w:sz w:val="15"/>
        </w:rPr>
        <w:t>50</w:t>
      </w:r>
      <w:r w:rsidRPr="00424326">
        <w:rPr>
          <w:rFonts w:ascii="Arial Black" w:hAnsi="Arial Black"/>
          <w:caps/>
          <w:sz w:val="15"/>
        </w:rPr>
        <w:t>/</w:t>
      </w:r>
      <w:bookmarkStart w:id="0" w:name="Code"/>
      <w:bookmarkEnd w:id="0"/>
      <w:r w:rsidR="005017B1" w:rsidRPr="00424326">
        <w:rPr>
          <w:rFonts w:ascii="Arial Black" w:hAnsi="Arial Black"/>
          <w:caps/>
          <w:sz w:val="15"/>
        </w:rPr>
        <w:t>INF/8</w:t>
      </w:r>
    </w:p>
    <w:p w14:paraId="7C7ED3EE" w14:textId="47005CC4" w:rsidR="008B2CC1" w:rsidRPr="00424326" w:rsidRDefault="00EB2F76" w:rsidP="00EB2F76">
      <w:pPr>
        <w:jc w:val="right"/>
        <w:rPr>
          <w:rFonts w:ascii="Arial Black" w:hAnsi="Arial Black"/>
          <w:caps/>
          <w:sz w:val="15"/>
          <w:szCs w:val="15"/>
        </w:rPr>
      </w:pPr>
      <w:r w:rsidRPr="00424326">
        <w:rPr>
          <w:rFonts w:ascii="Arial Black" w:hAnsi="Arial Black"/>
          <w:caps/>
          <w:sz w:val="15"/>
          <w:szCs w:val="15"/>
        </w:rPr>
        <w:t>ORIGINAL:</w:t>
      </w:r>
      <w:bookmarkStart w:id="1" w:name="Original"/>
      <w:r w:rsidR="00B24F07" w:rsidRPr="00424326">
        <w:rPr>
          <w:rFonts w:ascii="Arial Black" w:hAnsi="Arial Black"/>
          <w:caps/>
          <w:sz w:val="15"/>
          <w:szCs w:val="15"/>
        </w:rPr>
        <w:t xml:space="preserve"> </w:t>
      </w:r>
      <w:r w:rsidR="005017B1" w:rsidRPr="00424326">
        <w:rPr>
          <w:rFonts w:ascii="Arial Black" w:hAnsi="Arial Black"/>
          <w:caps/>
          <w:sz w:val="15"/>
          <w:szCs w:val="15"/>
        </w:rPr>
        <w:t xml:space="preserve"> ENGLISH</w:t>
      </w:r>
    </w:p>
    <w:bookmarkEnd w:id="1"/>
    <w:p w14:paraId="28953CFC" w14:textId="44246AF2"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017B1">
        <w:rPr>
          <w:rFonts w:ascii="Arial Black" w:hAnsi="Arial Black"/>
          <w:caps/>
          <w:sz w:val="15"/>
          <w:szCs w:val="15"/>
        </w:rPr>
        <w:t xml:space="preserve"> JANUARY 24, 2025</w:t>
      </w:r>
    </w:p>
    <w:bookmarkEnd w:id="2"/>
    <w:p w14:paraId="00515C34"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4C4AE366" w14:textId="77777777" w:rsidR="005F7E4F" w:rsidRPr="003845C1" w:rsidRDefault="005F7E4F" w:rsidP="00C91A8D">
      <w:pPr>
        <w:outlineLvl w:val="1"/>
        <w:rPr>
          <w:b/>
          <w:sz w:val="24"/>
          <w:szCs w:val="24"/>
        </w:rPr>
      </w:pPr>
      <w:r>
        <w:rPr>
          <w:b/>
          <w:sz w:val="24"/>
          <w:szCs w:val="24"/>
        </w:rPr>
        <w:t>F</w:t>
      </w:r>
      <w:r w:rsidR="00130307">
        <w:rPr>
          <w:b/>
          <w:sz w:val="24"/>
          <w:szCs w:val="24"/>
        </w:rPr>
        <w:t>iftieth</w:t>
      </w:r>
      <w:r w:rsidR="00601AD7">
        <w:rPr>
          <w:b/>
          <w:sz w:val="24"/>
          <w:szCs w:val="24"/>
        </w:rPr>
        <w:t xml:space="preserve"> </w:t>
      </w:r>
      <w:r w:rsidRPr="003845C1">
        <w:rPr>
          <w:b/>
          <w:sz w:val="24"/>
          <w:szCs w:val="24"/>
        </w:rPr>
        <w:t>Session</w:t>
      </w:r>
    </w:p>
    <w:p w14:paraId="700295D9" w14:textId="77777777" w:rsidR="008B2CC1" w:rsidRPr="003845C1" w:rsidRDefault="005F7E4F" w:rsidP="00F9165B">
      <w:pPr>
        <w:spacing w:after="720"/>
        <w:outlineLvl w:val="1"/>
        <w:rPr>
          <w:b/>
          <w:sz w:val="24"/>
          <w:szCs w:val="24"/>
        </w:rPr>
      </w:pPr>
      <w:r>
        <w:rPr>
          <w:b/>
          <w:sz w:val="24"/>
          <w:szCs w:val="24"/>
        </w:rPr>
        <w:t xml:space="preserve">Geneva, </w:t>
      </w:r>
      <w:r w:rsidR="00130307">
        <w:rPr>
          <w:b/>
          <w:sz w:val="24"/>
          <w:szCs w:val="24"/>
        </w:rPr>
        <w:t>March</w:t>
      </w:r>
      <w:r w:rsidR="00023550">
        <w:rPr>
          <w:b/>
          <w:sz w:val="24"/>
          <w:szCs w:val="24"/>
        </w:rPr>
        <w:t xml:space="preserve"> </w:t>
      </w:r>
      <w:r w:rsidR="00130307">
        <w:rPr>
          <w:b/>
          <w:sz w:val="24"/>
          <w:szCs w:val="24"/>
        </w:rPr>
        <w:t>3</w:t>
      </w:r>
      <w:r w:rsidR="00023550">
        <w:rPr>
          <w:b/>
          <w:sz w:val="24"/>
          <w:szCs w:val="24"/>
        </w:rPr>
        <w:t xml:space="preserve"> to </w:t>
      </w:r>
      <w:r w:rsidR="00130307">
        <w:rPr>
          <w:b/>
          <w:sz w:val="24"/>
          <w:szCs w:val="24"/>
        </w:rPr>
        <w:t>7</w:t>
      </w:r>
      <w:r w:rsidR="00023550">
        <w:rPr>
          <w:b/>
          <w:sz w:val="24"/>
          <w:szCs w:val="24"/>
        </w:rPr>
        <w:t>, 202</w:t>
      </w:r>
      <w:r w:rsidR="00130307">
        <w:rPr>
          <w:b/>
          <w:sz w:val="24"/>
          <w:szCs w:val="24"/>
        </w:rPr>
        <w:t>5</w:t>
      </w:r>
    </w:p>
    <w:p w14:paraId="3B2E6F19" w14:textId="7A788E39" w:rsidR="005017B1" w:rsidRPr="003845C1" w:rsidRDefault="00DC053B" w:rsidP="005017B1">
      <w:pPr>
        <w:spacing w:after="360"/>
        <w:outlineLvl w:val="0"/>
        <w:rPr>
          <w:caps/>
          <w:sz w:val="24"/>
        </w:rPr>
      </w:pPr>
      <w:bookmarkStart w:id="3" w:name="TitleOfDoc"/>
      <w:r>
        <w:rPr>
          <w:sz w:val="24"/>
        </w:rPr>
        <w:t>UPDATE OF THE TECHNICAL REVIEW OF KEY INTELLECTUAL PROPERTY-RELATED ISSUES OF THE WIPO DRAFT INSTRUMENTS ON GENETIC RESOURCES, TRADITIONAL KNOWLEDGE AND TRADITIONAL CULTURAL EXPRESSIONS WITHIN THE FRAMEWORK OF INDIGENOUS HUMAN RIGHTS</w:t>
      </w:r>
    </w:p>
    <w:p w14:paraId="3DA603C0" w14:textId="6E2C4B2D" w:rsidR="002928D3" w:rsidRPr="00F9165B" w:rsidRDefault="005017B1" w:rsidP="005017B1">
      <w:pPr>
        <w:spacing w:after="1200"/>
        <w:outlineLvl w:val="0"/>
        <w:rPr>
          <w:i/>
        </w:rPr>
      </w:pPr>
      <w:r>
        <w:rPr>
          <w:i/>
        </w:rPr>
        <w:t>Document prepared by the Secretariat</w:t>
      </w:r>
      <w:bookmarkStart w:id="4" w:name="Prepared"/>
      <w:bookmarkEnd w:id="3"/>
      <w:bookmarkEnd w:id="4"/>
    </w:p>
    <w:p w14:paraId="5B229557" w14:textId="77777777" w:rsidR="005017B1" w:rsidRDefault="005017B1" w:rsidP="005017B1">
      <w:pPr>
        <w:pStyle w:val="ONUME"/>
      </w:pPr>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
    <w:p w14:paraId="58C81A79" w14:textId="77777777" w:rsidR="005017B1" w:rsidRDefault="005017B1" w:rsidP="005017B1">
      <w:pPr>
        <w:pStyle w:val="ONUME"/>
      </w:pPr>
      <w:r>
        <w:t xml:space="preserve">Pursuant to the decision above, </w:t>
      </w:r>
      <w:r w:rsidRPr="00124087">
        <w:t>Ms. Neva Collings</w:t>
      </w:r>
      <w:r>
        <w:t>, Board Director, NSW Aboriginal Housing Office, Department of Family and Community Services, Australia, and Mr. </w:t>
      </w:r>
      <w:proofErr w:type="spellStart"/>
      <w:r w:rsidRPr="00124087">
        <w:t>Elifuraha</w:t>
      </w:r>
      <w:proofErr w:type="spellEnd"/>
      <w:r>
        <w:t> </w:t>
      </w:r>
      <w:proofErr w:type="spellStart"/>
      <w:r w:rsidRPr="00124087">
        <w:t>Laltaika</w:t>
      </w:r>
      <w:proofErr w:type="spellEnd"/>
      <w:r>
        <w:t xml:space="preserve">, Senior Lecturer and Director, Research Tumaini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t>blind peer reviewed by two indigenous experts</w:t>
      </w:r>
      <w:r>
        <w:t>.  The Annex to this document contains the Updated Technical Review</w:t>
      </w:r>
      <w:r w:rsidRPr="004E599A">
        <w:t xml:space="preserve"> provided by the commissioned indigenous experts</w:t>
      </w:r>
      <w:r>
        <w:t xml:space="preserve">. </w:t>
      </w:r>
    </w:p>
    <w:p w14:paraId="0FAC7511" w14:textId="77777777" w:rsidR="005017B1" w:rsidRPr="00975206" w:rsidRDefault="005017B1" w:rsidP="005017B1">
      <w:pPr>
        <w:pStyle w:val="ONUME"/>
        <w:ind w:left="5533"/>
        <w:rPr>
          <w:i/>
        </w:rPr>
      </w:pPr>
      <w:r w:rsidRPr="00975206">
        <w:rPr>
          <w:i/>
        </w:rPr>
        <w:lastRenderedPageBreak/>
        <w:t>The Committee is invited to take note of the Annex to this document.</w:t>
      </w:r>
    </w:p>
    <w:p w14:paraId="6613D03C" w14:textId="77777777" w:rsidR="005017B1" w:rsidRDefault="005017B1" w:rsidP="005017B1">
      <w:pPr>
        <w:spacing w:before="240"/>
        <w:ind w:left="5530"/>
      </w:pPr>
      <w:r>
        <w:t>[Annex follows]</w:t>
      </w:r>
    </w:p>
    <w:p w14:paraId="21287D71" w14:textId="77777777" w:rsidR="005017B1" w:rsidRDefault="005017B1" w:rsidP="005017B1">
      <w:pPr>
        <w:ind w:left="5533"/>
        <w:sectPr w:rsidR="005017B1" w:rsidSect="005017B1">
          <w:headerReference w:type="even" r:id="rId9"/>
          <w:headerReference w:type="default" r:id="rId10"/>
          <w:headerReference w:type="first" r:id="rId11"/>
          <w:footerReference w:type="first" r:id="rId12"/>
          <w:endnotePr>
            <w:numFmt w:val="decimal"/>
          </w:endnotePr>
          <w:pgSz w:w="11907" w:h="16840" w:code="9"/>
          <w:pgMar w:top="567" w:right="1134" w:bottom="1418" w:left="1418" w:header="510" w:footer="1021" w:gutter="0"/>
          <w:cols w:space="720"/>
          <w:titlePg/>
          <w:docGrid w:linePitch="299"/>
        </w:sectPr>
      </w:pPr>
    </w:p>
    <w:p w14:paraId="29612441" w14:textId="77777777" w:rsidR="005017B1" w:rsidRDefault="005017B1" w:rsidP="005017B1">
      <w:pPr>
        <w:spacing w:before="240"/>
        <w:jc w:val="center"/>
        <w:rPr>
          <w:b/>
          <w:lang w:val="en-GB"/>
        </w:rPr>
      </w:pPr>
      <w:r w:rsidRPr="008B5CD1">
        <w:rPr>
          <w:b/>
          <w:lang w:val="en-GB"/>
        </w:rPr>
        <w:lastRenderedPageBreak/>
        <w:t>Update of the Technical Review of Key Intellectual Property-Related Issues of the WIPO</w:t>
      </w:r>
      <w:r>
        <w:rPr>
          <w:b/>
          <w:lang w:val="en-GB"/>
        </w:rPr>
        <w:t> </w:t>
      </w:r>
      <w:r w:rsidRPr="008B5CD1">
        <w:rPr>
          <w:b/>
          <w:lang w:val="en-GB"/>
        </w:rPr>
        <w:t>Draft Instruments on Genetic Resources, Traditional Knowledge and Traditional</w:t>
      </w:r>
      <w:r>
        <w:rPr>
          <w:b/>
          <w:lang w:val="en-GB"/>
        </w:rPr>
        <w:t> </w:t>
      </w:r>
      <w:r w:rsidRPr="008B5CD1">
        <w:rPr>
          <w:b/>
          <w:lang w:val="en-GB"/>
        </w:rPr>
        <w:t>Cultural Expressions within the Framework of Indigenous Human Rights</w:t>
      </w:r>
    </w:p>
    <w:p w14:paraId="0EB8A10A" w14:textId="77777777" w:rsidR="005017B1" w:rsidRPr="008B5CD1" w:rsidRDefault="005017B1" w:rsidP="005017B1">
      <w:pPr>
        <w:spacing w:before="480"/>
        <w:jc w:val="center"/>
        <w:rPr>
          <w:lang w:val="en-GB"/>
        </w:rPr>
      </w:pPr>
      <w:r w:rsidRPr="008B5CD1">
        <w:rPr>
          <w:lang w:val="en-GB"/>
        </w:rPr>
        <w:t xml:space="preserve">By Mr. </w:t>
      </w:r>
      <w:proofErr w:type="spellStart"/>
      <w:r w:rsidRPr="008B5CD1">
        <w:rPr>
          <w:lang w:val="en-GB"/>
        </w:rPr>
        <w:t>Elifuraha</w:t>
      </w:r>
      <w:proofErr w:type="spellEnd"/>
      <w:r w:rsidRPr="008B5CD1">
        <w:rPr>
          <w:lang w:val="en-GB"/>
        </w:rPr>
        <w:t xml:space="preserve"> </w:t>
      </w:r>
      <w:proofErr w:type="spellStart"/>
      <w:r w:rsidRPr="008B5CD1">
        <w:rPr>
          <w:lang w:val="en-GB"/>
        </w:rPr>
        <w:t>Laltaika</w:t>
      </w:r>
      <w:proofErr w:type="spellEnd"/>
      <w:r w:rsidRPr="008B5CD1">
        <w:rPr>
          <w:lang w:val="en-GB"/>
        </w:rPr>
        <w:t xml:space="preserve"> and Ms. Neva Collings</w:t>
      </w:r>
    </w:p>
    <w:p w14:paraId="5C06C4CA" w14:textId="77777777" w:rsidR="005017B1" w:rsidRDefault="005017B1" w:rsidP="005017B1">
      <w:pPr>
        <w:keepNext/>
        <w:spacing w:before="480" w:after="180"/>
        <w:rPr>
          <w:b/>
          <w:lang w:val="en-GB"/>
        </w:rPr>
      </w:pPr>
      <w:r w:rsidRPr="008B5CD1">
        <w:rPr>
          <w:b/>
          <w:lang w:val="en-GB"/>
        </w:rPr>
        <w:t>B</w:t>
      </w:r>
      <w:r>
        <w:rPr>
          <w:b/>
          <w:lang w:val="en-GB"/>
        </w:rPr>
        <w:t>ACKGROUND AND INTRODUCTION</w:t>
      </w:r>
    </w:p>
    <w:p w14:paraId="0AB85027" w14:textId="77777777" w:rsidR="005017B1" w:rsidRPr="00A876D6" w:rsidRDefault="005017B1" w:rsidP="005017B1">
      <w:pPr>
        <w:pStyle w:val="ONUME"/>
        <w:numPr>
          <w:ilvl w:val="0"/>
          <w:numId w:val="7"/>
        </w:numPr>
        <w:rPr>
          <w:lang w:val="en-GB"/>
        </w:rPr>
      </w:pPr>
      <w:r w:rsidRPr="00A876D6">
        <w:rPr>
          <w:lang w:val="en-GB"/>
        </w:rPr>
        <w:t>During the 18</w:t>
      </w:r>
      <w:r w:rsidRPr="00A876D6">
        <w:rPr>
          <w:vertAlign w:val="superscript"/>
          <w:lang w:val="en-GB"/>
        </w:rPr>
        <w:t>th</w:t>
      </w:r>
      <w:r w:rsidRPr="00A876D6">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A876D6">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
    <w:p w14:paraId="5BE7A8AE" w14:textId="77777777" w:rsidR="005017B1" w:rsidRDefault="005017B1" w:rsidP="005017B1">
      <w:pPr>
        <w:pStyle w:val="ONUME"/>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14:paraId="613F041C" w14:textId="77777777" w:rsidR="005017B1" w:rsidRDefault="005017B1" w:rsidP="005017B1">
      <w:pPr>
        <w:pStyle w:val="ONUME"/>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14:paraId="498D8B66" w14:textId="77777777" w:rsidR="005017B1" w:rsidRDefault="005017B1" w:rsidP="005017B1">
      <w:pPr>
        <w:pStyle w:val="ONUME"/>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14:paraId="5629B11A" w14:textId="77777777" w:rsidR="005017B1" w:rsidRDefault="005017B1" w:rsidP="005017B1">
      <w:pPr>
        <w:pStyle w:val="ONUME"/>
        <w:rPr>
          <w:lang w:val="en-GB"/>
        </w:rPr>
      </w:pPr>
      <w:r w:rsidRPr="00F63EBF">
        <w:rPr>
          <w:lang w:val="en-GB"/>
        </w:rPr>
        <w:t xml:space="preserve">In terms of organization, this Update is divided into three parts. </w:t>
      </w:r>
      <w:r>
        <w:rPr>
          <w:lang w:val="en-GB"/>
        </w:rPr>
        <w:t xml:space="preserve"> </w:t>
      </w:r>
      <w:proofErr w:type="gramStart"/>
      <w:r w:rsidRPr="00F63EBF">
        <w:rPr>
          <w:lang w:val="en-GB"/>
        </w:rPr>
        <w:t>Part</w:t>
      </w:r>
      <w:proofErr w:type="gramEnd"/>
      <w:r w:rsidRPr="00F63EBF">
        <w:rPr>
          <w:lang w:val="en-GB"/>
        </w:rPr>
        <w:t xml:space="preserve">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Part two encompasses an updated review of the Consolidated Document Relating to Intellectual Property and GRs (hereinafter the “Consolidated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three covers final considerations. </w:t>
      </w:r>
    </w:p>
    <w:p w14:paraId="187C259D" w14:textId="77777777" w:rsidR="005017B1" w:rsidRDefault="005017B1" w:rsidP="005017B1">
      <w:pPr>
        <w:pStyle w:val="ONUME"/>
        <w:rPr>
          <w:lang w:val="en-GB"/>
        </w:rPr>
      </w:pPr>
      <w:r w:rsidRPr="00DE4616">
        <w:rPr>
          <w:lang w:val="en-GB"/>
        </w:rPr>
        <w:t>The authors are solely responsible for the preparation of this Update.</w:t>
      </w:r>
      <w:r>
        <w:rPr>
          <w:lang w:val="en-GB"/>
        </w:rPr>
        <w:t xml:space="preserve"> </w:t>
      </w:r>
      <w:r w:rsidRPr="00DE4616">
        <w:rPr>
          <w:lang w:val="en-GB"/>
        </w:rPr>
        <w:t xml:space="preserve"> It does not in any way reflect the views of the WIPO Secretariat, WIPO’s Member States or Observers. </w:t>
      </w:r>
    </w:p>
    <w:p w14:paraId="6DBBB27A" w14:textId="77777777" w:rsidR="005017B1" w:rsidRDefault="005017B1" w:rsidP="005017B1">
      <w:pPr>
        <w:keepNext/>
        <w:spacing w:before="240" w:after="220"/>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14:paraId="54BAE63C" w14:textId="77777777" w:rsidR="005017B1" w:rsidRPr="00A876D6" w:rsidRDefault="005017B1" w:rsidP="005017B1">
      <w:pPr>
        <w:keepNext/>
        <w:spacing w:after="180"/>
        <w:rPr>
          <w:b/>
          <w:bCs/>
          <w:iCs/>
          <w:lang w:val="en-GB"/>
        </w:rPr>
      </w:pPr>
      <w:r w:rsidRPr="00A876D6">
        <w:rPr>
          <w:b/>
          <w:bCs/>
          <w:iCs/>
          <w:lang w:val="en-GB"/>
        </w:rPr>
        <w:t xml:space="preserve">Balancing </w:t>
      </w:r>
    </w:p>
    <w:p w14:paraId="211F65A3" w14:textId="77777777" w:rsidR="005017B1" w:rsidRDefault="005017B1" w:rsidP="005017B1">
      <w:pPr>
        <w:pStyle w:val="ONUME"/>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It provides: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14:paraId="4C8AEFE3" w14:textId="77777777" w:rsidR="005017B1" w:rsidRDefault="005017B1" w:rsidP="005017B1">
      <w:pPr>
        <w:pStyle w:val="ONUME"/>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w:t>
      </w:r>
      <w:proofErr w:type="gramStart"/>
      <w:r w:rsidRPr="00DE4616">
        <w:rPr>
          <w:lang w:val="en-GB"/>
        </w:rPr>
        <w:t>group, and</w:t>
      </w:r>
      <w:proofErr w:type="gramEnd"/>
      <w:r w:rsidRPr="00DE4616">
        <w:rPr>
          <w:lang w:val="en-GB"/>
        </w:rPr>
        <w:t xml:space="preserve"> are intergenerational. </w:t>
      </w:r>
      <w:r>
        <w:rPr>
          <w:lang w:val="en-GB"/>
        </w:rPr>
        <w:t xml:space="preserve"> </w:t>
      </w:r>
      <w:r w:rsidRPr="00DE4616">
        <w:rPr>
          <w:lang w:val="en-GB"/>
        </w:rPr>
        <w:t xml:space="preserve">Significantly, indigenous TK and TCEs contain stories, customary laws and protocols, ceremonies, ways of life and worldviews, which are not meant to be commoditised. </w:t>
      </w:r>
    </w:p>
    <w:p w14:paraId="0921B0DC" w14:textId="77777777" w:rsidR="005017B1" w:rsidRDefault="005017B1" w:rsidP="005017B1">
      <w:pPr>
        <w:pStyle w:val="ONUME"/>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14:paraId="6C8A8FC8" w14:textId="77777777" w:rsidR="005017B1" w:rsidRDefault="005017B1" w:rsidP="005017B1">
      <w:pPr>
        <w:pStyle w:val="ONUME"/>
        <w:rPr>
          <w:lang w:val="en-GB"/>
        </w:rPr>
      </w:pPr>
      <w:r w:rsidRPr="00DE4616">
        <w:rPr>
          <w:lang w:val="en-GB"/>
        </w:rPr>
        <w:t xml:space="preserve">While the intellectual property system seeks to ensure that all knowledge </w:t>
      </w:r>
      <w:proofErr w:type="gramStart"/>
      <w:r w:rsidRPr="00DE4616">
        <w:rPr>
          <w:lang w:val="en-GB"/>
        </w:rPr>
        <w:t>benefits society as a whole, indigenous</w:t>
      </w:r>
      <w:proofErr w:type="gramEnd"/>
      <w:r w:rsidRPr="00DE4616">
        <w:rPr>
          <w:lang w:val="en-GB"/>
        </w:rPr>
        <w:t xml:space="preserve"> peoples possess human and other rights over TK and TCEs, which are integral to customary laws, culture, language, and religion. </w:t>
      </w:r>
      <w:r>
        <w:rPr>
          <w:lang w:val="en-GB"/>
        </w:rPr>
        <w:t xml:space="preserve"> </w:t>
      </w:r>
      <w:r w:rsidRPr="00DE4616">
        <w:rPr>
          <w:lang w:val="en-GB"/>
        </w:rPr>
        <w:t xml:space="preserve">Accordingly, since human rights are long lasting, intellectual property laws cannot circumvent </w:t>
      </w:r>
      <w:proofErr w:type="gramStart"/>
      <w:r w:rsidRPr="00DE4616">
        <w:rPr>
          <w:lang w:val="en-GB"/>
        </w:rPr>
        <w:t xml:space="preserve">them;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14:paraId="1ABADDC6" w14:textId="77777777" w:rsidR="005017B1" w:rsidRDefault="005017B1" w:rsidP="005017B1">
      <w:pPr>
        <w:pStyle w:val="ONUME"/>
        <w:rPr>
          <w:lang w:val="en-GB"/>
        </w:rPr>
      </w:pPr>
      <w:r w:rsidRPr="00DE4616">
        <w:rPr>
          <w:lang w:val="en-GB"/>
        </w:rPr>
        <w:t xml:space="preserve">A potential solution to the above conundrum lies partly in crafting a </w:t>
      </w:r>
      <w:proofErr w:type="gramStart"/>
      <w:r w:rsidRPr="00DE4616">
        <w:rPr>
          <w:i/>
          <w:lang w:val="en-GB"/>
        </w:rPr>
        <w:t>sui-generis</w:t>
      </w:r>
      <w:proofErr w:type="gramEnd"/>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14:paraId="0DDAC0FC" w14:textId="77777777" w:rsidR="005017B1" w:rsidRDefault="005017B1" w:rsidP="005017B1">
      <w:pPr>
        <w:pStyle w:val="ONUME"/>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14:paraId="1C2A4509" w14:textId="77777777" w:rsidR="005017B1" w:rsidRDefault="005017B1" w:rsidP="005017B1">
      <w:pPr>
        <w:pStyle w:val="ONUME"/>
        <w:rPr>
          <w:lang w:val="en-GB"/>
        </w:rPr>
      </w:pPr>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r w:rsidRPr="00DE4616">
        <w:rPr>
          <w:lang w:val="en-GB"/>
        </w:rPr>
        <w:t xml:space="preserve"> </w:t>
      </w:r>
    </w:p>
    <w:p w14:paraId="1CA73AAC" w14:textId="77777777" w:rsidR="005017B1" w:rsidRPr="00A876D6" w:rsidRDefault="005017B1" w:rsidP="005017B1">
      <w:pPr>
        <w:keepNext/>
        <w:spacing w:after="220"/>
        <w:rPr>
          <w:b/>
          <w:bCs/>
          <w:iCs/>
          <w:lang w:val="en-GB"/>
        </w:rPr>
      </w:pPr>
      <w:r w:rsidRPr="00A876D6">
        <w:rPr>
          <w:b/>
          <w:bCs/>
          <w:iCs/>
          <w:lang w:val="en-GB"/>
        </w:rPr>
        <w:t>Redress</w:t>
      </w:r>
    </w:p>
    <w:p w14:paraId="56828823" w14:textId="77777777" w:rsidR="005017B1" w:rsidRDefault="005017B1" w:rsidP="005017B1">
      <w:pPr>
        <w:pStyle w:val="ONUME"/>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14:paraId="68AD94A2" w14:textId="77777777" w:rsidR="005017B1" w:rsidRDefault="005017B1" w:rsidP="005017B1">
      <w:pPr>
        <w:pStyle w:val="ONUME"/>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t xml:space="preserve">Another element of redress is repatriation. </w:t>
      </w:r>
      <w:r>
        <w:rPr>
          <w:lang w:val="en-GB"/>
        </w:rPr>
        <w:t xml:space="preserve"> </w:t>
      </w:r>
      <w:r w:rsidRPr="00DE4616">
        <w:rPr>
          <w:lang w:val="en-GB"/>
        </w:rPr>
        <w:t xml:space="preserve">As the indigenous caucus has stated before, the legal instrument should include repatriation on the basis that ‘negotiations could not just address future practices related to patent issues’ but should also address ‘historical misappropriations and </w:t>
      </w:r>
      <w:proofErr w:type="gramStart"/>
      <w:r w:rsidRPr="00DE4616">
        <w:rPr>
          <w:lang w:val="en-GB"/>
        </w:rPr>
        <w:t>wrongdoings’</w:t>
      </w:r>
      <w:proofErr w:type="gramEnd"/>
      <w:r w:rsidRPr="00DE4616">
        <w:rPr>
          <w:lang w:val="en-GB"/>
        </w:rPr>
        <w:t>.</w:t>
      </w:r>
      <w:r w:rsidRPr="008B5CD1">
        <w:rPr>
          <w:vertAlign w:val="superscript"/>
          <w:lang w:val="en-GB"/>
        </w:rPr>
        <w:footnoteReference w:id="20"/>
      </w:r>
    </w:p>
    <w:p w14:paraId="662BF699" w14:textId="77777777" w:rsidR="005017B1" w:rsidRDefault="005017B1" w:rsidP="005017B1">
      <w:pPr>
        <w:pStyle w:val="ONUME"/>
        <w:rPr>
          <w:lang w:val="en-GB"/>
        </w:rPr>
      </w:pPr>
      <w:r w:rsidRPr="00D63A1C">
        <w:rPr>
          <w:lang w:val="en-GB"/>
        </w:rPr>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which provide guidance on repatriation efforts including on benefit-sharing.</w:t>
      </w:r>
      <w:r w:rsidRPr="008B5CD1">
        <w:rPr>
          <w:vertAlign w:val="superscript"/>
          <w:lang w:val="en-GB"/>
        </w:rPr>
        <w:footnoteReference w:id="21"/>
      </w:r>
      <w:r w:rsidRPr="00D63A1C">
        <w:rPr>
          <w:lang w:val="en-GB"/>
        </w:rPr>
        <w:t xml:space="preserve"> </w:t>
      </w:r>
    </w:p>
    <w:p w14:paraId="3FA02D10" w14:textId="77777777" w:rsidR="005017B1" w:rsidRDefault="005017B1" w:rsidP="005017B1">
      <w:pPr>
        <w:pStyle w:val="ONUME"/>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w:t>
      </w:r>
      <w:proofErr w:type="gramStart"/>
      <w:r w:rsidRPr="00D63A1C">
        <w:rPr>
          <w:lang w:val="en-GB"/>
        </w:rPr>
        <w:t>communities</w:t>
      </w:r>
      <w:proofErr w:type="gramEnd"/>
      <w:r w:rsidRPr="00D63A1C">
        <w:rPr>
          <w:lang w:val="en-GB"/>
        </w:rPr>
        <w:t xml:space="preserve">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14:paraId="7EEDA4B6" w14:textId="77777777" w:rsidR="005017B1" w:rsidRPr="00A876D6" w:rsidRDefault="005017B1" w:rsidP="005017B1">
      <w:pPr>
        <w:keepNext/>
        <w:spacing w:after="220"/>
        <w:rPr>
          <w:b/>
          <w:bCs/>
          <w:iCs/>
          <w:lang w:val="en-GB"/>
        </w:rPr>
      </w:pPr>
      <w:r w:rsidRPr="00A876D6">
        <w:rPr>
          <w:b/>
          <w:bCs/>
          <w:iCs/>
          <w:lang w:val="en-GB"/>
        </w:rPr>
        <w:t xml:space="preserve">Public Domain </w:t>
      </w:r>
    </w:p>
    <w:p w14:paraId="7DD4DB84" w14:textId="77777777" w:rsidR="005017B1" w:rsidRDefault="005017B1" w:rsidP="005017B1">
      <w:pPr>
        <w:pStyle w:val="ONUME"/>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w:t>
      </w:r>
      <w:r>
        <w:rPr>
          <w:lang w:val="en-GB"/>
        </w:rPr>
        <w:t xml:space="preserve"> </w:t>
      </w:r>
      <w:r w:rsidRPr="00D63A1C">
        <w:rPr>
          <w:lang w:val="en-GB"/>
        </w:rPr>
        <w:t xml:space="preserve"> The intention is to foster access to information and materials needed for future creative works.</w:t>
      </w:r>
      <w:r w:rsidRPr="008B5CD1">
        <w:rPr>
          <w:vertAlign w:val="superscript"/>
          <w:lang w:val="en-GB"/>
        </w:rPr>
        <w:footnoteReference w:id="24"/>
      </w:r>
    </w:p>
    <w:p w14:paraId="69F64B77" w14:textId="77777777" w:rsidR="005017B1" w:rsidRDefault="005017B1" w:rsidP="005017B1">
      <w:pPr>
        <w:pStyle w:val="ONUME"/>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14:paraId="28B9FF74" w14:textId="77777777" w:rsidR="005017B1" w:rsidRDefault="005017B1" w:rsidP="005017B1">
      <w:pPr>
        <w:pStyle w:val="ONUME"/>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It is difficult for this kind of innovations to enter the public domain when TK and TCEs are so closely tied to a nation, group or community identity.</w:t>
      </w:r>
    </w:p>
    <w:p w14:paraId="0289DC36" w14:textId="77777777" w:rsidR="005017B1" w:rsidRDefault="005017B1" w:rsidP="005017B1">
      <w:pPr>
        <w:pStyle w:val="ONUME"/>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 xml:space="preserve">One approach </w:t>
      </w:r>
      <w:proofErr w:type="gramStart"/>
      <w:r w:rsidRPr="00D63A1C">
        <w:rPr>
          <w:lang w:val="en-GB"/>
        </w:rPr>
        <w:t>states</w:t>
      </w:r>
      <w:proofErr w:type="gramEnd"/>
      <w:r w:rsidRPr="00D63A1C">
        <w:rPr>
          <w:lang w:val="en-GB"/>
        </w:rPr>
        <w:t xml:space="preserve">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14:paraId="7DD1B9A3" w14:textId="77777777" w:rsidR="005017B1" w:rsidRDefault="005017B1" w:rsidP="005017B1">
      <w:pPr>
        <w:pStyle w:val="ONUME"/>
        <w:rPr>
          <w:lang w:val="en-GB"/>
        </w:rPr>
      </w:pPr>
      <w:r w:rsidRPr="00D63A1C">
        <w:rPr>
          <w:lang w:val="en-GB"/>
        </w:rPr>
        <w:t xml:space="preserve">Examined from the indigenous peoples’ perspectives, public domain is at odds with indigenous peoples’ human rights enshrined in authoritative international instruments such as 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While the concept is premised on time-limited rights, indigenous peoples regard TK and TCEs and human rights associated to them, such as the right to self-determination, the principle of FPIC</w:t>
      </w:r>
      <w:r w:rsidRPr="008B5CD1">
        <w:rPr>
          <w:vertAlign w:val="superscript"/>
          <w:lang w:val="en-GB"/>
        </w:rPr>
        <w:footnoteReference w:id="27"/>
      </w:r>
      <w:r w:rsidRPr="00D63A1C">
        <w:rPr>
          <w:lang w:val="en-GB"/>
        </w:rPr>
        <w:t xml:space="preserve">, and associated rights to lands, territories and resources, to be timeless. </w:t>
      </w:r>
      <w:r>
        <w:rPr>
          <w:lang w:val="en-GB"/>
        </w:rPr>
        <w:t xml:space="preserve"> </w:t>
      </w:r>
      <w:r w:rsidRPr="00D63A1C">
        <w:rPr>
          <w:lang w:val="en-GB"/>
        </w:rPr>
        <w:t>Correspondingly, subjecting indigenous peoples’ TK and TCEs to time limitation negates the limitless and trans-generational nature of rights associated with TK and T</w:t>
      </w:r>
      <w:r>
        <w:rPr>
          <w:lang w:val="en-GB"/>
        </w:rPr>
        <w:t xml:space="preserve">CEs among indigenous peoples.  </w:t>
      </w:r>
    </w:p>
    <w:p w14:paraId="71CBA0FE" w14:textId="77777777" w:rsidR="005017B1" w:rsidRDefault="005017B1" w:rsidP="005017B1">
      <w:pPr>
        <w:pStyle w:val="ONUME"/>
        <w:keepLines/>
        <w:rPr>
          <w:lang w:val="en-GB"/>
        </w:rPr>
      </w:pPr>
      <w:r w:rsidRPr="00D63A1C">
        <w:rPr>
          <w:lang w:val="en-GB"/>
        </w:rPr>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14:paraId="2BEC2E14" w14:textId="77777777" w:rsidR="005017B1" w:rsidRDefault="005017B1" w:rsidP="005017B1">
      <w:pPr>
        <w:pStyle w:val="ONUME"/>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As a response, some indigenous representatives in the IGC have argued that some knowledge should be withdrawn from circulation and repatriated to the indigenous groups who created the TK or TCEs.</w:t>
      </w:r>
    </w:p>
    <w:p w14:paraId="1EB08E35" w14:textId="77777777" w:rsidR="005017B1" w:rsidRPr="00A876D6" w:rsidRDefault="005017B1" w:rsidP="005017B1">
      <w:pPr>
        <w:keepNext/>
        <w:spacing w:after="220"/>
        <w:rPr>
          <w:b/>
          <w:bCs/>
          <w:iCs/>
          <w:lang w:val="en-GB"/>
        </w:rPr>
      </w:pPr>
      <w:r w:rsidRPr="00A876D6">
        <w:rPr>
          <w:b/>
          <w:bCs/>
          <w:iCs/>
          <w:lang w:val="en-GB"/>
        </w:rPr>
        <w:t xml:space="preserve">Exceptions and Limitations </w:t>
      </w:r>
    </w:p>
    <w:p w14:paraId="764C5208" w14:textId="77777777" w:rsidR="005017B1" w:rsidRDefault="005017B1" w:rsidP="005017B1">
      <w:pPr>
        <w:pStyle w:val="ONUME"/>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w:t>
      </w:r>
      <w:proofErr w:type="gramStart"/>
      <w:r w:rsidRPr="00D63A1C">
        <w:rPr>
          <w:lang w:val="en-GB"/>
        </w:rPr>
        <w:t>particular conditions</w:t>
      </w:r>
      <w:proofErr w:type="gramEnd"/>
      <w:r w:rsidRPr="00D63A1C">
        <w:rPr>
          <w:lang w:val="en-GB"/>
        </w:rPr>
        <w:t xml:space="preserve">. </w:t>
      </w:r>
      <w:r>
        <w:rPr>
          <w:lang w:val="en-GB"/>
        </w:rPr>
        <w:t xml:space="preserve"> </w:t>
      </w:r>
      <w:r w:rsidRPr="00D63A1C">
        <w:rPr>
          <w:lang w:val="en-GB"/>
        </w:rPr>
        <w:t>The practice is referred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14:paraId="68F3E162" w14:textId="77777777" w:rsidR="005017B1" w:rsidRDefault="005017B1" w:rsidP="005017B1">
      <w:pPr>
        <w:pStyle w:val="ONUME"/>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are excluded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14:paraId="6F1A5CC4" w14:textId="77777777" w:rsidR="005017B1" w:rsidRDefault="005017B1" w:rsidP="005017B1">
      <w:pPr>
        <w:pStyle w:val="ONUME"/>
        <w:rPr>
          <w:lang w:val="en-GB"/>
        </w:rPr>
      </w:pPr>
      <w:r w:rsidRPr="00D63A1C">
        <w:rPr>
          <w:lang w:val="en-GB"/>
        </w:rPr>
        <w:t>With regards to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14:paraId="6165C82F" w14:textId="77777777" w:rsidR="005017B1" w:rsidRDefault="005017B1" w:rsidP="005017B1">
      <w:pPr>
        <w:pStyle w:val="ONUME"/>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Accordingly, FPIC must be obtained prior to drafting exceptions and limitations touching on indigenous peoples’ TK and TCEs.</w:t>
      </w:r>
    </w:p>
    <w:p w14:paraId="18BD8C04" w14:textId="77777777" w:rsidR="005017B1" w:rsidRDefault="005017B1" w:rsidP="005017B1">
      <w:pPr>
        <w:pStyle w:val="ONUME"/>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peoples to protect their culture through TK and TCEs and demonstrate that reforms to the intellectual property regime can be achieved while enabling indigenous peoples to maintain their identity and cultural sovereignty. </w:t>
      </w:r>
      <w:r>
        <w:rPr>
          <w:lang w:val="en-GB"/>
        </w:rPr>
        <w:t xml:space="preserve"> </w:t>
      </w:r>
      <w:r w:rsidRPr="00D63A1C">
        <w:rPr>
          <w:lang w:val="en-GB"/>
        </w:rPr>
        <w:t xml:space="preserve">This type of exception is found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14:paraId="3AB1403B" w14:textId="77777777" w:rsidR="005017B1" w:rsidRPr="00A876D6" w:rsidRDefault="005017B1" w:rsidP="005017B1">
      <w:pPr>
        <w:keepNext/>
        <w:spacing w:after="220"/>
        <w:rPr>
          <w:b/>
          <w:bCs/>
          <w:iCs/>
          <w:lang w:val="en-GB"/>
        </w:rPr>
      </w:pPr>
      <w:r w:rsidRPr="00A876D6">
        <w:rPr>
          <w:b/>
          <w:bCs/>
          <w:iCs/>
          <w:lang w:val="en-GB"/>
        </w:rPr>
        <w:t xml:space="preserve">Scope of protection: The Tiered Approach </w:t>
      </w:r>
    </w:p>
    <w:p w14:paraId="3CF9FBEA" w14:textId="77777777" w:rsidR="005017B1" w:rsidRDefault="005017B1" w:rsidP="005017B1">
      <w:pPr>
        <w:pStyle w:val="ONUME"/>
        <w:rPr>
          <w:lang w:val="en-GB"/>
        </w:rPr>
      </w:pPr>
      <w:r w:rsidRPr="00D63A1C">
        <w:rPr>
          <w:lang w:val="en-GB"/>
        </w:rPr>
        <w:t xml:space="preserve">The tiered approach is an innovative idea that divides TK and TCEs into </w:t>
      </w:r>
      <w:proofErr w:type="gramStart"/>
      <w:r w:rsidRPr="00D63A1C">
        <w:rPr>
          <w:lang w:val="en-GB"/>
        </w:rPr>
        <w:t>categories, and</w:t>
      </w:r>
      <w:proofErr w:type="gramEnd"/>
      <w:r w:rsidRPr="00D63A1C">
        <w:rPr>
          <w:lang w:val="en-GB"/>
        </w:rPr>
        <w:t xml:space="preserve"> proposes that the scope of protection be commensurate to the level of sensitivity indigenous peoples place on the TK or TCEs category in question.</w:t>
      </w:r>
    </w:p>
    <w:p w14:paraId="5D4209BC" w14:textId="77777777" w:rsidR="005017B1" w:rsidRDefault="005017B1" w:rsidP="005017B1">
      <w:pPr>
        <w:pStyle w:val="ONUME"/>
        <w:rPr>
          <w:lang w:val="en-GB"/>
        </w:rPr>
      </w:pPr>
      <w:r w:rsidRPr="00D63A1C">
        <w:rPr>
          <w:lang w:val="en-GB"/>
        </w:rPr>
        <w:t xml:space="preserve">Conceptually, the tiered approach is more aligned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Additionally, the approach is premised on the recognition that indigenous peoples do not consider all TK and TCEs types to be of the same value or requiring the same level of treatment.</w:t>
      </w:r>
    </w:p>
    <w:p w14:paraId="497C674F" w14:textId="77777777" w:rsidR="005017B1" w:rsidRDefault="005017B1" w:rsidP="005017B1">
      <w:pPr>
        <w:pStyle w:val="ONUME"/>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14:paraId="44941EC3" w14:textId="77777777" w:rsidR="005017B1" w:rsidRDefault="005017B1" w:rsidP="005017B1">
      <w:pPr>
        <w:pStyle w:val="ONUME"/>
        <w:rPr>
          <w:lang w:val="en-GB"/>
        </w:rPr>
      </w:pPr>
      <w:proofErr w:type="gramStart"/>
      <w:r w:rsidRPr="00D63A1C">
        <w:rPr>
          <w:lang w:val="en-GB"/>
        </w:rPr>
        <w:t>In spite of</w:t>
      </w:r>
      <w:proofErr w:type="gramEnd"/>
      <w:r w:rsidRPr="00D63A1C">
        <w:rPr>
          <w:lang w:val="en-GB"/>
        </w:rPr>
        <w:t xml:space="preserve">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were diffused should not be determinative. </w:t>
      </w:r>
      <w:r>
        <w:rPr>
          <w:lang w:val="en-GB"/>
        </w:rPr>
        <w:t xml:space="preserve"> </w:t>
      </w:r>
      <w:r w:rsidRPr="00D63A1C">
        <w:rPr>
          <w:lang w:val="en-GB"/>
        </w:rPr>
        <w:t xml:space="preserve">Where such TK and TCEs have been illegally taken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14:paraId="016CE93F" w14:textId="77777777" w:rsidR="005017B1" w:rsidRPr="00A876D6" w:rsidRDefault="005017B1" w:rsidP="005017B1">
      <w:pPr>
        <w:keepNext/>
        <w:spacing w:after="220"/>
        <w:rPr>
          <w:b/>
          <w:bCs/>
          <w:iCs/>
          <w:lang w:val="en-GB"/>
        </w:rPr>
      </w:pPr>
      <w:r w:rsidRPr="00A876D6">
        <w:rPr>
          <w:b/>
          <w:bCs/>
          <w:iCs/>
          <w:lang w:val="en-GB"/>
        </w:rPr>
        <w:t xml:space="preserve">Databases and Knowledge Registers </w:t>
      </w:r>
    </w:p>
    <w:p w14:paraId="4A3CD786" w14:textId="77777777" w:rsidR="005017B1" w:rsidRDefault="005017B1" w:rsidP="005017B1">
      <w:pPr>
        <w:pStyle w:val="ONUME"/>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14:paraId="1B250E05" w14:textId="77777777" w:rsidR="005017B1" w:rsidRDefault="005017B1" w:rsidP="005017B1">
      <w:pPr>
        <w:pStyle w:val="ONUME"/>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14:paraId="779788B1" w14:textId="77777777" w:rsidR="005017B1" w:rsidRDefault="005017B1" w:rsidP="005017B1">
      <w:pPr>
        <w:pStyle w:val="ONUME"/>
        <w:rPr>
          <w:lang w:val="en-GB"/>
        </w:rPr>
      </w:pPr>
      <w:r w:rsidRPr="004D65FB">
        <w:rPr>
          <w:lang w:val="en-GB"/>
        </w:rPr>
        <w:t xml:space="preserve">While registers and databases play the above crucial role, they cannot be solely controlled by national governments.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 xml:space="preserve">Indigenous peoples are hence emphatic that any documentation and recording of TK and TCEs should primarily benefit indigenous </w:t>
      </w:r>
      <w:proofErr w:type="gramStart"/>
      <w:r w:rsidRPr="004D65FB">
        <w:rPr>
          <w:lang w:val="en-GB"/>
        </w:rPr>
        <w:t xml:space="preserve">peoples;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14:paraId="0B63D4F5" w14:textId="77777777" w:rsidR="005017B1" w:rsidRDefault="005017B1" w:rsidP="005017B1">
      <w:pPr>
        <w:pStyle w:val="ONUME"/>
        <w:rPr>
          <w:lang w:val="en-GB"/>
        </w:rPr>
      </w:pPr>
      <w:r w:rsidRPr="004D65FB">
        <w:rPr>
          <w:lang w:val="en-GB"/>
        </w:rPr>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being used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14:paraId="0FED68CA" w14:textId="77777777" w:rsidR="005017B1" w:rsidRDefault="005017B1" w:rsidP="005017B1">
      <w:pPr>
        <w:pStyle w:val="ONUME"/>
        <w:rPr>
          <w:lang w:val="en-GB"/>
        </w:rPr>
      </w:pPr>
      <w:r w:rsidRPr="004D65FB">
        <w:rPr>
          <w:lang w:val="en-GB"/>
        </w:rPr>
        <w:t xml:space="preserve">Significantly, for instance, where a patent application is rejected,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14:paraId="21D9C030" w14:textId="77777777" w:rsidR="005017B1" w:rsidRDefault="005017B1" w:rsidP="005017B1">
      <w:pPr>
        <w:keepNext/>
        <w:spacing w:before="240" w:after="220"/>
        <w:rPr>
          <w:b/>
          <w:lang w:val="en-GB"/>
        </w:rPr>
      </w:pPr>
      <w:r w:rsidRPr="008B5CD1">
        <w:rPr>
          <w:b/>
          <w:lang w:val="en-GB"/>
        </w:rPr>
        <w:t xml:space="preserve">PART 2: DRAFT TEXTS ON GENETIC RESOURCES (GRS) </w:t>
      </w:r>
    </w:p>
    <w:p w14:paraId="39AEAAC2" w14:textId="77777777" w:rsidR="005017B1" w:rsidRPr="00A876D6" w:rsidRDefault="005017B1" w:rsidP="005017B1">
      <w:pPr>
        <w:keepNext/>
        <w:spacing w:after="220"/>
        <w:rPr>
          <w:b/>
          <w:bCs/>
          <w:iCs/>
          <w:lang w:val="en-GB"/>
        </w:rPr>
      </w:pPr>
      <w:r w:rsidRPr="00A876D6">
        <w:rPr>
          <w:b/>
          <w:bCs/>
          <w:iCs/>
          <w:lang w:val="en-GB"/>
        </w:rPr>
        <w:t>Indigenous peoples’ rights to genetic resources</w:t>
      </w:r>
    </w:p>
    <w:p w14:paraId="7CD9AC97" w14:textId="77777777" w:rsidR="005017B1" w:rsidRDefault="005017B1" w:rsidP="005017B1">
      <w:pPr>
        <w:pStyle w:val="ONUME"/>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affirms the right of indigenous peoples to ‘own, use, control and develop’ the resources they possess by reason of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14:paraId="45BF0E12" w14:textId="77777777" w:rsidR="005017B1" w:rsidRDefault="005017B1" w:rsidP="005017B1">
      <w:pPr>
        <w:pStyle w:val="ONUME"/>
        <w:rPr>
          <w:lang w:val="en-GB"/>
        </w:rPr>
      </w:pPr>
      <w:r w:rsidRPr="00CB512C">
        <w:rPr>
          <w:lang w:val="en-GB"/>
        </w:rPr>
        <w:t xml:space="preserve">Of </w:t>
      </w:r>
      <w:proofErr w:type="gramStart"/>
      <w:r w:rsidRPr="00CB512C">
        <w:rPr>
          <w:lang w:val="en-GB"/>
        </w:rPr>
        <w:t>particular relevance</w:t>
      </w:r>
      <w:proofErr w:type="gramEnd"/>
      <w:r w:rsidRPr="00CB512C">
        <w:rPr>
          <w:lang w:val="en-GB"/>
        </w:rPr>
        <w:t xml:space="preserv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w:t>
      </w:r>
      <w:proofErr w:type="gramStart"/>
      <w:r w:rsidRPr="00CB512C">
        <w:rPr>
          <w:lang w:val="en-GB"/>
        </w:rPr>
        <w:t>in order to</w:t>
      </w:r>
      <w:proofErr w:type="gramEnd"/>
      <w:r w:rsidRPr="00CB512C">
        <w:rPr>
          <w:lang w:val="en-GB"/>
        </w:rPr>
        <w:t xml:space="preserve"> foster consistent interpretation and enforcement of rights.</w:t>
      </w:r>
    </w:p>
    <w:p w14:paraId="4D8BB410" w14:textId="77777777" w:rsidR="005017B1" w:rsidRDefault="005017B1" w:rsidP="005017B1">
      <w:pPr>
        <w:pStyle w:val="ONUME"/>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are also affirmed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14:paraId="03879665" w14:textId="77777777" w:rsidR="005017B1" w:rsidRDefault="005017B1" w:rsidP="005017B1">
      <w:pPr>
        <w:pStyle w:val="ONUME"/>
        <w:keepLines/>
        <w:rPr>
          <w:lang w:val="en-GB"/>
        </w:rPr>
      </w:pPr>
      <w:r w:rsidRPr="00CB512C">
        <w:rPr>
          <w:lang w:val="en-GB"/>
        </w:rPr>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Indigenous peoples’ property rights to own and control GRs may be adversely impacted by these developments and technological advances in terms of the scope of protection of international agreements.</w:t>
      </w:r>
      <w:r>
        <w:rPr>
          <w:lang w:val="en-GB"/>
        </w:rPr>
        <w:t xml:space="preserve"> </w:t>
      </w:r>
      <w:r w:rsidRPr="00CB512C">
        <w:rPr>
          <w:lang w:val="en-GB"/>
        </w:rPr>
        <w:t xml:space="preserve"> </w:t>
      </w:r>
      <w:proofErr w:type="gramStart"/>
      <w:r w:rsidRPr="00CB512C">
        <w:rPr>
          <w:lang w:val="en-GB"/>
        </w:rPr>
        <w:t>In particular, failure</w:t>
      </w:r>
      <w:proofErr w:type="gramEnd"/>
      <w:r w:rsidRPr="00CB512C">
        <w:rPr>
          <w:lang w:val="en-GB"/>
        </w:rPr>
        <w:t xml:space="preserve"> to control GRs and associated TK may further undermine food security and sovereignty, as well as traditional health systems. </w:t>
      </w:r>
    </w:p>
    <w:p w14:paraId="03A1463C" w14:textId="77777777" w:rsidR="005017B1" w:rsidRDefault="005017B1" w:rsidP="005017B1">
      <w:pPr>
        <w:pStyle w:val="ONUME"/>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This impact is acknowledged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 xml:space="preserve">The impact of emerging technologies that enable GRs to be digitally sequenced may become relevant for indigenous peoples’ rights to own and control their GRs and associated </w:t>
      </w:r>
      <w:proofErr w:type="gramStart"/>
      <w:r w:rsidRPr="00CB512C">
        <w:rPr>
          <w:lang w:val="en-GB"/>
        </w:rPr>
        <w:t>TK</w:t>
      </w:r>
      <w:r>
        <w:rPr>
          <w:lang w:val="en-GB"/>
        </w:rPr>
        <w:t>,</w:t>
      </w:r>
      <w:r w:rsidRPr="00CB512C">
        <w:rPr>
          <w:lang w:val="en-GB"/>
        </w:rPr>
        <w:t xml:space="preserve"> and</w:t>
      </w:r>
      <w:proofErr w:type="gramEnd"/>
      <w:r w:rsidRPr="00CB512C">
        <w:rPr>
          <w:lang w:val="en-GB"/>
        </w:rPr>
        <w:t xml:space="preserve"> may require consideration under the IGC draft texts in due course.</w:t>
      </w:r>
      <w:r w:rsidRPr="008B5CD1">
        <w:rPr>
          <w:vertAlign w:val="superscript"/>
          <w:lang w:val="en-GB"/>
        </w:rPr>
        <w:footnoteReference w:id="44"/>
      </w:r>
    </w:p>
    <w:p w14:paraId="5D101F59" w14:textId="77777777" w:rsidR="005017B1" w:rsidRDefault="005017B1" w:rsidP="005017B1">
      <w:pPr>
        <w:keepNext/>
        <w:spacing w:after="220"/>
        <w:rPr>
          <w:b/>
          <w:bCs/>
          <w:iCs/>
          <w:lang w:val="en-GB"/>
        </w:rPr>
      </w:pPr>
      <w:r w:rsidRPr="008B5CD1">
        <w:rPr>
          <w:b/>
          <w:bCs/>
          <w:iCs/>
          <w:lang w:val="en-GB"/>
        </w:rPr>
        <w:t>Mandatory disclosure</w:t>
      </w:r>
    </w:p>
    <w:p w14:paraId="4E8F71F9" w14:textId="77777777" w:rsidR="005017B1" w:rsidRDefault="005017B1" w:rsidP="005017B1">
      <w:pPr>
        <w:pStyle w:val="ONUME"/>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14:paraId="701432B9" w14:textId="77777777" w:rsidR="005017B1" w:rsidRDefault="005017B1" w:rsidP="005017B1">
      <w:pPr>
        <w:pStyle w:val="ONUME"/>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is based on GRs and associated TK. </w:t>
      </w:r>
      <w:r>
        <w:rPr>
          <w:lang w:val="en-GB"/>
        </w:rPr>
        <w:t xml:space="preserve"> </w:t>
      </w:r>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 xml:space="preserve">As proposed by the draft Consolidated Document, the information required to be disclosed would include the country of origin or the source of the GRs and associated TK and/or evidence that ABS agreements are in place.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14:paraId="51EAD82B" w14:textId="77777777" w:rsidR="005017B1" w:rsidRDefault="005017B1" w:rsidP="005017B1">
      <w:pPr>
        <w:pStyle w:val="ONUME"/>
        <w:rPr>
          <w:lang w:val="en-GB"/>
        </w:rPr>
      </w:pPr>
      <w:r w:rsidRPr="00CB512C">
        <w:rPr>
          <w:lang w:val="en-GB"/>
        </w:rPr>
        <w:t>The indigenous caucus at the IGC has broadly supported the proposal for mandatory disclosure provided that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14:paraId="3973D84A" w14:textId="77777777" w:rsidR="005017B1" w:rsidRDefault="005017B1" w:rsidP="005017B1">
      <w:pPr>
        <w:pStyle w:val="ONUME"/>
        <w:keepLines/>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w:t>
      </w:r>
      <w:proofErr w:type="gramStart"/>
      <w:r w:rsidRPr="00CB512C">
        <w:rPr>
          <w:lang w:val="en-GB"/>
        </w:rPr>
        <w:t>sourced</w:t>
      </w:r>
      <w:proofErr w:type="gramEnd"/>
      <w:r w:rsidRPr="00CB512C">
        <w:rPr>
          <w:lang w:val="en-GB"/>
        </w:rPr>
        <w:t xml:space="preserve">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14:paraId="2C3D7397" w14:textId="77777777" w:rsidR="005017B1" w:rsidRDefault="005017B1" w:rsidP="005017B1">
      <w:pPr>
        <w:keepNext/>
        <w:spacing w:after="220"/>
        <w:rPr>
          <w:b/>
          <w:bCs/>
          <w:iCs/>
          <w:lang w:val="en-GB"/>
        </w:rPr>
      </w:pPr>
      <w:r>
        <w:rPr>
          <w:b/>
          <w:bCs/>
          <w:iCs/>
          <w:lang w:val="en-GB"/>
        </w:rPr>
        <w:t>Dispute resolution</w:t>
      </w:r>
    </w:p>
    <w:p w14:paraId="4C882020" w14:textId="77777777" w:rsidR="005017B1" w:rsidRDefault="005017B1" w:rsidP="005017B1">
      <w:pPr>
        <w:pStyle w:val="ONUME"/>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The Chair’s text proposes a mandatory national level dispute resolution mechanism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14:paraId="1D455547" w14:textId="77777777" w:rsidR="005017B1" w:rsidRDefault="005017B1" w:rsidP="005017B1">
      <w:pPr>
        <w:pStyle w:val="ONUME"/>
        <w:rPr>
          <w:lang w:val="en-GB"/>
        </w:rPr>
      </w:pPr>
      <w:r w:rsidRPr="00CB512C">
        <w:rPr>
          <w:lang w:val="en-GB"/>
        </w:rPr>
        <w:t xml:space="preserve">From an indigenous perspective, accessibility is key, </w:t>
      </w:r>
      <w:proofErr w:type="gramStart"/>
      <w:r w:rsidRPr="00CB512C">
        <w:rPr>
          <w:lang w:val="en-GB"/>
        </w:rPr>
        <w:t>taking into account</w:t>
      </w:r>
      <w:proofErr w:type="gramEnd"/>
      <w:r w:rsidRPr="00CB512C">
        <w:rPr>
          <w:lang w:val="en-GB"/>
        </w:rPr>
        <w:t xml:space="preserve">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14:paraId="07E53C9E" w14:textId="77777777" w:rsidR="005017B1" w:rsidRPr="00A876D6" w:rsidRDefault="005017B1" w:rsidP="005017B1">
      <w:pPr>
        <w:keepNext/>
        <w:spacing w:after="220"/>
        <w:rPr>
          <w:b/>
          <w:bCs/>
          <w:iCs/>
          <w:lang w:val="en-GB"/>
        </w:rPr>
      </w:pPr>
      <w:r w:rsidRPr="00A876D6">
        <w:rPr>
          <w:b/>
          <w:bCs/>
          <w:iCs/>
          <w:lang w:val="en-GB"/>
        </w:rPr>
        <w:t>Traceability</w:t>
      </w:r>
    </w:p>
    <w:p w14:paraId="0053393E" w14:textId="77777777" w:rsidR="005017B1" w:rsidRDefault="005017B1" w:rsidP="005017B1">
      <w:pPr>
        <w:pStyle w:val="ONUME"/>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is digitally sequenced.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Traceability may be assisted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14:paraId="13C7A9B6" w14:textId="77777777" w:rsidR="005017B1" w:rsidRDefault="005017B1" w:rsidP="005017B1">
      <w:pPr>
        <w:rPr>
          <w:b/>
          <w:bCs/>
          <w:lang w:val="en-GB"/>
        </w:rPr>
      </w:pPr>
      <w:r>
        <w:rPr>
          <w:b/>
          <w:bCs/>
          <w:lang w:val="en-GB"/>
        </w:rPr>
        <w:br w:type="page"/>
      </w:r>
    </w:p>
    <w:p w14:paraId="6DC668B5" w14:textId="77777777" w:rsidR="005017B1" w:rsidRDefault="005017B1" w:rsidP="005017B1">
      <w:pPr>
        <w:keepNext/>
        <w:spacing w:before="440" w:after="220"/>
        <w:rPr>
          <w:b/>
          <w:lang w:val="en-GB"/>
        </w:rPr>
      </w:pPr>
      <w:r w:rsidRPr="008B5CD1">
        <w:rPr>
          <w:b/>
          <w:lang w:val="en-GB"/>
        </w:rPr>
        <w:t xml:space="preserve">Part 3: FINAL CONSIDERATIONS </w:t>
      </w:r>
    </w:p>
    <w:p w14:paraId="6FABDBCC" w14:textId="77777777" w:rsidR="005017B1" w:rsidRDefault="005017B1" w:rsidP="005017B1">
      <w:pPr>
        <w:pStyle w:val="ONUME"/>
        <w:rPr>
          <w:lang w:val="en-GB"/>
        </w:rPr>
      </w:pPr>
      <w:r w:rsidRPr="00CB512C">
        <w:rPr>
          <w:lang w:val="en-GB"/>
        </w:rPr>
        <w:t xml:space="preserve">The international legal instruments on GRs and associated </w:t>
      </w:r>
      <w:proofErr w:type="gramStart"/>
      <w:r w:rsidRPr="00CB512C">
        <w:rPr>
          <w:lang w:val="en-GB"/>
        </w:rPr>
        <w:t xml:space="preserve">TK;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14:paraId="2F1C10AE" w14:textId="77777777" w:rsidR="005017B1" w:rsidRDefault="005017B1" w:rsidP="005017B1">
      <w:pPr>
        <w:pStyle w:val="ONUME"/>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should thus be incorporated in the framing of legal texts touching on indigenous peoples’ TK, TCEs and GRs. </w:t>
      </w:r>
      <w:r>
        <w:rPr>
          <w:lang w:val="en-GB"/>
        </w:rPr>
        <w:t xml:space="preserve"> </w:t>
      </w:r>
      <w:r w:rsidRPr="00CB512C">
        <w:rPr>
          <w:lang w:val="en-GB"/>
        </w:rPr>
        <w:t xml:space="preserve">And based on its universal acceptance, universal implementation of its provisions is logically expected. </w:t>
      </w:r>
    </w:p>
    <w:p w14:paraId="62B8A885" w14:textId="77777777" w:rsidR="005017B1" w:rsidRDefault="005017B1" w:rsidP="005017B1">
      <w:pPr>
        <w:pStyle w:val="ONUME"/>
        <w:rPr>
          <w:lang w:val="en-GB"/>
        </w:rPr>
      </w:pPr>
      <w:r w:rsidRPr="00CB512C">
        <w:rPr>
          <w:lang w:val="en-GB"/>
        </w:rPr>
        <w:t>Whereas States can balance the interests of groups within their countries, rights of indigenous peoples remain valid and must be respected.</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14:paraId="24EAA522" w14:textId="454528E4" w:rsidR="002326AB" w:rsidRDefault="005017B1" w:rsidP="005017B1">
      <w:pPr>
        <w:spacing w:before="600"/>
        <w:ind w:left="5530"/>
      </w:pPr>
      <w:r>
        <w:t>[End of Annex and of document]</w:t>
      </w:r>
    </w:p>
    <w:sectPr w:rsidR="002326AB" w:rsidSect="005017B1">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1053D5" w14:textId="77777777" w:rsidR="005017B1" w:rsidRDefault="005017B1">
      <w:r>
        <w:separator/>
      </w:r>
    </w:p>
  </w:endnote>
  <w:endnote w:type="continuationSeparator" w:id="0">
    <w:p w14:paraId="401B53B4" w14:textId="77777777" w:rsidR="005017B1" w:rsidRDefault="005017B1" w:rsidP="003B38C1">
      <w:r>
        <w:separator/>
      </w:r>
    </w:p>
    <w:p w14:paraId="7366E5C5" w14:textId="77777777" w:rsidR="005017B1" w:rsidRPr="003B38C1" w:rsidRDefault="005017B1" w:rsidP="003B38C1">
      <w:pPr>
        <w:spacing w:after="60"/>
        <w:rPr>
          <w:sz w:val="17"/>
        </w:rPr>
      </w:pPr>
      <w:r>
        <w:rPr>
          <w:sz w:val="17"/>
        </w:rPr>
        <w:t>[Endnote continued from previous page]</w:t>
      </w:r>
    </w:p>
  </w:endnote>
  <w:endnote w:type="continuationNotice" w:id="1">
    <w:p w14:paraId="385AA81F" w14:textId="77777777" w:rsidR="005017B1" w:rsidRPr="003B38C1" w:rsidRDefault="005017B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121DA" w14:textId="6826A66B" w:rsidR="005017B1" w:rsidRDefault="005017B1" w:rsidP="00EE5BBD">
    <w:pPr>
      <w:pStyle w:val="Footer"/>
      <w:tabs>
        <w:tab w:val="clear" w:pos="4320"/>
        <w:tab w:val="clear" w:pos="8640"/>
        <w:tab w:val="left" w:pos="69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D2A9F" w14:textId="4FF6BD45"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583BC" w14:textId="315CCB79" w:rsidR="00C91A8D" w:rsidRDefault="00C91A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5483E" w14:textId="44C0BE99"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61BFF" w14:textId="77777777" w:rsidR="005017B1" w:rsidRDefault="005017B1">
      <w:r>
        <w:separator/>
      </w:r>
    </w:p>
  </w:footnote>
  <w:footnote w:type="continuationSeparator" w:id="0">
    <w:p w14:paraId="25AF68D2" w14:textId="77777777" w:rsidR="005017B1" w:rsidRDefault="005017B1" w:rsidP="008B60B2">
      <w:r>
        <w:separator/>
      </w:r>
    </w:p>
    <w:p w14:paraId="5555116F" w14:textId="77777777" w:rsidR="005017B1" w:rsidRPr="00ED77FB" w:rsidRDefault="005017B1" w:rsidP="008B60B2">
      <w:pPr>
        <w:spacing w:after="60"/>
        <w:rPr>
          <w:sz w:val="17"/>
          <w:szCs w:val="17"/>
        </w:rPr>
      </w:pPr>
      <w:r w:rsidRPr="00ED77FB">
        <w:rPr>
          <w:sz w:val="17"/>
          <w:szCs w:val="17"/>
        </w:rPr>
        <w:t>[Footnote continued from previous page]</w:t>
      </w:r>
    </w:p>
  </w:footnote>
  <w:footnote w:type="continuationNotice" w:id="1">
    <w:p w14:paraId="55A77277" w14:textId="77777777" w:rsidR="005017B1" w:rsidRPr="00ED77FB" w:rsidRDefault="005017B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2C93F0B"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14:paraId="7D843D4B" w14:textId="77777777" w:rsidR="005017B1" w:rsidRPr="002A671B"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Pr="00635BB7">
          <w:rPr>
            <w:rStyle w:val="Hyperlink"/>
            <w:color w:val="0033CC"/>
            <w:szCs w:val="18"/>
          </w:rPr>
          <w:t>https://www.un.org/development/desa/indigenouspeoples/news/2019/06/18-session-report/</w:t>
        </w:r>
      </w:hyperlink>
      <w:r w:rsidRPr="00635BB7">
        <w:rPr>
          <w:rStyle w:val="Hyperlink"/>
          <w:color w:val="0033CC"/>
          <w:szCs w:val="18"/>
        </w:rPr>
        <w:t>.</w:t>
      </w:r>
      <w:r>
        <w:rPr>
          <w:rStyle w:val="Hyperlink"/>
          <w:szCs w:val="18"/>
        </w:rPr>
        <w:t xml:space="preserve"> </w:t>
      </w:r>
      <w:r w:rsidRPr="002A671B">
        <w:rPr>
          <w:szCs w:val="18"/>
        </w:rPr>
        <w:t xml:space="preserve"> </w:t>
      </w:r>
    </w:p>
  </w:footnote>
  <w:footnote w:id="4">
    <w:p w14:paraId="55305E35" w14:textId="77777777" w:rsidR="005017B1" w:rsidRPr="008B5CD1" w:rsidRDefault="005017B1" w:rsidP="005017B1">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Document WIPO/GRTKF/IC/29/INF/10, available at </w:t>
      </w:r>
      <w:hyperlink r:id="rId2" w:history="1">
        <w:r w:rsidRPr="00635BB7">
          <w:rPr>
            <w:rStyle w:val="Hyperlink"/>
            <w:color w:val="0033CC"/>
            <w:szCs w:val="18"/>
          </w:rPr>
          <w:t>https://www.wipo.int/edocs/mdocs/tk/en/wipo_grtkf_ic_29/wipo_grtkf_ic_29_inf_10.pdf</w:t>
        </w:r>
      </w:hyperlink>
      <w:r w:rsidRPr="002A671B">
        <w:rPr>
          <w:rStyle w:val="Hyperlink"/>
          <w:szCs w:val="18"/>
        </w:rPr>
        <w:t xml:space="preserve">. </w:t>
      </w:r>
    </w:p>
  </w:footnote>
  <w:footnote w:id="5">
    <w:p w14:paraId="3B9B00AE" w14:textId="77777777" w:rsidR="005017B1" w:rsidRPr="008B5CD1" w:rsidRDefault="005017B1" w:rsidP="005017B1">
      <w:pPr>
        <w:pStyle w:val="FootnoteText"/>
        <w:rPr>
          <w:szCs w:val="18"/>
          <w:lang w:val="uz-Cyrl-UZ"/>
        </w:rPr>
      </w:pPr>
      <w:r w:rsidRPr="008B5CD1">
        <w:rPr>
          <w:rStyle w:val="FootnoteReference"/>
          <w:szCs w:val="18"/>
        </w:rPr>
        <w:footnoteRef/>
      </w:r>
      <w:r w:rsidRPr="008B5CD1">
        <w:rPr>
          <w:szCs w:val="18"/>
          <w:lang w:val="uz-Cyrl-UZ"/>
        </w:rPr>
        <w:t xml:space="preserve"> </w:t>
      </w:r>
      <w:r>
        <w:rPr>
          <w:szCs w:val="18"/>
          <w:lang w:val="uz-Cyrl-UZ"/>
        </w:rPr>
        <w:tab/>
      </w:r>
      <w:r w:rsidRPr="008B5CD1">
        <w:rPr>
          <w:szCs w:val="18"/>
          <w:lang w:val="uz-Cyrl-UZ"/>
        </w:rPr>
        <w:t>E/2019/43-E/C.19/1</w:t>
      </w:r>
      <w:r w:rsidRPr="008B5CD1">
        <w:rPr>
          <w:szCs w:val="18"/>
        </w:rPr>
        <w:t>0</w:t>
      </w:r>
      <w:r w:rsidRPr="008B5CD1">
        <w:rPr>
          <w:szCs w:val="18"/>
          <w:lang w:val="uz-Cyrl-UZ"/>
        </w:rPr>
        <w:t xml:space="preserve"> at para 10.</w:t>
      </w:r>
    </w:p>
  </w:footnote>
  <w:footnote w:id="6">
    <w:p w14:paraId="4475DC7E"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bookmarkStart w:id="5" w:name="_Hlk49439221"/>
      <w:r>
        <w:rPr>
          <w:szCs w:val="18"/>
        </w:rPr>
        <w:tab/>
      </w:r>
      <w:r w:rsidRPr="008B5CD1">
        <w:rPr>
          <w:szCs w:val="18"/>
        </w:rPr>
        <w:t>WIPO/GRTKF/IC/29/INF/10 at para 11</w:t>
      </w:r>
      <w:bookmarkEnd w:id="5"/>
      <w:r w:rsidRPr="008B5CD1">
        <w:rPr>
          <w:szCs w:val="18"/>
        </w:rPr>
        <w:t>.</w:t>
      </w:r>
    </w:p>
  </w:footnote>
  <w:footnote w:id="7">
    <w:p w14:paraId="789899F9" w14:textId="77777777" w:rsidR="005017B1" w:rsidRPr="002A671B"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Pr="00635BB7">
          <w:rPr>
            <w:rStyle w:val="Hyperlink"/>
            <w:color w:val="0033CC"/>
            <w:szCs w:val="18"/>
          </w:rPr>
          <w:t>https://www.wipo.int/meetings/en/doc_details.jsp?doc_id=  3934</w:t>
        </w:r>
      </w:hyperlink>
      <w:r w:rsidRPr="002A671B">
        <w:rPr>
          <w:szCs w:val="18"/>
        </w:rPr>
        <w:t xml:space="preserve">. </w:t>
      </w:r>
    </w:p>
  </w:footnote>
  <w:footnote w:id="8">
    <w:p w14:paraId="1157DB3F" w14:textId="77777777" w:rsidR="005017B1" w:rsidRPr="008B5CD1" w:rsidRDefault="005017B1" w:rsidP="005017B1">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Pr="00635BB7">
          <w:rPr>
            <w:rStyle w:val="Hyperlink"/>
            <w:color w:val="0033CC"/>
            <w:szCs w:val="18"/>
          </w:rPr>
          <w:t>https://www.wipo.int/meetings/en/doc_details.jsp?doc_id=443934</w:t>
        </w:r>
      </w:hyperlink>
      <w:r w:rsidRPr="002A671B">
        <w:rPr>
          <w:szCs w:val="18"/>
        </w:rPr>
        <w:t xml:space="preserve">. </w:t>
      </w:r>
    </w:p>
  </w:footnote>
  <w:footnote w:id="9">
    <w:p w14:paraId="7282C80A"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Pr="00635BB7">
          <w:rPr>
            <w:rStyle w:val="Hyperlink"/>
            <w:color w:val="0033CC"/>
            <w:szCs w:val="18"/>
          </w:rPr>
          <w:t>https://www.wipo.int/meetings/en/doc_details.jsp?doc_id=443934</w:t>
        </w:r>
      </w:hyperlink>
      <w:r w:rsidRPr="00DE4616">
        <w:rPr>
          <w:rStyle w:val="Hyperlink"/>
          <w:rFonts w:eastAsia="Times New Roman"/>
          <w:szCs w:val="18"/>
        </w:rPr>
        <w:t>,</w:t>
      </w:r>
      <w:r>
        <w:rPr>
          <w:rStyle w:val="Hyperlink"/>
          <w:rFonts w:eastAsia="Times New Roman"/>
          <w:szCs w:val="18"/>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szCs w:val="18"/>
        </w:rPr>
        <w:t xml:space="preserve"> </w:t>
      </w:r>
      <w:hyperlink r:id="rId6" w:history="1">
        <w:r w:rsidRPr="00635BB7">
          <w:rPr>
            <w:rStyle w:val="Hyperlink"/>
            <w:color w:val="0033CC"/>
            <w:szCs w:val="18"/>
          </w:rPr>
          <w:t>https://www.wipo.int/meetings/en/doc_details.jsp?doc_id=443934</w:t>
        </w:r>
      </w:hyperlink>
      <w:r w:rsidRPr="002A671B">
        <w:rPr>
          <w:rStyle w:val="Hyperlink"/>
          <w:rFonts w:eastAsia="Times New Roman"/>
          <w:szCs w:val="18"/>
        </w:rPr>
        <w:t xml:space="preserve">. </w:t>
      </w:r>
    </w:p>
  </w:footnote>
  <w:footnote w:id="10">
    <w:p w14:paraId="1E4124C4" w14:textId="77777777" w:rsidR="005017B1" w:rsidRPr="008B5CD1" w:rsidRDefault="005017B1" w:rsidP="005017B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See Annex C1, available at </w:t>
      </w:r>
      <w:hyperlink r:id="rId7" w:history="1">
        <w:r w:rsidRPr="00635BB7">
          <w:rPr>
            <w:rStyle w:val="Hyperlink"/>
            <w:rFonts w:eastAsia="Times New Roman"/>
            <w:color w:val="0033CC"/>
            <w:szCs w:val="18"/>
          </w:rPr>
          <w:t>https://www.wto.org/english/docs_e/legal_e/27-trips.pdf</w:t>
        </w:r>
      </w:hyperlink>
      <w:r w:rsidRPr="002A671B">
        <w:rPr>
          <w:rStyle w:val="Hyperlink"/>
          <w:rFonts w:eastAsia="Times New Roman"/>
          <w:szCs w:val="18"/>
        </w:rPr>
        <w:t xml:space="preserve">. </w:t>
      </w:r>
    </w:p>
  </w:footnote>
  <w:footnote w:id="11">
    <w:p w14:paraId="442C33DE"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United Nations Declaration on the Rights of Indigenous Peoples (UNDRIP), Article 4, available at </w:t>
      </w:r>
      <w:hyperlink r:id="rId8" w:history="1">
        <w:r w:rsidRPr="00635BB7">
          <w:rPr>
            <w:rStyle w:val="Hyperlink"/>
            <w:color w:val="0033CC"/>
            <w:szCs w:val="18"/>
          </w:rPr>
          <w:t>https://undocs.org/A/RES/61/295</w:t>
        </w:r>
      </w:hyperlink>
      <w:r w:rsidRPr="008B5CD1">
        <w:rPr>
          <w:szCs w:val="18"/>
        </w:rPr>
        <w:t>.</w:t>
      </w:r>
      <w:r>
        <w:rPr>
          <w:szCs w:val="18"/>
        </w:rPr>
        <w:t xml:space="preserve"> </w:t>
      </w:r>
    </w:p>
  </w:footnote>
  <w:footnote w:id="12">
    <w:p w14:paraId="6ECE9C1E"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 19. </w:t>
      </w:r>
    </w:p>
  </w:footnote>
  <w:footnote w:id="13">
    <w:p w14:paraId="07482E40"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i/>
          <w:szCs w:val="18"/>
        </w:rPr>
        <w:t>Sui Generis</w:t>
      </w:r>
      <w:r w:rsidRPr="008B5CD1">
        <w:rPr>
          <w:szCs w:val="18"/>
        </w:rPr>
        <w:t xml:space="preserve"> according to Black’s Law Dictionary means of its own kind or class, unique or peculiar. </w:t>
      </w:r>
    </w:p>
  </w:footnote>
  <w:footnote w:id="14">
    <w:p w14:paraId="772310C2" w14:textId="77777777" w:rsidR="005017B1" w:rsidRPr="008B5CD1" w:rsidRDefault="005017B1" w:rsidP="005017B1">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Pr>
          <w:rFonts w:eastAsia="Times New Roman"/>
          <w:i/>
          <w:iCs/>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xml:space="preserve">, art. 28(1);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9" w:history="1">
        <w:r w:rsidRPr="00635BB7">
          <w:rPr>
            <w:rStyle w:val="Hyperlink"/>
            <w:rFonts w:eastAsia="Times New Roman"/>
            <w:color w:val="0033CC"/>
            <w:szCs w:val="18"/>
            <w:lang w:val="en-AU" w:eastAsia="en-GB"/>
          </w:rPr>
          <w:t>https://papers.ssrn.com/abstract=2765827</w:t>
        </w:r>
      </w:hyperlink>
      <w:r>
        <w:rPr>
          <w:rFonts w:eastAsia="Times New Roman"/>
          <w:sz w:val="18"/>
          <w:szCs w:val="18"/>
          <w:lang w:val="en-AU" w:eastAsia="en-GB"/>
        </w:rPr>
        <w:t>&gt;</w:t>
      </w:r>
      <w:r w:rsidRPr="008B5CD1">
        <w:rPr>
          <w:sz w:val="18"/>
          <w:szCs w:val="18"/>
        </w:rPr>
        <w:t>;</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Reichman (eds),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ed, 2005), 506. </w:t>
      </w:r>
    </w:p>
  </w:footnote>
  <w:footnote w:id="15">
    <w:p w14:paraId="1746D592" w14:textId="77777777" w:rsidR="005017B1" w:rsidRPr="008B5CD1" w:rsidRDefault="005017B1" w:rsidP="005017B1">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art. 28(12).</w:t>
      </w:r>
    </w:p>
  </w:footnote>
  <w:footnote w:id="16">
    <w:p w14:paraId="137BF585" w14:textId="77777777" w:rsidR="005017B1" w:rsidRPr="008B5CD1" w:rsidRDefault="005017B1" w:rsidP="005017B1">
      <w:pPr>
        <w:ind w:firstLine="567"/>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10" w:history="1">
        <w:r w:rsidRPr="00635BB7">
          <w:rPr>
            <w:rStyle w:val="Hyperlink"/>
            <w:rFonts w:eastAsia="Times New Roman"/>
            <w:color w:val="0033CC"/>
            <w:szCs w:val="18"/>
            <w:lang w:val="en-AU" w:eastAsia="en-GB"/>
          </w:rPr>
          <w:t>https://papers.ssrn.com/abstract=2765827</w:t>
        </w:r>
      </w:hyperlink>
      <w:r>
        <w:rPr>
          <w:rFonts w:eastAsia="Times New Roman"/>
          <w:sz w:val="18"/>
          <w:szCs w:val="18"/>
          <w:lang w:val="en-AU" w:eastAsia="en-GB"/>
        </w:rPr>
        <w:t xml:space="preserve">&gt;. </w:t>
      </w:r>
    </w:p>
  </w:footnote>
  <w:footnote w:id="17">
    <w:p w14:paraId="15869AA1" w14:textId="77777777" w:rsidR="005017B1" w:rsidRPr="008B5CD1" w:rsidRDefault="005017B1" w:rsidP="005017B1">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xml:space="preserve">, art. 32(2), art 18, art. </w:t>
      </w:r>
      <w:proofErr w:type="gramStart"/>
      <w:r w:rsidRPr="008B5CD1">
        <w:rPr>
          <w:rFonts w:eastAsia="Times New Roman"/>
          <w:sz w:val="18"/>
          <w:szCs w:val="18"/>
          <w:lang w:val="en-AU" w:eastAsia="en-GB"/>
        </w:rPr>
        <w:t>34;</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14:paraId="67E6C583"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 art 28; International Convention on the Elimination of All Forms of Racial Discrimination (</w:t>
      </w:r>
      <w:r w:rsidRPr="008B5CD1">
        <w:rPr>
          <w:i/>
          <w:iCs/>
          <w:szCs w:val="18"/>
        </w:rPr>
        <w:t>ICERD)</w:t>
      </w:r>
      <w:r w:rsidRPr="008B5CD1">
        <w:rPr>
          <w:szCs w:val="18"/>
        </w:rPr>
        <w:t>, art. 2(2).</w:t>
      </w:r>
    </w:p>
  </w:footnote>
  <w:footnote w:id="19">
    <w:p w14:paraId="1B34272E"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w:t>
      </w:r>
    </w:p>
  </w:footnote>
  <w:footnote w:id="20">
    <w:p w14:paraId="3ACFDB77"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bookmarkStart w:id="6" w:name="_Hlk49439119"/>
      <w:r>
        <w:rPr>
          <w:szCs w:val="18"/>
        </w:rPr>
        <w:tab/>
      </w:r>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document WIPO/GRTKF/IC/35/10.</w:t>
      </w:r>
      <w:bookmarkEnd w:id="6"/>
    </w:p>
  </w:footnote>
  <w:footnote w:id="21">
    <w:p w14:paraId="53233035" w14:textId="77777777" w:rsidR="005017B1" w:rsidRPr="009E308A"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Refer to: </w:t>
      </w:r>
      <w:hyperlink r:id="rId11" w:history="1">
        <w:r w:rsidRPr="00635BB7">
          <w:rPr>
            <w:rStyle w:val="Hyperlink"/>
            <w:rFonts w:eastAsia="Times New Roman"/>
            <w:color w:val="0033CC"/>
            <w:szCs w:val="18"/>
            <w:lang w:val="en-AU" w:eastAsia="en-GB"/>
          </w:rPr>
          <w:t>https://www.cbd.int/doc/guidelines/cbd-RutzolijirisaxikGuidelines-en.pdf</w:t>
        </w:r>
      </w:hyperlink>
      <w:r w:rsidRPr="009E308A">
        <w:rPr>
          <w:rFonts w:eastAsia="Times New Roman"/>
          <w:szCs w:val="18"/>
          <w:lang w:val="en-AU" w:eastAsia="en-GB"/>
        </w:rPr>
        <w:t xml:space="preserve">. </w:t>
      </w:r>
    </w:p>
  </w:footnote>
  <w:footnote w:id="22">
    <w:p w14:paraId="07FD4224" w14:textId="77777777" w:rsidR="005017B1" w:rsidRPr="009E308A" w:rsidRDefault="005017B1" w:rsidP="005017B1">
      <w:pPr>
        <w:pStyle w:val="FootnoteText"/>
        <w:rPr>
          <w:szCs w:val="18"/>
        </w:rPr>
      </w:pPr>
      <w:r w:rsidRPr="009E308A">
        <w:rPr>
          <w:rStyle w:val="FootnoteReference"/>
          <w:szCs w:val="18"/>
        </w:rPr>
        <w:footnoteRef/>
      </w:r>
      <w:r w:rsidRPr="009E308A">
        <w:rPr>
          <w:szCs w:val="18"/>
        </w:rPr>
        <w:t xml:space="preserve">  </w:t>
      </w:r>
      <w:r>
        <w:rPr>
          <w:szCs w:val="18"/>
        </w:rPr>
        <w:tab/>
      </w:r>
      <w:proofErr w:type="spellStart"/>
      <w:r w:rsidRPr="009E308A">
        <w:rPr>
          <w:szCs w:val="18"/>
        </w:rPr>
        <w:t>Rutzolijirisaxik</w:t>
      </w:r>
      <w:proofErr w:type="spellEnd"/>
      <w:r w:rsidRPr="009E308A">
        <w:rPr>
          <w:szCs w:val="18"/>
        </w:rPr>
        <w:t xml:space="preserve"> Guidelines, par. 11(k).</w:t>
      </w:r>
    </w:p>
  </w:footnote>
  <w:footnote w:id="23">
    <w:p w14:paraId="19DF0D3D" w14:textId="77777777" w:rsidR="005017B1" w:rsidRPr="009E308A" w:rsidRDefault="005017B1" w:rsidP="005017B1">
      <w:pPr>
        <w:pStyle w:val="FootnoteText"/>
        <w:rPr>
          <w:szCs w:val="18"/>
        </w:rPr>
      </w:pPr>
      <w:r w:rsidRPr="009E308A">
        <w:rPr>
          <w:rStyle w:val="FootnoteReference"/>
          <w:szCs w:val="18"/>
        </w:rPr>
        <w:footnoteRef/>
      </w:r>
      <w:r w:rsidRPr="009E308A">
        <w:rPr>
          <w:szCs w:val="18"/>
        </w:rPr>
        <w:t xml:space="preserve"> </w:t>
      </w:r>
      <w:r>
        <w:rPr>
          <w:szCs w:val="18"/>
        </w:rPr>
        <w:tab/>
      </w:r>
      <w:r w:rsidRPr="009E308A">
        <w:rPr>
          <w:szCs w:val="18"/>
        </w:rPr>
        <w:t xml:space="preserve">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14:paraId="1D0B8C71" w14:textId="77777777" w:rsidR="005017B1" w:rsidRPr="00D63A1C" w:rsidRDefault="005017B1" w:rsidP="005017B1">
      <w:pPr>
        <w:rPr>
          <w:sz w:val="18"/>
          <w:szCs w:val="18"/>
        </w:rPr>
      </w:pPr>
      <w:r w:rsidRPr="009E308A">
        <w:rPr>
          <w:rStyle w:val="FootnoteReference"/>
          <w:sz w:val="18"/>
          <w:szCs w:val="18"/>
        </w:rPr>
        <w:footnoteRef/>
      </w:r>
      <w:r w:rsidRPr="009E308A">
        <w:rPr>
          <w:sz w:val="18"/>
          <w:szCs w:val="18"/>
        </w:rPr>
        <w:t xml:space="preserve"> </w:t>
      </w:r>
      <w:r>
        <w:rPr>
          <w:sz w:val="18"/>
          <w:szCs w:val="18"/>
        </w:rPr>
        <w:tab/>
      </w:r>
      <w:r w:rsidRPr="009E308A">
        <w:rPr>
          <w:sz w:val="18"/>
          <w:szCs w:val="18"/>
        </w:rPr>
        <w:t xml:space="preserve">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Pr="00635BB7">
          <w:rPr>
            <w:rStyle w:val="Hyperlink"/>
            <w:rFonts w:eastAsia="Times New Roman"/>
            <w:color w:val="0033CC"/>
            <w:szCs w:val="18"/>
          </w:rPr>
          <w:t>https://www.cigionline.org/sites/default/files/documents/Paper%20no.176web.pdf</w:t>
        </w:r>
      </w:hyperlink>
      <w:r w:rsidRPr="009E308A">
        <w:rPr>
          <w:rStyle w:val="Hyperlink"/>
          <w:rFonts w:eastAsia="Times New Roman"/>
          <w:szCs w:val="18"/>
        </w:rPr>
        <w:t xml:space="preserve">. </w:t>
      </w:r>
    </w:p>
  </w:footnote>
  <w:footnote w:id="25">
    <w:p w14:paraId="5F179621" w14:textId="77777777" w:rsidR="005017B1" w:rsidRPr="00D63A1C" w:rsidRDefault="005017B1" w:rsidP="005017B1">
      <w:pPr>
        <w:pStyle w:val="FootnoteText"/>
        <w:rPr>
          <w:szCs w:val="18"/>
        </w:rPr>
      </w:pPr>
      <w:r w:rsidRPr="00D63A1C">
        <w:rPr>
          <w:rStyle w:val="FootnoteReference"/>
          <w:szCs w:val="18"/>
        </w:rPr>
        <w:footnoteRef/>
      </w:r>
      <w:r w:rsidRPr="00D63A1C">
        <w:rPr>
          <w:szCs w:val="18"/>
        </w:rPr>
        <w:t xml:space="preserve"> </w:t>
      </w:r>
      <w:bookmarkStart w:id="7" w:name="_Hlk49439153"/>
      <w:r>
        <w:rPr>
          <w:szCs w:val="18"/>
        </w:rPr>
        <w:tab/>
        <w:t xml:space="preserve">See </w:t>
      </w:r>
      <w:r w:rsidRPr="00D63A1C">
        <w:rPr>
          <w:szCs w:val="18"/>
        </w:rPr>
        <w:t xml:space="preserve">paragraphs 4 to 6 of the “Technical Review” available at </w:t>
      </w:r>
      <w:hyperlink r:id="rId13" w:history="1">
        <w:r w:rsidRPr="00635BB7">
          <w:rPr>
            <w:rStyle w:val="Hyperlink"/>
            <w:color w:val="0033CC"/>
            <w:szCs w:val="18"/>
          </w:rPr>
          <w:t>https://www.wipo.int/edocs/mdocs/tk/en/wipo_grtkf_ic_29/wipo_grtkf_ic_29_inf_10.pdf</w:t>
        </w:r>
      </w:hyperlink>
      <w:r w:rsidRPr="00D63A1C">
        <w:rPr>
          <w:rStyle w:val="Hyperlink"/>
          <w:szCs w:val="18"/>
        </w:rPr>
        <w:t>.</w:t>
      </w:r>
      <w:r>
        <w:rPr>
          <w:rStyle w:val="Hyperlink"/>
          <w:szCs w:val="18"/>
        </w:rPr>
        <w:t xml:space="preserve"> </w:t>
      </w:r>
    </w:p>
    <w:bookmarkEnd w:id="7"/>
  </w:footnote>
  <w:footnote w:id="26">
    <w:p w14:paraId="26E749FB" w14:textId="77777777" w:rsidR="005017B1" w:rsidRPr="00D63A1C" w:rsidRDefault="005017B1" w:rsidP="005017B1">
      <w:pPr>
        <w:pStyle w:val="FootnoteText"/>
        <w:rPr>
          <w:szCs w:val="18"/>
        </w:rPr>
      </w:pPr>
      <w:r w:rsidRPr="00D63A1C">
        <w:rPr>
          <w:rStyle w:val="FootnoteReference"/>
          <w:szCs w:val="18"/>
        </w:rPr>
        <w:footnoteRef/>
      </w:r>
      <w:r w:rsidRPr="00D63A1C">
        <w:rPr>
          <w:szCs w:val="18"/>
        </w:rPr>
        <w:t xml:space="preserve"> </w:t>
      </w:r>
      <w:r>
        <w:rPr>
          <w:szCs w:val="18"/>
        </w:rPr>
        <w:tab/>
      </w:r>
      <w:r w:rsidRPr="00D63A1C">
        <w:rPr>
          <w:szCs w:val="18"/>
        </w:rPr>
        <w:t xml:space="preserve">Bagley, ibid. </w:t>
      </w:r>
    </w:p>
  </w:footnote>
  <w:footnote w:id="27">
    <w:p w14:paraId="120DDB6F"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article 19.</w:t>
      </w:r>
    </w:p>
  </w:footnote>
  <w:footnote w:id="28">
    <w:p w14:paraId="38A7DC1C"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See WIPO Study on Limitations and Exceptions of Copyright and Related Rights in the Digital Environment. Standing Committee on Copyright and Related Rights. Geneva, June 23 to 27, 2003, available at </w:t>
      </w:r>
      <w:hyperlink r:id="rId14" w:history="1">
        <w:r w:rsidRPr="00635BB7">
          <w:rPr>
            <w:rStyle w:val="Hyperlink"/>
            <w:color w:val="0033CC"/>
            <w:szCs w:val="18"/>
          </w:rPr>
          <w:t>https://www.wipo.int/edocs/mdocs/copyright/en/sccr_9/sccr_9_7.pdf</w:t>
        </w:r>
      </w:hyperlink>
      <w:r w:rsidRPr="009E308A">
        <w:rPr>
          <w:rStyle w:val="Hyperlink"/>
          <w:szCs w:val="18"/>
        </w:rPr>
        <w:t>.</w:t>
      </w:r>
      <w:r w:rsidRPr="009E308A">
        <w:rPr>
          <w:szCs w:val="18"/>
        </w:rPr>
        <w:t xml:space="preserve"> </w:t>
      </w:r>
    </w:p>
  </w:footnote>
  <w:footnote w:id="29">
    <w:p w14:paraId="1AB3ED26"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bookmarkStart w:id="8" w:name="_Hlk49439170"/>
      <w:r>
        <w:rPr>
          <w:szCs w:val="18"/>
        </w:rPr>
        <w:tab/>
      </w:r>
      <w:r w:rsidRPr="008B5CD1">
        <w:rPr>
          <w:szCs w:val="18"/>
        </w:rPr>
        <w:t>See WO/GA/51/12 Annex I on page 18 on “Exceptions and Limitations”.</w:t>
      </w:r>
      <w:bookmarkEnd w:id="8"/>
    </w:p>
  </w:footnote>
  <w:footnote w:id="30">
    <w:p w14:paraId="039D8F85"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Articles 11(2) and 19. </w:t>
      </w:r>
    </w:p>
  </w:footnote>
  <w:footnote w:id="31">
    <w:p w14:paraId="4E978415" w14:textId="77777777" w:rsidR="005017B1" w:rsidRPr="00D63A1C" w:rsidRDefault="005017B1" w:rsidP="005017B1">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 xml:space="preserve">See Article 32.5, available at </w:t>
      </w:r>
      <w:hyperlink r:id="rId15" w:history="1">
        <w:r w:rsidRPr="00635BB7">
          <w:rPr>
            <w:rStyle w:val="Hyperlink"/>
            <w:rFonts w:eastAsia="Times New Roman"/>
            <w:color w:val="0033CC"/>
            <w:szCs w:val="18"/>
          </w:rPr>
          <w:t>https://ustr.gov/sites/default/files/files/agreements/FTA/USMCA/Text/32_Exceptions_and_General_Provisions.pdf</w:t>
        </w:r>
      </w:hyperlink>
      <w:r w:rsidRPr="00635BB7">
        <w:rPr>
          <w:rStyle w:val="Hyperlink"/>
          <w:rFonts w:eastAsia="Times New Roman"/>
          <w:szCs w:val="18"/>
        </w:rPr>
        <w:t>.</w:t>
      </w:r>
    </w:p>
  </w:footnote>
  <w:footnote w:id="32">
    <w:p w14:paraId="25B2FE42" w14:textId="77777777" w:rsidR="005017B1" w:rsidRPr="00D63A1C" w:rsidRDefault="005017B1" w:rsidP="005017B1">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Report of the 38</w:t>
      </w:r>
      <w:r w:rsidRPr="00D63A1C">
        <w:rPr>
          <w:sz w:val="18"/>
          <w:szCs w:val="18"/>
          <w:vertAlign w:val="superscript"/>
        </w:rPr>
        <w:t>th</w:t>
      </w:r>
      <w:r w:rsidRPr="00D63A1C">
        <w:rPr>
          <w:sz w:val="18"/>
          <w:szCs w:val="18"/>
        </w:rPr>
        <w:t xml:space="preserve"> Session of the IGC, December 10 to 14, 2018, Statement by CEM-Aymara on behalf of the Indigenous Caucus, paras 197 and 215. document WIPO/GRTKF/IC/38/16.</w:t>
      </w:r>
    </w:p>
  </w:footnote>
  <w:footnote w:id="33">
    <w:p w14:paraId="5ED101A4" w14:textId="77777777" w:rsidR="005017B1" w:rsidRPr="00CB512C"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CB512C">
        <w:rPr>
          <w:szCs w:val="18"/>
        </w:rPr>
        <w:t xml:space="preserve">See Anupam Chander and Madhavi Sunder, The Romance of Public Domain, California Law Review [Vol. 92:2004].  </w:t>
      </w:r>
    </w:p>
  </w:footnote>
  <w:footnote w:id="34">
    <w:p w14:paraId="1338DE5A" w14:textId="77777777" w:rsidR="005017B1" w:rsidRPr="00CB512C" w:rsidRDefault="005017B1" w:rsidP="005017B1">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 xml:space="preserve">CBD COP decision VIII/5 B, paragraph </w:t>
      </w:r>
      <w:proofErr w:type="gramStart"/>
      <w:r w:rsidRPr="00CB512C">
        <w:rPr>
          <w:sz w:val="18"/>
          <w:szCs w:val="18"/>
        </w:rPr>
        <w:t xml:space="preserve">5;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14:paraId="07B6DA25" w14:textId="77777777" w:rsidR="005017B1" w:rsidRPr="00CB512C" w:rsidRDefault="005017B1" w:rsidP="005017B1">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14:paraId="0CDB80CE" w14:textId="77777777" w:rsidR="005017B1" w:rsidRPr="00CB512C" w:rsidRDefault="005017B1" w:rsidP="005017B1">
      <w:pPr>
        <w:pStyle w:val="FootnoteText"/>
        <w:rPr>
          <w:szCs w:val="18"/>
        </w:rPr>
      </w:pPr>
      <w:r w:rsidRPr="00CB512C">
        <w:rPr>
          <w:rStyle w:val="FootnoteReference"/>
          <w:szCs w:val="18"/>
        </w:rPr>
        <w:footnoteRef/>
      </w:r>
      <w:r w:rsidRPr="00CB512C">
        <w:rPr>
          <w:i/>
          <w:iCs/>
          <w:szCs w:val="18"/>
        </w:rPr>
        <w:t xml:space="preserve"> </w:t>
      </w:r>
      <w:r>
        <w:rPr>
          <w:i/>
          <w:iCs/>
          <w:szCs w:val="18"/>
        </w:rPr>
        <w:tab/>
      </w:r>
      <w:r w:rsidRPr="00CB512C">
        <w:rPr>
          <w:iCs/>
          <w:szCs w:val="18"/>
        </w:rPr>
        <w:t>UNDRIP</w:t>
      </w:r>
      <w:r w:rsidRPr="00CB512C">
        <w:rPr>
          <w:szCs w:val="18"/>
        </w:rPr>
        <w:t>, art 31.</w:t>
      </w:r>
    </w:p>
  </w:footnote>
  <w:footnote w:id="37">
    <w:p w14:paraId="5BE91DA0" w14:textId="77777777" w:rsidR="005017B1" w:rsidRPr="00CB512C" w:rsidRDefault="005017B1" w:rsidP="005017B1">
      <w:pPr>
        <w:pStyle w:val="FootnoteText"/>
        <w:rPr>
          <w:szCs w:val="18"/>
        </w:rPr>
      </w:pPr>
      <w:r w:rsidRPr="00CB512C">
        <w:rPr>
          <w:rStyle w:val="FootnoteReference"/>
          <w:szCs w:val="18"/>
        </w:rPr>
        <w:footnoteRef/>
      </w:r>
      <w:r w:rsidRPr="00CB512C">
        <w:rPr>
          <w:iCs/>
          <w:szCs w:val="18"/>
        </w:rPr>
        <w:t xml:space="preserve"> </w:t>
      </w:r>
      <w:r>
        <w:rPr>
          <w:iCs/>
          <w:szCs w:val="18"/>
        </w:rPr>
        <w:tab/>
      </w:r>
      <w:r w:rsidRPr="00CB512C">
        <w:rPr>
          <w:iCs/>
          <w:szCs w:val="18"/>
        </w:rPr>
        <w:t>UNDRIP</w:t>
      </w:r>
      <w:r>
        <w:rPr>
          <w:szCs w:val="18"/>
        </w:rPr>
        <w:t>, art.</w:t>
      </w:r>
      <w:r w:rsidRPr="00CB512C">
        <w:rPr>
          <w:szCs w:val="18"/>
        </w:rPr>
        <w:t xml:space="preserve"> 4, art. 32; Document WIPO/GRTKF/IC/29/INF/10, available at </w:t>
      </w:r>
      <w:hyperlink r:id="rId16" w:history="1">
        <w:r w:rsidRPr="00635BB7">
          <w:rPr>
            <w:rStyle w:val="Hyperlink"/>
            <w:color w:val="0033CC"/>
            <w:szCs w:val="18"/>
          </w:rPr>
          <w:t>https://www.wipo.int/edocs/mdocs/tk/en/wipo_grtkf_ic_29/wipo_grtkf_ic_29_inf_10.pdf</w:t>
        </w:r>
      </w:hyperlink>
      <w:r w:rsidRPr="00957002">
        <w:rPr>
          <w:rStyle w:val="Hyperlink"/>
          <w:szCs w:val="18"/>
        </w:rPr>
        <w:t>.</w:t>
      </w:r>
    </w:p>
  </w:footnote>
  <w:footnote w:id="38">
    <w:p w14:paraId="19226535" w14:textId="77777777" w:rsidR="005017B1" w:rsidRPr="00CB512C" w:rsidRDefault="005017B1" w:rsidP="005017B1">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Document WIPO/GRTKF/IC/29/INF/10, available at </w:t>
      </w:r>
      <w:hyperlink r:id="rId17" w:history="1">
        <w:r w:rsidRPr="00635BB7">
          <w:rPr>
            <w:rStyle w:val="Hyperlink"/>
            <w:color w:val="0033CC"/>
            <w:szCs w:val="18"/>
          </w:rPr>
          <w:t>https://www.wipo.int/edocs/mdocs/tk/en/wipo_grtkf_ic_29/wipo_grtkf_ic_29_inf_10.pdf</w:t>
        </w:r>
      </w:hyperlink>
      <w:r w:rsidRPr="00CB512C">
        <w:rPr>
          <w:szCs w:val="18"/>
        </w:rPr>
        <w:t>.</w:t>
      </w:r>
    </w:p>
  </w:footnote>
  <w:footnote w:id="39">
    <w:p w14:paraId="5791732D" w14:textId="77777777" w:rsidR="005017B1" w:rsidRPr="00CB512C" w:rsidRDefault="005017B1" w:rsidP="005017B1">
      <w:pPr>
        <w:pStyle w:val="FootnoteText"/>
        <w:rPr>
          <w:szCs w:val="18"/>
        </w:rPr>
      </w:pPr>
      <w:r w:rsidRPr="00CB512C">
        <w:rPr>
          <w:rStyle w:val="FootnoteReference"/>
          <w:szCs w:val="18"/>
        </w:rPr>
        <w:footnoteRef/>
      </w:r>
      <w:r w:rsidRPr="00CB512C">
        <w:rPr>
          <w:szCs w:val="18"/>
        </w:rPr>
        <w:t xml:space="preserve"> </w:t>
      </w:r>
      <w:r>
        <w:rPr>
          <w:szCs w:val="18"/>
        </w:rPr>
        <w:tab/>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635BB7">
          <w:rPr>
            <w:rStyle w:val="Hyperlink"/>
            <w:color w:val="0033CC"/>
            <w:szCs w:val="18"/>
          </w:rPr>
          <w:t>https://absch.cbd.int/reports/analyzer</w:t>
        </w:r>
      </w:hyperlink>
      <w:r w:rsidRPr="00635BB7">
        <w:rPr>
          <w:szCs w:val="18"/>
        </w:rPr>
        <w:t xml:space="preserve"> </w:t>
      </w:r>
      <w:proofErr w:type="gramStart"/>
      <w:r w:rsidRPr="00635BB7">
        <w:rPr>
          <w:szCs w:val="18"/>
        </w:rPr>
        <w:t>at</w:t>
      </w:r>
      <w:proofErr w:type="gramEnd"/>
      <w:r w:rsidRPr="00635BB7">
        <w:rPr>
          <w:szCs w:val="18"/>
        </w:rPr>
        <w:t xml:space="preserve"> 11</w:t>
      </w:r>
      <w:r w:rsidRPr="00635BB7">
        <w:rPr>
          <w:szCs w:val="18"/>
          <w:vertAlign w:val="superscript"/>
        </w:rPr>
        <w:t>th</w:t>
      </w:r>
      <w:r w:rsidRPr="00635BB7">
        <w:rPr>
          <w:szCs w:val="18"/>
        </w:rPr>
        <w:t xml:space="preserve"> May 2020</w:t>
      </w:r>
      <w:r w:rsidRPr="00CB512C">
        <w:rPr>
          <w:szCs w:val="18"/>
        </w:rPr>
        <w:t>.</w:t>
      </w:r>
    </w:p>
  </w:footnote>
  <w:footnote w:id="40">
    <w:p w14:paraId="01FC65C9" w14:textId="77777777" w:rsidR="005017B1" w:rsidRPr="00CB512C" w:rsidRDefault="005017B1" w:rsidP="005017B1">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635BB7">
          <w:rPr>
            <w:rStyle w:val="Hyperlink"/>
            <w:color w:val="0033CC"/>
            <w:szCs w:val="18"/>
          </w:rPr>
          <w:t>https://absch.cbd.int/reports/analyzer</w:t>
        </w:r>
      </w:hyperlink>
      <w:r w:rsidRPr="00CB512C">
        <w:rPr>
          <w:szCs w:val="18"/>
        </w:rPr>
        <w:t xml:space="preserve"> </w:t>
      </w:r>
      <w:proofErr w:type="gramStart"/>
      <w:r w:rsidRPr="00CB512C">
        <w:rPr>
          <w:szCs w:val="18"/>
        </w:rPr>
        <w:t>at</w:t>
      </w:r>
      <w:proofErr w:type="gramEnd"/>
      <w:r w:rsidRPr="00CB512C">
        <w:rPr>
          <w:szCs w:val="18"/>
        </w:rPr>
        <w:t xml:space="preserve"> 11</w:t>
      </w:r>
      <w:r w:rsidRPr="00CB512C">
        <w:rPr>
          <w:szCs w:val="18"/>
          <w:vertAlign w:val="superscript"/>
        </w:rPr>
        <w:t>th</w:t>
      </w:r>
      <w:r w:rsidRPr="00CB512C">
        <w:rPr>
          <w:szCs w:val="18"/>
        </w:rPr>
        <w:t xml:space="preserve"> May 2020. </w:t>
      </w:r>
    </w:p>
    <w:p w14:paraId="4AD97ABA" w14:textId="77777777" w:rsidR="005017B1" w:rsidRPr="00CB512C" w:rsidRDefault="005017B1" w:rsidP="005017B1">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14:paraId="14461FF2" w14:textId="77777777" w:rsidR="005017B1" w:rsidRPr="008B5CD1" w:rsidRDefault="005017B1" w:rsidP="005017B1">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&lt;</w:t>
      </w:r>
      <w:hyperlink r:id="rId20" w:history="1">
        <w:r w:rsidRPr="00635BB7">
          <w:rPr>
            <w:rStyle w:val="Hyperlink"/>
            <w:color w:val="0033CC"/>
            <w:szCs w:val="18"/>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
  </w:footnote>
  <w:footnote w:id="42">
    <w:p w14:paraId="61444062"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 31, art 23.</w:t>
      </w:r>
    </w:p>
  </w:footnote>
  <w:footnote w:id="43">
    <w:p w14:paraId="1266D5A8"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CBD/COP/DEC/XIII/16 Decision adopted by the Conference of the Parties to the CBD, 16 December </w:t>
      </w:r>
      <w:proofErr w:type="gramStart"/>
      <w:r w:rsidRPr="008B5CD1">
        <w:rPr>
          <w:szCs w:val="18"/>
        </w:rPr>
        <w:t xml:space="preserve">2016; </w:t>
      </w:r>
      <w:r>
        <w:rPr>
          <w:szCs w:val="18"/>
        </w:rPr>
        <w:t xml:space="preserve"> </w:t>
      </w:r>
      <w:r w:rsidRPr="008B5CD1">
        <w:rPr>
          <w:szCs w:val="18"/>
        </w:rPr>
        <w:t>CBD</w:t>
      </w:r>
      <w:proofErr w:type="gramEnd"/>
      <w:r w:rsidRPr="008B5CD1">
        <w:rPr>
          <w:szCs w:val="18"/>
        </w:rPr>
        <w:t>/NP/MOP/DEC/2/14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14:paraId="0E1F50A5" w14:textId="77777777" w:rsidR="005017B1" w:rsidRPr="008B5CD1" w:rsidRDefault="005017B1" w:rsidP="005017B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Chair’s text, notes on article </w:t>
      </w:r>
      <w:proofErr w:type="gramStart"/>
      <w:r w:rsidRPr="008B5CD1">
        <w:rPr>
          <w:sz w:val="18"/>
          <w:szCs w:val="18"/>
        </w:rPr>
        <w:t xml:space="preserve">9; </w:t>
      </w:r>
      <w:r>
        <w:rPr>
          <w:sz w:val="18"/>
          <w:szCs w:val="18"/>
        </w:rPr>
        <w:t xml:space="preserve"> </w:t>
      </w:r>
      <w:r w:rsidRPr="008B5CD1">
        <w:rPr>
          <w:sz w:val="18"/>
          <w:szCs w:val="18"/>
        </w:rPr>
        <w:t>CBD</w:t>
      </w:r>
      <w:proofErr w:type="gramEnd"/>
      <w:r w:rsidRPr="008B5CD1">
        <w:rPr>
          <w:sz w:val="18"/>
          <w:szCs w:val="18"/>
        </w:rPr>
        <w:t xml:space="preserve">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14:paraId="62658FC6" w14:textId="77777777" w:rsidR="005017B1" w:rsidRPr="008B5CD1" w:rsidRDefault="005017B1" w:rsidP="005017B1">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 xml:space="preserve">Chair’s text, introductory </w:t>
      </w:r>
      <w:proofErr w:type="gramStart"/>
      <w:r w:rsidRPr="008B5CD1">
        <w:rPr>
          <w:szCs w:val="18"/>
          <w:lang w:val="en-AU"/>
        </w:rPr>
        <w:t xml:space="preserve">remarks;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14:paraId="6D4983DB"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3.1, art. 3.2; Consolidated text, art.10.4.</w:t>
      </w:r>
    </w:p>
  </w:footnote>
  <w:footnote w:id="47">
    <w:p w14:paraId="38545C19" w14:textId="77777777" w:rsidR="005017B1" w:rsidRPr="008B5CD1" w:rsidRDefault="005017B1" w:rsidP="005017B1">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sz w:val="18"/>
          <w:szCs w:val="18"/>
          <w:lang w:val="en-AU" w:eastAsia="en-GB"/>
        </w:rPr>
        <w:t xml:space="preserve">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Reichman (eds),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ed, 2005), 506.</w:t>
      </w:r>
    </w:p>
  </w:footnote>
  <w:footnote w:id="48">
    <w:p w14:paraId="175E0885"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14:paraId="0D799D34" w14:textId="77777777" w:rsidR="005017B1" w:rsidRPr="008B5CD1" w:rsidRDefault="005017B1" w:rsidP="005017B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CBD AHTEG DSI, 13-16 February 2018, CBD/DSI/AHTEG/2018/1/4, para 29.</w:t>
      </w:r>
    </w:p>
  </w:footnote>
  <w:footnote w:id="50">
    <w:p w14:paraId="0D9080ED"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6.5.</w:t>
      </w:r>
    </w:p>
  </w:footnote>
  <w:footnote w:id="51">
    <w:p w14:paraId="7BAEBDF0" w14:textId="77777777" w:rsidR="005017B1" w:rsidRPr="008B5CD1" w:rsidRDefault="005017B1" w:rsidP="005017B1">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Consolidated text, art. 6.4</w:t>
      </w:r>
    </w:p>
  </w:footnote>
  <w:footnote w:id="52">
    <w:p w14:paraId="79B9A914"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xml:space="preserve">, art. 27, art 39, art </w:t>
      </w:r>
      <w:proofErr w:type="gramStart"/>
      <w:r w:rsidRPr="008B5CD1">
        <w:rPr>
          <w:szCs w:val="18"/>
        </w:rPr>
        <w:t xml:space="preserve">40;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14:paraId="62985F12" w14:textId="77777777" w:rsidR="005017B1" w:rsidRPr="008B5CD1" w:rsidRDefault="005017B1" w:rsidP="005017B1">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6C3950">
        <w:rPr>
          <w:sz w:val="18"/>
          <w:szCs w:val="18"/>
        </w:rPr>
        <w:t>CBD AHTEG DSI, 13-16 February 2018, CBD/DSI/AHTEG/2018/1/4, para 29.</w:t>
      </w:r>
      <w:r>
        <w:rPr>
          <w:sz w:val="18"/>
          <w:szCs w:val="18"/>
        </w:rPr>
        <w:t xml:space="preserve"> </w:t>
      </w:r>
      <w:r w:rsidRPr="006C3950">
        <w:rPr>
          <w:sz w:val="18"/>
          <w:szCs w:val="18"/>
        </w:rPr>
        <w:t>Frederic Perron-Welch, Blockchain Technology and Access and Benefit Sharing, 7</w:t>
      </w:r>
      <w:r w:rsidRPr="006C3950">
        <w:rPr>
          <w:sz w:val="18"/>
          <w:szCs w:val="18"/>
          <w:vertAlign w:val="superscript"/>
        </w:rPr>
        <w:t>th</w:t>
      </w:r>
      <w:r w:rsidRPr="006C3950">
        <w:rPr>
          <w:sz w:val="18"/>
          <w:szCs w:val="18"/>
        </w:rPr>
        <w:t xml:space="preserve"> August 2018</w:t>
      </w:r>
      <w:r>
        <w:rPr>
          <w:sz w:val="18"/>
          <w:szCs w:val="18"/>
        </w:rPr>
        <w:t>.</w:t>
      </w:r>
      <w:r w:rsidRPr="006C3950">
        <w:rPr>
          <w:sz w:val="18"/>
          <w:szCs w:val="18"/>
        </w:rPr>
        <w:t xml:space="preserve"> </w:t>
      </w:r>
    </w:p>
  </w:footnote>
  <w:footnote w:id="54">
    <w:p w14:paraId="0A842AA8" w14:textId="77777777" w:rsidR="005017B1" w:rsidRPr="008B5CD1" w:rsidRDefault="005017B1" w:rsidP="005017B1">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1ED7" w14:textId="77777777" w:rsidR="005017B1" w:rsidRDefault="005017B1" w:rsidP="000F2AD2">
    <w:pPr>
      <w:jc w:val="right"/>
    </w:pPr>
    <w:r>
      <w:t>WIPO/GRTKF/IC/47/INF/8</w:t>
    </w:r>
  </w:p>
  <w:p w14:paraId="415CCD3C" w14:textId="77777777" w:rsidR="005017B1" w:rsidRDefault="005017B1" w:rsidP="000F2AD2">
    <w:pPr>
      <w:jc w:val="right"/>
    </w:pPr>
    <w:r>
      <w:t xml:space="preserve">page </w:t>
    </w:r>
    <w:r>
      <w:fldChar w:fldCharType="begin"/>
    </w:r>
    <w:r>
      <w:instrText xml:space="preserve"> PAGE  \* MERGEFORMAT </w:instrText>
    </w:r>
    <w:r>
      <w:fldChar w:fldCharType="separate"/>
    </w:r>
    <w:r>
      <w:rPr>
        <w:noProof/>
      </w:rPr>
      <w:t>2</w:t>
    </w:r>
    <w:r>
      <w:fldChar w:fldCharType="end"/>
    </w:r>
  </w:p>
  <w:p w14:paraId="203A5A4E" w14:textId="77777777" w:rsidR="005017B1" w:rsidRDefault="005017B1"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E8FC1" w14:textId="0FEC4DB8" w:rsidR="005017B1" w:rsidRDefault="005017B1" w:rsidP="00A51FEB">
    <w:pPr>
      <w:jc w:val="right"/>
    </w:pPr>
    <w:r>
      <w:t>WIPO/GRTKF/IC/50/INF/8</w:t>
    </w:r>
  </w:p>
  <w:p w14:paraId="4A1D9117" w14:textId="77777777" w:rsidR="005017B1" w:rsidRDefault="005017B1" w:rsidP="00A51FEB">
    <w:pPr>
      <w:jc w:val="right"/>
    </w:pPr>
    <w:r>
      <w:t xml:space="preserve">page </w:t>
    </w:r>
    <w:r>
      <w:fldChar w:fldCharType="begin"/>
    </w:r>
    <w:r>
      <w:instrText xml:space="preserve"> PAGE  \* MERGEFORMAT </w:instrText>
    </w:r>
    <w:r>
      <w:fldChar w:fldCharType="separate"/>
    </w:r>
    <w:r>
      <w:t>2</w:t>
    </w:r>
    <w:r>
      <w:fldChar w:fldCharType="end"/>
    </w:r>
  </w:p>
  <w:p w14:paraId="6B53FF1D" w14:textId="77777777" w:rsidR="005017B1" w:rsidRDefault="005017B1" w:rsidP="00477D6B">
    <w:pPr>
      <w:jc w:val="right"/>
    </w:pPr>
  </w:p>
  <w:p w14:paraId="106EDA9F" w14:textId="77777777" w:rsidR="005017B1" w:rsidRDefault="005017B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D7A3B" w14:textId="77777777" w:rsidR="005017B1" w:rsidRDefault="005017B1" w:rsidP="005017B1">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51406" w14:textId="60625D88" w:rsidR="00D07C78" w:rsidRPr="002326AB" w:rsidRDefault="005017B1" w:rsidP="00477D6B">
    <w:pPr>
      <w:jc w:val="right"/>
      <w:rPr>
        <w:caps/>
      </w:rPr>
    </w:pPr>
    <w:bookmarkStart w:id="9" w:name="Code2"/>
    <w:bookmarkEnd w:id="9"/>
    <w:r>
      <w:t>WIPO/GRTKF/IC/50/INF/8</w:t>
    </w:r>
  </w:p>
  <w:p w14:paraId="30CDE85F" w14:textId="6120E02E" w:rsidR="00D07C78" w:rsidRDefault="005017B1" w:rsidP="00477D6B">
    <w:pPr>
      <w:jc w:val="right"/>
    </w:pPr>
    <w:r>
      <w:t xml:space="preserve">Annex, </w:t>
    </w:r>
    <w:r w:rsidR="00D07C78">
      <w:t xml:space="preserve">page </w:t>
    </w:r>
    <w:r w:rsidR="00D07C78">
      <w:fldChar w:fldCharType="begin"/>
    </w:r>
    <w:r w:rsidR="00D07C78">
      <w:instrText xml:space="preserve"> PAGE  \* MERGEFORMAT </w:instrText>
    </w:r>
    <w:r w:rsidR="00D07C78">
      <w:fldChar w:fldCharType="separate"/>
    </w:r>
    <w:r w:rsidR="002326AB">
      <w:rPr>
        <w:noProof/>
      </w:rPr>
      <w:t>2</w:t>
    </w:r>
    <w:r w:rsidR="00D07C78">
      <w:fldChar w:fldCharType="end"/>
    </w:r>
  </w:p>
  <w:p w14:paraId="65C9C425" w14:textId="77777777"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52858" w14:textId="77777777" w:rsidR="005017B1" w:rsidRDefault="005017B1" w:rsidP="005017B1">
    <w:pPr>
      <w:jc w:val="right"/>
    </w:pPr>
    <w:r>
      <w:t>WIPO/GRTKF/IC/50/INF/8</w:t>
    </w:r>
  </w:p>
  <w:p w14:paraId="6CC97F5F" w14:textId="77777777" w:rsidR="005017B1" w:rsidRDefault="005017B1" w:rsidP="005017B1">
    <w:pPr>
      <w:jc w:val="right"/>
    </w:pPr>
    <w:r>
      <w:t>ANNEX</w:t>
    </w:r>
  </w:p>
  <w:p w14:paraId="092863B0" w14:textId="77777777" w:rsidR="005017B1" w:rsidRDefault="005017B1" w:rsidP="005017B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1267925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B1"/>
    <w:rsid w:val="00023550"/>
    <w:rsid w:val="00043CAA"/>
    <w:rsid w:val="00056816"/>
    <w:rsid w:val="00075432"/>
    <w:rsid w:val="000968ED"/>
    <w:rsid w:val="000A3D97"/>
    <w:rsid w:val="000F5E56"/>
    <w:rsid w:val="00130307"/>
    <w:rsid w:val="001362EE"/>
    <w:rsid w:val="001647D5"/>
    <w:rsid w:val="001832A6"/>
    <w:rsid w:val="001D4107"/>
    <w:rsid w:val="00203D24"/>
    <w:rsid w:val="0021217E"/>
    <w:rsid w:val="002138AA"/>
    <w:rsid w:val="002326AB"/>
    <w:rsid w:val="00243430"/>
    <w:rsid w:val="002634C4"/>
    <w:rsid w:val="002928D3"/>
    <w:rsid w:val="002F1FE6"/>
    <w:rsid w:val="002F4E68"/>
    <w:rsid w:val="00312F7F"/>
    <w:rsid w:val="003254D6"/>
    <w:rsid w:val="00327DDB"/>
    <w:rsid w:val="00361450"/>
    <w:rsid w:val="003673CF"/>
    <w:rsid w:val="003845C1"/>
    <w:rsid w:val="003A6F89"/>
    <w:rsid w:val="003B38C1"/>
    <w:rsid w:val="003C34E9"/>
    <w:rsid w:val="00423E3E"/>
    <w:rsid w:val="00424326"/>
    <w:rsid w:val="00427AF4"/>
    <w:rsid w:val="004647DA"/>
    <w:rsid w:val="00474062"/>
    <w:rsid w:val="00477D6B"/>
    <w:rsid w:val="005017B1"/>
    <w:rsid w:val="005019FF"/>
    <w:rsid w:val="0052633D"/>
    <w:rsid w:val="0053057A"/>
    <w:rsid w:val="005316E6"/>
    <w:rsid w:val="00556076"/>
    <w:rsid w:val="00560A29"/>
    <w:rsid w:val="00561024"/>
    <w:rsid w:val="00564818"/>
    <w:rsid w:val="005C6649"/>
    <w:rsid w:val="005F4466"/>
    <w:rsid w:val="005F7E4F"/>
    <w:rsid w:val="00601AD7"/>
    <w:rsid w:val="00605827"/>
    <w:rsid w:val="00646050"/>
    <w:rsid w:val="006713CA"/>
    <w:rsid w:val="00676C5C"/>
    <w:rsid w:val="006B2471"/>
    <w:rsid w:val="00720EFD"/>
    <w:rsid w:val="00741632"/>
    <w:rsid w:val="007854AF"/>
    <w:rsid w:val="00793A7C"/>
    <w:rsid w:val="007A398A"/>
    <w:rsid w:val="007D1613"/>
    <w:rsid w:val="007E4C0E"/>
    <w:rsid w:val="008A134B"/>
    <w:rsid w:val="008B2CC1"/>
    <w:rsid w:val="008B60B2"/>
    <w:rsid w:val="0090731E"/>
    <w:rsid w:val="00916EE2"/>
    <w:rsid w:val="00966A22"/>
    <w:rsid w:val="0096722F"/>
    <w:rsid w:val="00980843"/>
    <w:rsid w:val="009E2791"/>
    <w:rsid w:val="009E3F6F"/>
    <w:rsid w:val="009F499F"/>
    <w:rsid w:val="00A124C8"/>
    <w:rsid w:val="00A37342"/>
    <w:rsid w:val="00A42DAF"/>
    <w:rsid w:val="00A45BD8"/>
    <w:rsid w:val="00A869B7"/>
    <w:rsid w:val="00A90F0A"/>
    <w:rsid w:val="00AC205C"/>
    <w:rsid w:val="00AF0A6B"/>
    <w:rsid w:val="00B05A69"/>
    <w:rsid w:val="00B24F07"/>
    <w:rsid w:val="00B75281"/>
    <w:rsid w:val="00B92F1F"/>
    <w:rsid w:val="00B9734B"/>
    <w:rsid w:val="00BA30E2"/>
    <w:rsid w:val="00C11BFE"/>
    <w:rsid w:val="00C5068F"/>
    <w:rsid w:val="00C741B6"/>
    <w:rsid w:val="00C86D74"/>
    <w:rsid w:val="00C91A8D"/>
    <w:rsid w:val="00C923C8"/>
    <w:rsid w:val="00CD04F1"/>
    <w:rsid w:val="00CF681A"/>
    <w:rsid w:val="00D07C78"/>
    <w:rsid w:val="00D45252"/>
    <w:rsid w:val="00D64F3D"/>
    <w:rsid w:val="00D71B4D"/>
    <w:rsid w:val="00D93D55"/>
    <w:rsid w:val="00DC053B"/>
    <w:rsid w:val="00DC2A07"/>
    <w:rsid w:val="00DD7B7F"/>
    <w:rsid w:val="00E15015"/>
    <w:rsid w:val="00E335FE"/>
    <w:rsid w:val="00E361C4"/>
    <w:rsid w:val="00E96A2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2BB2D"/>
  <w15:docId w15:val="{C3BC20A5-1D36-4060-8F61-5284BF4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5017B1"/>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017B1"/>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5017B1"/>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5017B1"/>
    <w:rPr>
      <w:vertAlign w:val="superscript"/>
    </w:rPr>
  </w:style>
  <w:style w:type="character" w:styleId="Hyperlink">
    <w:name w:val="Hyperlink"/>
    <w:basedOn w:val="DefaultParagraphFont"/>
    <w:uiPriority w:val="99"/>
    <w:unhideWhenUsed/>
    <w:rsid w:val="005017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WIPO_GRTKF_IC_50 (E)</Template>
  <TotalTime>7</TotalTime>
  <Pages>12</Pages>
  <Words>4198</Words>
  <Characters>24464</Characters>
  <Application>Microsoft Office Word</Application>
  <DocSecurity>0</DocSecurity>
  <Lines>359</Lines>
  <Paragraphs>94</Paragraphs>
  <ScaleCrop>false</ScaleCrop>
  <HeadingPairs>
    <vt:vector size="2" baseType="variant">
      <vt:variant>
        <vt:lpstr>Title</vt:lpstr>
      </vt:variant>
      <vt:variant>
        <vt:i4>1</vt:i4>
      </vt:variant>
    </vt:vector>
  </HeadingPairs>
  <TitlesOfParts>
    <vt:vector size="1" baseType="lpstr">
      <vt:lpstr>WIPO/GRTKF/IC/50/</vt:lpstr>
    </vt:vector>
  </TitlesOfParts>
  <Company>WIPO</Company>
  <LinksUpToDate>false</LinksUpToDate>
  <CharactersWithSpaces>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dc:title>
  <dc:creator>MORENO PALESTINI Maria del Pilar</dc:creator>
  <cp:keywords>FOR OFFICIAL USE ONLY</cp:keywords>
  <cp:lastModifiedBy>MORENO PALESTINI Maria del Pilar</cp:lastModifiedBy>
  <cp:revision>3</cp:revision>
  <cp:lastPrinted>2011-02-15T11:56:00Z</cp:lastPrinted>
  <dcterms:created xsi:type="dcterms:W3CDTF">2025-01-24T15:56:00Z</dcterms:created>
  <dcterms:modified xsi:type="dcterms:W3CDTF">2025-01-27T10:22:00Z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2025-01-24T15:59:00Z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9961149a-4568-4ab6-8aa2-ee4bfe659f62</vt:lpwstr>
  </property>
  <property fmtid="{D5CDD505-2E9C-101B-9397-08002B2CF9AE}" pid="14" name="MSIP_Label_20773ee6-353b-4fb9-a59d-0b94c8c67bea_ContentBits">
    <vt:lpwstr>0</vt:lpwstr>
  </property>
</Properties>
</file>