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56" w:rsidRPr="009C58DE" w:rsidRDefault="0078309F" w:rsidP="0078309F">
      <w:pPr>
        <w:jc w:val="center"/>
        <w:rPr>
          <w:b/>
          <w:szCs w:val="22"/>
        </w:rPr>
      </w:pPr>
      <w:r w:rsidRPr="009C58DE">
        <w:rPr>
          <w:b/>
          <w:szCs w:val="22"/>
        </w:rPr>
        <w:t>Non-paper</w:t>
      </w:r>
    </w:p>
    <w:p w:rsidR="0078309F" w:rsidRPr="009C58DE" w:rsidRDefault="0078309F" w:rsidP="0078309F">
      <w:pPr>
        <w:jc w:val="center"/>
        <w:rPr>
          <w:b/>
          <w:szCs w:val="22"/>
        </w:rPr>
      </w:pPr>
    </w:p>
    <w:p w:rsidR="0078309F" w:rsidRPr="009C58DE" w:rsidRDefault="0078309F" w:rsidP="0078309F">
      <w:pPr>
        <w:jc w:val="center"/>
        <w:rPr>
          <w:b/>
          <w:szCs w:val="22"/>
        </w:rPr>
      </w:pPr>
      <w:r w:rsidRPr="009C58DE">
        <w:rPr>
          <w:b/>
          <w:szCs w:val="22"/>
        </w:rPr>
        <w:t>Chair’s Text of a Draft International Legal Instrument relating to Intellectual Property and Traditional Knowledge/Traditional Cultural Expressions</w:t>
      </w:r>
    </w:p>
    <w:p w:rsidR="0078309F" w:rsidRPr="009C58DE" w:rsidRDefault="0078309F" w:rsidP="0078309F">
      <w:pPr>
        <w:jc w:val="center"/>
        <w:rPr>
          <w:b/>
          <w:szCs w:val="22"/>
        </w:rPr>
      </w:pPr>
    </w:p>
    <w:p w:rsidR="0078309F" w:rsidRPr="009C58DE" w:rsidRDefault="0078309F" w:rsidP="0078309F">
      <w:pPr>
        <w:jc w:val="center"/>
        <w:rPr>
          <w:b/>
          <w:szCs w:val="22"/>
        </w:rPr>
      </w:pPr>
      <w:r w:rsidRPr="009C58DE">
        <w:rPr>
          <w:b/>
          <w:szCs w:val="22"/>
        </w:rPr>
        <w:t>Prepared by the IGC Chair</w:t>
      </w:r>
      <w:r w:rsidR="00B67A5F">
        <w:rPr>
          <w:b/>
          <w:szCs w:val="22"/>
        </w:rPr>
        <w:t>man</w:t>
      </w:r>
      <w:r w:rsidRPr="009C58DE">
        <w:rPr>
          <w:b/>
          <w:szCs w:val="22"/>
        </w:rPr>
        <w:t>, Ms. Lilyclaire Bellamy</w:t>
      </w:r>
    </w:p>
    <w:p w:rsidR="0078309F" w:rsidRPr="009C58DE" w:rsidRDefault="0078309F" w:rsidP="0078309F">
      <w:pPr>
        <w:jc w:val="center"/>
        <w:rPr>
          <w:b/>
          <w:szCs w:val="22"/>
        </w:rPr>
      </w:pPr>
    </w:p>
    <w:p w:rsidR="0078309F" w:rsidRPr="00DD0BEA" w:rsidRDefault="008D00F4" w:rsidP="0078309F">
      <w:pPr>
        <w:jc w:val="center"/>
        <w:rPr>
          <w:b/>
          <w:szCs w:val="22"/>
        </w:rPr>
      </w:pPr>
      <w:r>
        <w:rPr>
          <w:b/>
          <w:szCs w:val="22"/>
        </w:rPr>
        <w:t>Second</w:t>
      </w:r>
      <w:r w:rsidR="0078309F" w:rsidRPr="00DD0BEA">
        <w:rPr>
          <w:b/>
          <w:szCs w:val="22"/>
        </w:rPr>
        <w:t xml:space="preserve"> Draft</w:t>
      </w:r>
      <w:r w:rsidR="0066763E" w:rsidRPr="00DD0BEA">
        <w:rPr>
          <w:b/>
          <w:szCs w:val="22"/>
        </w:rPr>
        <w:t xml:space="preserve"> </w:t>
      </w:r>
    </w:p>
    <w:p w:rsidR="00805E9A" w:rsidRPr="00DD0BEA" w:rsidRDefault="008D00F4" w:rsidP="0078309F">
      <w:pPr>
        <w:jc w:val="center"/>
        <w:rPr>
          <w:b/>
          <w:szCs w:val="22"/>
        </w:rPr>
      </w:pPr>
      <w:r>
        <w:rPr>
          <w:b/>
          <w:szCs w:val="22"/>
        </w:rPr>
        <w:t xml:space="preserve">May </w:t>
      </w:r>
      <w:r w:rsidR="00F0213D">
        <w:rPr>
          <w:b/>
          <w:szCs w:val="22"/>
        </w:rPr>
        <w:t>26</w:t>
      </w:r>
      <w:r w:rsidR="00BB17C3" w:rsidRPr="00DD0BEA">
        <w:rPr>
          <w:b/>
          <w:szCs w:val="22"/>
        </w:rPr>
        <w:t>, 2023</w:t>
      </w:r>
    </w:p>
    <w:p w:rsidR="00A7612F" w:rsidRPr="00DD0BEA" w:rsidRDefault="00A7612F">
      <w:pPr>
        <w:rPr>
          <w:szCs w:val="22"/>
        </w:rPr>
      </w:pPr>
    </w:p>
    <w:p w:rsidR="00A7612F" w:rsidRPr="009C58DE" w:rsidRDefault="00A7612F">
      <w:pPr>
        <w:rPr>
          <w:szCs w:val="22"/>
        </w:rPr>
      </w:pPr>
    </w:p>
    <w:p w:rsidR="00A7612F" w:rsidRPr="009C58DE" w:rsidRDefault="00A7612F" w:rsidP="00A7612F">
      <w:pPr>
        <w:pStyle w:val="Body1"/>
        <w:spacing w:line="20" w:lineRule="atLeast"/>
        <w:rPr>
          <w:rFonts w:ascii="Arial" w:hAnsi="Arial" w:cs="Arial"/>
          <w:b/>
          <w:sz w:val="22"/>
          <w:szCs w:val="22"/>
        </w:rPr>
      </w:pPr>
      <w:r w:rsidRPr="009C58DE">
        <w:rPr>
          <w:rFonts w:ascii="Arial" w:hAnsi="Arial" w:cs="Arial"/>
          <w:b/>
          <w:sz w:val="22"/>
          <w:szCs w:val="22"/>
        </w:rPr>
        <w:t>INTRODUCTION</w:t>
      </w:r>
    </w:p>
    <w:p w:rsidR="00A7612F" w:rsidRPr="009C58DE" w:rsidRDefault="00A7612F" w:rsidP="00A7612F">
      <w:pPr>
        <w:pStyle w:val="Body1"/>
        <w:spacing w:line="20" w:lineRule="atLeast"/>
        <w:rPr>
          <w:rFonts w:ascii="Arial" w:hAnsi="Arial" w:cs="Arial"/>
          <w:sz w:val="22"/>
          <w:szCs w:val="22"/>
        </w:rPr>
      </w:pPr>
    </w:p>
    <w:p w:rsidR="009C58DE"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7612F" w:rsidRPr="009C58DE">
        <w:rPr>
          <w:rFonts w:ascii="Arial" w:hAnsi="Arial" w:cs="Arial"/>
          <w:sz w:val="22"/>
          <w:szCs w:val="22"/>
        </w:rPr>
        <w:t xml:space="preserve">The </w:t>
      </w:r>
      <w:r w:rsidRPr="009C58DE">
        <w:rPr>
          <w:rFonts w:ascii="Arial" w:hAnsi="Arial" w:cs="Arial"/>
          <w:sz w:val="22"/>
          <w:szCs w:val="22"/>
        </w:rPr>
        <w:t>Intergovernmental Committee on Intellectual Property and Genetic Resources,</w:t>
      </w:r>
      <w:r>
        <w:rPr>
          <w:rFonts w:ascii="Arial" w:hAnsi="Arial" w:cs="Arial"/>
          <w:sz w:val="22"/>
          <w:szCs w:val="22"/>
        </w:rPr>
        <w:t xml:space="preserve"> </w:t>
      </w:r>
      <w:r w:rsidRPr="009C58DE">
        <w:rPr>
          <w:rFonts w:ascii="Arial" w:hAnsi="Arial" w:cs="Arial"/>
          <w:sz w:val="22"/>
          <w:szCs w:val="22"/>
        </w:rPr>
        <w:t>Traditional Knowledge and Folklore</w:t>
      </w:r>
      <w:r>
        <w:rPr>
          <w:rFonts w:ascii="Arial" w:hAnsi="Arial" w:cs="Arial"/>
          <w:sz w:val="22"/>
          <w:szCs w:val="22"/>
        </w:rPr>
        <w:t xml:space="preserve"> (</w:t>
      </w:r>
      <w:r w:rsidR="00A7612F" w:rsidRPr="009C58DE">
        <w:rPr>
          <w:rFonts w:ascii="Arial" w:hAnsi="Arial" w:cs="Arial"/>
          <w:sz w:val="22"/>
          <w:szCs w:val="22"/>
        </w:rPr>
        <w:t>IGC</w:t>
      </w:r>
      <w:r>
        <w:rPr>
          <w:rFonts w:ascii="Arial" w:hAnsi="Arial" w:cs="Arial"/>
          <w:sz w:val="22"/>
          <w:szCs w:val="22"/>
        </w:rPr>
        <w:t>)</w:t>
      </w:r>
      <w:r w:rsidR="00A7612F" w:rsidRPr="009C58DE">
        <w:rPr>
          <w:rFonts w:ascii="Arial" w:hAnsi="Arial" w:cs="Arial"/>
          <w:sz w:val="22"/>
          <w:szCs w:val="22"/>
        </w:rPr>
        <w:t xml:space="preserve"> </w:t>
      </w:r>
      <w:r w:rsidR="00D03431">
        <w:rPr>
          <w:rFonts w:ascii="Arial" w:hAnsi="Arial" w:cs="Arial"/>
          <w:sz w:val="22"/>
          <w:szCs w:val="22"/>
        </w:rPr>
        <w:t xml:space="preserve">is conducting </w:t>
      </w:r>
      <w:r w:rsidR="00A7612F" w:rsidRPr="009C58DE">
        <w:rPr>
          <w:rFonts w:ascii="Arial" w:hAnsi="Arial" w:cs="Arial"/>
          <w:sz w:val="22"/>
          <w:szCs w:val="22"/>
        </w:rPr>
        <w:t xml:space="preserve">negotiations on </w:t>
      </w:r>
      <w:r w:rsidRPr="009C58DE">
        <w:rPr>
          <w:rFonts w:ascii="Arial" w:hAnsi="Arial" w:cs="Arial"/>
          <w:sz w:val="22"/>
          <w:szCs w:val="22"/>
        </w:rPr>
        <w:t xml:space="preserve">traditional knowledge (TK) and </w:t>
      </w:r>
      <w:r w:rsidR="00A7612F" w:rsidRPr="009C58DE">
        <w:rPr>
          <w:rFonts w:ascii="Arial" w:hAnsi="Arial" w:cs="Arial"/>
          <w:sz w:val="22"/>
          <w:szCs w:val="22"/>
        </w:rPr>
        <w:t xml:space="preserve">traditional cultural expressions (TCEs) </w:t>
      </w:r>
      <w:r w:rsidR="00D03431">
        <w:rPr>
          <w:rFonts w:ascii="Arial" w:hAnsi="Arial" w:cs="Arial"/>
          <w:sz w:val="22"/>
          <w:szCs w:val="22"/>
        </w:rPr>
        <w:t xml:space="preserve">towards reaching agreement on </w:t>
      </w:r>
      <w:r w:rsidR="00A7612F" w:rsidRPr="009C58DE">
        <w:rPr>
          <w:rFonts w:ascii="Arial" w:hAnsi="Arial" w:cs="Arial"/>
          <w:sz w:val="22"/>
          <w:szCs w:val="22"/>
        </w:rPr>
        <w:t xml:space="preserve">an appropriate </w:t>
      </w:r>
      <w:r w:rsidR="00D03431">
        <w:rPr>
          <w:rFonts w:ascii="Arial" w:hAnsi="Arial" w:cs="Arial"/>
          <w:sz w:val="22"/>
          <w:szCs w:val="22"/>
        </w:rPr>
        <w:t xml:space="preserve">legal instrument </w:t>
      </w:r>
      <w:r w:rsidR="00A7612F" w:rsidRPr="009C58DE">
        <w:rPr>
          <w:rFonts w:ascii="Arial" w:hAnsi="Arial" w:cs="Arial"/>
          <w:sz w:val="22"/>
          <w:szCs w:val="22"/>
        </w:rPr>
        <w:t xml:space="preserve">for their </w:t>
      </w:r>
      <w:r w:rsidR="00D03431">
        <w:rPr>
          <w:rFonts w:ascii="Arial" w:hAnsi="Arial" w:cs="Arial"/>
          <w:sz w:val="22"/>
          <w:szCs w:val="22"/>
        </w:rPr>
        <w:t xml:space="preserve">international </w:t>
      </w:r>
      <w:r w:rsidR="00A7612F" w:rsidRPr="009C58DE">
        <w:rPr>
          <w:rFonts w:ascii="Arial" w:hAnsi="Arial" w:cs="Arial"/>
          <w:sz w:val="22"/>
          <w:szCs w:val="22"/>
        </w:rPr>
        <w:t>protection</w:t>
      </w:r>
      <w:r w:rsidR="00D03431">
        <w:rPr>
          <w:rFonts w:ascii="Arial" w:hAnsi="Arial" w:cs="Arial"/>
          <w:sz w:val="22"/>
          <w:szCs w:val="22"/>
        </w:rPr>
        <w:t xml:space="preserve"> in an intellectual property (IP) sense</w:t>
      </w:r>
      <w:r w:rsidR="00A7612F" w:rsidRPr="009C58DE">
        <w:rPr>
          <w:rFonts w:ascii="Arial" w:hAnsi="Arial" w:cs="Arial"/>
          <w:sz w:val="22"/>
          <w:szCs w:val="22"/>
        </w:rPr>
        <w:t>.</w:t>
      </w:r>
      <w:r w:rsidR="00A7612F" w:rsidRPr="009C58DE">
        <w:rPr>
          <w:rStyle w:val="FootnoteReference"/>
          <w:rFonts w:ascii="Arial" w:hAnsi="Arial" w:cs="Arial"/>
          <w:sz w:val="22"/>
          <w:szCs w:val="22"/>
        </w:rPr>
        <w:footnoteReference w:id="1"/>
      </w:r>
      <w:bookmarkStart w:id="0" w:name="_GoBack"/>
      <w:bookmarkEnd w:id="0"/>
    </w:p>
    <w:p w:rsidR="009C58DE" w:rsidRPr="009C58DE" w:rsidRDefault="009C58DE" w:rsidP="009C58DE">
      <w:pPr>
        <w:pStyle w:val="Body1"/>
        <w:spacing w:line="20" w:lineRule="atLeast"/>
        <w:rPr>
          <w:rFonts w:ascii="Arial" w:hAnsi="Arial" w:cs="Arial"/>
          <w:sz w:val="22"/>
          <w:szCs w:val="22"/>
        </w:rPr>
      </w:pPr>
    </w:p>
    <w:p w:rsidR="003A3F65"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At IGC 44,</w:t>
      </w:r>
      <w:r w:rsidR="00C56CC5">
        <w:rPr>
          <w:rFonts w:ascii="Arial" w:hAnsi="Arial" w:cs="Arial"/>
          <w:sz w:val="22"/>
          <w:szCs w:val="22"/>
        </w:rPr>
        <w:t xml:space="preserve"> after informal consultations, </w:t>
      </w:r>
      <w:r w:rsidR="007D1238">
        <w:rPr>
          <w:rFonts w:ascii="Arial" w:hAnsi="Arial" w:cs="Arial"/>
          <w:sz w:val="22"/>
          <w:szCs w:val="22"/>
        </w:rPr>
        <w:t>I</w:t>
      </w:r>
      <w:r w:rsidR="00427502">
        <w:rPr>
          <w:rFonts w:ascii="Arial" w:hAnsi="Arial" w:cs="Arial"/>
          <w:sz w:val="22"/>
          <w:szCs w:val="22"/>
        </w:rPr>
        <w:t xml:space="preserve"> committed to preparing</w:t>
      </w:r>
      <w:r>
        <w:rPr>
          <w:rFonts w:ascii="Arial" w:hAnsi="Arial" w:cs="Arial"/>
          <w:sz w:val="22"/>
          <w:szCs w:val="22"/>
        </w:rPr>
        <w:t xml:space="preserve"> a C</w:t>
      </w:r>
      <w:r w:rsidR="003A3F65">
        <w:rPr>
          <w:rFonts w:ascii="Arial" w:hAnsi="Arial" w:cs="Arial"/>
          <w:sz w:val="22"/>
          <w:szCs w:val="22"/>
        </w:rPr>
        <w:t>hair’s Text on TK and TCEs, advised by an informal advisory body.</w:t>
      </w:r>
    </w:p>
    <w:p w:rsidR="003A3F65" w:rsidRDefault="003A3F65" w:rsidP="009C58DE">
      <w:pPr>
        <w:pStyle w:val="Body1"/>
        <w:spacing w:line="20" w:lineRule="atLeast"/>
        <w:rPr>
          <w:rFonts w:ascii="Arial" w:hAnsi="Arial" w:cs="Arial"/>
          <w:sz w:val="22"/>
          <w:szCs w:val="22"/>
        </w:rPr>
      </w:pPr>
    </w:p>
    <w:p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w:t>
      </w:r>
      <w:r w:rsidR="00805E9A">
        <w:rPr>
          <w:rFonts w:ascii="Arial" w:hAnsi="Arial" w:cs="Arial"/>
          <w:sz w:val="22"/>
          <w:szCs w:val="22"/>
        </w:rPr>
        <w:t xml:space="preserve">accordingly </w:t>
      </w:r>
      <w:r w:rsidR="009C58DE" w:rsidRPr="009C58DE">
        <w:rPr>
          <w:rFonts w:ascii="Arial" w:hAnsi="Arial" w:cs="Arial"/>
          <w:sz w:val="22"/>
          <w:szCs w:val="22"/>
        </w:rPr>
        <w:t xml:space="preserve">prepared </w:t>
      </w:r>
      <w:r w:rsidR="00C87819">
        <w:rPr>
          <w:rFonts w:ascii="Arial" w:hAnsi="Arial" w:cs="Arial"/>
          <w:sz w:val="22"/>
          <w:szCs w:val="22"/>
        </w:rPr>
        <w:t>a</w:t>
      </w:r>
      <w:r w:rsidR="009C58DE" w:rsidRPr="009C58DE">
        <w:rPr>
          <w:rFonts w:ascii="Arial" w:hAnsi="Arial" w:cs="Arial"/>
          <w:sz w:val="22"/>
          <w:szCs w:val="22"/>
        </w:rPr>
        <w:t xml:space="preserve"> </w:t>
      </w:r>
      <w:r w:rsidR="00805E9A">
        <w:rPr>
          <w:rFonts w:ascii="Arial" w:hAnsi="Arial" w:cs="Arial"/>
          <w:sz w:val="22"/>
          <w:szCs w:val="22"/>
        </w:rPr>
        <w:t xml:space="preserve">zero </w:t>
      </w:r>
      <w:r w:rsidR="009C58DE" w:rsidRPr="009C58DE">
        <w:rPr>
          <w:rFonts w:ascii="Arial" w:hAnsi="Arial" w:cs="Arial"/>
          <w:sz w:val="22"/>
          <w:szCs w:val="22"/>
        </w:rPr>
        <w:t xml:space="preserve">draft text of an international legal instrument </w:t>
      </w:r>
      <w:r>
        <w:rPr>
          <w:rFonts w:ascii="Arial" w:hAnsi="Arial" w:cs="Arial"/>
          <w:sz w:val="22"/>
          <w:szCs w:val="22"/>
        </w:rPr>
        <w:t>relating to</w:t>
      </w:r>
      <w:r w:rsidR="009C58DE" w:rsidRPr="009C58DE">
        <w:rPr>
          <w:rFonts w:ascii="Arial" w:hAnsi="Arial" w:cs="Arial"/>
          <w:sz w:val="22"/>
          <w:szCs w:val="22"/>
        </w:rPr>
        <w:t xml:space="preserve"> intellectual property </w:t>
      </w:r>
      <w:r>
        <w:rPr>
          <w:rFonts w:ascii="Arial" w:hAnsi="Arial" w:cs="Arial"/>
          <w:sz w:val="22"/>
          <w:szCs w:val="22"/>
        </w:rPr>
        <w:t>and TK/TCEs</w:t>
      </w:r>
      <w:r w:rsidR="00C87819">
        <w:rPr>
          <w:rFonts w:ascii="Arial" w:hAnsi="Arial" w:cs="Arial"/>
          <w:sz w:val="22"/>
          <w:szCs w:val="22"/>
        </w:rPr>
        <w:t xml:space="preserve"> for IGC 45</w:t>
      </w:r>
      <w:r w:rsidR="00FC4990">
        <w:rPr>
          <w:rFonts w:ascii="Arial" w:hAnsi="Arial" w:cs="Arial"/>
          <w:sz w:val="22"/>
          <w:szCs w:val="22"/>
        </w:rPr>
        <w:t xml:space="preserve">, and a </w:t>
      </w:r>
      <w:r w:rsidR="008324C7">
        <w:rPr>
          <w:rFonts w:ascii="Arial" w:hAnsi="Arial" w:cs="Arial"/>
          <w:sz w:val="22"/>
          <w:szCs w:val="22"/>
        </w:rPr>
        <w:t>first</w:t>
      </w:r>
      <w:r w:rsidR="00FC4990">
        <w:rPr>
          <w:rFonts w:ascii="Arial" w:hAnsi="Arial" w:cs="Arial"/>
          <w:sz w:val="22"/>
          <w:szCs w:val="22"/>
        </w:rPr>
        <w:t xml:space="preserve"> draft text for IGC 46</w:t>
      </w:r>
      <w:r w:rsidR="00C87819">
        <w:rPr>
          <w:rFonts w:ascii="Arial" w:hAnsi="Arial" w:cs="Arial"/>
          <w:sz w:val="22"/>
          <w:szCs w:val="22"/>
        </w:rPr>
        <w:t>.  Taking into account the comments received from the advisory body and the IGC participants, and the discussion</w:t>
      </w:r>
      <w:r w:rsidR="00D201E0">
        <w:rPr>
          <w:rFonts w:ascii="Arial" w:hAnsi="Arial" w:cs="Arial"/>
          <w:sz w:val="22"/>
          <w:szCs w:val="22"/>
        </w:rPr>
        <w:t>s</w:t>
      </w:r>
      <w:r w:rsidR="00C87819">
        <w:rPr>
          <w:rFonts w:ascii="Arial" w:hAnsi="Arial" w:cs="Arial"/>
          <w:sz w:val="22"/>
          <w:szCs w:val="22"/>
        </w:rPr>
        <w:t xml:space="preserve"> at IGC</w:t>
      </w:r>
      <w:r w:rsidR="00FC4990">
        <w:rPr>
          <w:rFonts w:ascii="Arial" w:hAnsi="Arial" w:cs="Arial"/>
          <w:sz w:val="22"/>
          <w:szCs w:val="22"/>
        </w:rPr>
        <w:t>s</w:t>
      </w:r>
      <w:r w:rsidR="00C87819">
        <w:rPr>
          <w:rFonts w:ascii="Arial" w:hAnsi="Arial" w:cs="Arial"/>
          <w:sz w:val="22"/>
          <w:szCs w:val="22"/>
        </w:rPr>
        <w:t xml:space="preserve"> 45</w:t>
      </w:r>
      <w:r w:rsidR="00FC4990">
        <w:rPr>
          <w:rFonts w:ascii="Arial" w:hAnsi="Arial" w:cs="Arial"/>
          <w:sz w:val="22"/>
          <w:szCs w:val="22"/>
        </w:rPr>
        <w:t xml:space="preserve"> and 46</w:t>
      </w:r>
      <w:r w:rsidR="00C87819">
        <w:rPr>
          <w:rFonts w:ascii="Arial" w:hAnsi="Arial" w:cs="Arial"/>
          <w:sz w:val="22"/>
          <w:szCs w:val="22"/>
        </w:rPr>
        <w:t xml:space="preserve">, I have prepared this </w:t>
      </w:r>
      <w:r w:rsidR="00FC4990">
        <w:rPr>
          <w:rFonts w:ascii="Arial" w:hAnsi="Arial" w:cs="Arial"/>
          <w:sz w:val="22"/>
          <w:szCs w:val="22"/>
        </w:rPr>
        <w:t>second</w:t>
      </w:r>
      <w:r w:rsidR="00C87819">
        <w:rPr>
          <w:rFonts w:ascii="Arial" w:hAnsi="Arial" w:cs="Arial"/>
          <w:sz w:val="22"/>
          <w:szCs w:val="22"/>
        </w:rPr>
        <w:t xml:space="preserve"> draft text. </w:t>
      </w:r>
      <w:r w:rsidR="00E95DE4">
        <w:rPr>
          <w:rFonts w:ascii="Arial" w:hAnsi="Arial" w:cs="Arial"/>
          <w:sz w:val="22"/>
          <w:szCs w:val="22"/>
        </w:rPr>
        <w:t xml:space="preserve"> </w:t>
      </w:r>
      <w:r w:rsidR="00AC7586">
        <w:rPr>
          <w:rFonts w:ascii="Arial" w:hAnsi="Arial" w:cs="Arial"/>
          <w:sz w:val="22"/>
          <w:szCs w:val="22"/>
        </w:rPr>
        <w:t xml:space="preserve">It is noted that I cannot incorporate each single comment into the text, as </w:t>
      </w:r>
      <w:r w:rsidR="00937864">
        <w:rPr>
          <w:rFonts w:ascii="Arial" w:hAnsi="Arial" w:cs="Arial"/>
          <w:sz w:val="22"/>
          <w:szCs w:val="22"/>
        </w:rPr>
        <w:t xml:space="preserve">I intend to balance the rights and interests of all stakeholders. </w:t>
      </w:r>
    </w:p>
    <w:p w:rsidR="003A3F65" w:rsidRDefault="003A3F65" w:rsidP="009C58DE">
      <w:pPr>
        <w:pStyle w:val="Body1"/>
        <w:spacing w:line="20" w:lineRule="atLeast"/>
        <w:rPr>
          <w:rFonts w:ascii="Arial" w:hAnsi="Arial" w:cs="Arial"/>
          <w:sz w:val="22"/>
          <w:szCs w:val="22"/>
        </w:rPr>
      </w:pPr>
    </w:p>
    <w:p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have prepared this draft text solely under my own authority as a contribution to the negotiations </w:t>
      </w:r>
      <w:r>
        <w:rPr>
          <w:rFonts w:ascii="Arial" w:hAnsi="Arial" w:cs="Arial"/>
          <w:sz w:val="22"/>
          <w:szCs w:val="22"/>
        </w:rPr>
        <w:t xml:space="preserve">on TK/TCEs </w:t>
      </w:r>
      <w:r w:rsidR="00CA69F7">
        <w:rPr>
          <w:rFonts w:ascii="Arial" w:hAnsi="Arial" w:cs="Arial"/>
          <w:sz w:val="22"/>
          <w:szCs w:val="22"/>
        </w:rPr>
        <w:t>at</w:t>
      </w:r>
      <w:r>
        <w:rPr>
          <w:rFonts w:ascii="Arial" w:hAnsi="Arial" w:cs="Arial"/>
          <w:sz w:val="22"/>
          <w:szCs w:val="22"/>
        </w:rPr>
        <w:t xml:space="preserve"> the IGC.  </w:t>
      </w:r>
      <w:r w:rsidR="009C58DE" w:rsidRPr="009C58DE">
        <w:rPr>
          <w:rFonts w:ascii="Arial" w:hAnsi="Arial" w:cs="Arial"/>
          <w:sz w:val="22"/>
          <w:szCs w:val="22"/>
        </w:rPr>
        <w:t xml:space="preserve">This draft is without prejudice to any Member States’ positions and reflects my views alone. </w:t>
      </w:r>
      <w:r>
        <w:rPr>
          <w:rFonts w:ascii="Arial" w:hAnsi="Arial" w:cs="Arial"/>
          <w:sz w:val="22"/>
          <w:szCs w:val="22"/>
        </w:rPr>
        <w:t xml:space="preserve"> </w:t>
      </w:r>
      <w:r w:rsidR="00805E9A">
        <w:rPr>
          <w:rFonts w:ascii="Arial" w:hAnsi="Arial" w:cs="Arial"/>
          <w:sz w:val="22"/>
          <w:szCs w:val="22"/>
        </w:rPr>
        <w:t xml:space="preserve">I thank my Vice-Chairs and the </w:t>
      </w:r>
      <w:r w:rsidR="00835CB0">
        <w:rPr>
          <w:rFonts w:ascii="Arial" w:hAnsi="Arial" w:cs="Arial"/>
          <w:sz w:val="22"/>
          <w:szCs w:val="22"/>
        </w:rPr>
        <w:t xml:space="preserve">members of the </w:t>
      </w:r>
      <w:r w:rsidR="00805E9A">
        <w:rPr>
          <w:rFonts w:ascii="Arial" w:hAnsi="Arial" w:cs="Arial"/>
          <w:sz w:val="22"/>
          <w:szCs w:val="22"/>
        </w:rPr>
        <w:t>advisory body for their valuable advice</w:t>
      </w:r>
      <w:r w:rsidR="00EB0B09">
        <w:rPr>
          <w:rFonts w:ascii="Arial" w:hAnsi="Arial" w:cs="Arial"/>
          <w:sz w:val="22"/>
          <w:szCs w:val="22"/>
        </w:rPr>
        <w:t xml:space="preserve"> so far</w:t>
      </w:r>
      <w:r w:rsidR="00805E9A">
        <w:rPr>
          <w:rFonts w:ascii="Arial" w:hAnsi="Arial" w:cs="Arial"/>
          <w:sz w:val="22"/>
          <w:szCs w:val="22"/>
        </w:rPr>
        <w:t xml:space="preserve">, as well as others </w:t>
      </w:r>
      <w:r w:rsidR="00E55623">
        <w:rPr>
          <w:rFonts w:ascii="Arial" w:hAnsi="Arial" w:cs="Arial"/>
          <w:sz w:val="22"/>
          <w:szCs w:val="22"/>
        </w:rPr>
        <w:t xml:space="preserve">whom </w:t>
      </w:r>
      <w:r w:rsidR="00805E9A">
        <w:rPr>
          <w:rFonts w:ascii="Arial" w:hAnsi="Arial" w:cs="Arial"/>
          <w:sz w:val="22"/>
          <w:szCs w:val="22"/>
        </w:rPr>
        <w:t xml:space="preserve">I have consulted. </w:t>
      </w:r>
    </w:p>
    <w:p w:rsidR="003A3F65" w:rsidRDefault="003A3F65" w:rsidP="009C58DE">
      <w:pPr>
        <w:pStyle w:val="Body1"/>
        <w:spacing w:line="20" w:lineRule="atLeast"/>
        <w:rPr>
          <w:rFonts w:ascii="Arial" w:hAnsi="Arial" w:cs="Arial"/>
          <w:sz w:val="22"/>
          <w:szCs w:val="22"/>
        </w:rPr>
      </w:pPr>
    </w:p>
    <w:p w:rsidR="007000A7"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000A7">
        <w:rPr>
          <w:rFonts w:ascii="Arial" w:hAnsi="Arial" w:cs="Arial"/>
          <w:sz w:val="22"/>
          <w:szCs w:val="22"/>
        </w:rPr>
        <w:t>I reviewed both Draft Articles on TK and Draft Articles on TCEs</w:t>
      </w:r>
      <w:r w:rsidR="003331FE">
        <w:rPr>
          <w:rFonts w:ascii="Arial" w:hAnsi="Arial" w:cs="Arial"/>
          <w:sz w:val="22"/>
          <w:szCs w:val="22"/>
        </w:rPr>
        <w:t xml:space="preserve"> (documents WIPO/GRTKF/IC/47/4 and WIPO/GRTKF/IC/47/5)</w:t>
      </w:r>
      <w:r w:rsidR="007000A7">
        <w:rPr>
          <w:rFonts w:ascii="Arial" w:hAnsi="Arial" w:cs="Arial"/>
          <w:sz w:val="22"/>
          <w:szCs w:val="22"/>
        </w:rPr>
        <w:t xml:space="preserve">, and saw the similarity of these two documents.  Therefore, I prepared one single document covering both TK and TCEs.  Again, this draft is without prejudice to any Member States’ positions and reflects my views alone. </w:t>
      </w:r>
    </w:p>
    <w:p w:rsidR="007000A7" w:rsidRDefault="007000A7" w:rsidP="009C58DE">
      <w:pPr>
        <w:pStyle w:val="Body1"/>
        <w:spacing w:line="20" w:lineRule="atLeast"/>
        <w:rPr>
          <w:rFonts w:ascii="Arial" w:hAnsi="Arial" w:cs="Arial"/>
          <w:sz w:val="22"/>
          <w:szCs w:val="22"/>
        </w:rPr>
      </w:pPr>
    </w:p>
    <w:p w:rsidR="002A6342" w:rsidRDefault="007000A7"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A3F65">
        <w:rPr>
          <w:rFonts w:ascii="Arial" w:hAnsi="Arial" w:cs="Arial"/>
          <w:sz w:val="22"/>
          <w:szCs w:val="22"/>
        </w:rPr>
        <w:t>IGC</w:t>
      </w:r>
      <w:r w:rsidR="00BB17C3">
        <w:rPr>
          <w:rFonts w:ascii="Arial" w:hAnsi="Arial" w:cs="Arial"/>
          <w:sz w:val="22"/>
          <w:szCs w:val="22"/>
        </w:rPr>
        <w:t xml:space="preserve"> 4</w:t>
      </w:r>
      <w:r w:rsidR="00FC4990">
        <w:rPr>
          <w:rFonts w:ascii="Arial" w:hAnsi="Arial" w:cs="Arial"/>
          <w:sz w:val="22"/>
          <w:szCs w:val="22"/>
        </w:rPr>
        <w:t>6</w:t>
      </w:r>
      <w:r w:rsidR="003A3F65">
        <w:rPr>
          <w:rFonts w:ascii="Arial" w:hAnsi="Arial" w:cs="Arial"/>
          <w:sz w:val="22"/>
          <w:szCs w:val="22"/>
        </w:rPr>
        <w:t xml:space="preserve"> </w:t>
      </w:r>
      <w:r w:rsidR="00BB17C3">
        <w:rPr>
          <w:rFonts w:ascii="Arial" w:hAnsi="Arial" w:cs="Arial"/>
          <w:sz w:val="22"/>
          <w:szCs w:val="22"/>
        </w:rPr>
        <w:t>managed to address many cross-cutting issues on TK and TCEs, though</w:t>
      </w:r>
      <w:r w:rsidR="002A6342">
        <w:rPr>
          <w:rFonts w:ascii="Arial" w:hAnsi="Arial" w:cs="Arial"/>
          <w:sz w:val="22"/>
          <w:szCs w:val="22"/>
        </w:rPr>
        <w:t xml:space="preserve"> future elaboration</w:t>
      </w:r>
      <w:r w:rsidR="00BB17C3">
        <w:rPr>
          <w:rFonts w:ascii="Arial" w:hAnsi="Arial" w:cs="Arial"/>
          <w:sz w:val="22"/>
          <w:szCs w:val="22"/>
        </w:rPr>
        <w:t xml:space="preserve"> is still needed</w:t>
      </w:r>
      <w:r w:rsidR="002A6342">
        <w:rPr>
          <w:rFonts w:ascii="Arial" w:hAnsi="Arial" w:cs="Arial"/>
          <w:sz w:val="22"/>
          <w:szCs w:val="22"/>
        </w:rPr>
        <w:t xml:space="preserve">.  </w:t>
      </w:r>
      <w:r w:rsidR="00401A98">
        <w:rPr>
          <w:rFonts w:ascii="Arial" w:hAnsi="Arial" w:cs="Arial"/>
          <w:sz w:val="22"/>
          <w:szCs w:val="22"/>
        </w:rPr>
        <w:t xml:space="preserve">In my view, an international legal instrument on TK/TCEs should not be overly detailed and prescriptive. </w:t>
      </w:r>
      <w:r>
        <w:rPr>
          <w:rFonts w:ascii="Arial" w:hAnsi="Arial" w:cs="Arial"/>
          <w:sz w:val="22"/>
          <w:szCs w:val="22"/>
        </w:rPr>
        <w:t xml:space="preserve"> </w:t>
      </w:r>
      <w:r w:rsidR="00BB17C3">
        <w:rPr>
          <w:rFonts w:ascii="Arial" w:hAnsi="Arial" w:cs="Arial"/>
          <w:sz w:val="22"/>
          <w:szCs w:val="22"/>
        </w:rPr>
        <w:t xml:space="preserve">The draft </w:t>
      </w:r>
      <w:r w:rsidR="00401A98">
        <w:rPr>
          <w:rFonts w:ascii="Arial" w:hAnsi="Arial" w:cs="Arial"/>
          <w:sz w:val="22"/>
          <w:szCs w:val="22"/>
        </w:rPr>
        <w:t>aim</w:t>
      </w:r>
      <w:r w:rsidR="00BB17C3">
        <w:rPr>
          <w:rFonts w:ascii="Arial" w:hAnsi="Arial" w:cs="Arial"/>
          <w:sz w:val="22"/>
          <w:szCs w:val="22"/>
        </w:rPr>
        <w:t>s</w:t>
      </w:r>
      <w:r w:rsidR="00401A98">
        <w:rPr>
          <w:rFonts w:ascii="Arial" w:hAnsi="Arial" w:cs="Arial"/>
          <w:sz w:val="22"/>
          <w:szCs w:val="22"/>
        </w:rPr>
        <w:t xml:space="preserve"> to be less rather than more detailed. </w:t>
      </w:r>
    </w:p>
    <w:p w:rsidR="002A6342" w:rsidRDefault="002A6342" w:rsidP="009C58DE">
      <w:pPr>
        <w:pStyle w:val="Body1"/>
        <w:spacing w:line="20" w:lineRule="atLeast"/>
        <w:rPr>
          <w:rFonts w:ascii="Arial" w:hAnsi="Arial" w:cs="Arial"/>
          <w:sz w:val="22"/>
          <w:szCs w:val="22"/>
        </w:rPr>
      </w:pPr>
    </w:p>
    <w:p w:rsidR="002A6342" w:rsidRDefault="002A6342"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In addition, since there is no agreement yet on whether this international legal instrument </w:t>
      </w:r>
      <w:r w:rsidR="00CA69F7">
        <w:rPr>
          <w:rFonts w:ascii="Arial" w:hAnsi="Arial" w:cs="Arial"/>
          <w:sz w:val="22"/>
          <w:szCs w:val="22"/>
        </w:rPr>
        <w:t>should be</w:t>
      </w:r>
      <w:r>
        <w:rPr>
          <w:rFonts w:ascii="Arial" w:hAnsi="Arial" w:cs="Arial"/>
          <w:sz w:val="22"/>
          <w:szCs w:val="22"/>
        </w:rPr>
        <w:t xml:space="preserve"> binding or non-binding, I</w:t>
      </w:r>
      <w:r w:rsidR="00F362E6">
        <w:rPr>
          <w:rFonts w:ascii="Arial" w:hAnsi="Arial" w:cs="Arial"/>
          <w:sz w:val="22"/>
          <w:szCs w:val="22"/>
        </w:rPr>
        <w:t xml:space="preserve"> </w:t>
      </w:r>
      <w:r w:rsidR="00CA69F7">
        <w:rPr>
          <w:rFonts w:ascii="Arial" w:hAnsi="Arial" w:cs="Arial"/>
          <w:sz w:val="22"/>
          <w:szCs w:val="22"/>
        </w:rPr>
        <w:t>have not used</w:t>
      </w:r>
      <w:r>
        <w:rPr>
          <w:rFonts w:ascii="Arial" w:hAnsi="Arial" w:cs="Arial"/>
          <w:sz w:val="22"/>
          <w:szCs w:val="22"/>
        </w:rPr>
        <w:t xml:space="preserve"> the term “Article” or “Section” as proposed by some Member States</w:t>
      </w:r>
      <w:r w:rsidR="000E6534">
        <w:rPr>
          <w:rFonts w:ascii="Arial" w:hAnsi="Arial" w:cs="Arial"/>
          <w:sz w:val="22"/>
          <w:szCs w:val="22"/>
        </w:rPr>
        <w:t xml:space="preserve">, nor included </w:t>
      </w:r>
      <w:r w:rsidR="00CE7440">
        <w:rPr>
          <w:rFonts w:ascii="Arial" w:hAnsi="Arial" w:cs="Arial"/>
          <w:sz w:val="22"/>
          <w:szCs w:val="22"/>
        </w:rPr>
        <w:t xml:space="preserve">any </w:t>
      </w:r>
      <w:r w:rsidR="000E6534">
        <w:rPr>
          <w:rFonts w:ascii="Arial" w:hAnsi="Arial" w:cs="Arial"/>
          <w:sz w:val="22"/>
          <w:szCs w:val="22"/>
        </w:rPr>
        <w:t xml:space="preserve">final </w:t>
      </w:r>
      <w:r w:rsidR="00CE7440">
        <w:rPr>
          <w:rFonts w:ascii="Arial" w:hAnsi="Arial" w:cs="Arial"/>
          <w:sz w:val="22"/>
          <w:szCs w:val="22"/>
        </w:rPr>
        <w:t xml:space="preserve">and administrative </w:t>
      </w:r>
      <w:r w:rsidR="000E6534">
        <w:rPr>
          <w:rFonts w:ascii="Arial" w:hAnsi="Arial" w:cs="Arial"/>
          <w:sz w:val="22"/>
          <w:szCs w:val="22"/>
        </w:rPr>
        <w:t>provisions</w:t>
      </w:r>
      <w:r>
        <w:rPr>
          <w:rFonts w:ascii="Arial" w:hAnsi="Arial" w:cs="Arial"/>
          <w:sz w:val="22"/>
          <w:szCs w:val="22"/>
        </w:rPr>
        <w:t xml:space="preserve">.  </w:t>
      </w:r>
      <w:r w:rsidR="00F362E6">
        <w:rPr>
          <w:rFonts w:ascii="Arial" w:hAnsi="Arial" w:cs="Arial"/>
          <w:sz w:val="22"/>
          <w:szCs w:val="22"/>
        </w:rPr>
        <w:t xml:space="preserve">I </w:t>
      </w:r>
      <w:r w:rsidR="00CA69F7">
        <w:rPr>
          <w:rFonts w:ascii="Arial" w:hAnsi="Arial" w:cs="Arial"/>
          <w:sz w:val="22"/>
          <w:szCs w:val="22"/>
        </w:rPr>
        <w:t>have included</w:t>
      </w:r>
      <w:r w:rsidR="00F362E6">
        <w:rPr>
          <w:rFonts w:ascii="Arial" w:hAnsi="Arial" w:cs="Arial"/>
          <w:sz w:val="22"/>
          <w:szCs w:val="22"/>
        </w:rPr>
        <w:t xml:space="preserve"> explanatory notes to provide further background and explanation</w:t>
      </w:r>
      <w:r w:rsidR="00CA69F7">
        <w:rPr>
          <w:rFonts w:ascii="Arial" w:hAnsi="Arial" w:cs="Arial"/>
          <w:sz w:val="22"/>
          <w:szCs w:val="22"/>
        </w:rPr>
        <w:t>s</w:t>
      </w:r>
      <w:r w:rsidR="00F362E6">
        <w:rPr>
          <w:rFonts w:ascii="Arial" w:hAnsi="Arial" w:cs="Arial"/>
          <w:sz w:val="22"/>
          <w:szCs w:val="22"/>
        </w:rPr>
        <w:t xml:space="preserve">. </w:t>
      </w:r>
    </w:p>
    <w:p w:rsidR="002A6342" w:rsidRDefault="002A6342" w:rsidP="009C58DE">
      <w:pPr>
        <w:pStyle w:val="Body1"/>
        <w:spacing w:line="20" w:lineRule="atLeast"/>
        <w:rPr>
          <w:rFonts w:ascii="Arial" w:hAnsi="Arial" w:cs="Arial"/>
          <w:sz w:val="22"/>
          <w:szCs w:val="22"/>
        </w:rPr>
      </w:pPr>
    </w:p>
    <w:p w:rsidR="00F362E6" w:rsidRPr="00B67A5F" w:rsidRDefault="002A6342" w:rsidP="009C58DE">
      <w:pPr>
        <w:pStyle w:val="Body1"/>
        <w:spacing w:line="20" w:lineRule="atLeast"/>
        <w:rPr>
          <w:rFonts w:ascii="Arial" w:hAnsi="Arial" w:cs="Arial"/>
          <w:i/>
          <w:sz w:val="22"/>
          <w:szCs w:val="22"/>
        </w:rPr>
      </w:pPr>
      <w:r>
        <w:rPr>
          <w:rFonts w:ascii="Arial" w:hAnsi="Arial" w:cs="Arial"/>
          <w:sz w:val="22"/>
          <w:szCs w:val="22"/>
        </w:rPr>
        <w:lastRenderedPageBreak/>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F362E6">
        <w:rPr>
          <w:rFonts w:ascii="Arial" w:hAnsi="Arial" w:cs="Arial"/>
          <w:sz w:val="22"/>
          <w:szCs w:val="22"/>
        </w:rPr>
        <w:t xml:space="preserve">This draft text is </w:t>
      </w:r>
      <w:r w:rsidR="00CA69F7">
        <w:rPr>
          <w:rFonts w:ascii="Arial" w:hAnsi="Arial" w:cs="Arial"/>
          <w:sz w:val="22"/>
          <w:szCs w:val="22"/>
        </w:rPr>
        <w:t xml:space="preserve">a </w:t>
      </w:r>
      <w:r w:rsidR="00427502">
        <w:rPr>
          <w:rFonts w:ascii="Arial" w:hAnsi="Arial" w:cs="Arial"/>
          <w:sz w:val="22"/>
          <w:szCs w:val="22"/>
        </w:rPr>
        <w:t xml:space="preserve">work in </w:t>
      </w:r>
      <w:r w:rsidR="00F362E6">
        <w:rPr>
          <w:rFonts w:ascii="Arial" w:hAnsi="Arial" w:cs="Arial"/>
          <w:sz w:val="22"/>
          <w:szCs w:val="22"/>
        </w:rPr>
        <w:t xml:space="preserve">progress.  </w:t>
      </w:r>
      <w:r w:rsidRPr="002A6342">
        <w:rPr>
          <w:rFonts w:ascii="Arial" w:hAnsi="Arial" w:cs="Arial"/>
          <w:sz w:val="22"/>
          <w:szCs w:val="22"/>
        </w:rPr>
        <w:t xml:space="preserve">I invite </w:t>
      </w:r>
      <w:r w:rsidR="00F362E6">
        <w:rPr>
          <w:rFonts w:ascii="Arial" w:hAnsi="Arial" w:cs="Arial"/>
          <w:sz w:val="22"/>
          <w:szCs w:val="22"/>
        </w:rPr>
        <w:t>all IGC participants</w:t>
      </w:r>
      <w:r w:rsidRPr="002A6342">
        <w:rPr>
          <w:rFonts w:ascii="Arial" w:hAnsi="Arial" w:cs="Arial"/>
          <w:sz w:val="22"/>
          <w:szCs w:val="22"/>
        </w:rPr>
        <w:t xml:space="preserve"> to consider </w:t>
      </w:r>
      <w:r w:rsidRPr="002C110E">
        <w:rPr>
          <w:rFonts w:ascii="Arial" w:hAnsi="Arial" w:cs="Arial"/>
          <w:sz w:val="22"/>
          <w:szCs w:val="22"/>
        </w:rPr>
        <w:t>this</w:t>
      </w:r>
      <w:r w:rsidR="00D25FE0" w:rsidRPr="002C110E">
        <w:rPr>
          <w:rFonts w:ascii="Arial" w:hAnsi="Arial" w:cs="Arial"/>
          <w:sz w:val="22"/>
          <w:szCs w:val="22"/>
        </w:rPr>
        <w:t xml:space="preserve"> </w:t>
      </w:r>
      <w:r w:rsidR="006D0D07" w:rsidRPr="002C110E">
        <w:rPr>
          <w:rFonts w:ascii="Arial" w:hAnsi="Arial" w:cs="Arial"/>
          <w:sz w:val="22"/>
          <w:szCs w:val="22"/>
        </w:rPr>
        <w:t xml:space="preserve">second </w:t>
      </w:r>
      <w:r w:rsidRPr="002C110E">
        <w:rPr>
          <w:rFonts w:ascii="Arial" w:hAnsi="Arial" w:cs="Arial"/>
          <w:sz w:val="22"/>
          <w:szCs w:val="22"/>
        </w:rPr>
        <w:t xml:space="preserve">draft text </w:t>
      </w:r>
      <w:r w:rsidR="00F362E6" w:rsidRPr="002C110E">
        <w:rPr>
          <w:rFonts w:ascii="Arial" w:hAnsi="Arial" w:cs="Arial"/>
          <w:sz w:val="22"/>
          <w:szCs w:val="22"/>
        </w:rPr>
        <w:t xml:space="preserve">and provide me with </w:t>
      </w:r>
      <w:r w:rsidRPr="002C110E">
        <w:rPr>
          <w:rFonts w:ascii="Arial" w:hAnsi="Arial" w:cs="Arial"/>
          <w:sz w:val="22"/>
          <w:szCs w:val="22"/>
        </w:rPr>
        <w:t>feedback</w:t>
      </w:r>
      <w:r w:rsidR="00CA69F7" w:rsidRPr="002C110E">
        <w:rPr>
          <w:rFonts w:ascii="Arial" w:hAnsi="Arial" w:cs="Arial"/>
          <w:sz w:val="22"/>
          <w:szCs w:val="22"/>
        </w:rPr>
        <w:t xml:space="preserve"> on it</w:t>
      </w:r>
      <w:r w:rsidRPr="002C110E">
        <w:rPr>
          <w:rFonts w:ascii="Arial" w:hAnsi="Arial" w:cs="Arial"/>
          <w:sz w:val="22"/>
          <w:szCs w:val="22"/>
        </w:rPr>
        <w:t xml:space="preserve">. </w:t>
      </w:r>
      <w:r w:rsidR="006E31C9" w:rsidRPr="002C110E">
        <w:rPr>
          <w:rFonts w:ascii="Arial" w:hAnsi="Arial" w:cs="Arial"/>
          <w:sz w:val="22"/>
          <w:szCs w:val="22"/>
        </w:rPr>
        <w:t xml:space="preserve"> </w:t>
      </w:r>
      <w:r w:rsidR="00401A98" w:rsidRPr="002C110E">
        <w:rPr>
          <w:rFonts w:ascii="Arial" w:hAnsi="Arial" w:cs="Arial"/>
          <w:sz w:val="22"/>
          <w:szCs w:val="22"/>
        </w:rPr>
        <w:t xml:space="preserve">Feedback may be sent to me </w:t>
      </w:r>
      <w:r w:rsidR="00EB0B09" w:rsidRPr="002C110E">
        <w:rPr>
          <w:rFonts w:ascii="Arial" w:hAnsi="Arial" w:cs="Arial"/>
          <w:sz w:val="22"/>
          <w:szCs w:val="22"/>
        </w:rPr>
        <w:t>at</w:t>
      </w:r>
      <w:r w:rsidR="00EB0B09">
        <w:rPr>
          <w:rFonts w:ascii="Arial" w:hAnsi="Arial" w:cs="Arial"/>
          <w:sz w:val="22"/>
          <w:szCs w:val="22"/>
        </w:rPr>
        <w:t xml:space="preserve"> </w:t>
      </w:r>
      <w:hyperlink r:id="rId8" w:history="1">
        <w:r w:rsidR="0021299A" w:rsidRPr="006E52D9">
          <w:rPr>
            <w:rStyle w:val="Hyperlink"/>
            <w:rFonts w:ascii="Arial" w:hAnsi="Arial" w:cs="Arial"/>
            <w:sz w:val="22"/>
            <w:szCs w:val="22"/>
          </w:rPr>
          <w:t>Chairigclilyclaire@gmail.com</w:t>
        </w:r>
      </w:hyperlink>
      <w:r w:rsidR="00E87268">
        <w:rPr>
          <w:rFonts w:ascii="Arial" w:hAnsi="Arial" w:cs="Arial"/>
          <w:sz w:val="22"/>
          <w:szCs w:val="22"/>
        </w:rPr>
        <w:t>.</w:t>
      </w:r>
      <w:r w:rsidR="0021299A">
        <w:rPr>
          <w:rFonts w:ascii="Arial" w:hAnsi="Arial" w:cs="Arial"/>
          <w:sz w:val="22"/>
          <w:szCs w:val="22"/>
        </w:rPr>
        <w:t xml:space="preserve"> </w:t>
      </w:r>
      <w:r w:rsidR="00E87268">
        <w:rPr>
          <w:rFonts w:ascii="Arial" w:hAnsi="Arial" w:cs="Arial"/>
          <w:sz w:val="22"/>
          <w:szCs w:val="22"/>
        </w:rPr>
        <w:t xml:space="preserve"> </w:t>
      </w:r>
    </w:p>
    <w:p w:rsidR="00A7612F" w:rsidRPr="009C58DE" w:rsidRDefault="00A7612F">
      <w:pPr>
        <w:rPr>
          <w:szCs w:val="22"/>
        </w:rPr>
      </w:pPr>
    </w:p>
    <w:p w:rsidR="0078309F" w:rsidRPr="009C58DE" w:rsidRDefault="0078309F">
      <w:pPr>
        <w:rPr>
          <w:szCs w:val="22"/>
        </w:rPr>
      </w:pPr>
      <w:r w:rsidRPr="009C58DE">
        <w:rPr>
          <w:szCs w:val="22"/>
        </w:rPr>
        <w:br w:type="page"/>
      </w:r>
    </w:p>
    <w:p w:rsidR="00303E70" w:rsidRPr="007F61F7" w:rsidRDefault="00561EA8" w:rsidP="00561EA8">
      <w:pPr>
        <w:tabs>
          <w:tab w:val="num" w:pos="993"/>
        </w:tabs>
        <w:autoSpaceDE w:val="0"/>
        <w:autoSpaceDN w:val="0"/>
        <w:adjustRightInd w:val="0"/>
        <w:jc w:val="center"/>
        <w:rPr>
          <w:bCs/>
          <w:lang w:val="en-GB"/>
        </w:rPr>
      </w:pPr>
      <w:r>
        <w:rPr>
          <w:bCs/>
          <w:lang w:val="en-GB"/>
        </w:rPr>
        <w:lastRenderedPageBreak/>
        <w:t>PREAMBLE</w:t>
      </w:r>
    </w:p>
    <w:p w:rsidR="00303E70" w:rsidRPr="007F61F7" w:rsidRDefault="00303E70" w:rsidP="00303E70">
      <w:pPr>
        <w:tabs>
          <w:tab w:val="num" w:pos="993"/>
        </w:tabs>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 xml:space="preserve">Acknowledging the </w:t>
      </w:r>
      <w:r w:rsidRPr="0078309F">
        <w:rPr>
          <w:bCs/>
          <w:lang w:val="en-GB"/>
        </w:rPr>
        <w:t xml:space="preserve">UN Declaration on the Rights of Indigenous Peoples, </w:t>
      </w:r>
      <w:r w:rsidRPr="00BD6A3F">
        <w:rPr>
          <w:bCs/>
          <w:lang w:val="en-GB"/>
        </w:rPr>
        <w:t xml:space="preserve">and the aspirations of </w:t>
      </w:r>
      <w:r w:rsidR="00FC4990">
        <w:rPr>
          <w:bCs/>
          <w:lang w:val="en-GB"/>
        </w:rPr>
        <w:t>I</w:t>
      </w:r>
      <w:r w:rsidRPr="00BD6A3F">
        <w:rPr>
          <w:bCs/>
          <w:lang w:val="en-GB"/>
        </w:rPr>
        <w:t xml:space="preserve">ndigenous </w:t>
      </w:r>
      <w:r w:rsidR="00FC4990">
        <w:rPr>
          <w:bCs/>
          <w:lang w:val="en-GB"/>
        </w:rPr>
        <w:t>P</w:t>
      </w:r>
      <w:r w:rsidRPr="00BD6A3F">
        <w:rPr>
          <w:bCs/>
          <w:lang w:val="en-GB"/>
        </w:rPr>
        <w:t>eoples [therein];</w:t>
      </w:r>
      <w:r>
        <w:rPr>
          <w:bCs/>
          <w:lang w:val="en-GB"/>
        </w:rPr>
        <w:t xml:space="preserve"> </w:t>
      </w:r>
    </w:p>
    <w:p w:rsidR="00303E70" w:rsidRPr="007F61F7" w:rsidRDefault="00303E70" w:rsidP="00303E70">
      <w:pPr>
        <w:tabs>
          <w:tab w:val="num" w:pos="993"/>
        </w:tabs>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437E16">
        <w:rPr>
          <w:bCs/>
          <w:lang w:val="en-GB"/>
        </w:rPr>
        <w:t xml:space="preserve">Recognizing that </w:t>
      </w:r>
      <w:r w:rsidR="00FC4990">
        <w:rPr>
          <w:bCs/>
          <w:lang w:val="en-GB"/>
        </w:rPr>
        <w:t>I</w:t>
      </w:r>
      <w:r w:rsidRPr="00437E16">
        <w:rPr>
          <w:bCs/>
          <w:lang w:val="en-GB"/>
        </w:rPr>
        <w:t xml:space="preserve">ndigenous </w:t>
      </w:r>
      <w:r w:rsidR="00FC4990">
        <w:rPr>
          <w:bCs/>
          <w:lang w:val="en-GB"/>
        </w:rPr>
        <w:t>P</w:t>
      </w:r>
      <w:r w:rsidRPr="00437E16">
        <w:rPr>
          <w:bCs/>
          <w:lang w:val="en-GB"/>
        </w:rPr>
        <w:t>eoples and local communities</w:t>
      </w:r>
      <w:r w:rsidR="005357A6">
        <w:rPr>
          <w:bCs/>
          <w:lang w:val="en-GB"/>
        </w:rPr>
        <w:t xml:space="preserve">, </w:t>
      </w:r>
      <w:r w:rsidR="005357A6" w:rsidRPr="009C58DE">
        <w:rPr>
          <w:szCs w:val="22"/>
        </w:rPr>
        <w:t>as holders of traditional knowledge and traditional cultural expressions</w:t>
      </w:r>
      <w:r w:rsidR="005357A6">
        <w:rPr>
          <w:szCs w:val="22"/>
        </w:rPr>
        <w:t>,</w:t>
      </w:r>
      <w:r w:rsidRPr="00437E16">
        <w:rPr>
          <w:bCs/>
          <w:lang w:val="en-GB"/>
        </w:rPr>
        <w:t xml:space="preserve"> have the right </w:t>
      </w:r>
      <w:r w:rsidRPr="00BD6A3F">
        <w:rPr>
          <w:bCs/>
          <w:lang w:val="en-GB"/>
        </w:rPr>
        <w:t>to maintain, control, protect and develop their intellectual property over their cultural heritage, includi</w:t>
      </w:r>
      <w:r>
        <w:rPr>
          <w:bCs/>
          <w:lang w:val="en-GB"/>
        </w:rPr>
        <w:t>ng their traditional knowledge and traditional cultural expressions;</w:t>
      </w:r>
    </w:p>
    <w:p w:rsidR="00303E70" w:rsidRPr="007F61F7" w:rsidRDefault="00303E70" w:rsidP="00303E70">
      <w:pPr>
        <w:tabs>
          <w:tab w:val="num" w:pos="993"/>
        </w:tabs>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 xml:space="preserve">Recognizing that the situation of the </w:t>
      </w:r>
      <w:r w:rsidR="00FC4990">
        <w:rPr>
          <w:bCs/>
          <w:lang w:val="en-GB"/>
        </w:rPr>
        <w:t>I</w:t>
      </w:r>
      <w:r w:rsidRPr="00BD6A3F">
        <w:rPr>
          <w:bCs/>
          <w:lang w:val="en-GB"/>
        </w:rPr>
        <w:t xml:space="preserve">ndigenous </w:t>
      </w:r>
      <w:r w:rsidR="00FC4990">
        <w:rPr>
          <w:bCs/>
          <w:lang w:val="en-GB"/>
        </w:rPr>
        <w:t>P</w:t>
      </w:r>
      <w:r w:rsidRPr="00BD6A3F">
        <w:rPr>
          <w:bCs/>
          <w:lang w:val="en-GB"/>
        </w:rPr>
        <w:t>eoples and local communities varies from region to region and from country to country and that the significance of national and regional particularities and various historical and cultural backgrounds should be taken into consideration;</w:t>
      </w:r>
    </w:p>
    <w:p w:rsidR="00303E70" w:rsidRPr="007F61F7" w:rsidRDefault="00303E70" w:rsidP="00303E70">
      <w:pPr>
        <w:tabs>
          <w:tab w:val="num" w:pos="993"/>
        </w:tabs>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Recognizing that the traditional knowledge</w:t>
      </w:r>
      <w:r>
        <w:rPr>
          <w:bCs/>
          <w:lang w:val="en-GB"/>
        </w:rPr>
        <w:t xml:space="preserve"> and traditional cultural expressions</w:t>
      </w:r>
      <w:r w:rsidRPr="00BD6A3F">
        <w:rPr>
          <w:bCs/>
          <w:lang w:val="en-GB"/>
        </w:rPr>
        <w:t xml:space="preserve"> of </w:t>
      </w:r>
      <w:r w:rsidR="00220F34">
        <w:rPr>
          <w:bCs/>
          <w:lang w:val="en-GB"/>
        </w:rPr>
        <w:t>I</w:t>
      </w:r>
      <w:r w:rsidRPr="00BD6A3F">
        <w:rPr>
          <w:bCs/>
          <w:lang w:val="en-GB"/>
        </w:rPr>
        <w:t xml:space="preserve">ndigenous </w:t>
      </w:r>
      <w:r w:rsidR="00220F34">
        <w:rPr>
          <w:bCs/>
          <w:lang w:val="en-GB"/>
        </w:rPr>
        <w:t>P</w:t>
      </w:r>
      <w:r w:rsidRPr="00BD6A3F">
        <w:rPr>
          <w:bCs/>
          <w:lang w:val="en-GB"/>
        </w:rPr>
        <w:t xml:space="preserve">eoples and local communities have </w:t>
      </w:r>
      <w:r>
        <w:rPr>
          <w:bCs/>
          <w:lang w:val="en-GB"/>
        </w:rPr>
        <w:t>intrinsic</w:t>
      </w:r>
      <w:r w:rsidRPr="00BD6A3F">
        <w:rPr>
          <w:bCs/>
          <w:lang w:val="en-GB"/>
        </w:rPr>
        <w:t xml:space="preserve"> value, including social, cultural, spiritual, economic, scientific, intellectual, commercial and educational values;</w:t>
      </w:r>
    </w:p>
    <w:p w:rsidR="00303E70" w:rsidRPr="007F61F7" w:rsidRDefault="00303E70" w:rsidP="00303E70">
      <w:pPr>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 xml:space="preserve">Acknowledging that traditional knowledge systems </w:t>
      </w:r>
      <w:r>
        <w:rPr>
          <w:bCs/>
          <w:lang w:val="en-GB"/>
        </w:rPr>
        <w:t xml:space="preserve">and traditional cultural expressions </w:t>
      </w:r>
      <w:r w:rsidRPr="00BD6A3F">
        <w:rPr>
          <w:bCs/>
          <w:lang w:val="en-GB"/>
        </w:rPr>
        <w:t xml:space="preserve">are frameworks of ongoing innovation and distinctive intellectual and creative life that are important for </w:t>
      </w:r>
      <w:r w:rsidR="00220F34">
        <w:rPr>
          <w:bCs/>
          <w:lang w:val="en-GB"/>
        </w:rPr>
        <w:t>I</w:t>
      </w:r>
      <w:r w:rsidRPr="00BD6A3F">
        <w:rPr>
          <w:bCs/>
          <w:lang w:val="en-GB"/>
        </w:rPr>
        <w:t xml:space="preserve">ndigenous </w:t>
      </w:r>
      <w:r w:rsidR="00220F34">
        <w:rPr>
          <w:bCs/>
          <w:lang w:val="en-GB"/>
        </w:rPr>
        <w:t>P</w:t>
      </w:r>
      <w:r w:rsidRPr="00BD6A3F">
        <w:rPr>
          <w:bCs/>
          <w:lang w:val="en-GB"/>
        </w:rPr>
        <w:t>eoples and local communities;</w:t>
      </w:r>
    </w:p>
    <w:p w:rsidR="00303E70" w:rsidRPr="007F61F7" w:rsidRDefault="00303E70" w:rsidP="00303E70">
      <w:pPr>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w:t>
      </w:r>
      <w:r>
        <w:rPr>
          <w:bCs/>
          <w:lang w:val="en-GB"/>
        </w:rPr>
        <w:t xml:space="preserve"> and traditional cultural expressions</w:t>
      </w:r>
      <w:r w:rsidRPr="00BD6A3F">
        <w:rPr>
          <w:bCs/>
          <w:lang w:val="en-GB"/>
        </w:rPr>
        <w:t xml:space="preserve"> by, within and between communities;</w:t>
      </w:r>
    </w:p>
    <w:p w:rsidR="00303E70" w:rsidRPr="007F61F7" w:rsidRDefault="00303E70" w:rsidP="00303E70">
      <w:pPr>
        <w:autoSpaceDE w:val="0"/>
        <w:autoSpaceDN w:val="0"/>
        <w:adjustRightInd w:val="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Promoting respect for traditional knowledge systems</w:t>
      </w:r>
      <w:r>
        <w:rPr>
          <w:bCs/>
          <w:lang w:val="en-GB"/>
        </w:rPr>
        <w:t xml:space="preserve"> and traditional cultural expressions</w:t>
      </w:r>
      <w:r w:rsidRPr="00BD6A3F">
        <w:rPr>
          <w:bCs/>
          <w:lang w:val="en-GB"/>
        </w:rPr>
        <w:t>, for the dignity, cultural integrity and spiritual values of the traditional knowledge</w:t>
      </w:r>
      <w:r>
        <w:rPr>
          <w:bCs/>
          <w:lang w:val="en-GB"/>
        </w:rPr>
        <w:t xml:space="preserve"> and traditional cultural expressions</w:t>
      </w:r>
      <w:r w:rsidRPr="00BD6A3F">
        <w:rPr>
          <w:bCs/>
          <w:lang w:val="en-GB"/>
        </w:rPr>
        <w:t xml:space="preserve"> holders who cons</w:t>
      </w:r>
      <w:r w:rsidR="009A0265">
        <w:rPr>
          <w:bCs/>
          <w:lang w:val="en-GB"/>
        </w:rPr>
        <w:t>erve and maintain those systems;</w:t>
      </w:r>
    </w:p>
    <w:p w:rsidR="00303E70" w:rsidRPr="007F61F7" w:rsidRDefault="00303E70" w:rsidP="00303E70">
      <w:pPr>
        <w:autoSpaceDE w:val="0"/>
        <w:autoSpaceDN w:val="0"/>
        <w:adjustRightInd w:val="0"/>
        <w:rPr>
          <w:bCs/>
          <w:lang w:val="en-GB"/>
        </w:rPr>
      </w:pPr>
    </w:p>
    <w:p w:rsidR="00A2260D" w:rsidRPr="00DD0BEA" w:rsidRDefault="00A2260D" w:rsidP="00303E70">
      <w:pPr>
        <w:pStyle w:val="ListParagraph"/>
        <w:numPr>
          <w:ilvl w:val="0"/>
          <w:numId w:val="7"/>
        </w:numPr>
        <w:autoSpaceDE w:val="0"/>
        <w:autoSpaceDN w:val="0"/>
        <w:adjustRightInd w:val="0"/>
        <w:ind w:left="0" w:firstLine="0"/>
        <w:rPr>
          <w:bCs/>
          <w:lang w:val="en-GB"/>
        </w:rPr>
      </w:pPr>
      <w:r>
        <w:t xml:space="preserve">Recognizing the role of the intellectual property system in </w:t>
      </w:r>
      <w:r w:rsidR="007929AF">
        <w:t>prevent</w:t>
      </w:r>
      <w:r w:rsidR="009B176D">
        <w:t xml:space="preserve">ing traditional knowledge and traditional cultural expressions from being </w:t>
      </w:r>
      <w:r>
        <w:t>misappropriat</w:t>
      </w:r>
      <w:r w:rsidR="009B176D">
        <w:t>ed</w:t>
      </w:r>
      <w:r>
        <w:t>;</w:t>
      </w:r>
    </w:p>
    <w:p w:rsidR="00A2260D" w:rsidRDefault="00A2260D" w:rsidP="00DD0BEA">
      <w:pPr>
        <w:pStyle w:val="ListParagraph"/>
        <w:autoSpaceDE w:val="0"/>
        <w:autoSpaceDN w:val="0"/>
        <w:adjustRightInd w:val="0"/>
        <w:ind w:left="0"/>
        <w:rPr>
          <w:bCs/>
          <w:lang w:val="en-GB"/>
        </w:rPr>
      </w:pPr>
    </w:p>
    <w:p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w:t>
      </w:r>
      <w:r>
        <w:rPr>
          <w:bCs/>
          <w:lang w:val="en-GB"/>
        </w:rPr>
        <w:t xml:space="preserve"> and traditional cultural expres</w:t>
      </w:r>
      <w:r w:rsidR="009A0265">
        <w:rPr>
          <w:bCs/>
          <w:lang w:val="en-GB"/>
        </w:rPr>
        <w:t>sions, and those relating to IP.</w:t>
      </w:r>
    </w:p>
    <w:p w:rsidR="00303E70" w:rsidRPr="007F61F7" w:rsidRDefault="00303E70" w:rsidP="00303E70">
      <w:pPr>
        <w:autoSpaceDE w:val="0"/>
        <w:autoSpaceDN w:val="0"/>
        <w:adjustRightInd w:val="0"/>
        <w:rPr>
          <w:bCs/>
          <w:lang w:val="en-GB"/>
        </w:rPr>
      </w:pPr>
    </w:p>
    <w:p w:rsidR="001610F7" w:rsidRDefault="001610F7">
      <w:pPr>
        <w:rPr>
          <w:bCs/>
        </w:rPr>
      </w:pPr>
      <w:r>
        <w:rPr>
          <w:bCs/>
        </w:rPr>
        <w:br w:type="page"/>
      </w:r>
    </w:p>
    <w:p w:rsidR="001610F7" w:rsidRDefault="001610F7" w:rsidP="00303E70">
      <w:r>
        <w:lastRenderedPageBreak/>
        <w:t>Explanatory Notes:</w:t>
      </w:r>
    </w:p>
    <w:p w:rsidR="001610F7" w:rsidRDefault="001610F7" w:rsidP="00303E70"/>
    <w:p w:rsidR="001610F7" w:rsidRDefault="001610F7" w:rsidP="00303E70">
      <w:r>
        <w:t xml:space="preserve">A preamble does not form part of the operative text of a multilateral instrument, though it does aid in </w:t>
      </w:r>
      <w:r w:rsidR="00DF0FF6">
        <w:t xml:space="preserve">the </w:t>
      </w:r>
      <w:r>
        <w:t xml:space="preserve">interpretation of the operative provisions by providing context to the instrument and the intent of the drafters.  The language is usually reflected in the form of principles irrespective of whether the instrument is declaratory or legally binding upon those that ratify or accede to it. </w:t>
      </w:r>
    </w:p>
    <w:p w:rsidR="001610F7" w:rsidRDefault="001610F7" w:rsidP="00303E70"/>
    <w:p w:rsidR="001610F7" w:rsidRDefault="00DF0FF6" w:rsidP="00303E70">
      <w:pPr>
        <w:rPr>
          <w:bCs/>
        </w:rPr>
      </w:pPr>
      <w:r>
        <w:t>It is advisable to keep the</w:t>
      </w:r>
      <w:r w:rsidR="001610F7">
        <w:t xml:space="preserve"> </w:t>
      </w:r>
      <w:r>
        <w:t>concepts that</w:t>
      </w:r>
      <w:r w:rsidR="001610F7">
        <w:t xml:space="preserve"> are directly r</w:t>
      </w:r>
      <w:r w:rsidR="00786183">
        <w:t>elated to intellectual property</w:t>
      </w:r>
      <w:r w:rsidR="001610F7">
        <w:t xml:space="preserve"> since the IGC’s mandate is to finalize an agreement on an international legal instrument(s</w:t>
      </w:r>
      <w:r w:rsidR="001610F7" w:rsidRPr="00500F84">
        <w:t xml:space="preserve">) </w:t>
      </w:r>
      <w:r w:rsidR="001610F7" w:rsidRPr="00500F84">
        <w:rPr>
          <w:u w:val="single"/>
        </w:rPr>
        <w:t xml:space="preserve">relating to intellectual property </w:t>
      </w:r>
      <w:r w:rsidR="001610F7" w:rsidRPr="00500F84">
        <w:t>for the balanced and effective protection of traditional knowledge and traditional cultural expressions.</w:t>
      </w:r>
    </w:p>
    <w:p w:rsidR="001610F7" w:rsidRDefault="001610F7" w:rsidP="00303E70">
      <w:pPr>
        <w:rPr>
          <w:bCs/>
        </w:rPr>
      </w:pPr>
    </w:p>
    <w:p w:rsidR="00303E70" w:rsidRPr="00303E70" w:rsidRDefault="00303E70">
      <w:r>
        <w:rPr>
          <w:szCs w:val="22"/>
        </w:rPr>
        <w:br w:type="page"/>
      </w:r>
    </w:p>
    <w:p w:rsidR="00303E70" w:rsidRDefault="00303E70" w:rsidP="00303E70">
      <w:pPr>
        <w:tabs>
          <w:tab w:val="left" w:pos="550"/>
          <w:tab w:val="num" w:pos="993"/>
        </w:tabs>
        <w:autoSpaceDE w:val="0"/>
        <w:autoSpaceDN w:val="0"/>
        <w:adjustRightInd w:val="0"/>
        <w:jc w:val="center"/>
      </w:pPr>
      <w:r>
        <w:lastRenderedPageBreak/>
        <w:t>USE OF TERMS</w:t>
      </w:r>
    </w:p>
    <w:p w:rsidR="00303E70" w:rsidRDefault="00303E70" w:rsidP="00303E70">
      <w:pPr>
        <w:tabs>
          <w:tab w:val="left" w:pos="550"/>
          <w:tab w:val="num" w:pos="993"/>
        </w:tabs>
        <w:autoSpaceDE w:val="0"/>
        <w:autoSpaceDN w:val="0"/>
        <w:adjustRightInd w:val="0"/>
        <w:jc w:val="center"/>
      </w:pPr>
    </w:p>
    <w:p w:rsidR="00303E70" w:rsidRDefault="00303E70" w:rsidP="00303E70">
      <w:pPr>
        <w:tabs>
          <w:tab w:val="left" w:pos="550"/>
          <w:tab w:val="num" w:pos="993"/>
        </w:tabs>
        <w:autoSpaceDE w:val="0"/>
        <w:autoSpaceDN w:val="0"/>
        <w:adjustRightInd w:val="0"/>
        <w:jc w:val="center"/>
      </w:pPr>
    </w:p>
    <w:p w:rsidR="00303E70" w:rsidRDefault="00303E70" w:rsidP="00303E70">
      <w:pPr>
        <w:tabs>
          <w:tab w:val="left" w:pos="550"/>
          <w:tab w:val="num" w:pos="993"/>
        </w:tabs>
        <w:autoSpaceDE w:val="0"/>
        <w:autoSpaceDN w:val="0"/>
        <w:adjustRightInd w:val="0"/>
      </w:pPr>
      <w:r>
        <w:t>For the purposes of this instrument:</w:t>
      </w:r>
    </w:p>
    <w:p w:rsidR="00303E70" w:rsidRDefault="00303E70" w:rsidP="00303E70">
      <w:pPr>
        <w:tabs>
          <w:tab w:val="num" w:pos="993"/>
        </w:tabs>
        <w:autoSpaceDE w:val="0"/>
        <w:autoSpaceDN w:val="0"/>
        <w:adjustRightInd w:val="0"/>
        <w:rPr>
          <w:b/>
        </w:rPr>
      </w:pPr>
    </w:p>
    <w:p w:rsidR="00303E70" w:rsidRDefault="00303E70" w:rsidP="00303E70">
      <w:pPr>
        <w:autoSpaceDE w:val="0"/>
        <w:autoSpaceDN w:val="0"/>
        <w:adjustRightInd w:val="0"/>
      </w:pPr>
      <w:r>
        <w:rPr>
          <w:b/>
        </w:rPr>
        <w:t>“Use”/“utilization”</w:t>
      </w:r>
      <w:r>
        <w:t xml:space="preserve"> means</w:t>
      </w:r>
    </w:p>
    <w:p w:rsidR="00303E70" w:rsidRDefault="00303E70" w:rsidP="00303E70">
      <w:pPr>
        <w:tabs>
          <w:tab w:val="num" w:pos="993"/>
        </w:tabs>
        <w:autoSpaceDE w:val="0"/>
        <w:autoSpaceDN w:val="0"/>
        <w:adjustRightInd w:val="0"/>
      </w:pPr>
    </w:p>
    <w:p w:rsidR="00303E70" w:rsidRDefault="00303E70" w:rsidP="00303E70">
      <w:pPr>
        <w:tabs>
          <w:tab w:val="left" w:pos="1100"/>
        </w:tabs>
        <w:autoSpaceDE w:val="0"/>
        <w:autoSpaceDN w:val="0"/>
        <w:adjustRightInd w:val="0"/>
        <w:ind w:left="550"/>
      </w:pPr>
      <w:r>
        <w:t>(a)</w:t>
      </w:r>
      <w:r>
        <w:tab/>
        <w:t xml:space="preserve">where the traditional knowledge or traditional cultural expression is included in a product, or where a product has been developed or obtained on the basis of traditional knowledge or traditional cultural expression, the manufacturing, importing, offering for sale, selling, stocking or exploiting the product; </w:t>
      </w:r>
    </w:p>
    <w:p w:rsidR="00303E70" w:rsidRDefault="00303E70" w:rsidP="00303E70">
      <w:pPr>
        <w:tabs>
          <w:tab w:val="num" w:pos="993"/>
        </w:tabs>
        <w:autoSpaceDE w:val="0"/>
        <w:autoSpaceDN w:val="0"/>
        <w:adjustRightInd w:val="0"/>
      </w:pPr>
    </w:p>
    <w:p w:rsidR="00303E70" w:rsidRDefault="00303E70" w:rsidP="00303E70">
      <w:pPr>
        <w:autoSpaceDE w:val="0"/>
        <w:autoSpaceDN w:val="0"/>
        <w:adjustRightInd w:val="0"/>
        <w:ind w:left="550"/>
      </w:pPr>
      <w:r>
        <w:t>(b)</w:t>
      </w:r>
      <w:r>
        <w:tab/>
        <w:t>where the traditional knowledge or traditional cultural expression</w:t>
      </w:r>
      <w:r w:rsidR="00B336FB">
        <w:t xml:space="preserve"> is included in a process, or</w:t>
      </w:r>
      <w:r>
        <w:t xml:space="preserve"> where a process has been developed or obtained on the basis of traditional knowledge:  exploiting of the process;  or carrying out the acts referred to under sub-clause (a) with respect to a product that is a direct result of the use of the process; </w:t>
      </w:r>
    </w:p>
    <w:p w:rsidR="00303E70" w:rsidRDefault="00303E70" w:rsidP="00303E70">
      <w:pPr>
        <w:tabs>
          <w:tab w:val="num" w:pos="993"/>
        </w:tabs>
        <w:autoSpaceDE w:val="0"/>
        <w:autoSpaceDN w:val="0"/>
        <w:adjustRightInd w:val="0"/>
        <w:ind w:left="1100"/>
      </w:pPr>
    </w:p>
    <w:p w:rsidR="00303E70" w:rsidRDefault="00303E70" w:rsidP="00303E70">
      <w:pPr>
        <w:tabs>
          <w:tab w:val="num" w:pos="993"/>
        </w:tabs>
        <w:autoSpaceDE w:val="0"/>
        <w:autoSpaceDN w:val="0"/>
        <w:adjustRightInd w:val="0"/>
        <w:ind w:left="550"/>
      </w:pPr>
      <w:r>
        <w:t>(c)</w:t>
      </w:r>
      <w:r w:rsidRPr="00B10578">
        <w:t xml:space="preserve"> </w:t>
      </w:r>
      <w:r w:rsidR="00F0213D">
        <w:tab/>
      </w:r>
      <w:r w:rsidR="00F0213D">
        <w:tab/>
      </w:r>
      <w:r>
        <w:t>where the traditional knowledge or traditional cultural expression is included as part of commercial or non-commercial research and development.</w:t>
      </w:r>
    </w:p>
    <w:p w:rsidR="00823BFB" w:rsidRDefault="00823BFB">
      <w:pPr>
        <w:rPr>
          <w:szCs w:val="22"/>
        </w:rPr>
      </w:pPr>
    </w:p>
    <w:p w:rsidR="00823BFB" w:rsidRDefault="00823BFB">
      <w:pPr>
        <w:rPr>
          <w:szCs w:val="22"/>
        </w:rPr>
      </w:pPr>
    </w:p>
    <w:p w:rsidR="00823BFB" w:rsidRDefault="00823BFB">
      <w:pPr>
        <w:rPr>
          <w:szCs w:val="22"/>
        </w:rPr>
      </w:pPr>
      <w:r>
        <w:rPr>
          <w:szCs w:val="22"/>
        </w:rPr>
        <w:br w:type="page"/>
      </w:r>
    </w:p>
    <w:p w:rsidR="0078309F" w:rsidRPr="009C58DE" w:rsidRDefault="0078309F" w:rsidP="0078309F">
      <w:pPr>
        <w:spacing w:line="336" w:lineRule="exact"/>
        <w:jc w:val="center"/>
        <w:rPr>
          <w:szCs w:val="22"/>
        </w:rPr>
      </w:pPr>
      <w:r w:rsidRPr="009C58DE">
        <w:rPr>
          <w:szCs w:val="22"/>
        </w:rPr>
        <w:lastRenderedPageBreak/>
        <w:t>OBJECTIVES</w:t>
      </w:r>
    </w:p>
    <w:p w:rsidR="0078309F" w:rsidRPr="009C58DE" w:rsidRDefault="0078309F" w:rsidP="0078309F">
      <w:pPr>
        <w:tabs>
          <w:tab w:val="num" w:pos="993"/>
        </w:tabs>
        <w:autoSpaceDE w:val="0"/>
        <w:autoSpaceDN w:val="0"/>
        <w:adjustRightInd w:val="0"/>
        <w:rPr>
          <w:szCs w:val="22"/>
        </w:rPr>
      </w:pPr>
    </w:p>
    <w:p w:rsidR="0078309F" w:rsidRPr="009C58DE" w:rsidRDefault="0078309F" w:rsidP="0078309F">
      <w:pPr>
        <w:rPr>
          <w:szCs w:val="22"/>
        </w:rPr>
      </w:pPr>
      <w:r w:rsidRPr="009C58DE">
        <w:rPr>
          <w:szCs w:val="22"/>
        </w:rPr>
        <w:t>The objectives of this instrument are to:</w:t>
      </w:r>
    </w:p>
    <w:p w:rsidR="0078309F" w:rsidRPr="009C58DE" w:rsidRDefault="0078309F" w:rsidP="0078309F">
      <w:pPr>
        <w:rPr>
          <w:szCs w:val="22"/>
        </w:rPr>
      </w:pPr>
    </w:p>
    <w:p w:rsidR="0078309F" w:rsidRPr="009C58DE" w:rsidRDefault="0078309F" w:rsidP="0078309F">
      <w:pPr>
        <w:pStyle w:val="ListParagraph"/>
        <w:numPr>
          <w:ilvl w:val="0"/>
          <w:numId w:val="17"/>
        </w:numPr>
        <w:rPr>
          <w:szCs w:val="22"/>
        </w:rPr>
      </w:pPr>
      <w:r w:rsidRPr="009C58DE">
        <w:rPr>
          <w:szCs w:val="22"/>
        </w:rPr>
        <w:t>effective</w:t>
      </w:r>
      <w:r w:rsidR="001A1EBA">
        <w:rPr>
          <w:szCs w:val="22"/>
        </w:rPr>
        <w:t>ly</w:t>
      </w:r>
      <w:r w:rsidR="00917BD0">
        <w:rPr>
          <w:szCs w:val="22"/>
        </w:rPr>
        <w:t>,</w:t>
      </w:r>
      <w:r w:rsidRPr="009C58DE">
        <w:rPr>
          <w:szCs w:val="22"/>
        </w:rPr>
        <w:t xml:space="preserve"> adequate</w:t>
      </w:r>
      <w:r w:rsidR="001A1EBA">
        <w:rPr>
          <w:szCs w:val="22"/>
        </w:rPr>
        <w:t>ly</w:t>
      </w:r>
      <w:r w:rsidRPr="009C58DE">
        <w:rPr>
          <w:szCs w:val="22"/>
        </w:rPr>
        <w:t xml:space="preserve"> </w:t>
      </w:r>
      <w:r w:rsidR="00917BD0">
        <w:rPr>
          <w:szCs w:val="22"/>
        </w:rPr>
        <w:t xml:space="preserve">and in a balanced manner </w:t>
      </w:r>
      <w:r w:rsidRPr="009C58DE">
        <w:rPr>
          <w:szCs w:val="22"/>
        </w:rPr>
        <w:t>protect traditional knowledge</w:t>
      </w:r>
      <w:r w:rsidR="00CE2865" w:rsidRPr="009C58DE">
        <w:rPr>
          <w:szCs w:val="22"/>
        </w:rPr>
        <w:t xml:space="preserve"> and traditional cultural expressions</w:t>
      </w:r>
      <w:r w:rsidRPr="009C58DE">
        <w:rPr>
          <w:szCs w:val="22"/>
        </w:rPr>
        <w:t>;</w:t>
      </w:r>
      <w:r w:rsidR="00B336FB">
        <w:rPr>
          <w:szCs w:val="22"/>
        </w:rPr>
        <w:t xml:space="preserve">  and</w:t>
      </w:r>
    </w:p>
    <w:p w:rsidR="0078309F" w:rsidRPr="009C58DE" w:rsidRDefault="0078309F" w:rsidP="0078309F">
      <w:pPr>
        <w:pStyle w:val="ListParagraph"/>
        <w:rPr>
          <w:szCs w:val="22"/>
        </w:rPr>
      </w:pPr>
    </w:p>
    <w:p w:rsidR="0078309F" w:rsidRPr="009C58DE" w:rsidRDefault="00B67A5F" w:rsidP="00B336FB">
      <w:pPr>
        <w:pStyle w:val="ListParagraph"/>
        <w:numPr>
          <w:ilvl w:val="0"/>
          <w:numId w:val="17"/>
        </w:numPr>
        <w:rPr>
          <w:szCs w:val="22"/>
        </w:rPr>
      </w:pPr>
      <w:r>
        <w:rPr>
          <w:szCs w:val="22"/>
        </w:rPr>
        <w:t>p</w:t>
      </w:r>
      <w:r w:rsidR="0078309F" w:rsidRPr="009C58DE">
        <w:rPr>
          <w:szCs w:val="22"/>
        </w:rPr>
        <w:t xml:space="preserve">revent the erroneous grant </w:t>
      </w:r>
      <w:r w:rsidR="007A2638">
        <w:rPr>
          <w:szCs w:val="22"/>
        </w:rPr>
        <w:t xml:space="preserve">or </w:t>
      </w:r>
      <w:r w:rsidR="001A1EBA">
        <w:rPr>
          <w:szCs w:val="22"/>
        </w:rPr>
        <w:t xml:space="preserve">assertion </w:t>
      </w:r>
      <w:r w:rsidR="0078309F" w:rsidRPr="009C58DE">
        <w:rPr>
          <w:szCs w:val="22"/>
        </w:rPr>
        <w:t>of intellectual property rights over traditional knowledge</w:t>
      </w:r>
      <w:r w:rsidR="00CE2865" w:rsidRPr="009C58DE">
        <w:rPr>
          <w:szCs w:val="22"/>
        </w:rPr>
        <w:t xml:space="preserve"> and traditional cultural </w:t>
      </w:r>
      <w:r w:rsidRPr="009C58DE">
        <w:rPr>
          <w:szCs w:val="22"/>
        </w:rPr>
        <w:t>expressions</w:t>
      </w:r>
      <w:r w:rsidR="00CE2865" w:rsidRPr="009C58DE">
        <w:rPr>
          <w:szCs w:val="22"/>
        </w:rPr>
        <w:t xml:space="preserve">. </w:t>
      </w:r>
    </w:p>
    <w:p w:rsidR="0078309F" w:rsidRPr="009C58DE" w:rsidRDefault="0078309F" w:rsidP="0078309F">
      <w:pPr>
        <w:tabs>
          <w:tab w:val="num" w:pos="993"/>
        </w:tabs>
        <w:autoSpaceDE w:val="0"/>
        <w:autoSpaceDN w:val="0"/>
        <w:adjustRightInd w:val="0"/>
        <w:rPr>
          <w:szCs w:val="22"/>
        </w:rPr>
      </w:pPr>
    </w:p>
    <w:p w:rsidR="0078309F" w:rsidRDefault="0078309F" w:rsidP="0078309F">
      <w:pPr>
        <w:rPr>
          <w:szCs w:val="22"/>
        </w:rPr>
      </w:pPr>
      <w:r w:rsidRPr="009C58DE">
        <w:rPr>
          <w:szCs w:val="22"/>
        </w:rPr>
        <w:br w:type="page"/>
      </w:r>
    </w:p>
    <w:p w:rsidR="00BC7A2C" w:rsidRDefault="00BC7A2C">
      <w:pPr>
        <w:rPr>
          <w:szCs w:val="22"/>
        </w:rPr>
      </w:pPr>
      <w:r>
        <w:rPr>
          <w:szCs w:val="22"/>
        </w:rPr>
        <w:lastRenderedPageBreak/>
        <w:t>Explanatory notes:</w:t>
      </w:r>
    </w:p>
    <w:p w:rsidR="00BC7A2C" w:rsidRDefault="00BC7A2C">
      <w:pPr>
        <w:rPr>
          <w:szCs w:val="22"/>
        </w:rPr>
      </w:pPr>
    </w:p>
    <w:p w:rsidR="00BC7A2C" w:rsidRDefault="00BC7A2C">
      <w:r>
        <w:t>Objectives are often articulated in laws and legal instruments, clarifying the policy and legal context and providing a common direction to the protection established in the legal instrument.  The draft policy objectives draw on the common goals expressed within the Committee.</w:t>
      </w:r>
    </w:p>
    <w:p w:rsidR="00B973EB" w:rsidRDefault="00B973EB"/>
    <w:p w:rsidR="00B973EB" w:rsidRDefault="00B973EB" w:rsidP="00B973EB">
      <w:r>
        <w:t>T</w:t>
      </w:r>
      <w:r w:rsidRPr="00B973EB">
        <w:t xml:space="preserve">he mandate of the IGC is </w:t>
      </w:r>
      <w:r w:rsidR="00A94C66">
        <w:t xml:space="preserve">to </w:t>
      </w:r>
      <w:r w:rsidR="00114693">
        <w:t>arrive at</w:t>
      </w:r>
      <w:r w:rsidRPr="00B973EB">
        <w:t xml:space="preserve"> an appropriate IP-like agreement for the protection of </w:t>
      </w:r>
      <w:r>
        <w:t xml:space="preserve">TK and </w:t>
      </w:r>
      <w:r w:rsidRPr="00B973EB">
        <w:t xml:space="preserve">TCEs at the international level.  </w:t>
      </w:r>
    </w:p>
    <w:p w:rsidR="00BC7A2C" w:rsidRDefault="00BC7A2C"/>
    <w:p w:rsidR="00BC7A2C" w:rsidRPr="009C58DE" w:rsidRDefault="00BC7A2C" w:rsidP="0078309F">
      <w:pPr>
        <w:rPr>
          <w:szCs w:val="22"/>
        </w:rPr>
      </w:pPr>
      <w:r>
        <w:rPr>
          <w:szCs w:val="22"/>
        </w:rPr>
        <w:br w:type="page"/>
      </w:r>
    </w:p>
    <w:p w:rsidR="0078309F" w:rsidRPr="009C58DE" w:rsidRDefault="00F14A41" w:rsidP="0078309F">
      <w:pPr>
        <w:tabs>
          <w:tab w:val="num" w:pos="993"/>
        </w:tabs>
        <w:autoSpaceDE w:val="0"/>
        <w:autoSpaceDN w:val="0"/>
        <w:adjustRightInd w:val="0"/>
        <w:jc w:val="center"/>
        <w:rPr>
          <w:szCs w:val="22"/>
        </w:rPr>
      </w:pPr>
      <w:r w:rsidRPr="009C58DE">
        <w:rPr>
          <w:szCs w:val="22"/>
        </w:rPr>
        <w:lastRenderedPageBreak/>
        <w:t>SUBJECT MATTER</w:t>
      </w:r>
      <w:r w:rsidR="0078309F" w:rsidRPr="009C58DE" w:rsidDel="002162F3">
        <w:rPr>
          <w:szCs w:val="22"/>
        </w:rPr>
        <w:t xml:space="preserve"> </w:t>
      </w:r>
    </w:p>
    <w:p w:rsidR="0078309F" w:rsidRPr="009C58DE" w:rsidRDefault="0078309F" w:rsidP="0078309F">
      <w:pPr>
        <w:tabs>
          <w:tab w:val="num" w:pos="993"/>
        </w:tabs>
        <w:autoSpaceDE w:val="0"/>
        <w:autoSpaceDN w:val="0"/>
        <w:adjustRightInd w:val="0"/>
        <w:jc w:val="center"/>
        <w:rPr>
          <w:szCs w:val="22"/>
        </w:rPr>
      </w:pPr>
    </w:p>
    <w:p w:rsidR="00F14A41" w:rsidRPr="00223F41" w:rsidRDefault="00223F41" w:rsidP="00223F41">
      <w:pPr>
        <w:autoSpaceDE w:val="0"/>
        <w:autoSpaceDN w:val="0"/>
        <w:adjustRightInd w:val="0"/>
        <w:rPr>
          <w:szCs w:val="22"/>
        </w:rPr>
      </w:pPr>
      <w:r>
        <w:rPr>
          <w:szCs w:val="22"/>
        </w:rPr>
        <w:t>1.</w:t>
      </w:r>
      <w:r w:rsidRPr="009C58DE">
        <w:rPr>
          <w:szCs w:val="22"/>
        </w:rPr>
        <w:tab/>
      </w:r>
      <w:r w:rsidR="009540B4">
        <w:rPr>
          <w:szCs w:val="22"/>
        </w:rPr>
        <w:t>For the purposes of this instrument, t</w:t>
      </w:r>
      <w:r w:rsidR="006C79A0" w:rsidRPr="00223F41">
        <w:rPr>
          <w:szCs w:val="22"/>
        </w:rPr>
        <w:t>raditional k</w:t>
      </w:r>
      <w:r w:rsidR="00F14A41" w:rsidRPr="00223F41">
        <w:rPr>
          <w:szCs w:val="22"/>
        </w:rPr>
        <w:t>nowledge refers to knowledge, including know-how, skills, innovations, practices, teaching, or learning</w:t>
      </w:r>
      <w:r w:rsidR="007929AF">
        <w:rPr>
          <w:szCs w:val="22"/>
        </w:rPr>
        <w:t>, in a traditional context,</w:t>
      </w:r>
      <w:r w:rsidR="004F6259" w:rsidRPr="004F6259">
        <w:rPr>
          <w:szCs w:val="22"/>
        </w:rPr>
        <w:t xml:space="preserve"> </w:t>
      </w:r>
      <w:r w:rsidR="004F6259" w:rsidRPr="00223F41">
        <w:rPr>
          <w:szCs w:val="22"/>
        </w:rPr>
        <w:t>connected to</w:t>
      </w:r>
      <w:r w:rsidR="004F6259">
        <w:rPr>
          <w:szCs w:val="22"/>
        </w:rPr>
        <w:t xml:space="preserve"> health,</w:t>
      </w:r>
      <w:r w:rsidR="004F6259" w:rsidRPr="00223F41">
        <w:rPr>
          <w:szCs w:val="22"/>
        </w:rPr>
        <w:t xml:space="preserve"> land</w:t>
      </w:r>
      <w:r w:rsidR="004F6259">
        <w:rPr>
          <w:szCs w:val="22"/>
        </w:rPr>
        <w:t>,</w:t>
      </w:r>
      <w:r w:rsidR="004F6259" w:rsidRPr="00223F41">
        <w:rPr>
          <w:szCs w:val="22"/>
        </w:rPr>
        <w:t xml:space="preserve"> environment</w:t>
      </w:r>
      <w:r w:rsidR="004F6259">
        <w:rPr>
          <w:szCs w:val="22"/>
        </w:rPr>
        <w:t xml:space="preserve"> and other fields</w:t>
      </w:r>
      <w:r w:rsidR="00F14A41" w:rsidRPr="00223F41">
        <w:rPr>
          <w:szCs w:val="22"/>
        </w:rPr>
        <w:t>.</w:t>
      </w:r>
    </w:p>
    <w:p w:rsidR="006C79A0" w:rsidRPr="009C58DE" w:rsidRDefault="006C79A0" w:rsidP="00F14A41">
      <w:pPr>
        <w:autoSpaceDE w:val="0"/>
        <w:autoSpaceDN w:val="0"/>
        <w:adjustRightInd w:val="0"/>
        <w:rPr>
          <w:szCs w:val="22"/>
        </w:rPr>
      </w:pPr>
    </w:p>
    <w:p w:rsidR="006C79A0" w:rsidRPr="009C58DE" w:rsidRDefault="006C79A0" w:rsidP="006C79A0">
      <w:pPr>
        <w:rPr>
          <w:szCs w:val="22"/>
        </w:rPr>
      </w:pPr>
      <w:r w:rsidRPr="009C58DE">
        <w:rPr>
          <w:szCs w:val="22"/>
        </w:rPr>
        <w:t>2</w:t>
      </w:r>
      <w:r w:rsidRPr="009C58DE">
        <w:rPr>
          <w:szCs w:val="22"/>
        </w:rPr>
        <w:tab/>
      </w:r>
      <w:r w:rsidR="009540B4">
        <w:rPr>
          <w:szCs w:val="22"/>
        </w:rPr>
        <w:t>For the purposes of this instrument, t</w:t>
      </w:r>
      <w:r w:rsidRPr="009C58DE">
        <w:rPr>
          <w:szCs w:val="22"/>
        </w:rPr>
        <w:t xml:space="preserve">raditional cultural expressions are any forms in which traditional </w:t>
      </w:r>
      <w:r w:rsidR="00B107DC">
        <w:rPr>
          <w:szCs w:val="22"/>
        </w:rPr>
        <w:t>culture</w:t>
      </w:r>
      <w:r w:rsidR="002F4594">
        <w:rPr>
          <w:szCs w:val="22"/>
        </w:rPr>
        <w:t xml:space="preserve"> and knowledge are expressed</w:t>
      </w:r>
      <w:r w:rsidR="001F77E6">
        <w:rPr>
          <w:szCs w:val="22"/>
        </w:rPr>
        <w:t xml:space="preserve">, including </w:t>
      </w:r>
      <w:r w:rsidRPr="009C58DE">
        <w:rPr>
          <w:szCs w:val="22"/>
        </w:rPr>
        <w:t xml:space="preserve">verbal forms, musical forms, expressions by movement, tangible or </w:t>
      </w:r>
      <w:r w:rsidR="003D5E12" w:rsidRPr="00500F84">
        <w:rPr>
          <w:szCs w:val="22"/>
        </w:rPr>
        <w:t>intangible forms of expression</w:t>
      </w:r>
      <w:r w:rsidR="003D5E12">
        <w:rPr>
          <w:szCs w:val="22"/>
        </w:rPr>
        <w:t>,</w:t>
      </w:r>
      <w:r w:rsidRPr="009C58DE">
        <w:rPr>
          <w:szCs w:val="22"/>
        </w:rPr>
        <w:t xml:space="preserve"> or combinations thereof. </w:t>
      </w:r>
    </w:p>
    <w:p w:rsidR="00F14A41" w:rsidRPr="009C58DE" w:rsidRDefault="00F14A41" w:rsidP="00F14A41">
      <w:pPr>
        <w:autoSpaceDE w:val="0"/>
        <w:autoSpaceDN w:val="0"/>
        <w:adjustRightInd w:val="0"/>
        <w:rPr>
          <w:b/>
          <w:szCs w:val="22"/>
        </w:rPr>
      </w:pPr>
    </w:p>
    <w:p w:rsidR="0078309F" w:rsidRPr="009C58DE" w:rsidRDefault="006C79A0" w:rsidP="0078309F">
      <w:pPr>
        <w:rPr>
          <w:szCs w:val="22"/>
        </w:rPr>
      </w:pPr>
      <w:r w:rsidRPr="009C58DE">
        <w:rPr>
          <w:szCs w:val="22"/>
        </w:rPr>
        <w:t>3</w:t>
      </w:r>
      <w:r w:rsidR="0078309F" w:rsidRPr="009C58DE">
        <w:rPr>
          <w:szCs w:val="22"/>
        </w:rPr>
        <w:tab/>
        <w:t>Protection shall be extended under this instrument to traditional knowledge</w:t>
      </w:r>
      <w:r w:rsidRPr="009C58DE">
        <w:rPr>
          <w:szCs w:val="22"/>
        </w:rPr>
        <w:t xml:space="preserve"> and traditional cultural expressions, which are</w:t>
      </w:r>
      <w:r w:rsidR="0078309F" w:rsidRPr="009C58DE">
        <w:rPr>
          <w:szCs w:val="22"/>
        </w:rPr>
        <w:t>:</w:t>
      </w:r>
    </w:p>
    <w:p w:rsidR="0078309F" w:rsidRPr="009C58DE" w:rsidRDefault="0078309F" w:rsidP="0078309F">
      <w:pPr>
        <w:rPr>
          <w:szCs w:val="22"/>
        </w:rPr>
      </w:pPr>
    </w:p>
    <w:p w:rsidR="0078309F" w:rsidRPr="009C58DE" w:rsidRDefault="0078309F" w:rsidP="0078309F">
      <w:pPr>
        <w:ind w:left="567" w:firstLine="3"/>
        <w:rPr>
          <w:szCs w:val="22"/>
        </w:rPr>
      </w:pPr>
      <w:r w:rsidRPr="009C58DE">
        <w:rPr>
          <w:szCs w:val="22"/>
        </w:rPr>
        <w:t>(a)</w:t>
      </w:r>
      <w:r w:rsidRPr="009C58DE">
        <w:rPr>
          <w:szCs w:val="22"/>
        </w:rPr>
        <w:tab/>
        <w:t xml:space="preserve">created, </w:t>
      </w:r>
      <w:r w:rsidR="002F4594" w:rsidRPr="009C58DE">
        <w:rPr>
          <w:szCs w:val="22"/>
        </w:rPr>
        <w:t>developed,</w:t>
      </w:r>
      <w:r w:rsidR="002F4594">
        <w:rPr>
          <w:szCs w:val="22"/>
        </w:rPr>
        <w:t xml:space="preserve"> </w:t>
      </w:r>
      <w:r w:rsidRPr="009C58DE">
        <w:rPr>
          <w:szCs w:val="22"/>
        </w:rPr>
        <w:t xml:space="preserve">generated, held, used, </w:t>
      </w:r>
      <w:r w:rsidR="003D55D0">
        <w:rPr>
          <w:szCs w:val="22"/>
        </w:rPr>
        <w:t>or</w:t>
      </w:r>
      <w:r w:rsidRPr="009C58DE">
        <w:rPr>
          <w:szCs w:val="22"/>
        </w:rPr>
        <w:t xml:space="preserve"> m</w:t>
      </w:r>
      <w:r w:rsidR="00857F13" w:rsidRPr="009C58DE">
        <w:rPr>
          <w:szCs w:val="22"/>
        </w:rPr>
        <w:t xml:space="preserve">aintained by </w:t>
      </w:r>
      <w:r w:rsidR="00220F34">
        <w:rPr>
          <w:szCs w:val="22"/>
        </w:rPr>
        <w:t>I</w:t>
      </w:r>
      <w:r w:rsidR="002F4594" w:rsidRPr="009C58DE">
        <w:rPr>
          <w:szCs w:val="22"/>
        </w:rPr>
        <w:t xml:space="preserve">ndigenous </w:t>
      </w:r>
      <w:r w:rsidR="00220F34">
        <w:rPr>
          <w:szCs w:val="22"/>
        </w:rPr>
        <w:t>P</w:t>
      </w:r>
      <w:r w:rsidR="002F4594" w:rsidRPr="00FD3DF7">
        <w:rPr>
          <w:szCs w:val="22"/>
        </w:rPr>
        <w:t>eoples</w:t>
      </w:r>
      <w:r w:rsidR="002F4594" w:rsidRPr="009C58DE">
        <w:rPr>
          <w:szCs w:val="22"/>
        </w:rPr>
        <w:t xml:space="preserve"> and local communities</w:t>
      </w:r>
      <w:r w:rsidRPr="009C58DE">
        <w:rPr>
          <w:szCs w:val="22"/>
        </w:rPr>
        <w:t>;</w:t>
      </w:r>
      <w:r w:rsidRPr="009C58DE">
        <w:rPr>
          <w:szCs w:val="22"/>
        </w:rPr>
        <w:tab/>
      </w:r>
    </w:p>
    <w:p w:rsidR="0078309F" w:rsidRPr="009C58DE" w:rsidRDefault="0078309F" w:rsidP="0078309F">
      <w:pPr>
        <w:rPr>
          <w:szCs w:val="22"/>
        </w:rPr>
      </w:pPr>
    </w:p>
    <w:p w:rsidR="0078309F" w:rsidRPr="009C58DE" w:rsidRDefault="0078309F" w:rsidP="0078309F">
      <w:pPr>
        <w:ind w:left="567" w:firstLine="3"/>
        <w:rPr>
          <w:szCs w:val="22"/>
        </w:rPr>
      </w:pPr>
      <w:r w:rsidRPr="009C58DE">
        <w:rPr>
          <w:szCs w:val="22"/>
        </w:rPr>
        <w:t>(b)</w:t>
      </w:r>
      <w:r w:rsidRPr="009C58DE">
        <w:rPr>
          <w:szCs w:val="22"/>
        </w:rPr>
        <w:tab/>
        <w:t xml:space="preserve">linked with, and an integral part of, the cultural and social identity and traditional heritage of </w:t>
      </w:r>
      <w:r w:rsidR="00220F34">
        <w:rPr>
          <w:szCs w:val="22"/>
        </w:rPr>
        <w:t>I</w:t>
      </w:r>
      <w:r w:rsidRPr="009C58DE">
        <w:rPr>
          <w:szCs w:val="22"/>
        </w:rPr>
        <w:t xml:space="preserve">ndigenous </w:t>
      </w:r>
      <w:r w:rsidR="00220F34">
        <w:rPr>
          <w:szCs w:val="22"/>
        </w:rPr>
        <w:t>P</w:t>
      </w:r>
      <w:r w:rsidRPr="00FD3DF7">
        <w:rPr>
          <w:szCs w:val="22"/>
        </w:rPr>
        <w:t>eoples</w:t>
      </w:r>
      <w:r w:rsidR="00C11DAC">
        <w:rPr>
          <w:szCs w:val="22"/>
        </w:rPr>
        <w:t xml:space="preserve"> and</w:t>
      </w:r>
      <w:r w:rsidRPr="009C58DE">
        <w:rPr>
          <w:szCs w:val="22"/>
        </w:rPr>
        <w:t xml:space="preserve"> local </w:t>
      </w:r>
      <w:r w:rsidR="00B67A5F" w:rsidRPr="009C58DE">
        <w:rPr>
          <w:szCs w:val="22"/>
        </w:rPr>
        <w:t>communities; and</w:t>
      </w:r>
    </w:p>
    <w:p w:rsidR="0078309F" w:rsidRPr="009C58DE" w:rsidRDefault="0078309F" w:rsidP="0078309F">
      <w:pPr>
        <w:rPr>
          <w:szCs w:val="22"/>
        </w:rPr>
      </w:pPr>
    </w:p>
    <w:p w:rsidR="0078309F" w:rsidRPr="003D5E12" w:rsidRDefault="003D5E12" w:rsidP="003D5E12">
      <w:pPr>
        <w:ind w:left="567"/>
        <w:rPr>
          <w:szCs w:val="22"/>
        </w:rPr>
      </w:pPr>
      <w:r>
        <w:rPr>
          <w:szCs w:val="22"/>
        </w:rPr>
        <w:t>(c)</w:t>
      </w:r>
      <w:r>
        <w:rPr>
          <w:szCs w:val="22"/>
        </w:rPr>
        <w:tab/>
      </w:r>
      <w:r w:rsidR="0078309F" w:rsidRPr="003D5E12">
        <w:rPr>
          <w:szCs w:val="22"/>
        </w:rPr>
        <w:t>transmitted between or from generation to generation, whether consecutively or not.</w:t>
      </w:r>
    </w:p>
    <w:p w:rsidR="0078309F" w:rsidRPr="009C58DE" w:rsidRDefault="0078309F" w:rsidP="0078309F">
      <w:pPr>
        <w:autoSpaceDE w:val="0"/>
        <w:autoSpaceDN w:val="0"/>
        <w:adjustRightInd w:val="0"/>
        <w:rPr>
          <w:szCs w:val="22"/>
        </w:rPr>
      </w:pPr>
    </w:p>
    <w:p w:rsidR="00223F41" w:rsidRDefault="00223F41">
      <w:pPr>
        <w:rPr>
          <w:szCs w:val="22"/>
        </w:rPr>
      </w:pPr>
      <w:r>
        <w:rPr>
          <w:szCs w:val="22"/>
        </w:rPr>
        <w:br w:type="page"/>
      </w:r>
    </w:p>
    <w:p w:rsidR="00223F41" w:rsidRDefault="00223F41" w:rsidP="00223F41">
      <w:pPr>
        <w:rPr>
          <w:szCs w:val="22"/>
        </w:rPr>
      </w:pPr>
      <w:r>
        <w:rPr>
          <w:szCs w:val="22"/>
        </w:rPr>
        <w:lastRenderedPageBreak/>
        <w:t>Explanatory notes:</w:t>
      </w:r>
    </w:p>
    <w:p w:rsidR="00223F41" w:rsidRDefault="00223F41" w:rsidP="0078309F">
      <w:pPr>
        <w:rPr>
          <w:szCs w:val="22"/>
        </w:rPr>
      </w:pPr>
    </w:p>
    <w:p w:rsidR="00A73F0E" w:rsidRDefault="00A73F0E" w:rsidP="0078309F">
      <w:r>
        <w:t xml:space="preserve">This provision </w:t>
      </w:r>
      <w:r w:rsidR="00135D44">
        <w:t>provides a general description</w:t>
      </w:r>
      <w:r>
        <w:t xml:space="preserve"> of TK and TCEs for the pur</w:t>
      </w:r>
      <w:r w:rsidR="00427502">
        <w:t xml:space="preserve">poses of this legal instrument </w:t>
      </w:r>
      <w:r w:rsidR="001F77E6">
        <w:t xml:space="preserve">(in paragraphs 1 and 2) </w:t>
      </w:r>
      <w:r w:rsidR="005E12EA">
        <w:t>and</w:t>
      </w:r>
      <w:r>
        <w:t xml:space="preserve"> sets appropriate bounds to the scope of protectable subject matter</w:t>
      </w:r>
      <w:r w:rsidR="001F77E6">
        <w:t xml:space="preserve"> (in paragraph 3)</w:t>
      </w:r>
      <w:r>
        <w:t>.  The IGC moved the definitions of TK and TCEs to the “</w:t>
      </w:r>
      <w:r w:rsidR="00C11DAC">
        <w:t>U</w:t>
      </w:r>
      <w:r>
        <w:t>se of terms”</w:t>
      </w:r>
      <w:r w:rsidR="00465E8F">
        <w:t xml:space="preserve"> section</w:t>
      </w:r>
      <w:r>
        <w:t xml:space="preserve"> and kept a provision on </w:t>
      </w:r>
      <w:r w:rsidRPr="0000583B">
        <w:rPr>
          <w:szCs w:val="22"/>
        </w:rPr>
        <w:t>eligibility criteria</w:t>
      </w:r>
      <w:r>
        <w:t>.  I believe these two elements are interlinked</w:t>
      </w:r>
      <w:r w:rsidR="00427502">
        <w:t xml:space="preserve"> </w:t>
      </w:r>
      <w:r>
        <w:t xml:space="preserve">and propose to place them together. </w:t>
      </w:r>
    </w:p>
    <w:p w:rsidR="00A73F0E" w:rsidRDefault="00A73F0E" w:rsidP="0078309F"/>
    <w:p w:rsidR="00127596" w:rsidRDefault="00127596" w:rsidP="00127596">
      <w:r w:rsidRPr="00127596">
        <w:t>T</w:t>
      </w:r>
      <w:r>
        <w:t>he characteristics of TK and TCEs</w:t>
      </w:r>
      <w:r w:rsidRPr="00127596">
        <w:t xml:space="preserve"> througho</w:t>
      </w:r>
      <w:r>
        <w:t xml:space="preserve">ut the world vary </w:t>
      </w:r>
      <w:r w:rsidR="00233AD2">
        <w:t>greatly;</w:t>
      </w:r>
      <w:r>
        <w:t xml:space="preserve"> therefore, it is key to identify</w:t>
      </w:r>
      <w:r w:rsidRPr="00127596">
        <w:t xml:space="preserve"> those high-level and universal characteristics that belong in an international instrument.  </w:t>
      </w:r>
    </w:p>
    <w:p w:rsidR="00127596" w:rsidRPr="00127596" w:rsidRDefault="00127596" w:rsidP="00127596"/>
    <w:p w:rsidR="00127596" w:rsidRPr="00127596" w:rsidRDefault="00127596" w:rsidP="00127596">
      <w:r>
        <w:t xml:space="preserve">I wish to emphasize that </w:t>
      </w:r>
      <w:r w:rsidRPr="00127596">
        <w:t>there is</w:t>
      </w:r>
      <w:r w:rsidR="00427502">
        <w:t xml:space="preserve"> an</w:t>
      </w:r>
      <w:r w:rsidRPr="00127596">
        <w:t xml:space="preserve"> interplay between the key issues of </w:t>
      </w:r>
      <w:r w:rsidR="00427502">
        <w:t xml:space="preserve">the </w:t>
      </w:r>
      <w:r w:rsidR="009012AE">
        <w:t>definition of subject matter and</w:t>
      </w:r>
      <w:r w:rsidRPr="00127596">
        <w:t xml:space="preserve"> </w:t>
      </w:r>
      <w:r w:rsidR="00427502">
        <w:t xml:space="preserve">the </w:t>
      </w:r>
      <w:r w:rsidRPr="00127596">
        <w:t>scope of rights</w:t>
      </w:r>
      <w:r>
        <w:t>,</w:t>
      </w:r>
      <w:r w:rsidRPr="00127596">
        <w:t xml:space="preserve"> and exceptions and limitations.  This interplay may </w:t>
      </w:r>
      <w:r w:rsidR="009012AE" w:rsidRPr="00127596">
        <w:t xml:space="preserve">also </w:t>
      </w:r>
      <w:r w:rsidRPr="00127596">
        <w:t xml:space="preserve">relate to the balance that is inherent </w:t>
      </w:r>
      <w:r w:rsidR="009012AE">
        <w:t>to</w:t>
      </w:r>
      <w:r w:rsidRPr="00127596">
        <w:t xml:space="preserve"> all types of IP protection systems, i.e. the balance between private rights and public interests.</w:t>
      </w:r>
    </w:p>
    <w:p w:rsidR="00127596" w:rsidRDefault="00127596" w:rsidP="0078309F"/>
    <w:p w:rsidR="00223F41" w:rsidRDefault="00A73F0E" w:rsidP="0078309F">
      <w:r>
        <w:t xml:space="preserve">International IP standards typically </w:t>
      </w:r>
      <w:r w:rsidR="001F41FD">
        <w:t xml:space="preserve">provide general guidance for </w:t>
      </w:r>
      <w:r>
        <w:t>the national level</w:t>
      </w:r>
      <w:r w:rsidR="00427502">
        <w:t xml:space="preserve"> in</w:t>
      </w:r>
      <w:r>
        <w:t xml:space="preserve"> </w:t>
      </w:r>
      <w:r w:rsidR="00D95CF0">
        <w:t>the determination of</w:t>
      </w:r>
      <w:r>
        <w:t xml:space="preserve"> the precise scope of protected subject matter.  The international level can range between a description in general terms of eligible subject matter, a set of criteria </w:t>
      </w:r>
      <w:r w:rsidR="00D95CF0">
        <w:t>of</w:t>
      </w:r>
      <w:r>
        <w:t xml:space="preserve"> eligible subject matter, or no definition at all.</w:t>
      </w:r>
      <w:r w:rsidR="00135D44">
        <w:t xml:space="preserve">  I believe that the combination of a description of </w:t>
      </w:r>
      <w:r w:rsidR="00427502">
        <w:t xml:space="preserve">the </w:t>
      </w:r>
      <w:r w:rsidR="00135D44">
        <w:t xml:space="preserve">subject matter and a set of eligibility criteria would better define </w:t>
      </w:r>
      <w:r w:rsidR="00C11DAC">
        <w:t xml:space="preserve">the protectable </w:t>
      </w:r>
      <w:r w:rsidR="00135D44">
        <w:t xml:space="preserve">subject matter. </w:t>
      </w:r>
    </w:p>
    <w:p w:rsidR="00135D44" w:rsidRDefault="00135D44" w:rsidP="0078309F"/>
    <w:p w:rsidR="0078309F" w:rsidRPr="009C58DE" w:rsidRDefault="0078309F" w:rsidP="0078309F">
      <w:pPr>
        <w:rPr>
          <w:szCs w:val="22"/>
        </w:rPr>
      </w:pPr>
      <w:r w:rsidRPr="009C58DE">
        <w:rPr>
          <w:szCs w:val="22"/>
        </w:rPr>
        <w:br w:type="page"/>
      </w:r>
    </w:p>
    <w:p w:rsidR="0078309F" w:rsidRPr="009C58DE" w:rsidRDefault="004A48A4" w:rsidP="0078309F">
      <w:pPr>
        <w:tabs>
          <w:tab w:val="num" w:pos="993"/>
        </w:tabs>
        <w:autoSpaceDE w:val="0"/>
        <w:autoSpaceDN w:val="0"/>
        <w:adjustRightInd w:val="0"/>
        <w:jc w:val="center"/>
        <w:rPr>
          <w:szCs w:val="22"/>
        </w:rPr>
      </w:pPr>
      <w:r>
        <w:rPr>
          <w:szCs w:val="22"/>
        </w:rPr>
        <w:lastRenderedPageBreak/>
        <w:t>BENEFICIARIES</w:t>
      </w:r>
    </w:p>
    <w:p w:rsidR="0078309F" w:rsidRPr="009C58DE" w:rsidRDefault="0078309F" w:rsidP="0078309F">
      <w:pPr>
        <w:tabs>
          <w:tab w:val="num" w:pos="993"/>
        </w:tabs>
        <w:autoSpaceDE w:val="0"/>
        <w:autoSpaceDN w:val="0"/>
        <w:adjustRightInd w:val="0"/>
        <w:rPr>
          <w:szCs w:val="22"/>
        </w:rPr>
      </w:pPr>
    </w:p>
    <w:p w:rsidR="0078309F" w:rsidRPr="009C58DE" w:rsidRDefault="00857F13" w:rsidP="00857F13">
      <w:pPr>
        <w:autoSpaceDE w:val="0"/>
        <w:autoSpaceDN w:val="0"/>
        <w:adjustRightInd w:val="0"/>
        <w:rPr>
          <w:szCs w:val="22"/>
        </w:rPr>
      </w:pPr>
      <w:r w:rsidRPr="009C58DE">
        <w:rPr>
          <w:szCs w:val="22"/>
        </w:rPr>
        <w:t>1</w:t>
      </w:r>
      <w:r w:rsidRPr="009C58DE">
        <w:rPr>
          <w:szCs w:val="22"/>
        </w:rPr>
        <w:tab/>
      </w:r>
      <w:r w:rsidR="0078309F" w:rsidRPr="009C58DE">
        <w:rPr>
          <w:szCs w:val="22"/>
        </w:rPr>
        <w:t>The benefici</w:t>
      </w:r>
      <w:r w:rsidRPr="009C58DE">
        <w:rPr>
          <w:szCs w:val="22"/>
        </w:rPr>
        <w:t xml:space="preserve">aries under this instrument are </w:t>
      </w:r>
      <w:r w:rsidR="00220F34">
        <w:rPr>
          <w:szCs w:val="22"/>
        </w:rPr>
        <w:t>I</w:t>
      </w:r>
      <w:r w:rsidR="0078309F" w:rsidRPr="009C58DE">
        <w:rPr>
          <w:szCs w:val="22"/>
        </w:rPr>
        <w:t xml:space="preserve">ndigenous </w:t>
      </w:r>
      <w:r w:rsidR="00220F34">
        <w:rPr>
          <w:szCs w:val="22"/>
        </w:rPr>
        <w:t>P</w:t>
      </w:r>
      <w:r w:rsidR="0078309F" w:rsidRPr="009C58DE">
        <w:rPr>
          <w:szCs w:val="22"/>
        </w:rPr>
        <w:t>eoples</w:t>
      </w:r>
      <w:r w:rsidR="00477028">
        <w:rPr>
          <w:szCs w:val="22"/>
        </w:rPr>
        <w:t xml:space="preserve"> and local </w:t>
      </w:r>
      <w:r w:rsidRPr="009C58DE">
        <w:rPr>
          <w:szCs w:val="22"/>
        </w:rPr>
        <w:t>communities</w:t>
      </w:r>
      <w:r w:rsidR="006C79A0" w:rsidRPr="009C58DE">
        <w:rPr>
          <w:szCs w:val="22"/>
        </w:rPr>
        <w:t>.</w:t>
      </w:r>
    </w:p>
    <w:p w:rsidR="00857F13" w:rsidRPr="009C58DE" w:rsidRDefault="00857F13" w:rsidP="00857F13">
      <w:pPr>
        <w:rPr>
          <w:szCs w:val="22"/>
        </w:rPr>
      </w:pPr>
    </w:p>
    <w:p w:rsidR="00857F13" w:rsidRPr="009C58DE" w:rsidRDefault="00857F13" w:rsidP="00857F13">
      <w:pPr>
        <w:rPr>
          <w:szCs w:val="22"/>
        </w:rPr>
      </w:pPr>
      <w:r w:rsidRPr="009C58DE">
        <w:rPr>
          <w:szCs w:val="22"/>
        </w:rPr>
        <w:t>2</w:t>
      </w:r>
      <w:r w:rsidRPr="009C58DE">
        <w:rPr>
          <w:szCs w:val="22"/>
        </w:rPr>
        <w:tab/>
        <w:t xml:space="preserve">A Member State may, under its national law, </w:t>
      </w:r>
      <w:r w:rsidR="009920D4">
        <w:rPr>
          <w:szCs w:val="22"/>
        </w:rPr>
        <w:t>recognize</w:t>
      </w:r>
      <w:r w:rsidRPr="009C58DE">
        <w:rPr>
          <w:szCs w:val="22"/>
        </w:rPr>
        <w:t xml:space="preserve"> other beneficiaries</w:t>
      </w:r>
      <w:r w:rsidR="009231DA">
        <w:rPr>
          <w:szCs w:val="22"/>
        </w:rPr>
        <w:t xml:space="preserve"> </w:t>
      </w:r>
      <w:r w:rsidR="00D11C59">
        <w:rPr>
          <w:szCs w:val="22"/>
        </w:rPr>
        <w:t>of the protection of protectable subject matter</w:t>
      </w:r>
      <w:r w:rsidRPr="009C58DE">
        <w:rPr>
          <w:szCs w:val="22"/>
        </w:rPr>
        <w:t xml:space="preserve">. </w:t>
      </w:r>
    </w:p>
    <w:p w:rsidR="004A48A4" w:rsidRDefault="004A48A4">
      <w:pPr>
        <w:rPr>
          <w:szCs w:val="22"/>
        </w:rPr>
      </w:pPr>
      <w:r>
        <w:rPr>
          <w:szCs w:val="22"/>
        </w:rPr>
        <w:br w:type="page"/>
      </w:r>
    </w:p>
    <w:p w:rsidR="004A48A4" w:rsidRDefault="004A48A4" w:rsidP="004A48A4">
      <w:pPr>
        <w:rPr>
          <w:szCs w:val="22"/>
        </w:rPr>
      </w:pPr>
      <w:r>
        <w:rPr>
          <w:szCs w:val="22"/>
        </w:rPr>
        <w:lastRenderedPageBreak/>
        <w:t>Explanatory notes:</w:t>
      </w:r>
    </w:p>
    <w:p w:rsidR="004A48A4" w:rsidRDefault="004A48A4" w:rsidP="004A48A4">
      <w:pPr>
        <w:rPr>
          <w:szCs w:val="22"/>
        </w:rPr>
      </w:pPr>
    </w:p>
    <w:p w:rsidR="004A48A4" w:rsidRDefault="004A48A4" w:rsidP="004A48A4">
      <w:pPr>
        <w:pStyle w:val="Body1"/>
        <w:spacing w:line="20" w:lineRule="atLeast"/>
        <w:rPr>
          <w:rFonts w:ascii="Arial" w:hAnsi="Arial" w:cs="Arial"/>
          <w:sz w:val="22"/>
          <w:szCs w:val="22"/>
        </w:rPr>
      </w:pPr>
      <w:r>
        <w:rPr>
          <w:rFonts w:ascii="Arial" w:hAnsi="Arial" w:cs="Arial"/>
          <w:sz w:val="22"/>
          <w:szCs w:val="22"/>
        </w:rPr>
        <w:t xml:space="preserve">Paragraph 1 reflects </w:t>
      </w:r>
      <w:r w:rsidR="00774CFE">
        <w:rPr>
          <w:rFonts w:ascii="Arial" w:hAnsi="Arial" w:cs="Arial"/>
          <w:sz w:val="22"/>
          <w:szCs w:val="22"/>
        </w:rPr>
        <w:t xml:space="preserve">the agreement that </w:t>
      </w:r>
      <w:r w:rsidR="00092D68">
        <w:rPr>
          <w:rFonts w:ascii="Arial" w:hAnsi="Arial" w:cs="Arial"/>
          <w:sz w:val="22"/>
          <w:szCs w:val="22"/>
        </w:rPr>
        <w:t>I</w:t>
      </w:r>
      <w:r w:rsidR="00774CFE">
        <w:rPr>
          <w:rFonts w:ascii="Arial" w:hAnsi="Arial" w:cs="Arial"/>
          <w:sz w:val="22"/>
          <w:szCs w:val="22"/>
        </w:rPr>
        <w:t xml:space="preserve">ndigenous </w:t>
      </w:r>
      <w:r w:rsidR="00092D68">
        <w:rPr>
          <w:rFonts w:ascii="Arial" w:hAnsi="Arial" w:cs="Arial"/>
          <w:sz w:val="22"/>
          <w:szCs w:val="22"/>
        </w:rPr>
        <w:t>P</w:t>
      </w:r>
      <w:r w:rsidR="00774CFE">
        <w:rPr>
          <w:rFonts w:ascii="Arial" w:hAnsi="Arial" w:cs="Arial"/>
          <w:sz w:val="22"/>
          <w:szCs w:val="22"/>
        </w:rPr>
        <w:t xml:space="preserve">eoples and local communities are the beneficiaries, noting that </w:t>
      </w:r>
      <w:r w:rsidR="00774CFE" w:rsidRPr="00CB1EE5">
        <w:rPr>
          <w:rFonts w:ascii="Arial" w:hAnsi="Arial" w:cs="Arial"/>
          <w:sz w:val="22"/>
          <w:szCs w:val="22"/>
        </w:rPr>
        <w:t>there remain div</w:t>
      </w:r>
      <w:r w:rsidR="00427502">
        <w:rPr>
          <w:rFonts w:ascii="Arial" w:hAnsi="Arial" w:cs="Arial"/>
          <w:sz w:val="22"/>
          <w:szCs w:val="22"/>
        </w:rPr>
        <w:t>ergences on the use of the term</w:t>
      </w:r>
      <w:r w:rsidR="00774CFE" w:rsidRPr="00CB1EE5">
        <w:rPr>
          <w:rFonts w:ascii="Arial" w:hAnsi="Arial" w:cs="Arial"/>
          <w:sz w:val="22"/>
          <w:szCs w:val="22"/>
        </w:rPr>
        <w:t xml:space="preserve"> “peoples”</w:t>
      </w:r>
      <w:r w:rsidR="00AA7458">
        <w:rPr>
          <w:rFonts w:ascii="Arial" w:hAnsi="Arial" w:cs="Arial"/>
          <w:sz w:val="22"/>
          <w:szCs w:val="22"/>
        </w:rPr>
        <w:t xml:space="preserve">. </w:t>
      </w:r>
    </w:p>
    <w:p w:rsidR="004A48A4" w:rsidRDefault="004A48A4" w:rsidP="004A48A4">
      <w:pPr>
        <w:pStyle w:val="Body1"/>
        <w:spacing w:line="20" w:lineRule="atLeast"/>
        <w:rPr>
          <w:rFonts w:ascii="Arial" w:hAnsi="Arial" w:cs="Arial"/>
          <w:sz w:val="22"/>
          <w:szCs w:val="22"/>
        </w:rPr>
      </w:pPr>
    </w:p>
    <w:p w:rsidR="004A48A4" w:rsidRPr="00CB1EE5" w:rsidRDefault="004A48A4" w:rsidP="00AA7458">
      <w:pPr>
        <w:pStyle w:val="Body1"/>
        <w:spacing w:line="20" w:lineRule="atLeast"/>
        <w:rPr>
          <w:rFonts w:ascii="Arial" w:hAnsi="Arial" w:cs="Arial"/>
          <w:sz w:val="22"/>
          <w:szCs w:val="22"/>
        </w:rPr>
      </w:pPr>
      <w:r w:rsidRPr="0000583B">
        <w:rPr>
          <w:rFonts w:ascii="Arial" w:hAnsi="Arial" w:cs="Arial"/>
          <w:sz w:val="22"/>
          <w:szCs w:val="22"/>
        </w:rPr>
        <w:t xml:space="preserve">There is still no agreement on the extent to which the instrument should extend beyond </w:t>
      </w:r>
      <w:r w:rsidR="00092D68">
        <w:rPr>
          <w:rFonts w:ascii="Arial" w:hAnsi="Arial" w:cs="Arial"/>
          <w:sz w:val="22"/>
          <w:szCs w:val="22"/>
        </w:rPr>
        <w:t>I</w:t>
      </w:r>
      <w:r w:rsidRPr="0000583B">
        <w:rPr>
          <w:rFonts w:ascii="Arial" w:hAnsi="Arial" w:cs="Arial"/>
          <w:sz w:val="22"/>
          <w:szCs w:val="22"/>
        </w:rPr>
        <w:t xml:space="preserve">ndigenous </w:t>
      </w:r>
      <w:r w:rsidR="00092D68">
        <w:rPr>
          <w:rFonts w:ascii="Arial" w:hAnsi="Arial" w:cs="Arial"/>
          <w:sz w:val="22"/>
          <w:szCs w:val="22"/>
        </w:rPr>
        <w:t>P</w:t>
      </w:r>
      <w:r w:rsidRPr="0000583B">
        <w:rPr>
          <w:rFonts w:ascii="Arial" w:hAnsi="Arial" w:cs="Arial"/>
          <w:sz w:val="22"/>
          <w:szCs w:val="22"/>
        </w:rPr>
        <w:t>eoples or local communities to include other potential</w:t>
      </w:r>
      <w:r w:rsidR="00AA7458">
        <w:rPr>
          <w:rFonts w:ascii="Arial" w:hAnsi="Arial" w:cs="Arial"/>
          <w:sz w:val="22"/>
          <w:szCs w:val="22"/>
        </w:rPr>
        <w:t xml:space="preserve"> beneficiaries</w:t>
      </w:r>
      <w:r w:rsidRPr="0000583B">
        <w:rPr>
          <w:rFonts w:ascii="Arial" w:hAnsi="Arial" w:cs="Arial"/>
          <w:sz w:val="22"/>
          <w:szCs w:val="22"/>
        </w:rPr>
        <w:t xml:space="preserve">.  </w:t>
      </w:r>
      <w:r w:rsidR="00AA7458">
        <w:rPr>
          <w:rFonts w:ascii="Arial" w:hAnsi="Arial" w:cs="Arial"/>
          <w:sz w:val="22"/>
          <w:szCs w:val="22"/>
        </w:rPr>
        <w:t xml:space="preserve">Therefore, paragraph 2 </w:t>
      </w:r>
      <w:r w:rsidRPr="00CB1EE5">
        <w:rPr>
          <w:rFonts w:ascii="Arial" w:hAnsi="Arial" w:cs="Arial"/>
          <w:sz w:val="22"/>
          <w:szCs w:val="22"/>
        </w:rPr>
        <w:t xml:space="preserve">leaves to national legislation the option of </w:t>
      </w:r>
      <w:r w:rsidR="00E64633">
        <w:rPr>
          <w:rFonts w:ascii="Arial" w:hAnsi="Arial" w:cs="Arial"/>
          <w:sz w:val="22"/>
          <w:szCs w:val="22"/>
        </w:rPr>
        <w:t>recognizing</w:t>
      </w:r>
      <w:r w:rsidRPr="00CB1EE5">
        <w:rPr>
          <w:rFonts w:ascii="Arial" w:hAnsi="Arial" w:cs="Arial"/>
          <w:sz w:val="22"/>
          <w:szCs w:val="22"/>
        </w:rPr>
        <w:t xml:space="preserve"> </w:t>
      </w:r>
      <w:r w:rsidR="00AA7458">
        <w:rPr>
          <w:rFonts w:ascii="Arial" w:hAnsi="Arial" w:cs="Arial"/>
          <w:sz w:val="22"/>
          <w:szCs w:val="22"/>
        </w:rPr>
        <w:t>other beneficiaries</w:t>
      </w:r>
      <w:r w:rsidR="00D11C59">
        <w:rPr>
          <w:rFonts w:ascii="Arial" w:hAnsi="Arial" w:cs="Arial"/>
          <w:sz w:val="22"/>
          <w:szCs w:val="22"/>
        </w:rPr>
        <w:t xml:space="preserve"> of the protection of traditional knowledge and traditional cultural expressions as referred to in this instrument</w:t>
      </w:r>
      <w:r w:rsidRPr="00CB1EE5">
        <w:rPr>
          <w:rFonts w:ascii="Arial" w:hAnsi="Arial" w:cs="Arial"/>
          <w:sz w:val="22"/>
          <w:szCs w:val="22"/>
        </w:rPr>
        <w:t>.</w:t>
      </w:r>
    </w:p>
    <w:p w:rsidR="004A48A4" w:rsidRPr="009C58DE" w:rsidRDefault="004A48A4" w:rsidP="00857F13">
      <w:pPr>
        <w:rPr>
          <w:szCs w:val="22"/>
        </w:rPr>
      </w:pPr>
    </w:p>
    <w:p w:rsidR="00857F13" w:rsidRPr="009C58DE" w:rsidRDefault="00857F13" w:rsidP="00857F13">
      <w:pPr>
        <w:pStyle w:val="ListParagraph"/>
        <w:autoSpaceDE w:val="0"/>
        <w:autoSpaceDN w:val="0"/>
        <w:adjustRightInd w:val="0"/>
        <w:ind w:left="0"/>
        <w:rPr>
          <w:szCs w:val="22"/>
        </w:rPr>
      </w:pPr>
    </w:p>
    <w:p w:rsidR="0078309F" w:rsidRPr="009C58DE" w:rsidRDefault="0078309F" w:rsidP="0078309F">
      <w:pPr>
        <w:tabs>
          <w:tab w:val="num" w:pos="993"/>
        </w:tabs>
        <w:autoSpaceDE w:val="0"/>
        <w:autoSpaceDN w:val="0"/>
        <w:adjustRightInd w:val="0"/>
        <w:rPr>
          <w:szCs w:val="22"/>
        </w:rPr>
      </w:pPr>
      <w:r w:rsidRPr="009C58DE">
        <w:rPr>
          <w:szCs w:val="22"/>
        </w:rPr>
        <w:br w:type="page"/>
      </w:r>
    </w:p>
    <w:p w:rsidR="0078309F" w:rsidRPr="009C58DE" w:rsidRDefault="0078309F" w:rsidP="0078309F">
      <w:pPr>
        <w:tabs>
          <w:tab w:val="num" w:pos="993"/>
        </w:tabs>
        <w:autoSpaceDE w:val="0"/>
        <w:autoSpaceDN w:val="0"/>
        <w:adjustRightInd w:val="0"/>
        <w:jc w:val="center"/>
        <w:rPr>
          <w:szCs w:val="22"/>
        </w:rPr>
      </w:pPr>
      <w:r w:rsidRPr="009C58DE">
        <w:rPr>
          <w:szCs w:val="22"/>
        </w:rPr>
        <w:lastRenderedPageBreak/>
        <w:t>SCOPE OF PROTECTION</w:t>
      </w:r>
    </w:p>
    <w:p w:rsidR="0078309F" w:rsidRPr="009C58DE" w:rsidRDefault="0078309F" w:rsidP="0078309F">
      <w:pPr>
        <w:tabs>
          <w:tab w:val="left" w:pos="550"/>
        </w:tabs>
        <w:autoSpaceDE w:val="0"/>
        <w:autoSpaceDN w:val="0"/>
        <w:adjustRightInd w:val="0"/>
        <w:rPr>
          <w:szCs w:val="22"/>
        </w:rPr>
      </w:pPr>
    </w:p>
    <w:p w:rsidR="0078309F" w:rsidRPr="00AD7FD0" w:rsidRDefault="00DA1206" w:rsidP="0078309F">
      <w:pPr>
        <w:autoSpaceDE w:val="0"/>
        <w:autoSpaceDN w:val="0"/>
        <w:adjustRightInd w:val="0"/>
        <w:rPr>
          <w:szCs w:val="22"/>
        </w:rPr>
      </w:pPr>
      <w:r w:rsidRPr="009C58DE">
        <w:rPr>
          <w:szCs w:val="22"/>
        </w:rPr>
        <w:t>Member States shall</w:t>
      </w:r>
      <w:r w:rsidR="0078309F" w:rsidRPr="009C58DE">
        <w:rPr>
          <w:szCs w:val="22"/>
        </w:rPr>
        <w:t xml:space="preserve"> take legislative, administrative and/or policy measures, as appropriate, in accordance with national law</w:t>
      </w:r>
      <w:r w:rsidR="00F77ED2">
        <w:rPr>
          <w:szCs w:val="22"/>
        </w:rPr>
        <w:t xml:space="preserve"> and </w:t>
      </w:r>
      <w:r w:rsidR="00F77ED2" w:rsidRPr="009C58DE">
        <w:rPr>
          <w:szCs w:val="22"/>
        </w:rPr>
        <w:t xml:space="preserve">with reference to the customary laws and practices of </w:t>
      </w:r>
      <w:r w:rsidR="00220F34">
        <w:rPr>
          <w:szCs w:val="22"/>
        </w:rPr>
        <w:t>I</w:t>
      </w:r>
      <w:r w:rsidR="00F77ED2" w:rsidRPr="009C58DE">
        <w:rPr>
          <w:szCs w:val="22"/>
        </w:rPr>
        <w:t xml:space="preserve">ndigenous </w:t>
      </w:r>
      <w:r w:rsidR="00220F34">
        <w:rPr>
          <w:szCs w:val="22"/>
        </w:rPr>
        <w:t>P</w:t>
      </w:r>
      <w:r w:rsidR="00F77ED2" w:rsidRPr="009C58DE">
        <w:rPr>
          <w:szCs w:val="22"/>
        </w:rPr>
        <w:t xml:space="preserve">eoples and local </w:t>
      </w:r>
      <w:r w:rsidR="00F77ED2" w:rsidRPr="00AD7FD0">
        <w:rPr>
          <w:szCs w:val="22"/>
        </w:rPr>
        <w:t>communities</w:t>
      </w:r>
      <w:r w:rsidR="0078309F" w:rsidRPr="00AD7FD0">
        <w:rPr>
          <w:szCs w:val="22"/>
        </w:rPr>
        <w:t xml:space="preserve">, </w:t>
      </w:r>
      <w:r w:rsidR="00F71270" w:rsidRPr="00AD7FD0">
        <w:rPr>
          <w:szCs w:val="22"/>
        </w:rPr>
        <w:t>and</w:t>
      </w:r>
      <w:r w:rsidR="0078309F" w:rsidRPr="00AD7FD0">
        <w:rPr>
          <w:szCs w:val="22"/>
        </w:rPr>
        <w:t xml:space="preserve"> with the aim of ensuring that:</w:t>
      </w:r>
    </w:p>
    <w:p w:rsidR="0078309F" w:rsidRPr="00AD7FD0" w:rsidRDefault="0078309F" w:rsidP="0078309F">
      <w:pPr>
        <w:autoSpaceDE w:val="0"/>
        <w:autoSpaceDN w:val="0"/>
        <w:adjustRightInd w:val="0"/>
        <w:ind w:left="764"/>
        <w:rPr>
          <w:szCs w:val="22"/>
        </w:rPr>
      </w:pPr>
    </w:p>
    <w:p w:rsidR="0078309F" w:rsidRPr="009C58DE" w:rsidRDefault="00F71270" w:rsidP="0078309F">
      <w:pPr>
        <w:numPr>
          <w:ilvl w:val="0"/>
          <w:numId w:val="14"/>
        </w:numPr>
        <w:autoSpaceDE w:val="0"/>
        <w:autoSpaceDN w:val="0"/>
        <w:adjustRightInd w:val="0"/>
        <w:ind w:left="630" w:hanging="63"/>
        <w:rPr>
          <w:szCs w:val="22"/>
        </w:rPr>
      </w:pPr>
      <w:r w:rsidRPr="00AD7FD0">
        <w:rPr>
          <w:szCs w:val="22"/>
        </w:rPr>
        <w:t>w</w:t>
      </w:r>
      <w:r w:rsidR="0078309F" w:rsidRPr="00AD7FD0">
        <w:rPr>
          <w:szCs w:val="22"/>
        </w:rPr>
        <w:t>here access to traditional knowledge</w:t>
      </w:r>
      <w:r w:rsidR="000307D8" w:rsidRPr="00AD7FD0">
        <w:rPr>
          <w:szCs w:val="22"/>
        </w:rPr>
        <w:t xml:space="preserve"> and traditional cultural expressions</w:t>
      </w:r>
      <w:r w:rsidR="0078309F" w:rsidRPr="00AD7FD0">
        <w:rPr>
          <w:szCs w:val="22"/>
        </w:rPr>
        <w:t xml:space="preserve"> is restricted, including where the traditional knowledge</w:t>
      </w:r>
      <w:r w:rsidR="000307D8" w:rsidRPr="009C58DE">
        <w:rPr>
          <w:szCs w:val="22"/>
        </w:rPr>
        <w:t xml:space="preserve"> and traditional cultural expressions</w:t>
      </w:r>
      <w:r w:rsidR="0078309F" w:rsidRPr="009C58DE">
        <w:rPr>
          <w:szCs w:val="22"/>
        </w:rPr>
        <w:t xml:space="preserve"> is</w:t>
      </w:r>
      <w:r w:rsidR="000307D8" w:rsidRPr="009C58DE">
        <w:rPr>
          <w:szCs w:val="22"/>
        </w:rPr>
        <w:t xml:space="preserve"> or are</w:t>
      </w:r>
      <w:r w:rsidR="0078309F" w:rsidRPr="009C58DE">
        <w:rPr>
          <w:szCs w:val="22"/>
        </w:rPr>
        <w:t xml:space="preserve"> secret or sacred</w:t>
      </w:r>
      <w:r w:rsidR="008766B4">
        <w:rPr>
          <w:szCs w:val="22"/>
        </w:rPr>
        <w:t>,</w:t>
      </w:r>
      <w:r w:rsidR="005861D4">
        <w:rPr>
          <w:szCs w:val="22"/>
        </w:rPr>
        <w:t xml:space="preserve"> beneficiaries have the</w:t>
      </w:r>
      <w:r w:rsidR="00835CB0">
        <w:rPr>
          <w:szCs w:val="22"/>
        </w:rPr>
        <w:t xml:space="preserve"> </w:t>
      </w:r>
      <w:r w:rsidR="007874EB">
        <w:rPr>
          <w:szCs w:val="22"/>
        </w:rPr>
        <w:t xml:space="preserve">following </w:t>
      </w:r>
      <w:r w:rsidR="00835CB0">
        <w:rPr>
          <w:szCs w:val="22"/>
        </w:rPr>
        <w:t xml:space="preserve">collective </w:t>
      </w:r>
      <w:r w:rsidR="007874EB">
        <w:rPr>
          <w:szCs w:val="22"/>
        </w:rPr>
        <w:t xml:space="preserve">exclusive </w:t>
      </w:r>
      <w:r w:rsidR="00835CB0">
        <w:rPr>
          <w:szCs w:val="22"/>
        </w:rPr>
        <w:t>rights</w:t>
      </w:r>
      <w:r w:rsidR="00DF5330">
        <w:rPr>
          <w:szCs w:val="22"/>
        </w:rPr>
        <w:t xml:space="preserve"> to</w:t>
      </w:r>
      <w:r w:rsidR="005861D4">
        <w:rPr>
          <w:szCs w:val="22"/>
        </w:rPr>
        <w:t>:</w:t>
      </w:r>
      <w:r w:rsidR="0078309F" w:rsidRPr="009C58DE">
        <w:rPr>
          <w:szCs w:val="22"/>
        </w:rPr>
        <w:t xml:space="preserve"> </w:t>
      </w:r>
    </w:p>
    <w:p w:rsidR="0078309F" w:rsidRPr="009C58DE" w:rsidRDefault="0078309F" w:rsidP="0078309F">
      <w:pPr>
        <w:tabs>
          <w:tab w:val="left" w:pos="550"/>
        </w:tabs>
        <w:autoSpaceDE w:val="0"/>
        <w:autoSpaceDN w:val="0"/>
        <w:adjustRightInd w:val="0"/>
        <w:ind w:left="404"/>
        <w:rPr>
          <w:szCs w:val="22"/>
        </w:rPr>
      </w:pPr>
    </w:p>
    <w:p w:rsidR="00092D68" w:rsidRDefault="0078309F" w:rsidP="0078309F">
      <w:pPr>
        <w:numPr>
          <w:ilvl w:val="0"/>
          <w:numId w:val="13"/>
        </w:numPr>
        <w:autoSpaceDE w:val="0"/>
        <w:autoSpaceDN w:val="0"/>
        <w:adjustRightInd w:val="0"/>
        <w:ind w:firstLine="180"/>
        <w:rPr>
          <w:szCs w:val="22"/>
        </w:rPr>
      </w:pPr>
      <w:r w:rsidRPr="009C58DE">
        <w:rPr>
          <w:szCs w:val="22"/>
        </w:rPr>
        <w:t>maintain, control, use, develop, authorize or prevent access to and use/utilization of their traditional knowledge</w:t>
      </w:r>
      <w:r w:rsidR="000307D8" w:rsidRPr="009C58DE">
        <w:rPr>
          <w:szCs w:val="22"/>
        </w:rPr>
        <w:t xml:space="preserve"> and traditional cultural </w:t>
      </w:r>
      <w:r w:rsidR="005861D4" w:rsidRPr="009C58DE">
        <w:rPr>
          <w:szCs w:val="22"/>
        </w:rPr>
        <w:t>expressions;</w:t>
      </w:r>
      <w:r w:rsidRPr="009C58DE">
        <w:rPr>
          <w:szCs w:val="22"/>
        </w:rPr>
        <w:t xml:space="preserve"> </w:t>
      </w:r>
    </w:p>
    <w:p w:rsidR="00092D68" w:rsidRDefault="00092D68" w:rsidP="00092D68">
      <w:pPr>
        <w:autoSpaceDE w:val="0"/>
        <w:autoSpaceDN w:val="0"/>
        <w:adjustRightInd w:val="0"/>
        <w:ind w:left="1260"/>
        <w:rPr>
          <w:szCs w:val="22"/>
        </w:rPr>
      </w:pPr>
    </w:p>
    <w:p w:rsidR="0078309F" w:rsidRPr="009C58DE" w:rsidRDefault="0078309F" w:rsidP="0078309F">
      <w:pPr>
        <w:numPr>
          <w:ilvl w:val="0"/>
          <w:numId w:val="13"/>
        </w:numPr>
        <w:autoSpaceDE w:val="0"/>
        <w:autoSpaceDN w:val="0"/>
        <w:adjustRightInd w:val="0"/>
        <w:ind w:firstLine="180"/>
        <w:rPr>
          <w:szCs w:val="22"/>
        </w:rPr>
      </w:pPr>
      <w:r w:rsidRPr="009C58DE">
        <w:rPr>
          <w:szCs w:val="22"/>
        </w:rPr>
        <w:t xml:space="preserve">receive a fair and equitable share of benefits arising from </w:t>
      </w:r>
      <w:r w:rsidR="00CB0D66">
        <w:rPr>
          <w:szCs w:val="22"/>
        </w:rPr>
        <w:t>their</w:t>
      </w:r>
      <w:r w:rsidRPr="009C58DE">
        <w:rPr>
          <w:szCs w:val="22"/>
        </w:rPr>
        <w:t xml:space="preserve"> use</w:t>
      </w:r>
      <w:r w:rsidR="005861D4">
        <w:rPr>
          <w:szCs w:val="22"/>
        </w:rPr>
        <w:t>; and</w:t>
      </w:r>
    </w:p>
    <w:p w:rsidR="0078309F" w:rsidRPr="009C58DE" w:rsidRDefault="0078309F" w:rsidP="0078309F">
      <w:pPr>
        <w:autoSpaceDE w:val="0"/>
        <w:autoSpaceDN w:val="0"/>
        <w:adjustRightInd w:val="0"/>
        <w:ind w:left="1380" w:hanging="567"/>
        <w:rPr>
          <w:szCs w:val="22"/>
        </w:rPr>
      </w:pPr>
    </w:p>
    <w:p w:rsidR="0078309F" w:rsidRPr="009C58DE" w:rsidRDefault="00092D68" w:rsidP="0078309F">
      <w:pPr>
        <w:numPr>
          <w:ilvl w:val="0"/>
          <w:numId w:val="13"/>
        </w:numPr>
        <w:autoSpaceDE w:val="0"/>
        <w:autoSpaceDN w:val="0"/>
        <w:adjustRightInd w:val="0"/>
        <w:ind w:firstLine="180"/>
        <w:rPr>
          <w:szCs w:val="22"/>
        </w:rPr>
      </w:pPr>
      <w:r>
        <w:rPr>
          <w:szCs w:val="22"/>
        </w:rPr>
        <w:t xml:space="preserve">be </w:t>
      </w:r>
      <w:r w:rsidR="0078309F" w:rsidRPr="009C58DE">
        <w:rPr>
          <w:szCs w:val="22"/>
        </w:rPr>
        <w:t>attribut</w:t>
      </w:r>
      <w:r w:rsidR="00DF5330">
        <w:rPr>
          <w:szCs w:val="22"/>
        </w:rPr>
        <w:t>e</w:t>
      </w:r>
      <w:r>
        <w:rPr>
          <w:szCs w:val="22"/>
        </w:rPr>
        <w:t>d</w:t>
      </w:r>
      <w:r w:rsidR="0078309F" w:rsidRPr="009C58DE">
        <w:rPr>
          <w:szCs w:val="22"/>
        </w:rPr>
        <w:t xml:space="preserve"> and use their traditional knowledge</w:t>
      </w:r>
      <w:r w:rsidR="000307D8" w:rsidRPr="009C58DE">
        <w:rPr>
          <w:szCs w:val="22"/>
        </w:rPr>
        <w:t xml:space="preserve"> and traditional cultural expressions</w:t>
      </w:r>
      <w:r w:rsidR="0078309F" w:rsidRPr="009C58DE">
        <w:rPr>
          <w:szCs w:val="22"/>
        </w:rPr>
        <w:t xml:space="preserve"> in a manner that respects the integrity of such traditional knowledge</w:t>
      </w:r>
      <w:r w:rsidR="000307D8" w:rsidRPr="009C58DE">
        <w:rPr>
          <w:szCs w:val="22"/>
        </w:rPr>
        <w:t xml:space="preserve"> and traditional cultural expressions</w:t>
      </w:r>
      <w:r w:rsidR="0078309F" w:rsidRPr="009C58DE">
        <w:rPr>
          <w:szCs w:val="22"/>
        </w:rPr>
        <w:t>.</w:t>
      </w:r>
    </w:p>
    <w:p w:rsidR="0078309F" w:rsidRPr="009C58DE" w:rsidRDefault="0078309F" w:rsidP="0078309F">
      <w:pPr>
        <w:tabs>
          <w:tab w:val="left" w:pos="550"/>
        </w:tabs>
        <w:autoSpaceDE w:val="0"/>
        <w:autoSpaceDN w:val="0"/>
        <w:adjustRightInd w:val="0"/>
        <w:ind w:left="404"/>
        <w:contextualSpacing/>
        <w:rPr>
          <w:szCs w:val="22"/>
        </w:rPr>
      </w:pPr>
    </w:p>
    <w:p w:rsidR="0078309F" w:rsidRPr="009C58DE" w:rsidRDefault="0078309F" w:rsidP="0078309F">
      <w:pPr>
        <w:numPr>
          <w:ilvl w:val="0"/>
          <w:numId w:val="14"/>
        </w:numPr>
        <w:autoSpaceDE w:val="0"/>
        <w:autoSpaceDN w:val="0"/>
        <w:adjustRightInd w:val="0"/>
        <w:ind w:left="540" w:firstLine="27"/>
        <w:rPr>
          <w:szCs w:val="22"/>
        </w:rPr>
      </w:pPr>
      <w:r w:rsidRPr="009C58DE">
        <w:rPr>
          <w:szCs w:val="22"/>
        </w:rPr>
        <w:t>Where the traditional knowledge</w:t>
      </w:r>
      <w:r w:rsidR="000307D8" w:rsidRPr="009C58DE">
        <w:rPr>
          <w:szCs w:val="22"/>
        </w:rPr>
        <w:t xml:space="preserve"> or traditional cultural expression</w:t>
      </w:r>
      <w:r w:rsidRPr="009C58DE">
        <w:rPr>
          <w:szCs w:val="22"/>
        </w:rPr>
        <w:t xml:space="preserve"> is </w:t>
      </w:r>
      <w:r w:rsidR="00A55EA1">
        <w:rPr>
          <w:szCs w:val="22"/>
        </w:rPr>
        <w:t xml:space="preserve">not </w:t>
      </w:r>
      <w:r w:rsidR="001C362E">
        <w:rPr>
          <w:szCs w:val="22"/>
        </w:rPr>
        <w:t>restricted as described in paragraph (a)</w:t>
      </w:r>
      <w:r w:rsidR="008766B4">
        <w:rPr>
          <w:szCs w:val="22"/>
        </w:rPr>
        <w:t>,</w:t>
      </w:r>
      <w:r w:rsidR="005861D4">
        <w:rPr>
          <w:szCs w:val="22"/>
        </w:rPr>
        <w:t xml:space="preserve"> the beneficiaries </w:t>
      </w:r>
      <w:r w:rsidR="00F77ED2">
        <w:rPr>
          <w:szCs w:val="22"/>
        </w:rPr>
        <w:t>have the collective rights</w:t>
      </w:r>
      <w:r w:rsidR="005861D4">
        <w:rPr>
          <w:szCs w:val="22"/>
        </w:rPr>
        <w:t xml:space="preserve"> to</w:t>
      </w:r>
      <w:r w:rsidRPr="009C58DE">
        <w:rPr>
          <w:szCs w:val="22"/>
        </w:rPr>
        <w:t>:</w:t>
      </w:r>
    </w:p>
    <w:p w:rsidR="0078309F" w:rsidRPr="009C58DE" w:rsidRDefault="0078309F" w:rsidP="0078309F">
      <w:pPr>
        <w:autoSpaceDE w:val="0"/>
        <w:autoSpaceDN w:val="0"/>
        <w:adjustRightInd w:val="0"/>
        <w:ind w:left="764"/>
        <w:rPr>
          <w:szCs w:val="22"/>
        </w:rPr>
      </w:pPr>
    </w:p>
    <w:p w:rsidR="0078309F" w:rsidRPr="009C58DE" w:rsidRDefault="0078309F" w:rsidP="0078309F">
      <w:pPr>
        <w:numPr>
          <w:ilvl w:val="0"/>
          <w:numId w:val="8"/>
        </w:numPr>
        <w:autoSpaceDE w:val="0"/>
        <w:autoSpaceDN w:val="0"/>
        <w:adjustRightInd w:val="0"/>
        <w:ind w:left="1080" w:firstLine="180"/>
        <w:rPr>
          <w:szCs w:val="22"/>
        </w:rPr>
      </w:pPr>
      <w:r w:rsidRPr="009C58DE">
        <w:rPr>
          <w:szCs w:val="22"/>
        </w:rPr>
        <w:t xml:space="preserve">receive fair and equitable </w:t>
      </w:r>
      <w:r w:rsidR="0070581B">
        <w:rPr>
          <w:szCs w:val="22"/>
        </w:rPr>
        <w:t xml:space="preserve">benefit-sharing </w:t>
      </w:r>
      <w:r w:rsidR="007874EB">
        <w:rPr>
          <w:szCs w:val="22"/>
        </w:rPr>
        <w:t>for</w:t>
      </w:r>
      <w:r w:rsidRPr="009C58DE">
        <w:rPr>
          <w:szCs w:val="22"/>
        </w:rPr>
        <w:t xml:space="preserve"> its use; </w:t>
      </w:r>
      <w:r w:rsidR="000307D8" w:rsidRPr="009C58DE">
        <w:rPr>
          <w:szCs w:val="22"/>
        </w:rPr>
        <w:t xml:space="preserve"> </w:t>
      </w:r>
      <w:r w:rsidRPr="009C58DE">
        <w:rPr>
          <w:szCs w:val="22"/>
        </w:rPr>
        <w:t xml:space="preserve">and </w:t>
      </w:r>
    </w:p>
    <w:p w:rsidR="0078309F" w:rsidRPr="009C58DE" w:rsidRDefault="0078309F" w:rsidP="0078309F">
      <w:pPr>
        <w:autoSpaceDE w:val="0"/>
        <w:autoSpaceDN w:val="0"/>
        <w:adjustRightInd w:val="0"/>
        <w:ind w:left="1538" w:hanging="567"/>
        <w:rPr>
          <w:szCs w:val="22"/>
        </w:rPr>
      </w:pPr>
    </w:p>
    <w:p w:rsidR="0078309F" w:rsidRPr="009C58DE" w:rsidRDefault="00092D68" w:rsidP="0078309F">
      <w:pPr>
        <w:numPr>
          <w:ilvl w:val="0"/>
          <w:numId w:val="8"/>
        </w:numPr>
        <w:autoSpaceDE w:val="0"/>
        <w:autoSpaceDN w:val="0"/>
        <w:adjustRightInd w:val="0"/>
        <w:ind w:left="1080" w:firstLine="180"/>
        <w:rPr>
          <w:rFonts w:eastAsia="Times New Roman"/>
          <w:szCs w:val="22"/>
          <w:lang w:val="sv-SE" w:eastAsia="en-US"/>
        </w:rPr>
      </w:pPr>
      <w:r>
        <w:rPr>
          <w:szCs w:val="22"/>
        </w:rPr>
        <w:t xml:space="preserve">be </w:t>
      </w:r>
      <w:r w:rsidR="0078309F" w:rsidRPr="009C58DE">
        <w:rPr>
          <w:szCs w:val="22"/>
        </w:rPr>
        <w:t>attribut</w:t>
      </w:r>
      <w:r w:rsidR="00F77ED2">
        <w:rPr>
          <w:szCs w:val="22"/>
        </w:rPr>
        <w:t>e</w:t>
      </w:r>
      <w:r>
        <w:rPr>
          <w:szCs w:val="22"/>
        </w:rPr>
        <w:t>d</w:t>
      </w:r>
      <w:r w:rsidR="0078309F" w:rsidRPr="009C58DE">
        <w:rPr>
          <w:szCs w:val="22"/>
        </w:rPr>
        <w:t xml:space="preserve"> and use their traditional knowledge</w:t>
      </w:r>
      <w:r w:rsidR="000307D8" w:rsidRPr="009C58DE">
        <w:rPr>
          <w:szCs w:val="22"/>
        </w:rPr>
        <w:t xml:space="preserve"> and traditional cultural expressions</w:t>
      </w:r>
      <w:r w:rsidR="0078309F" w:rsidRPr="009C58DE">
        <w:rPr>
          <w:szCs w:val="22"/>
        </w:rPr>
        <w:t xml:space="preserve"> in a manner that respects the integrity of such traditional knowledge</w:t>
      </w:r>
      <w:r w:rsidR="000307D8" w:rsidRPr="009C58DE">
        <w:rPr>
          <w:szCs w:val="22"/>
        </w:rPr>
        <w:t xml:space="preserve"> and traditional cultural expressions</w:t>
      </w:r>
      <w:r w:rsidR="0078309F" w:rsidRPr="009C58DE">
        <w:rPr>
          <w:szCs w:val="22"/>
        </w:rPr>
        <w:t>.</w:t>
      </w:r>
    </w:p>
    <w:p w:rsidR="0078309F" w:rsidRPr="009C58DE" w:rsidRDefault="0078309F" w:rsidP="0078309F">
      <w:pPr>
        <w:autoSpaceDE w:val="0"/>
        <w:autoSpaceDN w:val="0"/>
        <w:adjustRightInd w:val="0"/>
        <w:ind w:left="1134"/>
        <w:rPr>
          <w:szCs w:val="22"/>
        </w:rPr>
      </w:pPr>
    </w:p>
    <w:p w:rsidR="005438A0" w:rsidRDefault="005438A0" w:rsidP="0078309F">
      <w:pPr>
        <w:autoSpaceDE w:val="0"/>
        <w:autoSpaceDN w:val="0"/>
        <w:adjustRightInd w:val="0"/>
        <w:rPr>
          <w:szCs w:val="22"/>
        </w:rPr>
      </w:pPr>
    </w:p>
    <w:p w:rsidR="005438A0" w:rsidRDefault="005438A0">
      <w:pPr>
        <w:rPr>
          <w:szCs w:val="22"/>
        </w:rPr>
      </w:pPr>
      <w:r>
        <w:rPr>
          <w:szCs w:val="22"/>
        </w:rPr>
        <w:br w:type="page"/>
      </w:r>
    </w:p>
    <w:p w:rsidR="005438A0" w:rsidRDefault="005438A0" w:rsidP="005438A0">
      <w:pPr>
        <w:rPr>
          <w:szCs w:val="22"/>
        </w:rPr>
      </w:pPr>
      <w:r>
        <w:rPr>
          <w:szCs w:val="22"/>
        </w:rPr>
        <w:lastRenderedPageBreak/>
        <w:t>Explanatory notes:</w:t>
      </w:r>
    </w:p>
    <w:p w:rsidR="005438A0" w:rsidRDefault="005438A0" w:rsidP="005438A0">
      <w:pPr>
        <w:rPr>
          <w:szCs w:val="22"/>
        </w:rPr>
      </w:pPr>
    </w:p>
    <w:p w:rsidR="005438A0" w:rsidRDefault="005438A0" w:rsidP="0078309F">
      <w:pPr>
        <w:autoSpaceDE w:val="0"/>
        <w:autoSpaceDN w:val="0"/>
        <w:adjustRightInd w:val="0"/>
        <w:rPr>
          <w:szCs w:val="22"/>
        </w:rPr>
      </w:pPr>
      <w:r w:rsidRPr="0000583B">
        <w:rPr>
          <w:szCs w:val="22"/>
        </w:rPr>
        <w:t xml:space="preserve">IGC 27 introduced </w:t>
      </w:r>
      <w:r w:rsidR="008766B4">
        <w:rPr>
          <w:szCs w:val="22"/>
        </w:rPr>
        <w:t xml:space="preserve">for </w:t>
      </w:r>
      <w:r w:rsidRPr="0000583B">
        <w:rPr>
          <w:szCs w:val="22"/>
        </w:rPr>
        <w:t>discussion</w:t>
      </w:r>
      <w:r w:rsidR="00E1597C">
        <w:rPr>
          <w:szCs w:val="22"/>
        </w:rPr>
        <w:t xml:space="preserve"> </w:t>
      </w:r>
      <w:r w:rsidR="002704C3">
        <w:rPr>
          <w:szCs w:val="22"/>
        </w:rPr>
        <w:t>a tiered approach, where</w:t>
      </w:r>
      <w:r w:rsidRPr="0000583B">
        <w:rPr>
          <w:szCs w:val="22"/>
        </w:rPr>
        <w:t xml:space="preserve"> different kinds or levels of rights or measures would be available to rights holders depending on the nature and characteristics of the subject matter and based on h</w:t>
      </w:r>
      <w:r w:rsidR="009012AE">
        <w:rPr>
          <w:szCs w:val="22"/>
        </w:rPr>
        <w:t>ow, by whom, why and where they are</w:t>
      </w:r>
      <w:r w:rsidRPr="0000583B">
        <w:rPr>
          <w:szCs w:val="22"/>
        </w:rPr>
        <w:t xml:space="preserve"> used.</w:t>
      </w:r>
    </w:p>
    <w:p w:rsidR="005438A0" w:rsidRDefault="005438A0" w:rsidP="0078309F">
      <w:pPr>
        <w:autoSpaceDE w:val="0"/>
        <w:autoSpaceDN w:val="0"/>
        <w:adjustRightInd w:val="0"/>
        <w:rPr>
          <w:szCs w:val="22"/>
        </w:rPr>
      </w:pPr>
    </w:p>
    <w:p w:rsidR="005438A0" w:rsidRDefault="005438A0" w:rsidP="0078309F">
      <w:pPr>
        <w:autoSpaceDE w:val="0"/>
        <w:autoSpaceDN w:val="0"/>
        <w:adjustRightInd w:val="0"/>
      </w:pPr>
      <w:r w:rsidRPr="00C22875">
        <w:t xml:space="preserve">The tiered approach proposes differentiated protection for </w:t>
      </w:r>
      <w:r w:rsidR="00106435">
        <w:t>the restricted</w:t>
      </w:r>
      <w:r w:rsidRPr="00C22875">
        <w:t xml:space="preserve"> TK or TCEs, </w:t>
      </w:r>
      <w:r w:rsidR="00106435">
        <w:t>including secret or sacred TK or TCEs, and</w:t>
      </w:r>
      <w:r w:rsidR="00106435" w:rsidRPr="00106435">
        <w:rPr>
          <w:szCs w:val="22"/>
        </w:rPr>
        <w:t xml:space="preserve"> </w:t>
      </w:r>
      <w:r w:rsidR="00106435" w:rsidRPr="009C58DE">
        <w:rPr>
          <w:szCs w:val="22"/>
        </w:rPr>
        <w:t xml:space="preserve">the </w:t>
      </w:r>
      <w:r w:rsidR="00106435">
        <w:rPr>
          <w:szCs w:val="22"/>
        </w:rPr>
        <w:t>TK or TCE which</w:t>
      </w:r>
      <w:r w:rsidR="00106435" w:rsidRPr="009C58DE">
        <w:rPr>
          <w:szCs w:val="22"/>
        </w:rPr>
        <w:t xml:space="preserve"> is no longer </w:t>
      </w:r>
      <w:r w:rsidR="0070581B">
        <w:rPr>
          <w:szCs w:val="22"/>
        </w:rPr>
        <w:t>restricted</w:t>
      </w:r>
      <w:r w:rsidR="00A55EA1">
        <w:rPr>
          <w:szCs w:val="22"/>
        </w:rPr>
        <w:t>.</w:t>
      </w:r>
    </w:p>
    <w:p w:rsidR="00106435" w:rsidRDefault="00106435" w:rsidP="0078309F">
      <w:pPr>
        <w:autoSpaceDE w:val="0"/>
        <w:autoSpaceDN w:val="0"/>
        <w:adjustRightInd w:val="0"/>
      </w:pPr>
    </w:p>
    <w:p w:rsidR="00106435" w:rsidRDefault="00106435" w:rsidP="0078309F">
      <w:pPr>
        <w:autoSpaceDE w:val="0"/>
        <w:autoSpaceDN w:val="0"/>
        <w:adjustRightInd w:val="0"/>
        <w:rPr>
          <w:szCs w:val="22"/>
        </w:rPr>
      </w:pPr>
      <w:r w:rsidRPr="0000583B">
        <w:rPr>
          <w:szCs w:val="22"/>
        </w:rPr>
        <w:t xml:space="preserve">I </w:t>
      </w:r>
      <w:r>
        <w:rPr>
          <w:szCs w:val="22"/>
        </w:rPr>
        <w:t>believe that the tiered approach balance</w:t>
      </w:r>
      <w:r w:rsidR="002704C3">
        <w:rPr>
          <w:szCs w:val="22"/>
        </w:rPr>
        <w:t>s</w:t>
      </w:r>
      <w:r>
        <w:rPr>
          <w:szCs w:val="22"/>
        </w:rPr>
        <w:t xml:space="preserve"> </w:t>
      </w:r>
      <w:r w:rsidR="00A45AF6" w:rsidRPr="00A45AF6">
        <w:rPr>
          <w:szCs w:val="22"/>
        </w:rPr>
        <w:t>different</w:t>
      </w:r>
      <w:r w:rsidRPr="00A45AF6">
        <w:rPr>
          <w:szCs w:val="22"/>
        </w:rPr>
        <w:t xml:space="preserve"> interests </w:t>
      </w:r>
      <w:r w:rsidR="00762097" w:rsidRPr="00A45AF6">
        <w:rPr>
          <w:szCs w:val="22"/>
        </w:rPr>
        <w:t>and</w:t>
      </w:r>
      <w:r w:rsidRPr="00A45AF6">
        <w:rPr>
          <w:szCs w:val="22"/>
        </w:rPr>
        <w:t xml:space="preserve"> trade-offs,</w:t>
      </w:r>
      <w:r>
        <w:rPr>
          <w:szCs w:val="22"/>
        </w:rPr>
        <w:t xml:space="preserve"> </w:t>
      </w:r>
      <w:r w:rsidR="009012AE">
        <w:rPr>
          <w:szCs w:val="22"/>
        </w:rPr>
        <w:t>and could</w:t>
      </w:r>
      <w:r w:rsidR="00427502" w:rsidRPr="00427502">
        <w:rPr>
          <w:szCs w:val="22"/>
        </w:rPr>
        <w:t xml:space="preserve"> unblock</w:t>
      </w:r>
      <w:r w:rsidR="00427502">
        <w:rPr>
          <w:szCs w:val="22"/>
        </w:rPr>
        <w:t xml:space="preserve"> </w:t>
      </w:r>
      <w:r w:rsidRPr="0000583B">
        <w:rPr>
          <w:szCs w:val="22"/>
        </w:rPr>
        <w:t xml:space="preserve">some of the most difficult issues, especially those concerning the nature of the claimed </w:t>
      </w:r>
      <w:r>
        <w:rPr>
          <w:szCs w:val="22"/>
        </w:rPr>
        <w:t>TK/</w:t>
      </w:r>
      <w:r w:rsidRPr="0000583B">
        <w:rPr>
          <w:szCs w:val="22"/>
        </w:rPr>
        <w:t>TCEs and current access t</w:t>
      </w:r>
      <w:r w:rsidR="006436F0">
        <w:rPr>
          <w:szCs w:val="22"/>
        </w:rPr>
        <w:t xml:space="preserve">o them. </w:t>
      </w:r>
    </w:p>
    <w:p w:rsidR="0070581B" w:rsidRDefault="0070581B" w:rsidP="0078309F">
      <w:pPr>
        <w:autoSpaceDE w:val="0"/>
        <w:autoSpaceDN w:val="0"/>
        <w:adjustRightInd w:val="0"/>
        <w:rPr>
          <w:szCs w:val="22"/>
        </w:rPr>
      </w:pPr>
    </w:p>
    <w:p w:rsidR="0070581B" w:rsidRDefault="0070581B" w:rsidP="0078309F">
      <w:pPr>
        <w:autoSpaceDE w:val="0"/>
        <w:autoSpaceDN w:val="0"/>
        <w:adjustRightInd w:val="0"/>
        <w:rPr>
          <w:szCs w:val="22"/>
        </w:rPr>
      </w:pPr>
      <w:r>
        <w:rPr>
          <w:szCs w:val="22"/>
        </w:rPr>
        <w:t xml:space="preserve">I understand that there are concerns on right-based approach and measure-based approach.  </w:t>
      </w:r>
      <w:r w:rsidR="000037EB">
        <w:rPr>
          <w:szCs w:val="22"/>
        </w:rPr>
        <w:t>WIPO/GRTKF/IC/4</w:t>
      </w:r>
      <w:r w:rsidR="002669B2">
        <w:rPr>
          <w:szCs w:val="22"/>
        </w:rPr>
        <w:t>7</w:t>
      </w:r>
      <w:r w:rsidR="000037EB">
        <w:rPr>
          <w:szCs w:val="22"/>
        </w:rPr>
        <w:t>/1</w:t>
      </w:r>
      <w:r w:rsidR="002669B2">
        <w:rPr>
          <w:szCs w:val="22"/>
        </w:rPr>
        <w:t>2</w:t>
      </w:r>
      <w:r w:rsidR="000037EB">
        <w:rPr>
          <w:szCs w:val="22"/>
        </w:rPr>
        <w:t xml:space="preserve"> has further explain</w:t>
      </w:r>
      <w:r w:rsidR="00D201E0">
        <w:rPr>
          <w:szCs w:val="22"/>
        </w:rPr>
        <w:t>ed</w:t>
      </w:r>
      <w:r w:rsidR="000037EB">
        <w:rPr>
          <w:szCs w:val="22"/>
        </w:rPr>
        <w:t xml:space="preserve"> these two approaches. </w:t>
      </w:r>
    </w:p>
    <w:p w:rsidR="0078309F" w:rsidRPr="009C58DE" w:rsidRDefault="0078309F" w:rsidP="0078309F">
      <w:pPr>
        <w:autoSpaceDE w:val="0"/>
        <w:autoSpaceDN w:val="0"/>
        <w:adjustRightInd w:val="0"/>
        <w:rPr>
          <w:szCs w:val="22"/>
        </w:rPr>
      </w:pPr>
      <w:r w:rsidRPr="009C58DE">
        <w:rPr>
          <w:szCs w:val="22"/>
        </w:rPr>
        <w:br w:type="page"/>
      </w:r>
    </w:p>
    <w:p w:rsidR="008B322C" w:rsidRPr="009C58DE" w:rsidRDefault="008B322C" w:rsidP="008B322C">
      <w:pPr>
        <w:tabs>
          <w:tab w:val="num" w:pos="993"/>
        </w:tabs>
        <w:autoSpaceDE w:val="0"/>
        <w:autoSpaceDN w:val="0"/>
        <w:adjustRightInd w:val="0"/>
        <w:jc w:val="center"/>
        <w:rPr>
          <w:szCs w:val="22"/>
        </w:rPr>
      </w:pPr>
      <w:r w:rsidRPr="009C58DE">
        <w:rPr>
          <w:szCs w:val="22"/>
        </w:rPr>
        <w:lastRenderedPageBreak/>
        <w:t>EXCEPTIONS AND LIMITATIONS</w:t>
      </w:r>
    </w:p>
    <w:p w:rsidR="008B322C" w:rsidRDefault="008B322C" w:rsidP="008B322C">
      <w:pPr>
        <w:autoSpaceDE w:val="0"/>
        <w:autoSpaceDN w:val="0"/>
        <w:adjustRightInd w:val="0"/>
        <w:rPr>
          <w:szCs w:val="22"/>
        </w:rPr>
      </w:pPr>
    </w:p>
    <w:p w:rsidR="00BA2366" w:rsidRDefault="00BA2366" w:rsidP="008B322C">
      <w:pPr>
        <w:autoSpaceDE w:val="0"/>
        <w:autoSpaceDN w:val="0"/>
        <w:adjustRightInd w:val="0"/>
      </w:pPr>
      <w:r>
        <w:t>In complying with the obligations set forth in this instrument, Member States may in special cases, adopt justifiable exceptions and limitations necessary to protect the public interest, where applicable, provided such exceptions and limitations shall not unreasonably conflict with the rights of beneficiaries nor unduly prejudice the implementation of this instrument.</w:t>
      </w:r>
    </w:p>
    <w:p w:rsidR="00E87865" w:rsidRDefault="00E87865" w:rsidP="008B322C">
      <w:pPr>
        <w:autoSpaceDE w:val="0"/>
        <w:autoSpaceDN w:val="0"/>
        <w:adjustRightInd w:val="0"/>
        <w:rPr>
          <w:szCs w:val="22"/>
        </w:rPr>
      </w:pPr>
    </w:p>
    <w:p w:rsidR="00D554A8" w:rsidRDefault="00D554A8">
      <w:pPr>
        <w:rPr>
          <w:szCs w:val="22"/>
        </w:rPr>
      </w:pPr>
      <w:r>
        <w:rPr>
          <w:szCs w:val="22"/>
        </w:rPr>
        <w:br w:type="page"/>
      </w:r>
    </w:p>
    <w:p w:rsidR="00D554A8" w:rsidRDefault="00D554A8" w:rsidP="00D554A8">
      <w:pPr>
        <w:rPr>
          <w:szCs w:val="22"/>
        </w:rPr>
      </w:pPr>
      <w:r>
        <w:rPr>
          <w:szCs w:val="22"/>
        </w:rPr>
        <w:lastRenderedPageBreak/>
        <w:t>Explanatory notes:</w:t>
      </w:r>
    </w:p>
    <w:p w:rsidR="00D554A8" w:rsidRDefault="00D554A8" w:rsidP="008B322C">
      <w:pPr>
        <w:autoSpaceDE w:val="0"/>
        <w:autoSpaceDN w:val="0"/>
        <w:adjustRightInd w:val="0"/>
        <w:rPr>
          <w:szCs w:val="22"/>
        </w:rPr>
      </w:pPr>
    </w:p>
    <w:p w:rsidR="00CA6A32" w:rsidRDefault="00CA6A32" w:rsidP="00CA6A32">
      <w:pPr>
        <w:autoSpaceDE w:val="0"/>
        <w:autoSpaceDN w:val="0"/>
        <w:adjustRightInd w:val="0"/>
        <w:rPr>
          <w:szCs w:val="22"/>
        </w:rPr>
      </w:pPr>
      <w:r>
        <w:rPr>
          <w:szCs w:val="22"/>
        </w:rPr>
        <w:t>I believe that Member States should have</w:t>
      </w:r>
      <w:r w:rsidRPr="00CA6A32">
        <w:rPr>
          <w:szCs w:val="22"/>
        </w:rPr>
        <w:t xml:space="preserve"> flexibilit</w:t>
      </w:r>
      <w:r>
        <w:rPr>
          <w:szCs w:val="22"/>
        </w:rPr>
        <w:t>y at the national level to</w:t>
      </w:r>
      <w:r w:rsidRPr="00CA6A32">
        <w:rPr>
          <w:szCs w:val="22"/>
        </w:rPr>
        <w:t xml:space="preserve"> regulate</w:t>
      </w:r>
      <w:r>
        <w:rPr>
          <w:szCs w:val="22"/>
        </w:rPr>
        <w:t xml:space="preserve"> exceptions and limitations, though a framework should be provided</w:t>
      </w:r>
      <w:r w:rsidR="007F7AD0">
        <w:rPr>
          <w:szCs w:val="22"/>
        </w:rPr>
        <w:t xml:space="preserve"> at</w:t>
      </w:r>
      <w:r w:rsidR="009012AE">
        <w:rPr>
          <w:szCs w:val="22"/>
        </w:rPr>
        <w:t xml:space="preserve"> the</w:t>
      </w:r>
      <w:r w:rsidR="007F7AD0">
        <w:rPr>
          <w:szCs w:val="22"/>
        </w:rPr>
        <w:t xml:space="preserve"> international level</w:t>
      </w:r>
      <w:r>
        <w:rPr>
          <w:szCs w:val="22"/>
        </w:rPr>
        <w:t xml:space="preserve">. </w:t>
      </w:r>
    </w:p>
    <w:p w:rsidR="00CA6A32" w:rsidRPr="00CA6A32" w:rsidRDefault="00CA6A32" w:rsidP="00CA6A32">
      <w:pPr>
        <w:autoSpaceDE w:val="0"/>
        <w:autoSpaceDN w:val="0"/>
        <w:adjustRightInd w:val="0"/>
        <w:rPr>
          <w:szCs w:val="22"/>
        </w:rPr>
      </w:pPr>
    </w:p>
    <w:p w:rsidR="00046ADA" w:rsidRPr="009C58DE" w:rsidRDefault="00046ADA" w:rsidP="008B322C">
      <w:pPr>
        <w:autoSpaceDE w:val="0"/>
        <w:autoSpaceDN w:val="0"/>
        <w:adjustRightInd w:val="0"/>
        <w:rPr>
          <w:szCs w:val="22"/>
        </w:rPr>
      </w:pPr>
    </w:p>
    <w:p w:rsidR="008B322C" w:rsidRPr="009C58DE" w:rsidRDefault="008B322C" w:rsidP="008B322C">
      <w:pPr>
        <w:tabs>
          <w:tab w:val="num" w:pos="993"/>
        </w:tabs>
        <w:autoSpaceDE w:val="0"/>
        <w:autoSpaceDN w:val="0"/>
        <w:adjustRightInd w:val="0"/>
        <w:jc w:val="center"/>
        <w:rPr>
          <w:i/>
          <w:szCs w:val="22"/>
        </w:rPr>
      </w:pPr>
      <w:r w:rsidRPr="009C58DE">
        <w:rPr>
          <w:i/>
          <w:szCs w:val="22"/>
        </w:rPr>
        <w:br w:type="page"/>
      </w:r>
    </w:p>
    <w:p w:rsidR="0078309F" w:rsidRPr="009C58DE" w:rsidRDefault="000307D8" w:rsidP="0078309F">
      <w:pPr>
        <w:tabs>
          <w:tab w:val="num" w:pos="993"/>
        </w:tabs>
        <w:autoSpaceDE w:val="0"/>
        <w:autoSpaceDN w:val="0"/>
        <w:adjustRightInd w:val="0"/>
        <w:jc w:val="center"/>
        <w:rPr>
          <w:szCs w:val="22"/>
        </w:rPr>
      </w:pPr>
      <w:r w:rsidRPr="009C58DE">
        <w:rPr>
          <w:szCs w:val="22"/>
        </w:rPr>
        <w:lastRenderedPageBreak/>
        <w:t>SANCTIONS AND</w:t>
      </w:r>
      <w:r w:rsidR="0078309F" w:rsidRPr="009C58DE">
        <w:rPr>
          <w:szCs w:val="22"/>
        </w:rPr>
        <w:t xml:space="preserve"> REMEDIES </w:t>
      </w:r>
    </w:p>
    <w:p w:rsidR="0078309F" w:rsidRPr="009C58DE" w:rsidRDefault="0078309F" w:rsidP="0078309F">
      <w:pPr>
        <w:tabs>
          <w:tab w:val="num" w:pos="993"/>
        </w:tabs>
        <w:autoSpaceDE w:val="0"/>
        <w:autoSpaceDN w:val="0"/>
        <w:adjustRightInd w:val="0"/>
        <w:rPr>
          <w:szCs w:val="22"/>
        </w:rPr>
      </w:pPr>
    </w:p>
    <w:p w:rsidR="0078309F" w:rsidRPr="009C58DE" w:rsidRDefault="0078309F" w:rsidP="0078309F">
      <w:pPr>
        <w:autoSpaceDE w:val="0"/>
        <w:autoSpaceDN w:val="0"/>
        <w:adjustRightInd w:val="0"/>
        <w:rPr>
          <w:szCs w:val="22"/>
        </w:rPr>
      </w:pPr>
      <w:r w:rsidRPr="009C58DE">
        <w:rPr>
          <w:szCs w:val="22"/>
        </w:rPr>
        <w:t>Member States shall put in place appropriate, effective, dissuasive, and proportionate legal and/or administrative measures</w:t>
      </w:r>
      <w:r w:rsidR="00D058CA">
        <w:rPr>
          <w:szCs w:val="22"/>
        </w:rPr>
        <w:t xml:space="preserve">, </w:t>
      </w:r>
      <w:r w:rsidR="005F7838">
        <w:rPr>
          <w:szCs w:val="22"/>
        </w:rPr>
        <w:t>which may include</w:t>
      </w:r>
      <w:r w:rsidR="00D058CA">
        <w:rPr>
          <w:szCs w:val="22"/>
        </w:rPr>
        <w:t xml:space="preserve"> alternative dispute resolution</w:t>
      </w:r>
      <w:r w:rsidR="005A3EEA">
        <w:rPr>
          <w:szCs w:val="22"/>
        </w:rPr>
        <w:t xml:space="preserve"> procedures</w:t>
      </w:r>
      <w:r w:rsidR="00D058CA">
        <w:rPr>
          <w:szCs w:val="22"/>
        </w:rPr>
        <w:t>,</w:t>
      </w:r>
      <w:r w:rsidRPr="009C58DE">
        <w:rPr>
          <w:szCs w:val="22"/>
        </w:rPr>
        <w:t xml:space="preserve"> to address violations of the right</w:t>
      </w:r>
      <w:r w:rsidR="000307D8" w:rsidRPr="009C58DE">
        <w:rPr>
          <w:szCs w:val="22"/>
        </w:rPr>
        <w:t>s contained in this instrument.</w:t>
      </w:r>
    </w:p>
    <w:p w:rsidR="0078309F" w:rsidRDefault="0078309F" w:rsidP="0078309F">
      <w:pPr>
        <w:autoSpaceDE w:val="0"/>
        <w:autoSpaceDN w:val="0"/>
        <w:adjustRightInd w:val="0"/>
        <w:rPr>
          <w:szCs w:val="22"/>
        </w:rPr>
      </w:pPr>
    </w:p>
    <w:p w:rsidR="00A57761" w:rsidRDefault="00A57761">
      <w:pPr>
        <w:rPr>
          <w:szCs w:val="22"/>
        </w:rPr>
      </w:pPr>
      <w:r>
        <w:rPr>
          <w:szCs w:val="22"/>
        </w:rPr>
        <w:br w:type="page"/>
      </w:r>
    </w:p>
    <w:p w:rsidR="00A57761" w:rsidRDefault="00A57761" w:rsidP="00A57761">
      <w:pPr>
        <w:rPr>
          <w:szCs w:val="22"/>
        </w:rPr>
      </w:pPr>
      <w:r>
        <w:rPr>
          <w:szCs w:val="22"/>
        </w:rPr>
        <w:lastRenderedPageBreak/>
        <w:t>Explanatory notes:</w:t>
      </w:r>
    </w:p>
    <w:p w:rsidR="00A57761" w:rsidRDefault="00A57761" w:rsidP="0078309F">
      <w:pPr>
        <w:autoSpaceDE w:val="0"/>
        <w:autoSpaceDN w:val="0"/>
        <w:adjustRightInd w:val="0"/>
        <w:rPr>
          <w:szCs w:val="22"/>
        </w:rPr>
      </w:pPr>
    </w:p>
    <w:p w:rsidR="00A57761" w:rsidRDefault="00A57761" w:rsidP="0078309F">
      <w:pPr>
        <w:autoSpaceDE w:val="0"/>
        <w:autoSpaceDN w:val="0"/>
        <w:adjustRightInd w:val="0"/>
        <w:rPr>
          <w:szCs w:val="22"/>
        </w:rPr>
      </w:pPr>
      <w:r>
        <w:t xml:space="preserve">This provision </w:t>
      </w:r>
      <w:r w:rsidRPr="00C22875">
        <w:t>provide</w:t>
      </w:r>
      <w:r>
        <w:t>s</w:t>
      </w:r>
      <w:r w:rsidRPr="00C22875">
        <w:t xml:space="preserve"> a general framework at the international level, leaving the details to </w:t>
      </w:r>
      <w:r w:rsidR="00632971">
        <w:t>each Member State</w:t>
      </w:r>
      <w:r w:rsidR="003A0F60">
        <w:t xml:space="preserve"> to determine</w:t>
      </w:r>
      <w:r>
        <w:t xml:space="preserve"> </w:t>
      </w:r>
      <w:r w:rsidRPr="009C58DE">
        <w:rPr>
          <w:szCs w:val="22"/>
        </w:rPr>
        <w:t>appropriate, effective, dissuasive, and proportionate legal and/or administrative measures</w:t>
      </w:r>
      <w:r w:rsidR="003A0F60">
        <w:rPr>
          <w:szCs w:val="22"/>
        </w:rPr>
        <w:t xml:space="preserve"> at the national level. </w:t>
      </w:r>
    </w:p>
    <w:p w:rsidR="003A0F60" w:rsidRDefault="003A0F60" w:rsidP="0078309F">
      <w:pPr>
        <w:autoSpaceDE w:val="0"/>
        <w:autoSpaceDN w:val="0"/>
        <w:adjustRightInd w:val="0"/>
        <w:rPr>
          <w:szCs w:val="22"/>
        </w:rPr>
      </w:pPr>
    </w:p>
    <w:p w:rsidR="003A0F60" w:rsidRPr="009C58DE" w:rsidRDefault="003A0F60" w:rsidP="0078309F">
      <w:pPr>
        <w:autoSpaceDE w:val="0"/>
        <w:autoSpaceDN w:val="0"/>
        <w:adjustRightInd w:val="0"/>
        <w:rPr>
          <w:szCs w:val="22"/>
        </w:rPr>
      </w:pPr>
    </w:p>
    <w:p w:rsidR="0091385C" w:rsidRDefault="0078309F" w:rsidP="0091385C">
      <w:pPr>
        <w:tabs>
          <w:tab w:val="num" w:pos="993"/>
        </w:tabs>
        <w:autoSpaceDE w:val="0"/>
        <w:autoSpaceDN w:val="0"/>
        <w:adjustRightInd w:val="0"/>
        <w:jc w:val="center"/>
      </w:pPr>
      <w:r w:rsidRPr="009C58DE">
        <w:rPr>
          <w:szCs w:val="22"/>
        </w:rPr>
        <w:br w:type="page"/>
      </w:r>
      <w:r w:rsidR="0091385C">
        <w:lastRenderedPageBreak/>
        <w:t>TERM OF PROTECTION</w:t>
      </w:r>
    </w:p>
    <w:p w:rsidR="0091385C" w:rsidRDefault="0091385C" w:rsidP="0091385C">
      <w:pPr>
        <w:tabs>
          <w:tab w:val="num" w:pos="993"/>
        </w:tabs>
        <w:autoSpaceDE w:val="0"/>
        <w:autoSpaceDN w:val="0"/>
        <w:adjustRightInd w:val="0"/>
      </w:pPr>
    </w:p>
    <w:p w:rsidR="0091385C" w:rsidRDefault="0091385C" w:rsidP="0091385C">
      <w:pPr>
        <w:tabs>
          <w:tab w:val="num" w:pos="993"/>
        </w:tabs>
        <w:autoSpaceDE w:val="0"/>
        <w:autoSpaceDN w:val="0"/>
        <w:adjustRightInd w:val="0"/>
        <w:rPr>
          <w:szCs w:val="22"/>
        </w:rPr>
      </w:pPr>
      <w:r>
        <w:t xml:space="preserve">Term of protection shall last as long as the traditional knowledge and traditional cultural expressions </w:t>
      </w:r>
      <w:r w:rsidRPr="00235B58">
        <w:t>comply</w:t>
      </w:r>
      <w:r>
        <w:t xml:space="preserve"> with [the provision dealing with subject matter]. </w:t>
      </w:r>
    </w:p>
    <w:p w:rsidR="0091385C" w:rsidRDefault="0091385C" w:rsidP="0091385C">
      <w:pPr>
        <w:tabs>
          <w:tab w:val="num" w:pos="993"/>
        </w:tabs>
        <w:autoSpaceDE w:val="0"/>
        <w:autoSpaceDN w:val="0"/>
        <w:adjustRightInd w:val="0"/>
      </w:pPr>
    </w:p>
    <w:p w:rsidR="0091385C" w:rsidRDefault="0091385C" w:rsidP="0091385C">
      <w:r>
        <w:br w:type="page"/>
      </w:r>
    </w:p>
    <w:p w:rsidR="0091385C" w:rsidRDefault="0091385C" w:rsidP="0091385C">
      <w:pPr>
        <w:autoSpaceDE w:val="0"/>
        <w:autoSpaceDN w:val="0"/>
        <w:adjustRightInd w:val="0"/>
        <w:ind w:left="550" w:hanging="550"/>
      </w:pPr>
      <w:r>
        <w:lastRenderedPageBreak/>
        <w:t xml:space="preserve">Explanatory Notes: </w:t>
      </w:r>
    </w:p>
    <w:p w:rsidR="0091385C" w:rsidRDefault="0091385C" w:rsidP="0091385C">
      <w:pPr>
        <w:tabs>
          <w:tab w:val="num" w:pos="993"/>
        </w:tabs>
        <w:autoSpaceDE w:val="0"/>
        <w:autoSpaceDN w:val="0"/>
        <w:adjustRightInd w:val="0"/>
      </w:pPr>
    </w:p>
    <w:p w:rsidR="0091385C" w:rsidRDefault="0091385C" w:rsidP="0091385C">
      <w:pPr>
        <w:tabs>
          <w:tab w:val="num" w:pos="993"/>
        </w:tabs>
        <w:autoSpaceDE w:val="0"/>
        <w:autoSpaceDN w:val="0"/>
        <w:adjustRightInd w:val="0"/>
      </w:pPr>
      <w:r>
        <w:t xml:space="preserve">An important element of any protection measure is the duration of the rights or entitlements.  Existing </w:t>
      </w:r>
      <w:r w:rsidRPr="00E91979">
        <w:rPr>
          <w:i/>
        </w:rPr>
        <w:t>sui generis</w:t>
      </w:r>
      <w:r>
        <w:t xml:space="preserve"> systems for traditional knowledge and/or traditional cultural expression protection have utilized a range of options to define the duration of protection:  a single, limited term of protection; successively renewable limited terms; or an unlimited term of protection.  </w:t>
      </w:r>
    </w:p>
    <w:p w:rsidR="0091385C" w:rsidRDefault="0091385C" w:rsidP="0091385C">
      <w:pPr>
        <w:tabs>
          <w:tab w:val="num" w:pos="993"/>
        </w:tabs>
        <w:autoSpaceDE w:val="0"/>
        <w:autoSpaceDN w:val="0"/>
        <w:adjustRightInd w:val="0"/>
      </w:pPr>
    </w:p>
    <w:p w:rsidR="0091385C" w:rsidRDefault="0091385C" w:rsidP="0091385C">
      <w:pPr>
        <w:tabs>
          <w:tab w:val="num" w:pos="993"/>
        </w:tabs>
        <w:autoSpaceDE w:val="0"/>
        <w:autoSpaceDN w:val="0"/>
        <w:adjustRightInd w:val="0"/>
      </w:pPr>
      <w:r>
        <w:t>This provision foresees a duration of protection which is not limited to a specific term, and stipulates that the duration of protection should last as long as</w:t>
      </w:r>
      <w:r w:rsidRPr="00DD6658">
        <w:t xml:space="preserve"> </w:t>
      </w:r>
      <w:r>
        <w:t>a “traditional knowledge” or “traditional cultural expression” complies with the</w:t>
      </w:r>
      <w:r w:rsidR="00C748C4">
        <w:t xml:space="preserve"> criteria of protection outlined in the</w:t>
      </w:r>
      <w:r>
        <w:t xml:space="preserve"> provision dealing with subject matter.</w:t>
      </w:r>
    </w:p>
    <w:p w:rsidR="0091385C" w:rsidRDefault="0091385C" w:rsidP="0091385C">
      <w:pPr>
        <w:tabs>
          <w:tab w:val="num" w:pos="993"/>
        </w:tabs>
        <w:autoSpaceDE w:val="0"/>
        <w:autoSpaceDN w:val="0"/>
        <w:adjustRightInd w:val="0"/>
      </w:pPr>
      <w:r>
        <w:br w:type="page"/>
      </w:r>
    </w:p>
    <w:p w:rsidR="0091385C" w:rsidRDefault="0091385C" w:rsidP="0091385C">
      <w:pPr>
        <w:tabs>
          <w:tab w:val="num" w:pos="993"/>
        </w:tabs>
        <w:autoSpaceDE w:val="0"/>
        <w:autoSpaceDN w:val="0"/>
        <w:adjustRightInd w:val="0"/>
        <w:jc w:val="center"/>
      </w:pPr>
      <w:r>
        <w:lastRenderedPageBreak/>
        <w:t>FORMALITIES</w:t>
      </w:r>
    </w:p>
    <w:p w:rsidR="0091385C" w:rsidRDefault="0091385C" w:rsidP="0091385C">
      <w:pPr>
        <w:tabs>
          <w:tab w:val="num" w:pos="993"/>
        </w:tabs>
        <w:autoSpaceDE w:val="0"/>
        <w:autoSpaceDN w:val="0"/>
        <w:adjustRightInd w:val="0"/>
        <w:jc w:val="center"/>
      </w:pPr>
    </w:p>
    <w:p w:rsidR="0091385C" w:rsidRDefault="0091385C" w:rsidP="0091385C">
      <w:pPr>
        <w:tabs>
          <w:tab w:val="num" w:pos="993"/>
        </w:tabs>
        <w:autoSpaceDE w:val="0"/>
        <w:autoSpaceDN w:val="0"/>
        <w:adjustRightInd w:val="0"/>
        <w:rPr>
          <w:i/>
          <w:szCs w:val="22"/>
        </w:rPr>
      </w:pPr>
    </w:p>
    <w:p w:rsidR="0091385C" w:rsidRDefault="004F75A0">
      <w:pPr>
        <w:autoSpaceDE w:val="0"/>
        <w:autoSpaceDN w:val="0"/>
        <w:adjustRightInd w:val="0"/>
      </w:pPr>
      <w:r>
        <w:rPr>
          <w:rStyle w:val="ui-provider"/>
        </w:rPr>
        <w:t xml:space="preserve">Member States may require formalities for the protection of traditional knowledge and traditional cultural expressions, without prejudice to any existing rights of </w:t>
      </w:r>
      <w:r w:rsidR="00220F34">
        <w:rPr>
          <w:rStyle w:val="ui-provider"/>
        </w:rPr>
        <w:t>I</w:t>
      </w:r>
      <w:r>
        <w:rPr>
          <w:rStyle w:val="ui-provider"/>
        </w:rPr>
        <w:t xml:space="preserve">ndigenous </w:t>
      </w:r>
      <w:r w:rsidR="00220F34">
        <w:rPr>
          <w:rStyle w:val="ui-provider"/>
        </w:rPr>
        <w:t>P</w:t>
      </w:r>
      <w:r>
        <w:rPr>
          <w:rStyle w:val="ui-provider"/>
        </w:rPr>
        <w:t xml:space="preserve">eoples and local communities.  </w:t>
      </w:r>
      <w:r w:rsidR="0091385C">
        <w:t xml:space="preserve"> </w:t>
      </w:r>
    </w:p>
    <w:p w:rsidR="0091385C" w:rsidRDefault="0091385C" w:rsidP="0091385C">
      <w:pPr>
        <w:tabs>
          <w:tab w:val="num" w:pos="993"/>
        </w:tabs>
        <w:autoSpaceDE w:val="0"/>
        <w:autoSpaceDN w:val="0"/>
        <w:adjustRightInd w:val="0"/>
      </w:pPr>
    </w:p>
    <w:p w:rsidR="0091385C" w:rsidRDefault="0091385C" w:rsidP="0091385C">
      <w:r>
        <w:br w:type="page"/>
      </w:r>
    </w:p>
    <w:p w:rsidR="0091385C" w:rsidRDefault="0091385C" w:rsidP="0091385C">
      <w:pPr>
        <w:autoSpaceDE w:val="0"/>
        <w:autoSpaceDN w:val="0"/>
        <w:adjustRightInd w:val="0"/>
        <w:ind w:left="550" w:hanging="550"/>
      </w:pPr>
      <w:r>
        <w:lastRenderedPageBreak/>
        <w:t xml:space="preserve">Explanatory Notes: </w:t>
      </w:r>
    </w:p>
    <w:p w:rsidR="0091385C" w:rsidRDefault="0091385C" w:rsidP="0091385C">
      <w:pPr>
        <w:tabs>
          <w:tab w:val="num" w:pos="993"/>
        </w:tabs>
        <w:autoSpaceDE w:val="0"/>
        <w:autoSpaceDN w:val="0"/>
        <w:adjustRightInd w:val="0"/>
      </w:pPr>
    </w:p>
    <w:p w:rsidR="0091385C" w:rsidRDefault="0091385C" w:rsidP="004F75A0">
      <w:pPr>
        <w:tabs>
          <w:tab w:val="num" w:pos="993"/>
        </w:tabs>
        <w:autoSpaceDE w:val="0"/>
        <w:autoSpaceDN w:val="0"/>
        <w:adjustRightInd w:val="0"/>
      </w:pPr>
      <w:r>
        <w:t xml:space="preserve">This provision </w:t>
      </w:r>
      <w:r w:rsidR="004F75A0">
        <w:t xml:space="preserve">provides that Member States would have the flexibility to decide on formalities.  </w:t>
      </w:r>
      <w:r>
        <w:t xml:space="preserve">This reflects concerns and skepticism that certain countries and communities have expressed about the use of registry and database systems.  </w:t>
      </w:r>
    </w:p>
    <w:p w:rsidR="0091385C" w:rsidRDefault="0091385C" w:rsidP="0091385C">
      <w:pPr>
        <w:tabs>
          <w:tab w:val="num" w:pos="993"/>
        </w:tabs>
        <w:autoSpaceDE w:val="0"/>
        <w:autoSpaceDN w:val="0"/>
        <w:adjustRightInd w:val="0"/>
      </w:pPr>
    </w:p>
    <w:p w:rsidR="0091385C" w:rsidRDefault="0091385C" w:rsidP="0091385C">
      <w:pPr>
        <w:tabs>
          <w:tab w:val="num" w:pos="993"/>
        </w:tabs>
        <w:autoSpaceDE w:val="0"/>
        <w:autoSpaceDN w:val="0"/>
        <w:adjustRightInd w:val="0"/>
        <w:ind w:left="6390"/>
        <w:rPr>
          <w:i/>
        </w:rPr>
      </w:pPr>
      <w:r>
        <w:rPr>
          <w:i/>
        </w:rPr>
        <w:br w:type="page"/>
      </w:r>
    </w:p>
    <w:p w:rsidR="0091385C" w:rsidRDefault="0091385C" w:rsidP="0091385C">
      <w:pPr>
        <w:tabs>
          <w:tab w:val="num" w:pos="993"/>
        </w:tabs>
        <w:autoSpaceDE w:val="0"/>
        <w:autoSpaceDN w:val="0"/>
        <w:adjustRightInd w:val="0"/>
        <w:jc w:val="center"/>
      </w:pPr>
      <w:r>
        <w:lastRenderedPageBreak/>
        <w:t>ADMINISTRATION OF RIGHTS</w:t>
      </w:r>
    </w:p>
    <w:p w:rsidR="0091385C" w:rsidRDefault="0091385C" w:rsidP="0091385C">
      <w:pPr>
        <w:tabs>
          <w:tab w:val="num" w:pos="993"/>
        </w:tabs>
        <w:autoSpaceDE w:val="0"/>
        <w:autoSpaceDN w:val="0"/>
        <w:adjustRightInd w:val="0"/>
      </w:pPr>
    </w:p>
    <w:p w:rsidR="0091385C" w:rsidRDefault="0091385C" w:rsidP="0091385C">
      <w:pPr>
        <w:tabs>
          <w:tab w:val="num" w:pos="993"/>
        </w:tabs>
        <w:autoSpaceDE w:val="0"/>
        <w:autoSpaceDN w:val="0"/>
        <w:adjustRightInd w:val="0"/>
      </w:pPr>
    </w:p>
    <w:p w:rsidR="0091385C" w:rsidRDefault="0091385C" w:rsidP="0091385C">
      <w:pPr>
        <w:autoSpaceDE w:val="0"/>
        <w:autoSpaceDN w:val="0"/>
        <w:adjustRightInd w:val="0"/>
      </w:pPr>
      <w:r>
        <w:t>Member States may establish or designate a competent authority or authorities, in accordance with national law and/or customary laws</w:t>
      </w:r>
      <w:r w:rsidR="002F1E35">
        <w:t xml:space="preserve">, </w:t>
      </w:r>
      <w:r w:rsidR="002F1E35" w:rsidRPr="002F1E35">
        <w:t>as may be applicable</w:t>
      </w:r>
      <w:r>
        <w:t>, to administer the rights provided for by this instrument.</w:t>
      </w:r>
    </w:p>
    <w:p w:rsidR="0091385C" w:rsidRDefault="0091385C" w:rsidP="0091385C">
      <w:pPr>
        <w:autoSpaceDE w:val="0"/>
        <w:autoSpaceDN w:val="0"/>
        <w:adjustRightInd w:val="0"/>
      </w:pPr>
    </w:p>
    <w:p w:rsidR="0091385C" w:rsidRDefault="0091385C" w:rsidP="0091385C">
      <w:pPr>
        <w:autoSpaceDE w:val="0"/>
        <w:autoSpaceDN w:val="0"/>
        <w:adjustRightInd w:val="0"/>
      </w:pPr>
    </w:p>
    <w:p w:rsidR="0091385C" w:rsidRDefault="0091385C" w:rsidP="0091385C">
      <w:r>
        <w:br w:type="page"/>
      </w:r>
    </w:p>
    <w:p w:rsidR="0091385C" w:rsidRDefault="0091385C" w:rsidP="0091385C">
      <w:pPr>
        <w:autoSpaceDE w:val="0"/>
        <w:autoSpaceDN w:val="0"/>
        <w:adjustRightInd w:val="0"/>
      </w:pPr>
      <w:r>
        <w:lastRenderedPageBreak/>
        <w:t>Explanatory Notes:</w:t>
      </w:r>
    </w:p>
    <w:p w:rsidR="0091385C" w:rsidRDefault="0091385C" w:rsidP="0091385C">
      <w:pPr>
        <w:autoSpaceDE w:val="0"/>
        <w:autoSpaceDN w:val="0"/>
        <w:adjustRightInd w:val="0"/>
      </w:pPr>
    </w:p>
    <w:p w:rsidR="0091385C" w:rsidRDefault="0091385C" w:rsidP="0091385C">
      <w:pPr>
        <w:autoSpaceDE w:val="0"/>
        <w:autoSpaceDN w:val="0"/>
        <w:adjustRightInd w:val="0"/>
      </w:pPr>
      <w:r>
        <w:t xml:space="preserve">Administration of rights deals with how and by whom the rights or interests of beneficiaries should be administered. </w:t>
      </w:r>
    </w:p>
    <w:p w:rsidR="0091385C" w:rsidRDefault="0091385C" w:rsidP="0091385C">
      <w:pPr>
        <w:autoSpaceDE w:val="0"/>
        <w:autoSpaceDN w:val="0"/>
        <w:adjustRightInd w:val="0"/>
      </w:pPr>
    </w:p>
    <w:p w:rsidR="0091385C" w:rsidRDefault="0091385C" w:rsidP="0091385C">
      <w:pPr>
        <w:autoSpaceDE w:val="0"/>
        <w:autoSpaceDN w:val="0"/>
        <w:adjustRightInd w:val="0"/>
      </w:pPr>
      <w:r>
        <w:t>This provision leaves flexibility at the national level to implement arrangements relating to competent authorities, rather than to attempt to establish a “one-size-fits-all” solution at the international level.</w:t>
      </w:r>
    </w:p>
    <w:p w:rsidR="0091385C" w:rsidRPr="00B524A5" w:rsidRDefault="0091385C" w:rsidP="0091385C">
      <w:pPr>
        <w:autoSpaceDE w:val="0"/>
        <w:autoSpaceDN w:val="0"/>
        <w:adjustRightInd w:val="0"/>
      </w:pPr>
      <w:r w:rsidRPr="00B524A5">
        <w:br w:type="page"/>
      </w:r>
    </w:p>
    <w:p w:rsidR="00303E70" w:rsidRDefault="00303E70" w:rsidP="00303E70">
      <w:pPr>
        <w:autoSpaceDE w:val="0"/>
        <w:autoSpaceDN w:val="0"/>
        <w:adjustRightInd w:val="0"/>
        <w:jc w:val="center"/>
      </w:pPr>
      <w:r>
        <w:lastRenderedPageBreak/>
        <w:t>DISCLOSURE REQUIREMENT</w:t>
      </w:r>
    </w:p>
    <w:p w:rsidR="00303E70" w:rsidRDefault="00303E70" w:rsidP="00303E70">
      <w:pPr>
        <w:autoSpaceDE w:val="0"/>
        <w:autoSpaceDN w:val="0"/>
        <w:adjustRightInd w:val="0"/>
        <w:jc w:val="center"/>
        <w:rPr>
          <w:szCs w:val="22"/>
        </w:rPr>
      </w:pPr>
    </w:p>
    <w:p w:rsidR="007246C3" w:rsidRDefault="00303E70" w:rsidP="00303E70">
      <w:pPr>
        <w:autoSpaceDE w:val="0"/>
        <w:autoSpaceDN w:val="0"/>
        <w:adjustRightInd w:val="0"/>
      </w:pPr>
      <w:r>
        <w:t>1</w:t>
      </w:r>
      <w:r>
        <w:tab/>
      </w:r>
      <w:r w:rsidR="007246C3">
        <w:t>A</w:t>
      </w:r>
      <w:r>
        <w:t>pplications</w:t>
      </w:r>
      <w:r w:rsidR="007246C3">
        <w:t xml:space="preserve"> for</w:t>
      </w:r>
      <w:r>
        <w:t xml:space="preserve"> </w:t>
      </w:r>
      <w:r w:rsidR="007246C3">
        <w:t>intellectual property</w:t>
      </w:r>
      <w:r w:rsidR="00A55D86">
        <w:t xml:space="preserve"> rights</w:t>
      </w:r>
      <w:r w:rsidR="007246C3">
        <w:t xml:space="preserve"> </w:t>
      </w:r>
      <w:r w:rsidR="008D2432">
        <w:t>developed using</w:t>
      </w:r>
      <w:r w:rsidRPr="001C362E">
        <w:t xml:space="preserve"> traditional knowledge shall </w:t>
      </w:r>
      <w:r w:rsidR="007246C3">
        <w:t>disclose</w:t>
      </w:r>
      <w:r w:rsidRPr="001C362E">
        <w:t xml:space="preserve"> information on the </w:t>
      </w:r>
      <w:r w:rsidR="00220F34">
        <w:t>I</w:t>
      </w:r>
      <w:r w:rsidR="002B6BB0">
        <w:t xml:space="preserve">ndigenous </w:t>
      </w:r>
      <w:r w:rsidR="00220F34">
        <w:t>P</w:t>
      </w:r>
      <w:r w:rsidR="002B6BB0">
        <w:t>eoples and local communities</w:t>
      </w:r>
      <w:r w:rsidR="005A5DCB">
        <w:t xml:space="preserve"> or other beneficiaries</w:t>
      </w:r>
      <w:r w:rsidR="002B6BB0">
        <w:t xml:space="preserve"> providing such traditional knowledge</w:t>
      </w:r>
      <w:r>
        <w:t>.  The application shall also state whether free, prior and informed consent or approval and involvement to access and use has been obtained.</w:t>
      </w:r>
    </w:p>
    <w:p w:rsidR="00303E70" w:rsidRDefault="00303E70" w:rsidP="00303E70">
      <w:pPr>
        <w:autoSpaceDE w:val="0"/>
        <w:autoSpaceDN w:val="0"/>
        <w:adjustRightInd w:val="0"/>
      </w:pPr>
    </w:p>
    <w:p w:rsidR="00303E70" w:rsidRDefault="00303E70" w:rsidP="00303E70">
      <w:pPr>
        <w:autoSpaceDE w:val="0"/>
        <w:autoSpaceDN w:val="0"/>
        <w:adjustRightInd w:val="0"/>
      </w:pPr>
      <w:r>
        <w:t>2</w:t>
      </w:r>
      <w:r>
        <w:tab/>
        <w:t>If the in</w:t>
      </w:r>
      <w:r w:rsidR="001C362E">
        <w:t xml:space="preserve">formation set out in paragraph </w:t>
      </w:r>
      <w:r>
        <w:t>1 is not known to the applicant, the applicant shall state the immediate source from which the applicant collected or received the traditional knowledge.</w:t>
      </w:r>
    </w:p>
    <w:p w:rsidR="00303E70" w:rsidRDefault="00303E70" w:rsidP="00303E70">
      <w:pPr>
        <w:autoSpaceDE w:val="0"/>
        <w:autoSpaceDN w:val="0"/>
        <w:adjustRightInd w:val="0"/>
      </w:pPr>
    </w:p>
    <w:p w:rsidR="00303E70" w:rsidRDefault="00303E70" w:rsidP="00303E70">
      <w:pPr>
        <w:autoSpaceDE w:val="0"/>
        <w:autoSpaceDN w:val="0"/>
        <w:adjustRightInd w:val="0"/>
      </w:pPr>
      <w:r>
        <w:t>3</w:t>
      </w:r>
      <w:r>
        <w:tab/>
        <w:t>If the applicant does not comply</w:t>
      </w:r>
      <w:r w:rsidR="001C362E">
        <w:t xml:space="preserve"> with the provisions in paragraphs 1 and </w:t>
      </w:r>
      <w:r>
        <w:t xml:space="preserve">2, the application shall not be processed until the requirements are met.  </w:t>
      </w:r>
    </w:p>
    <w:p w:rsidR="00303E70" w:rsidRDefault="00303E70" w:rsidP="00303E70">
      <w:pPr>
        <w:autoSpaceDE w:val="0"/>
        <w:autoSpaceDN w:val="0"/>
        <w:adjustRightInd w:val="0"/>
      </w:pPr>
    </w:p>
    <w:p w:rsidR="00303E70" w:rsidRDefault="00303E70" w:rsidP="00303E70">
      <w:pPr>
        <w:autoSpaceDE w:val="0"/>
        <w:autoSpaceDN w:val="0"/>
        <w:adjustRightInd w:val="0"/>
      </w:pPr>
      <w:r>
        <w:t>4</w:t>
      </w:r>
      <w:r>
        <w:tab/>
        <w:t>Each Member States may provide for post grant sanctions or remedies where there has been fraudulent intent in this regard, in accordance with its national law</w:t>
      </w:r>
      <w:r w:rsidR="007246C3">
        <w:t>s and regulations</w:t>
      </w:r>
      <w:r>
        <w:t>.</w:t>
      </w:r>
    </w:p>
    <w:p w:rsidR="00303E70" w:rsidRDefault="00303E70" w:rsidP="00303E70">
      <w:pPr>
        <w:autoSpaceDE w:val="0"/>
        <w:autoSpaceDN w:val="0"/>
        <w:adjustRightInd w:val="0"/>
      </w:pPr>
    </w:p>
    <w:p w:rsidR="005A5DCB" w:rsidRDefault="005A5DCB">
      <w:r>
        <w:br w:type="page"/>
      </w:r>
    </w:p>
    <w:p w:rsidR="005A5DCB" w:rsidRDefault="005A5DCB" w:rsidP="005A5DCB">
      <w:pPr>
        <w:rPr>
          <w:szCs w:val="22"/>
        </w:rPr>
      </w:pPr>
      <w:r>
        <w:rPr>
          <w:szCs w:val="22"/>
        </w:rPr>
        <w:lastRenderedPageBreak/>
        <w:t>Explanatory notes:</w:t>
      </w:r>
    </w:p>
    <w:p w:rsidR="005A5DCB" w:rsidRDefault="005A5DCB" w:rsidP="005A5DCB">
      <w:pPr>
        <w:autoSpaceDE w:val="0"/>
        <w:autoSpaceDN w:val="0"/>
        <w:adjustRightInd w:val="0"/>
        <w:rPr>
          <w:szCs w:val="22"/>
        </w:rPr>
      </w:pPr>
    </w:p>
    <w:p w:rsidR="00303E70" w:rsidRDefault="0087586B" w:rsidP="005A5DCB">
      <w:pPr>
        <w:autoSpaceDE w:val="0"/>
        <w:autoSpaceDN w:val="0"/>
        <w:adjustRightInd w:val="0"/>
      </w:pPr>
      <w:r>
        <w:t xml:space="preserve">Noting that a </w:t>
      </w:r>
      <w:r w:rsidRPr="0087586B">
        <w:t xml:space="preserve">Diplomatic Conference to conclude an International Legal Instrument Relating to Intellectual Property, Genetic Resources and Traditional Knowledge Associated with Genetic Resources </w:t>
      </w:r>
      <w:r>
        <w:t>will be convene</w:t>
      </w:r>
      <w:r w:rsidR="000A2FDD">
        <w:t>d</w:t>
      </w:r>
      <w:r>
        <w:t xml:space="preserve"> </w:t>
      </w:r>
      <w:r w:rsidRPr="0087586B">
        <w:t>no later than 2024</w:t>
      </w:r>
      <w:r>
        <w:t>, which addresses patent disclosure requirements relating to genetic resources and TK associated with genetic resources,</w:t>
      </w:r>
      <w:r w:rsidRPr="0087586B">
        <w:t xml:space="preserve"> </w:t>
      </w:r>
      <w:r>
        <w:t>t</w:t>
      </w:r>
      <w:r w:rsidR="005A5DCB">
        <w:t xml:space="preserve">his provision </w:t>
      </w:r>
      <w:r w:rsidR="005A5DCB" w:rsidRPr="00C22875">
        <w:t>provide</w:t>
      </w:r>
      <w:r w:rsidR="005A5DCB">
        <w:t>s a disclosure require</w:t>
      </w:r>
      <w:r w:rsidR="00DB20BB">
        <w:t>ment</w:t>
      </w:r>
      <w:r w:rsidR="005A5DCB">
        <w:t xml:space="preserve"> regarding </w:t>
      </w:r>
      <w:r w:rsidR="00DB20BB">
        <w:t>TK</w:t>
      </w:r>
      <w:r w:rsidR="000611BC">
        <w:t xml:space="preserve">.  </w:t>
      </w:r>
      <w:r w:rsidR="00D123F4">
        <w:t xml:space="preserve">It is a placeholder provision for now. </w:t>
      </w:r>
      <w:r w:rsidR="000611BC">
        <w:t xml:space="preserve">A </w:t>
      </w:r>
      <w:r w:rsidR="005A5DCB">
        <w:t xml:space="preserve">disclosure requirement should not lead to obligations for intellectual property applicants who cannot fulfill or can only fulfill with unreasonable time and effort, so as to </w:t>
      </w:r>
      <w:r w:rsidR="000611BC">
        <w:t xml:space="preserve">not </w:t>
      </w:r>
      <w:r w:rsidR="005A5DCB">
        <w:t xml:space="preserve">hinder innovation based on </w:t>
      </w:r>
      <w:r w:rsidR="00C55572">
        <w:t>traditional knowledge</w:t>
      </w:r>
      <w:r w:rsidR="005A5DCB">
        <w:t xml:space="preserve">. </w:t>
      </w:r>
      <w:r w:rsidR="001E350A">
        <w:t xml:space="preserve">Nor should they unduly burden IP offices. </w:t>
      </w:r>
    </w:p>
    <w:p w:rsidR="005A5DCB" w:rsidRDefault="005A5DCB" w:rsidP="00303E70">
      <w:pPr>
        <w:autoSpaceDE w:val="0"/>
        <w:autoSpaceDN w:val="0"/>
        <w:adjustRightInd w:val="0"/>
      </w:pPr>
    </w:p>
    <w:p w:rsidR="005A5DCB" w:rsidRDefault="00C55572" w:rsidP="00303E70">
      <w:pPr>
        <w:autoSpaceDE w:val="0"/>
        <w:autoSpaceDN w:val="0"/>
        <w:adjustRightInd w:val="0"/>
      </w:pPr>
      <w:r>
        <w:t>Pa</w:t>
      </w:r>
      <w:r w:rsidR="00DB20BB">
        <w:t>ragraph 4 provides flexibility</w:t>
      </w:r>
      <w:r>
        <w:t xml:space="preserve"> to Member States to decid</w:t>
      </w:r>
      <w:r w:rsidR="00DB20BB">
        <w:t>e on post-</w:t>
      </w:r>
      <w:r>
        <w:t>grant sanctions or remedies where there has been fraudulent intent.</w:t>
      </w:r>
    </w:p>
    <w:p w:rsidR="006657B0" w:rsidRDefault="006657B0" w:rsidP="00303E70">
      <w:pPr>
        <w:autoSpaceDE w:val="0"/>
        <w:autoSpaceDN w:val="0"/>
        <w:adjustRightInd w:val="0"/>
      </w:pPr>
    </w:p>
    <w:p w:rsidR="006657B0" w:rsidRDefault="006657B0" w:rsidP="00303E70">
      <w:pPr>
        <w:autoSpaceDE w:val="0"/>
        <w:autoSpaceDN w:val="0"/>
        <w:adjustRightInd w:val="0"/>
      </w:pPr>
      <w:r>
        <w:t>As disclosure requirements were not discussed by the IGC in the context of TCEs</w:t>
      </w:r>
      <w:r w:rsidR="001E350A">
        <w:t xml:space="preserve">, this </w:t>
      </w:r>
      <w:r>
        <w:t xml:space="preserve">provision covers only TK at this stage. </w:t>
      </w:r>
    </w:p>
    <w:p w:rsidR="001E350A" w:rsidRDefault="001E350A" w:rsidP="00303E70">
      <w:pPr>
        <w:autoSpaceDE w:val="0"/>
        <w:autoSpaceDN w:val="0"/>
        <w:adjustRightInd w:val="0"/>
      </w:pPr>
    </w:p>
    <w:p w:rsidR="001E350A" w:rsidRDefault="001E350A" w:rsidP="00303E70">
      <w:pPr>
        <w:autoSpaceDE w:val="0"/>
        <w:autoSpaceDN w:val="0"/>
        <w:adjustRightInd w:val="0"/>
      </w:pPr>
      <w:r>
        <w:t xml:space="preserve">I intend to develop this provision further taking into account developments in the genetic resources and associated traditional knowledge area. </w:t>
      </w:r>
    </w:p>
    <w:p w:rsidR="00303E70" w:rsidRDefault="00303E70" w:rsidP="00303E70">
      <w:pPr>
        <w:autoSpaceDE w:val="0"/>
        <w:autoSpaceDN w:val="0"/>
        <w:adjustRightInd w:val="0"/>
        <w:ind w:left="6431"/>
      </w:pPr>
      <w:r>
        <w:br w:type="page"/>
      </w:r>
    </w:p>
    <w:p w:rsidR="005357A6" w:rsidRPr="0021473D" w:rsidRDefault="005357A6" w:rsidP="0021473D">
      <w:pPr>
        <w:tabs>
          <w:tab w:val="num" w:pos="1100"/>
        </w:tabs>
        <w:autoSpaceDE w:val="0"/>
        <w:autoSpaceDN w:val="0"/>
        <w:adjustRightInd w:val="0"/>
        <w:jc w:val="center"/>
        <w:rPr>
          <w:szCs w:val="22"/>
        </w:rPr>
      </w:pPr>
      <w:r>
        <w:lastRenderedPageBreak/>
        <w:t>DATABASE</w:t>
      </w:r>
      <w:r w:rsidR="008D2432">
        <w:t>S</w:t>
      </w:r>
    </w:p>
    <w:p w:rsidR="005357A6" w:rsidRDefault="005357A6" w:rsidP="005357A6">
      <w:pPr>
        <w:tabs>
          <w:tab w:val="num" w:pos="993"/>
        </w:tabs>
        <w:autoSpaceDE w:val="0"/>
        <w:autoSpaceDN w:val="0"/>
        <w:adjustRightInd w:val="0"/>
        <w:jc w:val="center"/>
      </w:pPr>
    </w:p>
    <w:p w:rsidR="005357A6" w:rsidRDefault="005357A6" w:rsidP="005357A6">
      <w:pPr>
        <w:tabs>
          <w:tab w:val="num" w:pos="993"/>
        </w:tabs>
        <w:autoSpaceDE w:val="0"/>
        <w:autoSpaceDN w:val="0"/>
        <w:adjustRightInd w:val="0"/>
      </w:pPr>
      <w:r>
        <w:t xml:space="preserve">Member States </w:t>
      </w:r>
      <w:r w:rsidR="00D21FCF">
        <w:t>are encouraged to</w:t>
      </w:r>
      <w:r w:rsidR="00787DBF">
        <w:t xml:space="preserve"> support the</w:t>
      </w:r>
      <w:r>
        <w:t xml:space="preserve"> establish</w:t>
      </w:r>
      <w:r w:rsidR="00787DBF">
        <w:t>ment of</w:t>
      </w:r>
      <w:r>
        <w:t xml:space="preserve"> databases of traditional knowledge</w:t>
      </w:r>
      <w:r w:rsidR="00787DBF" w:rsidRPr="00787DBF">
        <w:t>, including appropriate safeguards</w:t>
      </w:r>
      <w:r>
        <w:t xml:space="preserve">, in consultation with relevant stakeholders, taking into account their national circumstances.  Such </w:t>
      </w:r>
      <w:r w:rsidR="00534A17">
        <w:t>databases</w:t>
      </w:r>
      <w:r>
        <w:t xml:space="preserve"> may be accessed by intellectual property offices for the purpose of prevention of the erroneous grant of intellectual property rights.</w:t>
      </w:r>
    </w:p>
    <w:p w:rsidR="005357A6" w:rsidRDefault="005357A6" w:rsidP="005357A6">
      <w:pPr>
        <w:tabs>
          <w:tab w:val="left" w:pos="4050"/>
        </w:tabs>
        <w:autoSpaceDE w:val="0"/>
        <w:autoSpaceDN w:val="0"/>
        <w:adjustRightInd w:val="0"/>
      </w:pPr>
    </w:p>
    <w:p w:rsidR="005357A6" w:rsidRDefault="005357A6" w:rsidP="005357A6">
      <w:pPr>
        <w:tabs>
          <w:tab w:val="num" w:pos="993"/>
        </w:tabs>
        <w:autoSpaceDE w:val="0"/>
        <w:autoSpaceDN w:val="0"/>
        <w:adjustRightInd w:val="0"/>
      </w:pPr>
    </w:p>
    <w:p w:rsidR="00534A17" w:rsidRDefault="00534A17">
      <w:r>
        <w:br w:type="page"/>
      </w:r>
    </w:p>
    <w:p w:rsidR="00534A17" w:rsidRDefault="00534A17" w:rsidP="00534A17">
      <w:pPr>
        <w:autoSpaceDE w:val="0"/>
        <w:autoSpaceDN w:val="0"/>
        <w:adjustRightInd w:val="0"/>
      </w:pPr>
      <w:r>
        <w:lastRenderedPageBreak/>
        <w:t>Explanatory Notes:</w:t>
      </w:r>
    </w:p>
    <w:p w:rsidR="00534A17" w:rsidRDefault="00534A17" w:rsidP="00534A17">
      <w:pPr>
        <w:autoSpaceDE w:val="0"/>
        <w:autoSpaceDN w:val="0"/>
        <w:adjustRightInd w:val="0"/>
      </w:pPr>
    </w:p>
    <w:p w:rsidR="00534A17" w:rsidRDefault="00534A17" w:rsidP="005357A6">
      <w:pPr>
        <w:tabs>
          <w:tab w:val="num" w:pos="993"/>
        </w:tabs>
        <w:autoSpaceDE w:val="0"/>
        <w:autoSpaceDN w:val="0"/>
        <w:adjustRightInd w:val="0"/>
      </w:pPr>
      <w:r>
        <w:t>This provision deals with the possibility of establishing databases of traditional knowledge</w:t>
      </w:r>
      <w:r w:rsidR="00793777">
        <w:t>, which is considered a com</w:t>
      </w:r>
      <w:r w:rsidR="000B41B7">
        <w:t>ple</w:t>
      </w:r>
      <w:r w:rsidR="00793777">
        <w:t>mentary and defensive measure of protecting traditional knowledge</w:t>
      </w:r>
      <w:r>
        <w:t xml:space="preserve">.   </w:t>
      </w:r>
    </w:p>
    <w:p w:rsidR="00534A17" w:rsidRDefault="00534A17" w:rsidP="005357A6">
      <w:pPr>
        <w:tabs>
          <w:tab w:val="num" w:pos="993"/>
        </w:tabs>
        <w:autoSpaceDE w:val="0"/>
        <w:autoSpaceDN w:val="0"/>
        <w:adjustRightInd w:val="0"/>
      </w:pPr>
    </w:p>
    <w:p w:rsidR="00750EE5" w:rsidRDefault="00750EE5" w:rsidP="005357A6">
      <w:pPr>
        <w:tabs>
          <w:tab w:val="num" w:pos="993"/>
        </w:tabs>
        <w:autoSpaceDE w:val="0"/>
        <w:autoSpaceDN w:val="0"/>
        <w:adjustRightInd w:val="0"/>
      </w:pPr>
      <w:r>
        <w:t>Thi</w:t>
      </w:r>
      <w:r w:rsidR="00A45AF6">
        <w:t>s provision leaves flexibility</w:t>
      </w:r>
      <w:r>
        <w:t xml:space="preserve"> to Member States to decide on the establishment of databases, and access</w:t>
      </w:r>
      <w:r w:rsidR="00596DA9">
        <w:t xml:space="preserve"> by intellectual property offices. </w:t>
      </w:r>
    </w:p>
    <w:p w:rsidR="00856A89" w:rsidRDefault="00856A89" w:rsidP="005357A6">
      <w:pPr>
        <w:tabs>
          <w:tab w:val="num" w:pos="993"/>
        </w:tabs>
        <w:autoSpaceDE w:val="0"/>
        <w:autoSpaceDN w:val="0"/>
        <w:adjustRightInd w:val="0"/>
      </w:pPr>
    </w:p>
    <w:p w:rsidR="00856A89" w:rsidRDefault="00856A89" w:rsidP="005357A6">
      <w:pPr>
        <w:tabs>
          <w:tab w:val="num" w:pos="993"/>
        </w:tabs>
        <w:autoSpaceDE w:val="0"/>
        <w:autoSpaceDN w:val="0"/>
        <w:adjustRightInd w:val="0"/>
      </w:pPr>
      <w:r w:rsidRPr="00856A89">
        <w:t xml:space="preserve">This </w:t>
      </w:r>
      <w:r>
        <w:t>provision also</w:t>
      </w:r>
      <w:r w:rsidRPr="00856A89">
        <w:t xml:space="preserve"> reflect</w:t>
      </w:r>
      <w:r>
        <w:t>s</w:t>
      </w:r>
      <w:r w:rsidRPr="00856A89">
        <w:t xml:space="preserve"> </w:t>
      </w:r>
      <w:r>
        <w:t xml:space="preserve">that </w:t>
      </w:r>
      <w:r w:rsidRPr="00856A89">
        <w:t xml:space="preserve">the </w:t>
      </w:r>
      <w:r>
        <w:t>establishment of databases could be either M</w:t>
      </w:r>
      <w:r w:rsidRPr="00856A89">
        <w:t>embe</w:t>
      </w:r>
      <w:r>
        <w:t>r S</w:t>
      </w:r>
      <w:r w:rsidRPr="00856A89">
        <w:t xml:space="preserve">tate driven, or Indigenous </w:t>
      </w:r>
      <w:r>
        <w:t xml:space="preserve">Peoples </w:t>
      </w:r>
      <w:r w:rsidRPr="00856A89">
        <w:t>driven with support</w:t>
      </w:r>
      <w:r w:rsidR="00092D68">
        <w:t xml:space="preserve"> from Member States</w:t>
      </w:r>
      <w:r w:rsidRPr="00856A89">
        <w:t>.</w:t>
      </w:r>
    </w:p>
    <w:p w:rsidR="0077255B" w:rsidRDefault="0077255B" w:rsidP="005357A6">
      <w:pPr>
        <w:tabs>
          <w:tab w:val="num" w:pos="993"/>
        </w:tabs>
        <w:autoSpaceDE w:val="0"/>
        <w:autoSpaceDN w:val="0"/>
        <w:adjustRightInd w:val="0"/>
      </w:pPr>
    </w:p>
    <w:p w:rsidR="0077255B" w:rsidRDefault="0077255B" w:rsidP="005357A6">
      <w:pPr>
        <w:tabs>
          <w:tab w:val="num" w:pos="993"/>
        </w:tabs>
        <w:autoSpaceDE w:val="0"/>
        <w:autoSpaceDN w:val="0"/>
        <w:adjustRightInd w:val="0"/>
      </w:pPr>
      <w:r>
        <w:t>This provision also emphasizes the importance of consulting</w:t>
      </w:r>
      <w:r w:rsidR="0047600E">
        <w:t xml:space="preserve"> with</w:t>
      </w:r>
      <w:r>
        <w:t xml:space="preserve"> </w:t>
      </w:r>
      <w:r w:rsidR="00856A89">
        <w:t>I</w:t>
      </w:r>
      <w:r>
        <w:t xml:space="preserve">ndigenous </w:t>
      </w:r>
      <w:r w:rsidR="00856A89">
        <w:t>P</w:t>
      </w:r>
      <w:r>
        <w:t xml:space="preserve">eoples and local communities when establishing databases. </w:t>
      </w:r>
    </w:p>
    <w:p w:rsidR="0077255B" w:rsidRDefault="0077255B" w:rsidP="005357A6">
      <w:pPr>
        <w:tabs>
          <w:tab w:val="num" w:pos="993"/>
        </w:tabs>
        <w:autoSpaceDE w:val="0"/>
        <w:autoSpaceDN w:val="0"/>
        <w:adjustRightInd w:val="0"/>
      </w:pPr>
    </w:p>
    <w:p w:rsidR="00F9738D" w:rsidRDefault="00AD6CF4" w:rsidP="005357A6">
      <w:pPr>
        <w:tabs>
          <w:tab w:val="num" w:pos="993"/>
        </w:tabs>
        <w:autoSpaceDE w:val="0"/>
        <w:autoSpaceDN w:val="0"/>
        <w:adjustRightInd w:val="0"/>
      </w:pPr>
      <w:r>
        <w:t>To draft this provision, I also took into account the recommendations made by the virtual expert meeting</w:t>
      </w:r>
      <w:r w:rsidR="00F9738D">
        <w:t xml:space="preserve"> on information systems of genetic resources, traditional knowledge and traditional cultural expressions</w:t>
      </w:r>
      <w:r>
        <w:t>.</w:t>
      </w:r>
    </w:p>
    <w:p w:rsidR="005357A6" w:rsidRDefault="005357A6" w:rsidP="005357A6">
      <w:pPr>
        <w:tabs>
          <w:tab w:val="num" w:pos="993"/>
        </w:tabs>
        <w:autoSpaceDE w:val="0"/>
        <w:autoSpaceDN w:val="0"/>
        <w:adjustRightInd w:val="0"/>
      </w:pPr>
      <w:r>
        <w:br w:type="page"/>
      </w:r>
    </w:p>
    <w:p w:rsidR="005357A6" w:rsidRDefault="005357A6" w:rsidP="005357A6">
      <w:pPr>
        <w:tabs>
          <w:tab w:val="num" w:pos="993"/>
        </w:tabs>
        <w:autoSpaceDE w:val="0"/>
        <w:autoSpaceDN w:val="0"/>
        <w:adjustRightInd w:val="0"/>
        <w:jc w:val="center"/>
      </w:pPr>
      <w:r>
        <w:lastRenderedPageBreak/>
        <w:t xml:space="preserve">NON-RETROACTIVITY </w:t>
      </w:r>
    </w:p>
    <w:p w:rsidR="005357A6" w:rsidRDefault="005357A6" w:rsidP="005357A6">
      <w:pPr>
        <w:tabs>
          <w:tab w:val="num" w:pos="993"/>
        </w:tabs>
        <w:autoSpaceDE w:val="0"/>
        <w:autoSpaceDN w:val="0"/>
        <w:adjustRightInd w:val="0"/>
        <w:jc w:val="center"/>
      </w:pPr>
    </w:p>
    <w:p w:rsidR="005357A6" w:rsidRDefault="005357A6" w:rsidP="005357A6">
      <w:pPr>
        <w:tabs>
          <w:tab w:val="num" w:pos="993"/>
        </w:tabs>
        <w:autoSpaceDE w:val="0"/>
        <w:autoSpaceDN w:val="0"/>
        <w:adjustRightInd w:val="0"/>
        <w:jc w:val="center"/>
      </w:pPr>
    </w:p>
    <w:p w:rsidR="005357A6" w:rsidRDefault="005357A6" w:rsidP="005357A6">
      <w:pPr>
        <w:tabs>
          <w:tab w:val="num" w:pos="993"/>
        </w:tabs>
        <w:autoSpaceDE w:val="0"/>
        <w:autoSpaceDN w:val="0"/>
        <w:adjustRightInd w:val="0"/>
      </w:pPr>
      <w:r>
        <w:t xml:space="preserve">Member States shall not impose the obligations of this instrument in relation to intellectual property </w:t>
      </w:r>
      <w:r w:rsidR="00812771">
        <w:t>applications that</w:t>
      </w:r>
      <w:r>
        <w:t xml:space="preserve"> have been filed prior to that Member State’s ratification of or accession to this instrument, subject to national laws that existed prior to such ratification or accession.</w:t>
      </w:r>
    </w:p>
    <w:p w:rsidR="005357A6" w:rsidRDefault="005357A6" w:rsidP="005357A6">
      <w:pPr>
        <w:tabs>
          <w:tab w:val="num" w:pos="993"/>
        </w:tabs>
        <w:autoSpaceDE w:val="0"/>
        <w:autoSpaceDN w:val="0"/>
        <w:adjustRightInd w:val="0"/>
        <w:jc w:val="center"/>
      </w:pPr>
      <w:r>
        <w:br w:type="page"/>
      </w:r>
      <w:r w:rsidR="001224AB">
        <w:lastRenderedPageBreak/>
        <w:t xml:space="preserve"> </w:t>
      </w:r>
    </w:p>
    <w:p w:rsidR="005357A6" w:rsidRDefault="005357A6" w:rsidP="005357A6">
      <w:pPr>
        <w:tabs>
          <w:tab w:val="num" w:pos="993"/>
        </w:tabs>
        <w:autoSpaceDE w:val="0"/>
        <w:autoSpaceDN w:val="0"/>
        <w:adjustRightInd w:val="0"/>
        <w:jc w:val="center"/>
      </w:pPr>
      <w:r>
        <w:t>RELATIONSHIP WITH OTHER INTERNATIONAL AGREEMENTS</w:t>
      </w:r>
    </w:p>
    <w:p w:rsidR="005357A6" w:rsidRDefault="005357A6" w:rsidP="005357A6">
      <w:pPr>
        <w:tabs>
          <w:tab w:val="num" w:pos="993"/>
        </w:tabs>
        <w:autoSpaceDE w:val="0"/>
        <w:autoSpaceDN w:val="0"/>
        <w:adjustRightInd w:val="0"/>
      </w:pPr>
    </w:p>
    <w:p w:rsidR="005357A6" w:rsidRDefault="005357A6" w:rsidP="005357A6">
      <w:pPr>
        <w:tabs>
          <w:tab w:val="left" w:pos="550"/>
          <w:tab w:val="num" w:pos="993"/>
        </w:tabs>
        <w:autoSpaceDE w:val="0"/>
        <w:autoSpaceDN w:val="0"/>
        <w:adjustRightInd w:val="0"/>
        <w:jc w:val="center"/>
      </w:pPr>
    </w:p>
    <w:p w:rsidR="005357A6" w:rsidRDefault="005357A6" w:rsidP="005357A6">
      <w:pPr>
        <w:tabs>
          <w:tab w:val="left" w:pos="550"/>
          <w:tab w:val="num" w:pos="993"/>
        </w:tabs>
        <w:autoSpaceDE w:val="0"/>
        <w:autoSpaceDN w:val="0"/>
        <w:adjustRightInd w:val="0"/>
      </w:pPr>
      <w:r>
        <w:t xml:space="preserve">This instrument shall </w:t>
      </w:r>
      <w:r w:rsidR="00695E3F">
        <w:t xml:space="preserve">be implemented in </w:t>
      </w:r>
      <w:r>
        <w:t xml:space="preserve">a mutually supportive </w:t>
      </w:r>
      <w:r w:rsidR="00695E3F">
        <w:t xml:space="preserve">way </w:t>
      </w:r>
      <w:r>
        <w:t>with other relevant intern</w:t>
      </w:r>
      <w:r w:rsidR="006E18AA">
        <w:t>ational agreements and treaties</w:t>
      </w:r>
      <w:r w:rsidRPr="00DA02D8">
        <w:t>.</w:t>
      </w:r>
    </w:p>
    <w:p w:rsidR="005357A6" w:rsidRDefault="005357A6" w:rsidP="005357A6">
      <w:pPr>
        <w:tabs>
          <w:tab w:val="num" w:pos="993"/>
        </w:tabs>
        <w:autoSpaceDE w:val="0"/>
        <w:autoSpaceDN w:val="0"/>
        <w:adjustRightInd w:val="0"/>
      </w:pPr>
    </w:p>
    <w:p w:rsidR="005357A6" w:rsidRDefault="005357A6" w:rsidP="005357A6">
      <w:pPr>
        <w:tabs>
          <w:tab w:val="num" w:pos="993"/>
        </w:tabs>
        <w:autoSpaceDE w:val="0"/>
        <w:autoSpaceDN w:val="0"/>
        <w:adjustRightInd w:val="0"/>
      </w:pPr>
    </w:p>
    <w:p w:rsidR="005357A6" w:rsidRDefault="005357A6" w:rsidP="005357A6">
      <w:pPr>
        <w:tabs>
          <w:tab w:val="num" w:pos="993"/>
        </w:tabs>
        <w:autoSpaceDE w:val="0"/>
        <w:autoSpaceDN w:val="0"/>
        <w:adjustRightInd w:val="0"/>
      </w:pPr>
      <w:r>
        <w:br w:type="page"/>
      </w:r>
    </w:p>
    <w:p w:rsidR="005357A6" w:rsidRDefault="005357A6" w:rsidP="005357A6">
      <w:pPr>
        <w:tabs>
          <w:tab w:val="num" w:pos="993"/>
        </w:tabs>
        <w:autoSpaceDE w:val="0"/>
        <w:autoSpaceDN w:val="0"/>
        <w:adjustRightInd w:val="0"/>
        <w:jc w:val="center"/>
      </w:pPr>
      <w:r>
        <w:lastRenderedPageBreak/>
        <w:t>NON-DEROGATION</w:t>
      </w:r>
    </w:p>
    <w:p w:rsidR="005357A6" w:rsidRDefault="005357A6" w:rsidP="005357A6">
      <w:pPr>
        <w:tabs>
          <w:tab w:val="num" w:pos="993"/>
        </w:tabs>
        <w:autoSpaceDE w:val="0"/>
        <w:autoSpaceDN w:val="0"/>
        <w:adjustRightInd w:val="0"/>
        <w:jc w:val="center"/>
      </w:pPr>
    </w:p>
    <w:p w:rsidR="005357A6" w:rsidRDefault="005357A6" w:rsidP="005357A6">
      <w:pPr>
        <w:tabs>
          <w:tab w:val="num" w:pos="993"/>
        </w:tabs>
        <w:autoSpaceDE w:val="0"/>
        <w:autoSpaceDN w:val="0"/>
        <w:adjustRightInd w:val="0"/>
        <w:jc w:val="center"/>
      </w:pPr>
    </w:p>
    <w:p w:rsidR="005357A6" w:rsidRDefault="005357A6" w:rsidP="005357A6">
      <w:pPr>
        <w:tabs>
          <w:tab w:val="num" w:pos="993"/>
        </w:tabs>
        <w:autoSpaceDE w:val="0"/>
        <w:autoSpaceDN w:val="0"/>
        <w:adjustRightInd w:val="0"/>
      </w:pPr>
      <w:r>
        <w:t>Nothing in this instrument</w:t>
      </w:r>
      <w:r w:rsidRPr="00747793">
        <w:t xml:space="preserve"> may be construed as diminishing or extinguish</w:t>
      </w:r>
      <w:r>
        <w:t xml:space="preserve">ing the rights that </w:t>
      </w:r>
      <w:r w:rsidR="00220F34">
        <w:t>I</w:t>
      </w:r>
      <w:r>
        <w:t xml:space="preserve">ndigenous </w:t>
      </w:r>
      <w:r w:rsidR="00220F34">
        <w:t>P</w:t>
      </w:r>
      <w:r>
        <w:t>eoples</w:t>
      </w:r>
      <w:r w:rsidRPr="00747793">
        <w:t xml:space="preserve"> or local communities have now or may acquire in the future.</w:t>
      </w:r>
      <w:r>
        <w:br w:type="page"/>
      </w:r>
    </w:p>
    <w:p w:rsidR="005357A6" w:rsidRDefault="005357A6" w:rsidP="005357A6">
      <w:pPr>
        <w:tabs>
          <w:tab w:val="num" w:pos="993"/>
        </w:tabs>
        <w:autoSpaceDE w:val="0"/>
        <w:autoSpaceDN w:val="0"/>
        <w:adjustRightInd w:val="0"/>
        <w:jc w:val="center"/>
      </w:pPr>
      <w:r>
        <w:lastRenderedPageBreak/>
        <w:t>NATIONAL TREATMENT</w:t>
      </w:r>
    </w:p>
    <w:p w:rsidR="005357A6" w:rsidRDefault="005357A6" w:rsidP="005357A6">
      <w:pPr>
        <w:tabs>
          <w:tab w:val="num" w:pos="993"/>
        </w:tabs>
        <w:autoSpaceDE w:val="0"/>
        <w:autoSpaceDN w:val="0"/>
        <w:adjustRightInd w:val="0"/>
      </w:pPr>
    </w:p>
    <w:p w:rsidR="005357A6" w:rsidRDefault="005357A6" w:rsidP="005357A6">
      <w:pPr>
        <w:tabs>
          <w:tab w:val="num" w:pos="993"/>
        </w:tabs>
        <w:autoSpaceDE w:val="0"/>
        <w:autoSpaceDN w:val="0"/>
        <w:adjustRightInd w:val="0"/>
      </w:pPr>
      <w:r>
        <w:rPr>
          <w:szCs w:val="22"/>
        </w:rPr>
        <w:t xml:space="preserve">Each </w:t>
      </w:r>
      <w:r w:rsidRPr="00E31D9A">
        <w:rPr>
          <w:szCs w:val="22"/>
        </w:rPr>
        <w:t>Member State</w:t>
      </w:r>
      <w:r>
        <w:rPr>
          <w:szCs w:val="22"/>
        </w:rPr>
        <w:t xml:space="preserve"> shall</w:t>
      </w:r>
      <w:r w:rsidRPr="00E31D9A">
        <w:rPr>
          <w:szCs w:val="22"/>
        </w:rPr>
        <w:t xml:space="preserve"> accord to beneficiari</w:t>
      </w:r>
      <w:r>
        <w:rPr>
          <w:szCs w:val="22"/>
        </w:rPr>
        <w:t xml:space="preserve">es that are nationals of other </w:t>
      </w:r>
      <w:r w:rsidRPr="00E31D9A">
        <w:rPr>
          <w:szCs w:val="22"/>
        </w:rPr>
        <w:t>Memb</w:t>
      </w:r>
      <w:r>
        <w:rPr>
          <w:szCs w:val="22"/>
        </w:rPr>
        <w:t>er States</w:t>
      </w:r>
      <w:r w:rsidRPr="00E31D9A">
        <w:rPr>
          <w:szCs w:val="22"/>
        </w:rPr>
        <w:t xml:space="preserve"> treatment no less favourable than it accords to beneficiaries that are its own nationals with regard to the prot</w:t>
      </w:r>
      <w:r>
        <w:rPr>
          <w:szCs w:val="22"/>
        </w:rPr>
        <w:t>ection provided for under this instrument.</w:t>
      </w:r>
    </w:p>
    <w:p w:rsidR="005357A6" w:rsidRDefault="005357A6" w:rsidP="005357A6">
      <w:pPr>
        <w:tabs>
          <w:tab w:val="num" w:pos="993"/>
        </w:tabs>
        <w:autoSpaceDE w:val="0"/>
        <w:autoSpaceDN w:val="0"/>
        <w:adjustRightInd w:val="0"/>
      </w:pPr>
    </w:p>
    <w:p w:rsidR="00876A96" w:rsidRDefault="00876A96">
      <w:r>
        <w:br w:type="page"/>
      </w:r>
    </w:p>
    <w:p w:rsidR="00876A96" w:rsidRDefault="00876A96" w:rsidP="00876A96">
      <w:pPr>
        <w:autoSpaceDE w:val="0"/>
        <w:autoSpaceDN w:val="0"/>
        <w:adjustRightInd w:val="0"/>
        <w:ind w:left="550" w:hanging="550"/>
      </w:pPr>
      <w:r>
        <w:lastRenderedPageBreak/>
        <w:t xml:space="preserve">Explanatory Notes: </w:t>
      </w:r>
    </w:p>
    <w:p w:rsidR="00876A96" w:rsidRDefault="00876A96" w:rsidP="00876A96">
      <w:pPr>
        <w:tabs>
          <w:tab w:val="num" w:pos="993"/>
        </w:tabs>
        <w:autoSpaceDE w:val="0"/>
        <w:autoSpaceDN w:val="0"/>
        <w:adjustRightInd w:val="0"/>
      </w:pPr>
    </w:p>
    <w:p w:rsidR="005357A6" w:rsidRDefault="00876A96" w:rsidP="00876A96">
      <w:pPr>
        <w:tabs>
          <w:tab w:val="num" w:pos="993"/>
        </w:tabs>
        <w:autoSpaceDE w:val="0"/>
        <w:autoSpaceDN w:val="0"/>
        <w:adjustRightInd w:val="0"/>
      </w:pPr>
      <w:r>
        <w:t>“National treatment” is a p</w:t>
      </w:r>
      <w:r w:rsidR="00786183">
        <w:t>rinciple where</w:t>
      </w:r>
      <w:r>
        <w:t xml:space="preserve"> a host co</w:t>
      </w:r>
      <w:r w:rsidR="00D47CE2">
        <w:t>untry would extend to foreign traditional knowledge or traditional cultural expression</w:t>
      </w:r>
      <w:r>
        <w:t xml:space="preserve"> holders treatment that is at least as favorable as the tre</w:t>
      </w:r>
      <w:r w:rsidR="00D47CE2">
        <w:t>atment it accords to national traditional knowledge or traditional cultural expression</w:t>
      </w:r>
      <w:r>
        <w:t xml:space="preserve"> holders in similar circumstances. </w:t>
      </w:r>
      <w:r w:rsidR="00D47CE2">
        <w:t xml:space="preserve"> </w:t>
      </w:r>
      <w:r>
        <w:t xml:space="preserve">In this </w:t>
      </w:r>
      <w:r w:rsidR="00786183">
        <w:t>way,</w:t>
      </w:r>
      <w:r>
        <w:t xml:space="preserve"> national treatment standards seek to ensure a degree of legal equality</w:t>
      </w:r>
      <w:r w:rsidR="00D47CE2">
        <w:t xml:space="preserve"> between foreign and national traditional knowledge </w:t>
      </w:r>
      <w:r w:rsidR="00786183">
        <w:t>or</w:t>
      </w:r>
      <w:r w:rsidR="00D47CE2">
        <w:t xml:space="preserve"> traditional cultural expression</w:t>
      </w:r>
      <w:r>
        <w:t xml:space="preserve"> holders. </w:t>
      </w:r>
      <w:r w:rsidR="00D47CE2">
        <w:t xml:space="preserve"> </w:t>
      </w:r>
      <w:r>
        <w:t xml:space="preserve">It is important to note that national treatment is a relative standard </w:t>
      </w:r>
      <w:r w:rsidR="00786183">
        <w:t>of which the</w:t>
      </w:r>
      <w:r>
        <w:t xml:space="preserve"> content depends on the underlying st</w:t>
      </w:r>
      <w:r w:rsidR="00D47CE2">
        <w:t>ate of treatment for domestic traditional knowledge or traditional cultural expression</w:t>
      </w:r>
      <w:r>
        <w:t xml:space="preserve"> holders.</w:t>
      </w:r>
    </w:p>
    <w:p w:rsidR="005357A6" w:rsidRDefault="005357A6" w:rsidP="005357A6">
      <w:pPr>
        <w:tabs>
          <w:tab w:val="num" w:pos="993"/>
        </w:tabs>
        <w:autoSpaceDE w:val="0"/>
        <w:autoSpaceDN w:val="0"/>
        <w:adjustRightInd w:val="0"/>
        <w:jc w:val="center"/>
      </w:pPr>
      <w:r>
        <w:br w:type="page"/>
      </w:r>
    </w:p>
    <w:p w:rsidR="005357A6" w:rsidRDefault="005357A6" w:rsidP="005357A6">
      <w:pPr>
        <w:tabs>
          <w:tab w:val="num" w:pos="993"/>
        </w:tabs>
        <w:autoSpaceDE w:val="0"/>
        <w:autoSpaceDN w:val="0"/>
        <w:adjustRightInd w:val="0"/>
        <w:jc w:val="center"/>
      </w:pPr>
      <w:r>
        <w:lastRenderedPageBreak/>
        <w:t>TRANSBOUNDARY COOPERATION</w:t>
      </w:r>
    </w:p>
    <w:p w:rsidR="005357A6" w:rsidRDefault="005357A6" w:rsidP="005357A6">
      <w:pPr>
        <w:tabs>
          <w:tab w:val="num" w:pos="993"/>
        </w:tabs>
        <w:autoSpaceDE w:val="0"/>
        <w:autoSpaceDN w:val="0"/>
        <w:adjustRightInd w:val="0"/>
      </w:pPr>
    </w:p>
    <w:p w:rsidR="005357A6" w:rsidRDefault="005357A6" w:rsidP="005357A6">
      <w:pPr>
        <w:tabs>
          <w:tab w:val="left" w:pos="550"/>
        </w:tabs>
        <w:autoSpaceDE w:val="0"/>
        <w:autoSpaceDN w:val="0"/>
        <w:adjustRightInd w:val="0"/>
      </w:pPr>
      <w:r>
        <w:t>Where the same traditional knowledge or traditional cultural expression is located in the territory of more than one Member State, or is</w:t>
      </w:r>
      <w:r w:rsidRPr="00431A2E">
        <w:t xml:space="preserve"> </w:t>
      </w:r>
      <w:r>
        <w:t xml:space="preserve">shared by one or more </w:t>
      </w:r>
      <w:r w:rsidR="00220F34">
        <w:t>I</w:t>
      </w:r>
      <w:r>
        <w:t>ndigenous</w:t>
      </w:r>
      <w:r w:rsidR="0028320D">
        <w:t xml:space="preserve"> </w:t>
      </w:r>
      <w:r w:rsidR="00220F34">
        <w:t>P</w:t>
      </w:r>
      <w:r w:rsidR="0028320D">
        <w:t>eoples</w:t>
      </w:r>
      <w:r>
        <w:t xml:space="preserve"> and local communities in several Member States, those Member States shall </w:t>
      </w:r>
      <w:r w:rsidR="00786183">
        <w:t>endeavor</w:t>
      </w:r>
      <w:r>
        <w:t xml:space="preserve"> to cooperate, as appropriate, with the involvement of the </w:t>
      </w:r>
      <w:r w:rsidR="00220F34">
        <w:t>I</w:t>
      </w:r>
      <w:r>
        <w:t xml:space="preserve">ndigenous </w:t>
      </w:r>
      <w:r w:rsidR="00220F34">
        <w:t>P</w:t>
      </w:r>
      <w:r>
        <w:t>eoples and local communities concer</w:t>
      </w:r>
      <w:r w:rsidR="00786183">
        <w:t>ned, with a view to implement</w:t>
      </w:r>
      <w:r w:rsidR="005E53E8">
        <w:t>ing</w:t>
      </w:r>
      <w:r>
        <w:t xml:space="preserve"> the objectives of this instrument.</w:t>
      </w:r>
    </w:p>
    <w:p w:rsidR="005357A6" w:rsidRDefault="005357A6" w:rsidP="005357A6"/>
    <w:p w:rsidR="00294639" w:rsidRDefault="00294639">
      <w:r>
        <w:br w:type="page"/>
      </w:r>
    </w:p>
    <w:p w:rsidR="00294639" w:rsidRDefault="00294639" w:rsidP="00294639">
      <w:pPr>
        <w:autoSpaceDE w:val="0"/>
        <w:autoSpaceDN w:val="0"/>
        <w:adjustRightInd w:val="0"/>
        <w:ind w:left="550" w:hanging="550"/>
      </w:pPr>
      <w:r>
        <w:lastRenderedPageBreak/>
        <w:t xml:space="preserve">Explanatory Notes: </w:t>
      </w:r>
    </w:p>
    <w:p w:rsidR="00294639" w:rsidRDefault="00294639" w:rsidP="00294639">
      <w:pPr>
        <w:tabs>
          <w:tab w:val="num" w:pos="993"/>
        </w:tabs>
        <w:autoSpaceDE w:val="0"/>
        <w:autoSpaceDN w:val="0"/>
        <w:adjustRightInd w:val="0"/>
      </w:pPr>
    </w:p>
    <w:p w:rsidR="00294639" w:rsidRDefault="00A31E80" w:rsidP="00294639">
      <w:r>
        <w:t>This provision deals with the important issue of traditional knowledge and traditional cultural expression</w:t>
      </w:r>
      <w:r w:rsidR="00A45AF6">
        <w:t>s</w:t>
      </w:r>
      <w:r>
        <w:t xml:space="preserve"> that </w:t>
      </w:r>
      <w:r w:rsidR="00A45AF6">
        <w:t>are</w:t>
      </w:r>
      <w:r>
        <w:t xml:space="preserve"> shared across national borders.</w:t>
      </w:r>
    </w:p>
    <w:p w:rsidR="00A31E80" w:rsidRDefault="00A31E80" w:rsidP="00294639"/>
    <w:p w:rsidR="00A31E80" w:rsidRDefault="00A31E80" w:rsidP="00A31E80">
      <w:pPr>
        <w:tabs>
          <w:tab w:val="num" w:pos="993"/>
        </w:tabs>
        <w:autoSpaceDE w:val="0"/>
        <w:autoSpaceDN w:val="0"/>
        <w:adjustRightInd w:val="0"/>
      </w:pPr>
      <w:r>
        <w:t xml:space="preserve">This provision leaves flexibility to the concerned Member States to </w:t>
      </w:r>
      <w:r w:rsidR="00786183">
        <w:t>cooperate</w:t>
      </w:r>
      <w:r w:rsidR="003500B2">
        <w:t xml:space="preserve"> as appropriate</w:t>
      </w:r>
      <w:r>
        <w:t>.</w:t>
      </w:r>
    </w:p>
    <w:p w:rsidR="00A31E80" w:rsidRDefault="00A31E80" w:rsidP="00294639"/>
    <w:p w:rsidR="005357A6" w:rsidRDefault="005357A6" w:rsidP="005357A6">
      <w:r>
        <w:br w:type="page"/>
      </w:r>
    </w:p>
    <w:p w:rsidR="005357A6" w:rsidRDefault="005357A6" w:rsidP="005357A6">
      <w:pPr>
        <w:jc w:val="center"/>
      </w:pPr>
      <w:r>
        <w:lastRenderedPageBreak/>
        <w:t>REVIEW</w:t>
      </w:r>
    </w:p>
    <w:p w:rsidR="005357A6" w:rsidRDefault="005357A6" w:rsidP="005357A6"/>
    <w:p w:rsidR="0078309F" w:rsidRPr="00B336FB" w:rsidRDefault="005357A6" w:rsidP="0078309F">
      <w:r>
        <w:t xml:space="preserve">Member States commit to a </w:t>
      </w:r>
      <w:r w:rsidR="00D123F4">
        <w:t xml:space="preserve">periodic </w:t>
      </w:r>
      <w:r>
        <w:t xml:space="preserve">review of this instrument </w:t>
      </w:r>
      <w:r w:rsidR="00D123F4">
        <w:t xml:space="preserve">starting </w:t>
      </w:r>
      <w:r>
        <w:t xml:space="preserve">no later than four years after the entry into force of this instrument. </w:t>
      </w:r>
    </w:p>
    <w:p w:rsidR="00B336FB" w:rsidRPr="00B336FB" w:rsidRDefault="00B336FB" w:rsidP="0078309F"/>
    <w:p w:rsidR="00AD3EDC" w:rsidRDefault="00AD3EDC">
      <w:r>
        <w:br w:type="page"/>
      </w:r>
    </w:p>
    <w:p w:rsidR="00AD3EDC" w:rsidRDefault="00AD3EDC" w:rsidP="00AD3EDC">
      <w:pPr>
        <w:autoSpaceDE w:val="0"/>
        <w:autoSpaceDN w:val="0"/>
        <w:adjustRightInd w:val="0"/>
        <w:ind w:left="550" w:hanging="550"/>
      </w:pPr>
      <w:r>
        <w:lastRenderedPageBreak/>
        <w:t xml:space="preserve">Explanatory Notes: </w:t>
      </w:r>
    </w:p>
    <w:p w:rsidR="00AD3EDC" w:rsidRDefault="00AD3EDC" w:rsidP="00AD3EDC">
      <w:pPr>
        <w:tabs>
          <w:tab w:val="num" w:pos="993"/>
        </w:tabs>
        <w:autoSpaceDE w:val="0"/>
        <w:autoSpaceDN w:val="0"/>
        <w:adjustRightInd w:val="0"/>
      </w:pPr>
    </w:p>
    <w:p w:rsidR="00B336FB" w:rsidRDefault="00AD3EDC" w:rsidP="00AD3EDC">
      <w:r>
        <w:t xml:space="preserve">This provision introduces a review mechanism to address additional issues within a predetermined </w:t>
      </w:r>
      <w:r w:rsidR="00786183">
        <w:t>time frame</w:t>
      </w:r>
      <w:r>
        <w:t>.</w:t>
      </w:r>
    </w:p>
    <w:p w:rsidR="00AD3EDC" w:rsidRDefault="00AD3EDC" w:rsidP="00AD3EDC"/>
    <w:p w:rsidR="00E44047" w:rsidRDefault="00E44047" w:rsidP="00B336FB">
      <w:pPr>
        <w:jc w:val="center"/>
      </w:pPr>
    </w:p>
    <w:p w:rsidR="00B336FB" w:rsidRPr="00B336FB" w:rsidRDefault="00B336FB" w:rsidP="00B336FB">
      <w:pPr>
        <w:jc w:val="center"/>
      </w:pPr>
      <w:r>
        <w:t>___________</w:t>
      </w:r>
    </w:p>
    <w:p w:rsidR="0078309F" w:rsidRPr="00B336FB" w:rsidRDefault="0078309F" w:rsidP="00804DB7">
      <w:pPr>
        <w:rPr>
          <w:szCs w:val="22"/>
        </w:rPr>
      </w:pPr>
    </w:p>
    <w:sectPr w:rsidR="0078309F" w:rsidRPr="00B336FB"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3B" w:rsidRDefault="00721D3B" w:rsidP="0078309F">
      <w:r>
        <w:separator/>
      </w:r>
    </w:p>
  </w:endnote>
  <w:endnote w:type="continuationSeparator" w:id="0">
    <w:p w:rsidR="00721D3B" w:rsidRDefault="00721D3B"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0A" w:rsidRDefault="002D1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F4" w:rsidRDefault="008D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F4" w:rsidRDefault="008D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3B" w:rsidRDefault="00721D3B" w:rsidP="0078309F">
      <w:r>
        <w:separator/>
      </w:r>
    </w:p>
  </w:footnote>
  <w:footnote w:type="continuationSeparator" w:id="0">
    <w:p w:rsidR="00721D3B" w:rsidRDefault="00721D3B" w:rsidP="0078309F">
      <w:r>
        <w:continuationSeparator/>
      </w:r>
    </w:p>
  </w:footnote>
  <w:footnote w:id="1">
    <w:p w:rsidR="00A7612F" w:rsidRPr="007F5284" w:rsidRDefault="00A7612F" w:rsidP="00A7612F">
      <w:pPr>
        <w:pStyle w:val="Body1"/>
        <w:spacing w:line="20" w:lineRule="atLeast"/>
        <w:rPr>
          <w:rFonts w:ascii="Arial" w:hAnsi="Arial" w:cs="Arial"/>
          <w:sz w:val="18"/>
          <w:szCs w:val="18"/>
        </w:rPr>
      </w:pPr>
      <w:r>
        <w:rPr>
          <w:rStyle w:val="FootnoteReference"/>
        </w:rPr>
        <w:footnoteRef/>
      </w:r>
      <w:r>
        <w:t xml:space="preserve"> </w:t>
      </w:r>
      <w:r w:rsidRPr="007F5284">
        <w:rPr>
          <w:rFonts w:ascii="Arial" w:hAnsi="Arial" w:cs="Arial"/>
          <w:sz w:val="18"/>
          <w:szCs w:val="18"/>
        </w:rPr>
        <w:t xml:space="preserve">To this end, the information provided </w:t>
      </w:r>
      <w:r w:rsidR="00114693">
        <w:rPr>
          <w:rFonts w:ascii="Arial" w:hAnsi="Arial" w:cs="Arial"/>
          <w:sz w:val="18"/>
          <w:szCs w:val="18"/>
        </w:rPr>
        <w:t>in</w:t>
      </w:r>
      <w:r w:rsidRPr="007F5284">
        <w:rPr>
          <w:rFonts w:ascii="Arial" w:hAnsi="Arial" w:cs="Arial"/>
          <w:sz w:val="18"/>
          <w:szCs w:val="18"/>
        </w:rPr>
        <w:t xml:space="preserve"> the “Gap Analys</w:t>
      </w:r>
      <w:r w:rsidR="00D03431">
        <w:rPr>
          <w:rFonts w:ascii="Arial" w:hAnsi="Arial" w:cs="Arial"/>
          <w:sz w:val="18"/>
          <w:szCs w:val="18"/>
        </w:rPr>
        <w:t>e</w:t>
      </w:r>
      <w:r w:rsidRPr="007F5284">
        <w:rPr>
          <w:rFonts w:ascii="Arial" w:hAnsi="Arial" w:cs="Arial"/>
          <w:sz w:val="18"/>
          <w:szCs w:val="18"/>
        </w:rPr>
        <w:t>s”, contained in document</w:t>
      </w:r>
      <w:r w:rsidR="0098224B">
        <w:rPr>
          <w:rFonts w:ascii="Arial" w:hAnsi="Arial" w:cs="Arial"/>
          <w:sz w:val="18"/>
          <w:szCs w:val="18"/>
        </w:rPr>
        <w:t>s WIPO/GRTKF/IC/4</w:t>
      </w:r>
      <w:r w:rsidR="00FC4990">
        <w:rPr>
          <w:rFonts w:ascii="Arial" w:hAnsi="Arial" w:cs="Arial"/>
          <w:sz w:val="18"/>
          <w:szCs w:val="18"/>
        </w:rPr>
        <w:t>7</w:t>
      </w:r>
      <w:r w:rsidR="0098224B">
        <w:rPr>
          <w:rFonts w:ascii="Arial" w:hAnsi="Arial" w:cs="Arial"/>
          <w:sz w:val="18"/>
          <w:szCs w:val="18"/>
        </w:rPr>
        <w:t>/</w:t>
      </w:r>
      <w:r w:rsidR="00F00E8F">
        <w:rPr>
          <w:rFonts w:ascii="Arial" w:hAnsi="Arial" w:cs="Arial"/>
          <w:sz w:val="18"/>
          <w:szCs w:val="18"/>
        </w:rPr>
        <w:t>8</w:t>
      </w:r>
      <w:r w:rsidR="0098224B">
        <w:rPr>
          <w:rFonts w:ascii="Arial" w:hAnsi="Arial" w:cs="Arial"/>
          <w:sz w:val="18"/>
          <w:szCs w:val="18"/>
        </w:rPr>
        <w:t xml:space="preserve"> and WIPO/GRTKF/IC/4</w:t>
      </w:r>
      <w:r w:rsidR="00FC4990">
        <w:rPr>
          <w:rFonts w:ascii="Arial" w:hAnsi="Arial" w:cs="Arial"/>
          <w:sz w:val="18"/>
          <w:szCs w:val="18"/>
        </w:rPr>
        <w:t>7</w:t>
      </w:r>
      <w:r w:rsidR="009C58DE">
        <w:rPr>
          <w:rFonts w:ascii="Arial" w:hAnsi="Arial" w:cs="Arial"/>
          <w:sz w:val="18"/>
          <w:szCs w:val="18"/>
        </w:rPr>
        <w:t>/</w:t>
      </w:r>
      <w:r w:rsidR="00F00E8F">
        <w:rPr>
          <w:rFonts w:ascii="Arial" w:hAnsi="Arial" w:cs="Arial"/>
          <w:sz w:val="18"/>
          <w:szCs w:val="18"/>
        </w:rPr>
        <w:t>9</w:t>
      </w:r>
      <w:r w:rsidRPr="007F5284">
        <w:rPr>
          <w:rFonts w:ascii="Arial" w:hAnsi="Arial" w:cs="Arial"/>
          <w:sz w:val="18"/>
          <w:szCs w:val="18"/>
        </w:rPr>
        <w:t xml:space="preserve">, is worth noting.  The </w:t>
      </w:r>
      <w:r w:rsidR="009C58DE">
        <w:rPr>
          <w:rFonts w:ascii="Arial" w:hAnsi="Arial" w:cs="Arial"/>
          <w:sz w:val="18"/>
          <w:szCs w:val="18"/>
        </w:rPr>
        <w:t>“Gap Analys</w:t>
      </w:r>
      <w:r w:rsidR="00D03431">
        <w:rPr>
          <w:rFonts w:ascii="Arial" w:hAnsi="Arial" w:cs="Arial"/>
          <w:sz w:val="18"/>
          <w:szCs w:val="18"/>
        </w:rPr>
        <w:t>e</w:t>
      </w:r>
      <w:r w:rsidR="009C58DE">
        <w:rPr>
          <w:rFonts w:ascii="Arial" w:hAnsi="Arial" w:cs="Arial"/>
          <w:sz w:val="18"/>
          <w:szCs w:val="18"/>
        </w:rPr>
        <w:t xml:space="preserve">s” </w:t>
      </w:r>
      <w:r w:rsidRPr="007F5284">
        <w:rPr>
          <w:rFonts w:ascii="Arial" w:hAnsi="Arial" w:cs="Arial"/>
          <w:sz w:val="18"/>
          <w:szCs w:val="18"/>
        </w:rPr>
        <w:t xml:space="preserve">identified the gaps that existed at the international level </w:t>
      </w:r>
      <w:r w:rsidR="00427502">
        <w:rPr>
          <w:rFonts w:ascii="Arial" w:hAnsi="Arial" w:cs="Arial"/>
          <w:sz w:val="18"/>
          <w:szCs w:val="18"/>
        </w:rPr>
        <w:t>for</w:t>
      </w:r>
      <w:r w:rsidRPr="007F5284">
        <w:rPr>
          <w:rFonts w:ascii="Arial" w:hAnsi="Arial" w:cs="Arial"/>
          <w:sz w:val="18"/>
          <w:szCs w:val="18"/>
        </w:rPr>
        <w:t xml:space="preserve"> the protection of </w:t>
      </w:r>
      <w:r w:rsidR="009C58DE">
        <w:rPr>
          <w:rFonts w:ascii="Arial" w:hAnsi="Arial" w:cs="Arial"/>
          <w:sz w:val="18"/>
          <w:szCs w:val="18"/>
        </w:rPr>
        <w:t xml:space="preserve">TK and </w:t>
      </w:r>
      <w:r w:rsidRPr="007F5284">
        <w:rPr>
          <w:rFonts w:ascii="Arial" w:hAnsi="Arial" w:cs="Arial"/>
          <w:sz w:val="18"/>
          <w:szCs w:val="18"/>
        </w:rPr>
        <w:t>TCEs; set out considerations relevant to determining whether those gaps needed to be addressed; and described options that existed or might be developed to address any identified gaps.  Th</w:t>
      </w:r>
      <w:r w:rsidR="008766B4">
        <w:rPr>
          <w:rFonts w:ascii="Arial" w:hAnsi="Arial" w:cs="Arial"/>
          <w:sz w:val="18"/>
          <w:szCs w:val="18"/>
        </w:rPr>
        <w:t>ese</w:t>
      </w:r>
      <w:r w:rsidRPr="007F5284">
        <w:rPr>
          <w:rFonts w:ascii="Arial" w:hAnsi="Arial" w:cs="Arial"/>
          <w:sz w:val="18"/>
          <w:szCs w:val="18"/>
        </w:rPr>
        <w:t xml:space="preserve"> documen</w:t>
      </w:r>
      <w:r w:rsidR="009C58DE">
        <w:rPr>
          <w:rFonts w:ascii="Arial" w:hAnsi="Arial" w:cs="Arial"/>
          <w:sz w:val="18"/>
          <w:szCs w:val="18"/>
        </w:rPr>
        <w:t>t</w:t>
      </w:r>
      <w:r w:rsidR="008766B4">
        <w:rPr>
          <w:rFonts w:ascii="Arial" w:hAnsi="Arial" w:cs="Arial"/>
          <w:sz w:val="18"/>
          <w:szCs w:val="18"/>
        </w:rPr>
        <w:t>s</w:t>
      </w:r>
      <w:r w:rsidR="009C58DE">
        <w:rPr>
          <w:rFonts w:ascii="Arial" w:hAnsi="Arial" w:cs="Arial"/>
          <w:sz w:val="18"/>
          <w:szCs w:val="18"/>
        </w:rPr>
        <w:t xml:space="preserve"> also analyzed the concept of “protection”</w:t>
      </w:r>
      <w:r w:rsidR="00D03431">
        <w:rPr>
          <w:rFonts w:ascii="Arial" w:hAnsi="Arial" w:cs="Arial"/>
          <w:sz w:val="18"/>
          <w:szCs w:val="18"/>
        </w:rPr>
        <w:t xml:space="preserve"> in an IP sense</w:t>
      </w:r>
      <w:r w:rsidRPr="007F5284">
        <w:rPr>
          <w:rFonts w:ascii="Arial" w:hAnsi="Arial" w:cs="Arial"/>
          <w:sz w:val="18"/>
          <w:szCs w:val="18"/>
        </w:rPr>
        <w:t xml:space="preserve">.  </w:t>
      </w:r>
    </w:p>
    <w:p w:rsidR="00A7612F" w:rsidRPr="007F5284" w:rsidRDefault="00A7612F" w:rsidP="00A7612F">
      <w:pPr>
        <w:pStyle w:val="FootnoteText"/>
        <w:spacing w:line="20" w:lineRule="atLea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A41" w:rsidRDefault="00F14A41" w:rsidP="0078309F">
    <w:pPr>
      <w:pStyle w:val="Header"/>
      <w:jc w:val="right"/>
    </w:pPr>
    <w:r>
      <w:t xml:space="preserve">page </w:t>
    </w:r>
    <w:r>
      <w:fldChar w:fldCharType="begin"/>
    </w:r>
    <w:r>
      <w:instrText xml:space="preserve"> PAGE   \* MERGEFORMAT </w:instrText>
    </w:r>
    <w:r>
      <w:fldChar w:fldCharType="separate"/>
    </w:r>
    <w:r w:rsidR="00D201E0">
      <w:rPr>
        <w:noProof/>
      </w:rPr>
      <w:t>36</w:t>
    </w:r>
    <w:r>
      <w:rPr>
        <w:noProof/>
      </w:rPr>
      <w:fldChar w:fldCharType="end"/>
    </w:r>
  </w:p>
  <w:p w:rsidR="00F14A41" w:rsidRDefault="00F14A41" w:rsidP="0078309F">
    <w:pPr>
      <w:pStyle w:val="Header"/>
    </w:pPr>
  </w:p>
  <w:p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78" w:rsidRDefault="00FC4990" w:rsidP="0078309F">
    <w:pPr>
      <w:pStyle w:val="Header"/>
      <w:jc w:val="right"/>
    </w:pPr>
    <w:r>
      <w:t>Second</w:t>
    </w:r>
    <w:r w:rsidR="00303E70">
      <w:t xml:space="preserve"> Draft</w:t>
    </w:r>
    <w:r w:rsidR="00865878">
      <w:t>:  Chair’s Text on TK and TCEs</w:t>
    </w:r>
  </w:p>
  <w:p w:rsidR="00F14A41" w:rsidRPr="00A46542" w:rsidRDefault="00F14A41" w:rsidP="0078309F">
    <w:pPr>
      <w:pStyle w:val="Header"/>
      <w:jc w:val="right"/>
    </w:pPr>
    <w:r w:rsidRPr="00A46542">
      <w:t xml:space="preserve">page </w:t>
    </w:r>
    <w:r w:rsidRPr="00A46542">
      <w:fldChar w:fldCharType="begin"/>
    </w:r>
    <w:r w:rsidRPr="00A46542">
      <w:instrText xml:space="preserve"> PAGE   \* MERGEFORMAT </w:instrText>
    </w:r>
    <w:r w:rsidRPr="00A46542">
      <w:fldChar w:fldCharType="separate"/>
    </w:r>
    <w:r w:rsidR="00DD3C64">
      <w:rPr>
        <w:noProof/>
      </w:rPr>
      <w:t>36</w:t>
    </w:r>
    <w:r w:rsidRPr="00A46542">
      <w:rPr>
        <w:noProof/>
      </w:rPr>
      <w:fldChar w:fldCharType="end"/>
    </w:r>
  </w:p>
  <w:p w:rsidR="00F14A41" w:rsidRDefault="00F14A41"/>
  <w:p w:rsidR="00F14A41" w:rsidRDefault="00F14A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0A" w:rsidRDefault="002D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037EB"/>
    <w:rsid w:val="000064EA"/>
    <w:rsid w:val="00015CA5"/>
    <w:rsid w:val="000307D8"/>
    <w:rsid w:val="00043C2E"/>
    <w:rsid w:val="0004447C"/>
    <w:rsid w:val="00046ADA"/>
    <w:rsid w:val="0004736C"/>
    <w:rsid w:val="0005256D"/>
    <w:rsid w:val="0005271A"/>
    <w:rsid w:val="0005323E"/>
    <w:rsid w:val="000611BC"/>
    <w:rsid w:val="00061B6D"/>
    <w:rsid w:val="00080298"/>
    <w:rsid w:val="00092D68"/>
    <w:rsid w:val="000A2FDD"/>
    <w:rsid w:val="000B41B7"/>
    <w:rsid w:val="000C450E"/>
    <w:rsid w:val="000E6534"/>
    <w:rsid w:val="000F5E56"/>
    <w:rsid w:val="000F655E"/>
    <w:rsid w:val="001006A4"/>
    <w:rsid w:val="00100CBD"/>
    <w:rsid w:val="00106435"/>
    <w:rsid w:val="00111865"/>
    <w:rsid w:val="001138F6"/>
    <w:rsid w:val="00114693"/>
    <w:rsid w:val="001217B1"/>
    <w:rsid w:val="001224AB"/>
    <w:rsid w:val="0012380F"/>
    <w:rsid w:val="00127596"/>
    <w:rsid w:val="00135D44"/>
    <w:rsid w:val="001610F7"/>
    <w:rsid w:val="00162BB0"/>
    <w:rsid w:val="00163958"/>
    <w:rsid w:val="00176670"/>
    <w:rsid w:val="00181EBC"/>
    <w:rsid w:val="00186E50"/>
    <w:rsid w:val="00190999"/>
    <w:rsid w:val="001941E6"/>
    <w:rsid w:val="001A0414"/>
    <w:rsid w:val="001A1EBA"/>
    <w:rsid w:val="001B2B67"/>
    <w:rsid w:val="001C362E"/>
    <w:rsid w:val="001C77AE"/>
    <w:rsid w:val="001E350A"/>
    <w:rsid w:val="001E4636"/>
    <w:rsid w:val="001E78B2"/>
    <w:rsid w:val="001F41FD"/>
    <w:rsid w:val="001F77E6"/>
    <w:rsid w:val="002051B0"/>
    <w:rsid w:val="00206261"/>
    <w:rsid w:val="0021183F"/>
    <w:rsid w:val="0021299A"/>
    <w:rsid w:val="0021473D"/>
    <w:rsid w:val="00214D5D"/>
    <w:rsid w:val="00220F34"/>
    <w:rsid w:val="00223F41"/>
    <w:rsid w:val="00233AD2"/>
    <w:rsid w:val="00234E38"/>
    <w:rsid w:val="00235B58"/>
    <w:rsid w:val="0025456D"/>
    <w:rsid w:val="002577D3"/>
    <w:rsid w:val="002669B2"/>
    <w:rsid w:val="00267CB5"/>
    <w:rsid w:val="002704C3"/>
    <w:rsid w:val="00274793"/>
    <w:rsid w:val="00281878"/>
    <w:rsid w:val="0028320D"/>
    <w:rsid w:val="00287C6D"/>
    <w:rsid w:val="00291A1C"/>
    <w:rsid w:val="00294639"/>
    <w:rsid w:val="002A5F71"/>
    <w:rsid w:val="002A6342"/>
    <w:rsid w:val="002A64B8"/>
    <w:rsid w:val="002B0E47"/>
    <w:rsid w:val="002B40DA"/>
    <w:rsid w:val="002B6BB0"/>
    <w:rsid w:val="002C110E"/>
    <w:rsid w:val="002D100A"/>
    <w:rsid w:val="002E5823"/>
    <w:rsid w:val="002F07CC"/>
    <w:rsid w:val="002F1E35"/>
    <w:rsid w:val="002F25CC"/>
    <w:rsid w:val="002F4594"/>
    <w:rsid w:val="00303E70"/>
    <w:rsid w:val="00306CE3"/>
    <w:rsid w:val="0033295B"/>
    <w:rsid w:val="003331FE"/>
    <w:rsid w:val="00334538"/>
    <w:rsid w:val="00345C17"/>
    <w:rsid w:val="003500B2"/>
    <w:rsid w:val="00353B8E"/>
    <w:rsid w:val="00366D97"/>
    <w:rsid w:val="00367ECB"/>
    <w:rsid w:val="003705AE"/>
    <w:rsid w:val="00391B08"/>
    <w:rsid w:val="003A0F60"/>
    <w:rsid w:val="003A2DB0"/>
    <w:rsid w:val="003A3F65"/>
    <w:rsid w:val="003A60C6"/>
    <w:rsid w:val="003B6E6F"/>
    <w:rsid w:val="003C7CC7"/>
    <w:rsid w:val="003D11B5"/>
    <w:rsid w:val="003D28AF"/>
    <w:rsid w:val="003D29ED"/>
    <w:rsid w:val="003D55D0"/>
    <w:rsid w:val="003D5E12"/>
    <w:rsid w:val="003E2003"/>
    <w:rsid w:val="003E6531"/>
    <w:rsid w:val="003F03F7"/>
    <w:rsid w:val="003F2301"/>
    <w:rsid w:val="003F3892"/>
    <w:rsid w:val="00401A98"/>
    <w:rsid w:val="00404BEA"/>
    <w:rsid w:val="00405A13"/>
    <w:rsid w:val="00407B3F"/>
    <w:rsid w:val="00416B1F"/>
    <w:rsid w:val="004222C8"/>
    <w:rsid w:val="00427502"/>
    <w:rsid w:val="00431118"/>
    <w:rsid w:val="004316AE"/>
    <w:rsid w:val="0043794C"/>
    <w:rsid w:val="00437E16"/>
    <w:rsid w:val="00453927"/>
    <w:rsid w:val="004601AD"/>
    <w:rsid w:val="00465E8F"/>
    <w:rsid w:val="0047600E"/>
    <w:rsid w:val="00477028"/>
    <w:rsid w:val="004871FB"/>
    <w:rsid w:val="004A48A4"/>
    <w:rsid w:val="004D3E60"/>
    <w:rsid w:val="004F3A02"/>
    <w:rsid w:val="004F6259"/>
    <w:rsid w:val="004F75A0"/>
    <w:rsid w:val="00500F84"/>
    <w:rsid w:val="0051288C"/>
    <w:rsid w:val="00534A17"/>
    <w:rsid w:val="005357A6"/>
    <w:rsid w:val="005416DA"/>
    <w:rsid w:val="005438A0"/>
    <w:rsid w:val="00561EA8"/>
    <w:rsid w:val="0056714E"/>
    <w:rsid w:val="005861D4"/>
    <w:rsid w:val="0058697D"/>
    <w:rsid w:val="00596DA9"/>
    <w:rsid w:val="005A3EEA"/>
    <w:rsid w:val="005A5DCB"/>
    <w:rsid w:val="005A648A"/>
    <w:rsid w:val="005A75F9"/>
    <w:rsid w:val="005C579A"/>
    <w:rsid w:val="005E12EA"/>
    <w:rsid w:val="005E53E8"/>
    <w:rsid w:val="005F7838"/>
    <w:rsid w:val="00607DFB"/>
    <w:rsid w:val="00612CA8"/>
    <w:rsid w:val="00622C19"/>
    <w:rsid w:val="00622CFD"/>
    <w:rsid w:val="00632971"/>
    <w:rsid w:val="00636914"/>
    <w:rsid w:val="006436F0"/>
    <w:rsid w:val="00646D5A"/>
    <w:rsid w:val="00655DFD"/>
    <w:rsid w:val="006657B0"/>
    <w:rsid w:val="00666B4D"/>
    <w:rsid w:val="0066763E"/>
    <w:rsid w:val="006721AF"/>
    <w:rsid w:val="00695E3F"/>
    <w:rsid w:val="006A7EA9"/>
    <w:rsid w:val="006C38B1"/>
    <w:rsid w:val="006C4883"/>
    <w:rsid w:val="006C79A0"/>
    <w:rsid w:val="006D0D07"/>
    <w:rsid w:val="006D6841"/>
    <w:rsid w:val="006E18AA"/>
    <w:rsid w:val="006E31C9"/>
    <w:rsid w:val="006E385D"/>
    <w:rsid w:val="006F1777"/>
    <w:rsid w:val="006F7303"/>
    <w:rsid w:val="007000A7"/>
    <w:rsid w:val="00701536"/>
    <w:rsid w:val="0070581B"/>
    <w:rsid w:val="00721D3B"/>
    <w:rsid w:val="007238F2"/>
    <w:rsid w:val="007246C3"/>
    <w:rsid w:val="007319C2"/>
    <w:rsid w:val="00745CB4"/>
    <w:rsid w:val="00750EE5"/>
    <w:rsid w:val="00762097"/>
    <w:rsid w:val="00763CAC"/>
    <w:rsid w:val="00766E04"/>
    <w:rsid w:val="007671FA"/>
    <w:rsid w:val="007713E7"/>
    <w:rsid w:val="00771827"/>
    <w:rsid w:val="0077255B"/>
    <w:rsid w:val="00774CFE"/>
    <w:rsid w:val="0078309F"/>
    <w:rsid w:val="00786183"/>
    <w:rsid w:val="00786A17"/>
    <w:rsid w:val="007874EB"/>
    <w:rsid w:val="00787DBF"/>
    <w:rsid w:val="00790753"/>
    <w:rsid w:val="007929AF"/>
    <w:rsid w:val="00793777"/>
    <w:rsid w:val="007A1D54"/>
    <w:rsid w:val="007A2638"/>
    <w:rsid w:val="007B240C"/>
    <w:rsid w:val="007B77CA"/>
    <w:rsid w:val="007D005F"/>
    <w:rsid w:val="007D1238"/>
    <w:rsid w:val="007D53C7"/>
    <w:rsid w:val="007F7AD0"/>
    <w:rsid w:val="0080068C"/>
    <w:rsid w:val="00804DB7"/>
    <w:rsid w:val="00805E9A"/>
    <w:rsid w:val="00812771"/>
    <w:rsid w:val="008229D3"/>
    <w:rsid w:val="00823BFB"/>
    <w:rsid w:val="0082552F"/>
    <w:rsid w:val="00827BF2"/>
    <w:rsid w:val="008324C7"/>
    <w:rsid w:val="00835CB0"/>
    <w:rsid w:val="00845C7A"/>
    <w:rsid w:val="00846118"/>
    <w:rsid w:val="00852726"/>
    <w:rsid w:val="00856A89"/>
    <w:rsid w:val="00857F06"/>
    <w:rsid w:val="00857F13"/>
    <w:rsid w:val="008652ED"/>
    <w:rsid w:val="00865878"/>
    <w:rsid w:val="0087586B"/>
    <w:rsid w:val="008766B4"/>
    <w:rsid w:val="00876A96"/>
    <w:rsid w:val="00886B3F"/>
    <w:rsid w:val="0089046D"/>
    <w:rsid w:val="008B322C"/>
    <w:rsid w:val="008D00F4"/>
    <w:rsid w:val="008D2432"/>
    <w:rsid w:val="008D3859"/>
    <w:rsid w:val="008D711E"/>
    <w:rsid w:val="008E4630"/>
    <w:rsid w:val="00900842"/>
    <w:rsid w:val="009012AE"/>
    <w:rsid w:val="0090237C"/>
    <w:rsid w:val="00903212"/>
    <w:rsid w:val="0091385C"/>
    <w:rsid w:val="0091620E"/>
    <w:rsid w:val="00917BD0"/>
    <w:rsid w:val="00922398"/>
    <w:rsid w:val="009231DA"/>
    <w:rsid w:val="00937864"/>
    <w:rsid w:val="009406D5"/>
    <w:rsid w:val="009540B4"/>
    <w:rsid w:val="009546CD"/>
    <w:rsid w:val="00962780"/>
    <w:rsid w:val="00965017"/>
    <w:rsid w:val="009711C2"/>
    <w:rsid w:val="009739C6"/>
    <w:rsid w:val="0098224B"/>
    <w:rsid w:val="009908F5"/>
    <w:rsid w:val="009920D4"/>
    <w:rsid w:val="009A0265"/>
    <w:rsid w:val="009B176D"/>
    <w:rsid w:val="009B75F2"/>
    <w:rsid w:val="009C58DE"/>
    <w:rsid w:val="009D7261"/>
    <w:rsid w:val="009E28EA"/>
    <w:rsid w:val="009F4633"/>
    <w:rsid w:val="00A1453B"/>
    <w:rsid w:val="00A2260D"/>
    <w:rsid w:val="00A231C5"/>
    <w:rsid w:val="00A31E80"/>
    <w:rsid w:val="00A45AF6"/>
    <w:rsid w:val="00A46542"/>
    <w:rsid w:val="00A55D86"/>
    <w:rsid w:val="00A55EA1"/>
    <w:rsid w:val="00A57761"/>
    <w:rsid w:val="00A73F0E"/>
    <w:rsid w:val="00A7612F"/>
    <w:rsid w:val="00A76932"/>
    <w:rsid w:val="00A76F5C"/>
    <w:rsid w:val="00A858DC"/>
    <w:rsid w:val="00A94C66"/>
    <w:rsid w:val="00AA3C59"/>
    <w:rsid w:val="00AA7458"/>
    <w:rsid w:val="00AB09B1"/>
    <w:rsid w:val="00AC14ED"/>
    <w:rsid w:val="00AC7586"/>
    <w:rsid w:val="00AD3EDC"/>
    <w:rsid w:val="00AD6CF4"/>
    <w:rsid w:val="00AD7FD0"/>
    <w:rsid w:val="00AF28E3"/>
    <w:rsid w:val="00AF7FB5"/>
    <w:rsid w:val="00B107DC"/>
    <w:rsid w:val="00B20C22"/>
    <w:rsid w:val="00B336FB"/>
    <w:rsid w:val="00B55DFD"/>
    <w:rsid w:val="00B56D00"/>
    <w:rsid w:val="00B631BD"/>
    <w:rsid w:val="00B66E28"/>
    <w:rsid w:val="00B67A5F"/>
    <w:rsid w:val="00B810A6"/>
    <w:rsid w:val="00B973EB"/>
    <w:rsid w:val="00BA2366"/>
    <w:rsid w:val="00BA489D"/>
    <w:rsid w:val="00BB16FB"/>
    <w:rsid w:val="00BB17C3"/>
    <w:rsid w:val="00BB669F"/>
    <w:rsid w:val="00BC7A2C"/>
    <w:rsid w:val="00BD02A7"/>
    <w:rsid w:val="00BD1615"/>
    <w:rsid w:val="00BD1F43"/>
    <w:rsid w:val="00BE1A45"/>
    <w:rsid w:val="00C00771"/>
    <w:rsid w:val="00C01F2A"/>
    <w:rsid w:val="00C11DAC"/>
    <w:rsid w:val="00C17F1E"/>
    <w:rsid w:val="00C36831"/>
    <w:rsid w:val="00C4199A"/>
    <w:rsid w:val="00C52306"/>
    <w:rsid w:val="00C554EC"/>
    <w:rsid w:val="00C55572"/>
    <w:rsid w:val="00C56CC5"/>
    <w:rsid w:val="00C63D8A"/>
    <w:rsid w:val="00C66D23"/>
    <w:rsid w:val="00C748C4"/>
    <w:rsid w:val="00C87819"/>
    <w:rsid w:val="00C9293A"/>
    <w:rsid w:val="00CA69F7"/>
    <w:rsid w:val="00CA6A32"/>
    <w:rsid w:val="00CA71AC"/>
    <w:rsid w:val="00CB0D66"/>
    <w:rsid w:val="00CB14AD"/>
    <w:rsid w:val="00CD0BF5"/>
    <w:rsid w:val="00CE066A"/>
    <w:rsid w:val="00CE1B6D"/>
    <w:rsid w:val="00CE2657"/>
    <w:rsid w:val="00CE2865"/>
    <w:rsid w:val="00CE30F3"/>
    <w:rsid w:val="00CE7440"/>
    <w:rsid w:val="00D03431"/>
    <w:rsid w:val="00D058CA"/>
    <w:rsid w:val="00D11C59"/>
    <w:rsid w:val="00D123F4"/>
    <w:rsid w:val="00D201E0"/>
    <w:rsid w:val="00D21FCF"/>
    <w:rsid w:val="00D25402"/>
    <w:rsid w:val="00D25FE0"/>
    <w:rsid w:val="00D278FD"/>
    <w:rsid w:val="00D3008A"/>
    <w:rsid w:val="00D46C80"/>
    <w:rsid w:val="00D47CE2"/>
    <w:rsid w:val="00D54681"/>
    <w:rsid w:val="00D554A8"/>
    <w:rsid w:val="00D561FE"/>
    <w:rsid w:val="00D67DC9"/>
    <w:rsid w:val="00D77EED"/>
    <w:rsid w:val="00D83135"/>
    <w:rsid w:val="00D95CF0"/>
    <w:rsid w:val="00DA02D8"/>
    <w:rsid w:val="00DA1206"/>
    <w:rsid w:val="00DA3CDF"/>
    <w:rsid w:val="00DA7EA4"/>
    <w:rsid w:val="00DB20BB"/>
    <w:rsid w:val="00DB662F"/>
    <w:rsid w:val="00DB7932"/>
    <w:rsid w:val="00DC017B"/>
    <w:rsid w:val="00DC4085"/>
    <w:rsid w:val="00DD0BEA"/>
    <w:rsid w:val="00DD3C64"/>
    <w:rsid w:val="00DD588D"/>
    <w:rsid w:val="00DD6011"/>
    <w:rsid w:val="00DD6658"/>
    <w:rsid w:val="00DE39DE"/>
    <w:rsid w:val="00DF0FF6"/>
    <w:rsid w:val="00DF5330"/>
    <w:rsid w:val="00E1597C"/>
    <w:rsid w:val="00E35DDC"/>
    <w:rsid w:val="00E37167"/>
    <w:rsid w:val="00E44047"/>
    <w:rsid w:val="00E55623"/>
    <w:rsid w:val="00E64633"/>
    <w:rsid w:val="00E7052A"/>
    <w:rsid w:val="00E744B2"/>
    <w:rsid w:val="00E83A0B"/>
    <w:rsid w:val="00E83B4A"/>
    <w:rsid w:val="00E86F88"/>
    <w:rsid w:val="00E87268"/>
    <w:rsid w:val="00E87865"/>
    <w:rsid w:val="00E91979"/>
    <w:rsid w:val="00E95DE4"/>
    <w:rsid w:val="00EA5D34"/>
    <w:rsid w:val="00EB0B09"/>
    <w:rsid w:val="00EB401E"/>
    <w:rsid w:val="00EB51DF"/>
    <w:rsid w:val="00ED32C6"/>
    <w:rsid w:val="00ED5DC0"/>
    <w:rsid w:val="00F00E8F"/>
    <w:rsid w:val="00F0213D"/>
    <w:rsid w:val="00F14A2D"/>
    <w:rsid w:val="00F14A41"/>
    <w:rsid w:val="00F17589"/>
    <w:rsid w:val="00F26794"/>
    <w:rsid w:val="00F31313"/>
    <w:rsid w:val="00F362E6"/>
    <w:rsid w:val="00F5049D"/>
    <w:rsid w:val="00F50944"/>
    <w:rsid w:val="00F50D34"/>
    <w:rsid w:val="00F65484"/>
    <w:rsid w:val="00F703AE"/>
    <w:rsid w:val="00F71270"/>
    <w:rsid w:val="00F73C00"/>
    <w:rsid w:val="00F77ED2"/>
    <w:rsid w:val="00F82F6D"/>
    <w:rsid w:val="00F83E36"/>
    <w:rsid w:val="00F90EF4"/>
    <w:rsid w:val="00F9738D"/>
    <w:rsid w:val="00FA3882"/>
    <w:rsid w:val="00FB79D0"/>
    <w:rsid w:val="00FC4990"/>
    <w:rsid w:val="00FD3809"/>
    <w:rsid w:val="00FD3DF7"/>
    <w:rsid w:val="00FD4AE6"/>
    <w:rsid w:val="00FF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104253"/>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uiPriority w:val="99"/>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 w:type="character" w:customStyle="1" w:styleId="ui-provider">
    <w:name w:val="ui-provider"/>
    <w:basedOn w:val="DefaultParagraphFont"/>
    <w:rsid w:val="004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A095-9DE3-44B3-829D-5F1F09A6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3146</Words>
  <Characters>18964</Characters>
  <Application>Microsoft Office Word</Application>
  <DocSecurity>0</DocSecurity>
  <Lines>499</Lines>
  <Paragraphs>174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14</cp:revision>
  <cp:lastPrinted>2023-05-22T11:56:00Z</cp:lastPrinted>
  <dcterms:created xsi:type="dcterms:W3CDTF">2023-05-26T14:21:00Z</dcterms:created>
  <dcterms:modified xsi:type="dcterms:W3CDTF">2023-05-30T09:21:00Z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230ceac9-5683-475b-a002-97b81e46f176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2023-05-25T14:31:00Z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7bbae8ed-3024-4d61-8ed7-da4425b1751c</vt:lpwstr>
  </property>
  <property fmtid="{D5CDD505-2E9C-101B-9397-08002B2CF9AE}" pid="14" name="MSIP_Label_20773ee6-353b-4fb9-a59d-0b94c8c67bea_ContentBits">
    <vt:lpwstr>0</vt:lpwstr>
  </property>
</Properties>
</file>