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D5DD0"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7F980CB9" wp14:editId="072D1689">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624E5C7"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847D82">
        <w:rPr>
          <w:rFonts w:ascii="Arial Black" w:hAnsi="Arial Black"/>
          <w:caps/>
          <w:sz w:val="15"/>
        </w:rPr>
        <w:t>13</w:t>
      </w:r>
    </w:p>
    <w:p w14:paraId="008FEED2" w14:textId="3B393221"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B0057">
        <w:rPr>
          <w:rFonts w:ascii="Arial Black" w:hAnsi="Arial Black"/>
          <w:caps/>
          <w:sz w:val="15"/>
          <w:szCs w:val="15"/>
        </w:rPr>
        <w:t xml:space="preserve"> </w:t>
      </w:r>
      <w:r w:rsidR="00847D82">
        <w:rPr>
          <w:rFonts w:ascii="Arial Black" w:hAnsi="Arial Black"/>
          <w:caps/>
          <w:sz w:val="15"/>
          <w:szCs w:val="15"/>
        </w:rPr>
        <w:t>English</w:t>
      </w:r>
    </w:p>
    <w:bookmarkEnd w:id="1"/>
    <w:p w14:paraId="2CC99494" w14:textId="52A346F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B0057">
        <w:rPr>
          <w:rFonts w:ascii="Arial Black" w:hAnsi="Arial Black"/>
          <w:caps/>
          <w:sz w:val="15"/>
          <w:szCs w:val="15"/>
        </w:rPr>
        <w:t xml:space="preserve"> </w:t>
      </w:r>
      <w:r w:rsidR="00E979DB">
        <w:rPr>
          <w:rFonts w:ascii="Arial Black" w:hAnsi="Arial Black"/>
          <w:caps/>
          <w:sz w:val="15"/>
          <w:szCs w:val="15"/>
        </w:rPr>
        <w:t xml:space="preserve">May </w:t>
      </w:r>
      <w:r w:rsidR="00B436E1">
        <w:rPr>
          <w:rFonts w:ascii="Arial Black" w:hAnsi="Arial Black"/>
          <w:caps/>
          <w:sz w:val="15"/>
          <w:szCs w:val="15"/>
        </w:rPr>
        <w:t>22</w:t>
      </w:r>
      <w:r w:rsidR="00331DCB">
        <w:rPr>
          <w:rFonts w:ascii="Arial Black" w:hAnsi="Arial Black"/>
          <w:caps/>
          <w:sz w:val="15"/>
          <w:szCs w:val="15"/>
        </w:rPr>
        <w:t>, 2023</w:t>
      </w:r>
    </w:p>
    <w:bookmarkEnd w:id="2"/>
    <w:p w14:paraId="4C55C4A3"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11658283" w14:textId="77777777"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14:paraId="7E4C9CED" w14:textId="77777777" w:rsidR="008B2CC1" w:rsidRPr="003845C1" w:rsidRDefault="005F7E4F" w:rsidP="00F9165B">
      <w:pPr>
        <w:spacing w:after="720"/>
        <w:outlineLvl w:val="1"/>
        <w:rPr>
          <w:b/>
          <w:sz w:val="24"/>
          <w:szCs w:val="24"/>
        </w:rPr>
      </w:pPr>
      <w:r>
        <w:rPr>
          <w:b/>
          <w:sz w:val="24"/>
          <w:szCs w:val="24"/>
        </w:rPr>
        <w:t>Geneva, June 5 to 9, 2023</w:t>
      </w:r>
    </w:p>
    <w:p w14:paraId="5C2D18EC" w14:textId="77777777" w:rsidR="00847D82" w:rsidRDefault="00847D82" w:rsidP="00DD7B7F">
      <w:pPr>
        <w:spacing w:after="360"/>
        <w:outlineLvl w:val="0"/>
        <w:rPr>
          <w:caps/>
          <w:sz w:val="24"/>
        </w:rPr>
      </w:pPr>
      <w:bookmarkStart w:id="3" w:name="TitleOfDoc"/>
      <w:r>
        <w:rPr>
          <w:caps/>
          <w:sz w:val="24"/>
        </w:rPr>
        <w:t>Report on Virtual Activities Decided by the Forty-Third Session of the Committee</w:t>
      </w:r>
    </w:p>
    <w:p w14:paraId="4921F412" w14:textId="77777777" w:rsidR="00331DCB" w:rsidRDefault="002B01F5" w:rsidP="00331DCB">
      <w:pPr>
        <w:spacing w:after="220"/>
        <w:rPr>
          <w:i/>
        </w:rPr>
      </w:pPr>
      <w:bookmarkStart w:id="4" w:name="Prepared"/>
      <w:bookmarkEnd w:id="3"/>
      <w:bookmarkEnd w:id="4"/>
      <w:r>
        <w:rPr>
          <w:i/>
        </w:rPr>
        <w:t>P</w:t>
      </w:r>
      <w:r w:rsidR="00331DCB">
        <w:rPr>
          <w:i/>
        </w:rPr>
        <w:t>repared by the Secretariat</w:t>
      </w:r>
    </w:p>
    <w:p w14:paraId="369D2451" w14:textId="77777777" w:rsidR="00331DCB" w:rsidRDefault="00331DCB" w:rsidP="00331DCB">
      <w:pPr>
        <w:spacing w:after="220"/>
        <w:rPr>
          <w:i/>
        </w:rPr>
      </w:pPr>
    </w:p>
    <w:p w14:paraId="4586FFBB" w14:textId="77777777" w:rsidR="004515B4" w:rsidRDefault="004515B4" w:rsidP="00B21136">
      <w:pPr>
        <w:rPr>
          <w:i/>
        </w:rPr>
      </w:pPr>
    </w:p>
    <w:p w14:paraId="670D8DA3" w14:textId="77777777" w:rsidR="00331DCB" w:rsidRDefault="00331DCB" w:rsidP="00B21136">
      <w:r>
        <w:fldChar w:fldCharType="begin"/>
      </w:r>
      <w:r>
        <w:instrText xml:space="preserve"> AUTONUM  </w:instrText>
      </w:r>
      <w:r>
        <w:fldChar w:fldCharType="end"/>
      </w:r>
      <w:r>
        <w:tab/>
        <w:t xml:space="preserve">The Forty-Third Session of the </w:t>
      </w:r>
      <w:r w:rsidRPr="00D431A8">
        <w:t xml:space="preserve">Intergovernmental Committee on Intellectual Property and Genetic Resources, Traditional Knowledge and Folklore </w:t>
      </w:r>
      <w:r>
        <w:t>(IGC) made the following decisions regarding</w:t>
      </w:r>
      <w:r w:rsidRPr="00DA0B26">
        <w:t xml:space="preserve"> virtual activities to expedite the work of the IGC</w:t>
      </w:r>
      <w:r>
        <w:t>:</w:t>
      </w:r>
    </w:p>
    <w:p w14:paraId="0DFF84DA" w14:textId="77777777" w:rsidR="00331DCB" w:rsidRDefault="00331DCB" w:rsidP="00B21136"/>
    <w:p w14:paraId="1E98627C" w14:textId="73FFEFF7" w:rsidR="006411E1" w:rsidRDefault="008179BF" w:rsidP="00B21136">
      <w:pPr>
        <w:ind w:left="567"/>
      </w:pPr>
      <w:proofErr w:type="gramStart"/>
      <w:r>
        <w:t>“</w:t>
      </w:r>
      <w:r w:rsidR="00331DCB">
        <w:rPr>
          <w:rFonts w:eastAsia="Times New Roman"/>
          <w:szCs w:val="22"/>
          <w:lang w:eastAsia="en-US"/>
        </w:rPr>
        <w:t xml:space="preserve">The Committee decided that the Secretariat should organize further </w:t>
      </w:r>
      <w:r w:rsidR="00331DCB" w:rsidRPr="005E4430">
        <w:rPr>
          <w:rFonts w:eastAsia="Times New Roman"/>
          <w:i/>
          <w:szCs w:val="22"/>
          <w:lang w:eastAsia="en-US"/>
        </w:rPr>
        <w:t>ad hoc</w:t>
      </w:r>
      <w:r w:rsidR="00331DCB">
        <w:rPr>
          <w:rFonts w:eastAsia="Times New Roman"/>
          <w:szCs w:val="22"/>
          <w:lang w:eastAsia="en-US"/>
        </w:rPr>
        <w:t xml:space="preserve"> virtual meetings of experts on possible disclosure requirements, and </w:t>
      </w:r>
      <w:r w:rsidR="00331DCB" w:rsidRPr="00A631F5">
        <w:rPr>
          <w:rFonts w:eastAsia="Times New Roman"/>
          <w:szCs w:val="22"/>
          <w:lang w:eastAsia="en-US"/>
        </w:rPr>
        <w:t>a virtual Seminar and</w:t>
      </w:r>
      <w:r w:rsidR="00331DCB">
        <w:rPr>
          <w:rFonts w:eastAsia="Times New Roman"/>
          <w:szCs w:val="22"/>
          <w:lang w:eastAsia="en-US"/>
        </w:rPr>
        <w:t>/or</w:t>
      </w:r>
      <w:r w:rsidR="00331DCB" w:rsidRPr="00A631F5">
        <w:rPr>
          <w:rFonts w:eastAsia="Times New Roman"/>
          <w:szCs w:val="22"/>
          <w:lang w:eastAsia="en-US"/>
        </w:rPr>
        <w:t xml:space="preserve"> other </w:t>
      </w:r>
      <w:r w:rsidR="00331DCB">
        <w:rPr>
          <w:rFonts w:eastAsia="Times New Roman"/>
          <w:szCs w:val="22"/>
          <w:lang w:eastAsia="en-US"/>
        </w:rPr>
        <w:t>virtual technical meetings</w:t>
      </w:r>
      <w:r w:rsidR="00331DCB" w:rsidRPr="00A631F5">
        <w:rPr>
          <w:rFonts w:eastAsia="Times New Roman"/>
          <w:szCs w:val="22"/>
          <w:lang w:eastAsia="en-US"/>
        </w:rPr>
        <w:t xml:space="preserve"> on</w:t>
      </w:r>
      <w:r w:rsidR="00331DCB">
        <w:rPr>
          <w:rFonts w:eastAsia="Times New Roman"/>
          <w:szCs w:val="22"/>
          <w:lang w:eastAsia="en-US"/>
        </w:rPr>
        <w:t xml:space="preserve"> </w:t>
      </w:r>
      <w:r w:rsidR="00331DCB" w:rsidRPr="00A631F5">
        <w:rPr>
          <w:rFonts w:eastAsia="Times New Roman"/>
          <w:szCs w:val="22"/>
          <w:lang w:eastAsia="en-US"/>
        </w:rPr>
        <w:t>information systems, registers and databases of genetic resources, traditional knowledge and traditional cultural expressions</w:t>
      </w:r>
      <w:r w:rsidR="00331DCB">
        <w:rPr>
          <w:rFonts w:eastAsia="Times New Roman"/>
          <w:szCs w:val="22"/>
          <w:lang w:eastAsia="en-US"/>
        </w:rPr>
        <w:t xml:space="preserve"> before the Forty-Seventh Session of the Committee, and provide written reports on such meetings to the Committee.</w:t>
      </w:r>
      <w:proofErr w:type="gramEnd"/>
      <w:r w:rsidR="00331DCB">
        <w:rPr>
          <w:rFonts w:eastAsia="Times New Roman"/>
          <w:szCs w:val="22"/>
          <w:lang w:eastAsia="en-US"/>
        </w:rPr>
        <w:t xml:space="preserve">  </w:t>
      </w:r>
      <w:r w:rsidR="00331DCB" w:rsidRPr="00194320">
        <w:rPr>
          <w:rFonts w:eastAsia="Times New Roman"/>
          <w:szCs w:val="22"/>
          <w:lang w:eastAsia="en-US"/>
        </w:rPr>
        <w:t xml:space="preserve">These meetings </w:t>
      </w:r>
      <w:r w:rsidR="00331DCB">
        <w:rPr>
          <w:rFonts w:eastAsia="Times New Roman"/>
          <w:szCs w:val="22"/>
          <w:lang w:eastAsia="en-US"/>
        </w:rPr>
        <w:t xml:space="preserve">should include experts reflecting different interests and </w:t>
      </w:r>
      <w:r w:rsidR="00331DCB">
        <w:t>balanced geographical representation, and</w:t>
      </w:r>
      <w:r w:rsidR="00331DCB">
        <w:rPr>
          <w:rFonts w:eastAsia="Times New Roman"/>
          <w:szCs w:val="22"/>
          <w:lang w:eastAsia="en-US"/>
        </w:rPr>
        <w:t xml:space="preserve"> </w:t>
      </w:r>
      <w:r w:rsidR="00331DCB" w:rsidRPr="00194320">
        <w:rPr>
          <w:rFonts w:eastAsia="Times New Roman"/>
          <w:szCs w:val="22"/>
          <w:lang w:eastAsia="en-US"/>
        </w:rPr>
        <w:t xml:space="preserve">should not replace nor delay the text-based negotiations underway in the </w:t>
      </w:r>
      <w:r w:rsidR="00331DCB" w:rsidRPr="00BC22E6">
        <w:rPr>
          <w:rFonts w:eastAsia="Times New Roman"/>
          <w:szCs w:val="22"/>
          <w:lang w:eastAsia="en-US"/>
        </w:rPr>
        <w:t>Committee</w:t>
      </w:r>
      <w:r w:rsidR="00331DCB" w:rsidRPr="00194320">
        <w:rPr>
          <w:rFonts w:eastAsia="Times New Roman"/>
          <w:szCs w:val="22"/>
          <w:lang w:eastAsia="en-US"/>
        </w:rPr>
        <w:t>.</w:t>
      </w:r>
      <w:r>
        <w:t>”</w:t>
      </w:r>
    </w:p>
    <w:p w14:paraId="5706E6DE" w14:textId="77777777" w:rsidR="006411E1" w:rsidRDefault="006411E1" w:rsidP="00B21136">
      <w:pPr>
        <w:ind w:left="567"/>
      </w:pPr>
    </w:p>
    <w:p w14:paraId="3ED3B8DA" w14:textId="3F08999B" w:rsidR="00331DCB" w:rsidRDefault="008179BF" w:rsidP="00B21136">
      <w:pPr>
        <w:ind w:left="567"/>
      </w:pPr>
      <w:r>
        <w:t>“</w:t>
      </w:r>
      <w:r w:rsidR="006411E1">
        <w:t>On information systems, registers and databases of genetic resources, traditional knowledge and traditional cultural expressions, the Secretariat is invited to issue an online survey which Member States and accredited observers could respond to, if they so wish. Responses to the survey would be published by the Secretariat online and in an updated version of document WIPO/GRTKF/IC/43/6.</w:t>
      </w:r>
      <w:r>
        <w:t>”</w:t>
      </w:r>
      <w:r w:rsidR="00331DCB">
        <w:br/>
      </w:r>
    </w:p>
    <w:p w14:paraId="5B6753BE" w14:textId="102D7FD0" w:rsidR="00286A2B" w:rsidRDefault="00331DCB" w:rsidP="00B21136">
      <w:r>
        <w:fldChar w:fldCharType="begin"/>
      </w:r>
      <w:r>
        <w:instrText xml:space="preserve"> AUTONUM  </w:instrText>
      </w:r>
      <w:r>
        <w:fldChar w:fldCharType="end"/>
      </w:r>
      <w:r>
        <w:tab/>
      </w:r>
      <w:r w:rsidR="006411E1">
        <w:t xml:space="preserve">Pursuant to these decisions, the Secretariat issued an online survey, and organized </w:t>
      </w:r>
      <w:r w:rsidR="006411E1" w:rsidRPr="006411E1">
        <w:rPr>
          <w:i/>
        </w:rPr>
        <w:t>ad hoc</w:t>
      </w:r>
      <w:r w:rsidR="006411E1" w:rsidRPr="006411E1">
        <w:t xml:space="preserve"> virtual meetings of experts on possible disclosure requirements, and virtual technical meetings on information systems, registers and databases of genetic resources</w:t>
      </w:r>
      <w:r w:rsidR="006411E1">
        <w:t xml:space="preserve"> (GRs)</w:t>
      </w:r>
      <w:r w:rsidR="006411E1" w:rsidRPr="006411E1">
        <w:t xml:space="preserve">, </w:t>
      </w:r>
      <w:r w:rsidR="006411E1" w:rsidRPr="006411E1">
        <w:lastRenderedPageBreak/>
        <w:t>traditional knowledge</w:t>
      </w:r>
      <w:r w:rsidR="006411E1">
        <w:t xml:space="preserve"> (TK)</w:t>
      </w:r>
      <w:r w:rsidR="006411E1" w:rsidRPr="006411E1">
        <w:t xml:space="preserve"> and traditional cultural expressions</w:t>
      </w:r>
      <w:r w:rsidR="006411E1">
        <w:t xml:space="preserve"> (TCEs).  This document provides a factual report on these three virtual activities.</w:t>
      </w:r>
      <w:r w:rsidR="006411E1" w:rsidRPr="006411E1">
        <w:t xml:space="preserve"> </w:t>
      </w:r>
    </w:p>
    <w:p w14:paraId="260483FB" w14:textId="0FA703D5" w:rsidR="00286A2B" w:rsidRDefault="00286A2B" w:rsidP="00B21136"/>
    <w:p w14:paraId="154AB7CE" w14:textId="77777777" w:rsidR="00B21136" w:rsidRDefault="00B21136" w:rsidP="00B21136"/>
    <w:p w14:paraId="1647F380" w14:textId="77777777" w:rsidR="00286A2B" w:rsidRDefault="00286A2B" w:rsidP="00B21136">
      <w:r>
        <w:t>ONLINE SURVEY ON INFORMATION SYSTEMS, REGISTERS AND DATABASES OF</w:t>
      </w:r>
      <w:r w:rsidR="001A612C">
        <w:t xml:space="preserve"> GENETIC RESOURCES, TRADITIONAL KNOWLEDGE AND TRADITIONAL CULTURAL EXPRESSIONS</w:t>
      </w:r>
    </w:p>
    <w:p w14:paraId="61553BA2" w14:textId="77777777" w:rsidR="00286A2B" w:rsidRDefault="00286A2B" w:rsidP="00B21136"/>
    <w:p w14:paraId="1DDD904B" w14:textId="39A0A249" w:rsidR="00CD3628" w:rsidRDefault="00286A2B" w:rsidP="00B21136">
      <w:r>
        <w:fldChar w:fldCharType="begin"/>
      </w:r>
      <w:r>
        <w:instrText xml:space="preserve"> AUTONUM  </w:instrText>
      </w:r>
      <w:r>
        <w:fldChar w:fldCharType="end"/>
      </w:r>
      <w:r>
        <w:tab/>
        <w:t>On December 20, 2022, the Secretariat</w:t>
      </w:r>
      <w:r w:rsidRPr="00942AAC">
        <w:t xml:space="preserve"> issue</w:t>
      </w:r>
      <w:r>
        <w:t>d</w:t>
      </w:r>
      <w:r w:rsidRPr="00942AAC">
        <w:t xml:space="preserve"> an online survey</w:t>
      </w:r>
      <w:r>
        <w:t xml:space="preserve"> on</w:t>
      </w:r>
      <w:r w:rsidRPr="00942AAC">
        <w:t xml:space="preserve"> information systems, registers and databases of </w:t>
      </w:r>
      <w:r>
        <w:t>GRs</w:t>
      </w:r>
      <w:r w:rsidRPr="00942AAC">
        <w:t xml:space="preserve">, </w:t>
      </w:r>
      <w:r>
        <w:t>TK</w:t>
      </w:r>
      <w:r w:rsidRPr="00942AAC">
        <w:t xml:space="preserve"> and </w:t>
      </w:r>
      <w:r>
        <w:t>TCEs,</w:t>
      </w:r>
      <w:r w:rsidRPr="00942AAC">
        <w:t xml:space="preserve"> which Member States and accredited observers co</w:t>
      </w:r>
      <w:r>
        <w:t>uld respond to, if they so wished</w:t>
      </w:r>
      <w:r w:rsidRPr="00942AAC">
        <w:t xml:space="preserve">. </w:t>
      </w:r>
      <w:r>
        <w:t xml:space="preserve"> Member States and accredited observers </w:t>
      </w:r>
      <w:proofErr w:type="gramStart"/>
      <w:r>
        <w:t>were invited</w:t>
      </w:r>
      <w:proofErr w:type="gramEnd"/>
      <w:r>
        <w:t xml:space="preserve"> to respond to the survey by replying to</w:t>
      </w:r>
      <w:r w:rsidR="005861AE">
        <w:t xml:space="preserve"> a series of</w:t>
      </w:r>
      <w:r>
        <w:t xml:space="preserve"> questions </w:t>
      </w:r>
      <w:r w:rsidRPr="00942AAC">
        <w:t>by May 12, 2023</w:t>
      </w:r>
      <w:r>
        <w:t xml:space="preserve">.  Responses to the survey were received from </w:t>
      </w:r>
      <w:r w:rsidR="004B007E">
        <w:t xml:space="preserve">Association pour le </w:t>
      </w:r>
      <w:proofErr w:type="spellStart"/>
      <w:r w:rsidR="004B007E">
        <w:t>Devenir</w:t>
      </w:r>
      <w:proofErr w:type="spellEnd"/>
      <w:r w:rsidR="004B007E">
        <w:t xml:space="preserve"> des </w:t>
      </w:r>
      <w:proofErr w:type="spellStart"/>
      <w:r w:rsidR="004B007E">
        <w:t>Autochtones</w:t>
      </w:r>
      <w:proofErr w:type="spellEnd"/>
      <w:r w:rsidR="004B007E">
        <w:t xml:space="preserve"> et de </w:t>
      </w:r>
      <w:proofErr w:type="spellStart"/>
      <w:r w:rsidR="004B007E">
        <w:t>leur</w:t>
      </w:r>
      <w:proofErr w:type="spellEnd"/>
      <w:r w:rsidR="004B007E">
        <w:t xml:space="preserve"> </w:t>
      </w:r>
      <w:proofErr w:type="spellStart"/>
      <w:r w:rsidR="004B007E">
        <w:t>Connaissance</w:t>
      </w:r>
      <w:proofErr w:type="spellEnd"/>
      <w:r w:rsidR="004B007E">
        <w:t xml:space="preserve"> </w:t>
      </w:r>
      <w:proofErr w:type="spellStart"/>
      <w:r w:rsidR="004B007E">
        <w:t>Originelle</w:t>
      </w:r>
      <w:proofErr w:type="spellEnd"/>
      <w:r w:rsidR="004B007E">
        <w:t xml:space="preserve"> (ADACO),</w:t>
      </w:r>
      <w:r w:rsidR="00CD3628">
        <w:t xml:space="preserve"> </w:t>
      </w:r>
      <w:r w:rsidR="005D042E">
        <w:t xml:space="preserve">Brazil, </w:t>
      </w:r>
      <w:r w:rsidR="00415F1E">
        <w:t xml:space="preserve">Croatia, </w:t>
      </w:r>
      <w:r>
        <w:t xml:space="preserve">Czech Republic, </w:t>
      </w:r>
      <w:r w:rsidR="00415F1E">
        <w:t xml:space="preserve">Ecuador, </w:t>
      </w:r>
      <w:r>
        <w:t xml:space="preserve">France, Guatemala, </w:t>
      </w:r>
      <w:r w:rsidR="00CD3628" w:rsidRPr="00CD3628">
        <w:t>International Association for the Protection of Intellectual Property (AIPPI)</w:t>
      </w:r>
      <w:r w:rsidR="00CD3628">
        <w:t xml:space="preserve">, </w:t>
      </w:r>
      <w:r>
        <w:t>Japan,</w:t>
      </w:r>
      <w:r w:rsidR="00415F1E">
        <w:t xml:space="preserve"> Kyrgyzstan, Lao,</w:t>
      </w:r>
      <w:r>
        <w:t xml:space="preserve"> Lithuania, </w:t>
      </w:r>
      <w:r w:rsidR="00415F1E">
        <w:t xml:space="preserve">Niger, </w:t>
      </w:r>
      <w:r>
        <w:t>Oman,</w:t>
      </w:r>
      <w:r w:rsidR="005D042E">
        <w:t xml:space="preserve"> </w:t>
      </w:r>
      <w:r w:rsidR="00415F1E">
        <w:t xml:space="preserve">Peru, Poland, </w:t>
      </w:r>
      <w:r w:rsidR="005D042E">
        <w:t>Slovenia,</w:t>
      </w:r>
      <w:r w:rsidR="00415F1E">
        <w:t xml:space="preserve"> Spain, </w:t>
      </w:r>
      <w:r w:rsidR="00867653">
        <w:t xml:space="preserve">Thailand, </w:t>
      </w:r>
      <w:proofErr w:type="spellStart"/>
      <w:r w:rsidR="00415F1E">
        <w:t>Tü</w:t>
      </w:r>
      <w:r>
        <w:t>rkiye</w:t>
      </w:r>
      <w:proofErr w:type="spellEnd"/>
      <w:r w:rsidR="00415F1E">
        <w:t xml:space="preserve">, </w:t>
      </w:r>
      <w:r w:rsidR="005D042E">
        <w:t>Uganda</w:t>
      </w:r>
      <w:r w:rsidR="00867653">
        <w:t xml:space="preserve">, United States of America </w:t>
      </w:r>
      <w:r w:rsidR="00415F1E">
        <w:t>and Zimbabwe</w:t>
      </w:r>
      <w:r>
        <w:t>.</w:t>
      </w:r>
      <w:r w:rsidR="00507A9C">
        <w:t xml:space="preserve"> </w:t>
      </w:r>
      <w:r>
        <w:t xml:space="preserve"> </w:t>
      </w:r>
      <w:r w:rsidR="00CD3628">
        <w:t xml:space="preserve">The responses to the survey are available online at </w:t>
      </w:r>
      <w:hyperlink r:id="rId9" w:history="1">
        <w:r w:rsidR="00CD3628" w:rsidRPr="00B905D2">
          <w:rPr>
            <w:rStyle w:val="Hyperlink"/>
          </w:rPr>
          <w:t>https://www.wipo.int/tk/en/igc/consultations.html</w:t>
        </w:r>
      </w:hyperlink>
      <w:r w:rsidR="00CD3628">
        <w:t xml:space="preserve"> </w:t>
      </w:r>
    </w:p>
    <w:p w14:paraId="57F549F0" w14:textId="77777777" w:rsidR="00CD3628" w:rsidRDefault="00CD3628" w:rsidP="00B21136"/>
    <w:p w14:paraId="78225AF8" w14:textId="77777777" w:rsidR="00CD3628" w:rsidRDefault="00CD3628" w:rsidP="00B21136"/>
    <w:p w14:paraId="5908D3AE" w14:textId="06C31570" w:rsidR="00CD3628" w:rsidRDefault="00CD3628" w:rsidP="00B21136">
      <w:pPr>
        <w:rPr>
          <w:caps/>
        </w:rPr>
      </w:pPr>
      <w:r w:rsidRPr="00CD3628">
        <w:rPr>
          <w:caps/>
        </w:rPr>
        <w:t xml:space="preserve">Virtual Technical Meetings on Information Systems, Registers and Databases of Genetic Resources, Traditional Knowledge and Traditional Cultural Expressions </w:t>
      </w:r>
    </w:p>
    <w:p w14:paraId="42AD9027" w14:textId="77777777" w:rsidR="00CD3628" w:rsidRDefault="00CD3628" w:rsidP="00B21136">
      <w:pPr>
        <w:rPr>
          <w:caps/>
        </w:rPr>
      </w:pPr>
    </w:p>
    <w:p w14:paraId="17800F1F" w14:textId="505682EA" w:rsidR="00CD3628" w:rsidRDefault="00CD3628" w:rsidP="00B21136">
      <w:r>
        <w:rPr>
          <w:szCs w:val="22"/>
        </w:rPr>
        <w:fldChar w:fldCharType="begin"/>
      </w:r>
      <w:r>
        <w:rPr>
          <w:szCs w:val="22"/>
        </w:rPr>
        <w:instrText xml:space="preserve"> AUTONUM  </w:instrText>
      </w:r>
      <w:r>
        <w:rPr>
          <w:szCs w:val="22"/>
        </w:rPr>
        <w:fldChar w:fldCharType="end"/>
      </w:r>
      <w:r>
        <w:rPr>
          <w:szCs w:val="22"/>
        </w:rPr>
        <w:tab/>
      </w:r>
      <w:r w:rsidR="006411E1">
        <w:rPr>
          <w:szCs w:val="22"/>
        </w:rPr>
        <w:t>T</w:t>
      </w:r>
      <w:r w:rsidR="00B70729">
        <w:rPr>
          <w:szCs w:val="22"/>
        </w:rPr>
        <w:t>he Secretariat</w:t>
      </w:r>
      <w:r>
        <w:rPr>
          <w:szCs w:val="22"/>
        </w:rPr>
        <w:t xml:space="preserve"> </w:t>
      </w:r>
      <w:r w:rsidR="00B70729">
        <w:rPr>
          <w:szCs w:val="22"/>
        </w:rPr>
        <w:t xml:space="preserve">organized </w:t>
      </w:r>
      <w:r>
        <w:t>virtual technical meetings of experts on</w:t>
      </w:r>
      <w:r w:rsidRPr="000467D2">
        <w:t xml:space="preserve"> information systems, registers and databases </w:t>
      </w:r>
      <w:r>
        <w:t xml:space="preserve">(referred to in this </w:t>
      </w:r>
      <w:r w:rsidR="00B70729">
        <w:t>document</w:t>
      </w:r>
      <w:r>
        <w:t xml:space="preserve"> as </w:t>
      </w:r>
      <w:r w:rsidR="008179BF">
        <w:t>“</w:t>
      </w:r>
      <w:r>
        <w:t>information systems</w:t>
      </w:r>
      <w:r w:rsidR="008179BF">
        <w:t>”</w:t>
      </w:r>
      <w:r>
        <w:t xml:space="preserve"> for brevity) </w:t>
      </w:r>
      <w:r w:rsidRPr="000467D2">
        <w:t>of GRs, TK and TCEs</w:t>
      </w:r>
      <w:r>
        <w:t>.</w:t>
      </w:r>
    </w:p>
    <w:p w14:paraId="26D0E1C5" w14:textId="77777777" w:rsidR="00CD3628" w:rsidRDefault="00CD3628" w:rsidP="00B21136"/>
    <w:p w14:paraId="3671FD50" w14:textId="13A1F5E7" w:rsidR="00CD3628" w:rsidRDefault="00CD3628" w:rsidP="00B21136">
      <w:pPr>
        <w:rPr>
          <w:szCs w:val="22"/>
        </w:rPr>
      </w:pPr>
      <w:r>
        <w:rPr>
          <w:szCs w:val="22"/>
        </w:rPr>
        <w:fldChar w:fldCharType="begin"/>
      </w:r>
      <w:r>
        <w:rPr>
          <w:szCs w:val="22"/>
        </w:rPr>
        <w:instrText xml:space="preserve"> AUTONUM  </w:instrText>
      </w:r>
      <w:r>
        <w:rPr>
          <w:szCs w:val="22"/>
        </w:rPr>
        <w:fldChar w:fldCharType="end"/>
      </w:r>
      <w:r>
        <w:rPr>
          <w:szCs w:val="22"/>
        </w:rPr>
        <w:tab/>
        <w:t xml:space="preserve">The objectives of these expert meetings </w:t>
      </w:r>
      <w:r w:rsidR="00B70729">
        <w:rPr>
          <w:szCs w:val="22"/>
        </w:rPr>
        <w:t>were</w:t>
      </w:r>
      <w:r>
        <w:rPr>
          <w:szCs w:val="22"/>
        </w:rPr>
        <w:t xml:space="preserve"> to analyze and discuss the technical and practical issues relating to </w:t>
      </w:r>
      <w:r w:rsidRPr="000467D2">
        <w:t>information systems of GRs, TK and TCEs</w:t>
      </w:r>
      <w:r>
        <w:t xml:space="preserve">, and to </w:t>
      </w:r>
      <w:r>
        <w:rPr>
          <w:szCs w:val="22"/>
        </w:rPr>
        <w:t>support the IGC</w:t>
      </w:r>
      <w:r w:rsidR="008179BF">
        <w:rPr>
          <w:szCs w:val="22"/>
        </w:rPr>
        <w:t>’</w:t>
      </w:r>
      <w:r>
        <w:rPr>
          <w:szCs w:val="22"/>
        </w:rPr>
        <w:t xml:space="preserve">s negotiations on information systems by making suggestions for clarity on the language in the draft international legal instruments on GRs, TK and TCEs before the IGC.  </w:t>
      </w:r>
    </w:p>
    <w:p w14:paraId="47636AAC" w14:textId="77777777" w:rsidR="00507A9C" w:rsidRDefault="00507A9C" w:rsidP="00B21136">
      <w:pPr>
        <w:rPr>
          <w:szCs w:val="22"/>
        </w:rPr>
      </w:pPr>
    </w:p>
    <w:p w14:paraId="4E0FA91F" w14:textId="336F4DAB" w:rsidR="00CD3628" w:rsidRDefault="00B70729" w:rsidP="00B21136">
      <w:pPr>
        <w:pStyle w:val="ListParagraph"/>
        <w:numPr>
          <w:ilvl w:val="0"/>
          <w:numId w:val="7"/>
        </w:numPr>
        <w:rPr>
          <w:szCs w:val="22"/>
        </w:rPr>
      </w:pPr>
      <w:r>
        <w:rPr>
          <w:szCs w:val="22"/>
        </w:rPr>
        <w:t>The first meeting, which t</w:t>
      </w:r>
      <w:r w:rsidR="00150C52">
        <w:rPr>
          <w:szCs w:val="22"/>
        </w:rPr>
        <w:t>ook place from February 13 to 16</w:t>
      </w:r>
      <w:r>
        <w:rPr>
          <w:szCs w:val="22"/>
        </w:rPr>
        <w:t xml:space="preserve">, 2023, addressed </w:t>
      </w:r>
      <w:r w:rsidR="00CD3628">
        <w:rPr>
          <w:szCs w:val="22"/>
        </w:rPr>
        <w:t>the following issues:</w:t>
      </w:r>
    </w:p>
    <w:p w14:paraId="50036878" w14:textId="77777777" w:rsidR="00507A9C" w:rsidRDefault="00507A9C" w:rsidP="00B21136">
      <w:pPr>
        <w:pStyle w:val="ListParagraph"/>
        <w:rPr>
          <w:szCs w:val="22"/>
        </w:rPr>
      </w:pPr>
    </w:p>
    <w:p w14:paraId="49D7F9E8" w14:textId="7FC0DD75" w:rsidR="00CD3628" w:rsidRDefault="00CD3628" w:rsidP="00B21136">
      <w:pPr>
        <w:pStyle w:val="ListParagraph"/>
        <w:numPr>
          <w:ilvl w:val="1"/>
          <w:numId w:val="7"/>
        </w:numPr>
        <w:rPr>
          <w:bCs/>
          <w:szCs w:val="22"/>
        </w:rPr>
      </w:pPr>
      <w:proofErr w:type="gramStart"/>
      <w:r>
        <w:rPr>
          <w:szCs w:val="22"/>
        </w:rPr>
        <w:t xml:space="preserve">On GRs and associated TK:  Noting Article 7 of </w:t>
      </w:r>
      <w:r w:rsidR="00415F1E" w:rsidRPr="008D1EBF">
        <w:t>the Chair</w:t>
      </w:r>
      <w:r w:rsidR="008179BF">
        <w:t>’</w:t>
      </w:r>
      <w:r w:rsidR="00415F1E" w:rsidRPr="008D1EBF">
        <w:t>s Text of a Draft International Legal Instrument relating to Intellectual Property, Genetic Resources and Traditional Knowledge associated with Genetic Resources</w:t>
      </w:r>
      <w:r w:rsidR="00415F1E">
        <w:rPr>
          <w:szCs w:val="22"/>
        </w:rPr>
        <w:t xml:space="preserve"> </w:t>
      </w:r>
      <w:r>
        <w:rPr>
          <w:szCs w:val="22"/>
        </w:rPr>
        <w:t>(</w:t>
      </w:r>
      <w:r>
        <w:t xml:space="preserve">WIPO/GRTKF/IC/43/5) </w:t>
      </w:r>
      <w:r>
        <w:rPr>
          <w:szCs w:val="22"/>
        </w:rPr>
        <w:t xml:space="preserve">and Article 10 of the </w:t>
      </w:r>
      <w:r w:rsidR="00415F1E" w:rsidRPr="00415F1E">
        <w:rPr>
          <w:szCs w:val="22"/>
        </w:rPr>
        <w:t xml:space="preserve">Consolidated Document Relating to Intellectual Property and Genetic Resources </w:t>
      </w:r>
      <w:r>
        <w:rPr>
          <w:szCs w:val="22"/>
        </w:rPr>
        <w:t>(</w:t>
      </w:r>
      <w:r>
        <w:t>WIPO/GRTKF/IC/43/4)</w:t>
      </w:r>
      <w:r>
        <w:rPr>
          <w:szCs w:val="22"/>
        </w:rPr>
        <w:t xml:space="preserve">, what could be the contents of an article on information systems </w:t>
      </w:r>
      <w:r w:rsidRPr="00EF70DA">
        <w:rPr>
          <w:szCs w:val="22"/>
        </w:rPr>
        <w:t xml:space="preserve">in an </w:t>
      </w:r>
      <w:r w:rsidRPr="00EF70DA">
        <w:rPr>
          <w:bCs/>
          <w:szCs w:val="22"/>
        </w:rPr>
        <w:t>International Legal Instrument Relating to Intellectual Property, Genetic Resources and Traditional Knowledge Associated with Genetic Resources</w:t>
      </w:r>
      <w:r>
        <w:rPr>
          <w:bCs/>
          <w:szCs w:val="22"/>
        </w:rPr>
        <w:t xml:space="preserve"> as referred to in the decision to convene a Diplomatic Conference</w:t>
      </w:r>
      <w:r w:rsidR="00507A9C">
        <w:rPr>
          <w:bCs/>
          <w:szCs w:val="22"/>
        </w:rPr>
        <w:t>?</w:t>
      </w:r>
      <w:proofErr w:type="gramEnd"/>
    </w:p>
    <w:p w14:paraId="7D9B057B" w14:textId="77777777" w:rsidR="00CD3628" w:rsidRPr="00D23B6A" w:rsidRDefault="00CD3628" w:rsidP="00B21136">
      <w:pPr>
        <w:pStyle w:val="ListParagraph"/>
        <w:numPr>
          <w:ilvl w:val="1"/>
          <w:numId w:val="7"/>
        </w:numPr>
        <w:rPr>
          <w:bCs/>
          <w:szCs w:val="22"/>
        </w:rPr>
      </w:pPr>
      <w:r>
        <w:rPr>
          <w:bCs/>
          <w:szCs w:val="22"/>
        </w:rPr>
        <w:t>On TK:  Noting Articles 5BIS of the TK Draft Articles (</w:t>
      </w:r>
      <w:r>
        <w:t xml:space="preserve">WIPO/GRTKF/IC/46/4), what could be the contents of an article on databases in a future international legal instrument relating to IP and TK?  </w:t>
      </w:r>
    </w:p>
    <w:p w14:paraId="3F2E3579" w14:textId="5EA8865D" w:rsidR="00CD3628" w:rsidRPr="00EF70DA" w:rsidRDefault="00CD3628" w:rsidP="00B21136">
      <w:pPr>
        <w:pStyle w:val="ListParagraph"/>
        <w:numPr>
          <w:ilvl w:val="1"/>
          <w:numId w:val="7"/>
        </w:numPr>
        <w:rPr>
          <w:bCs/>
          <w:szCs w:val="22"/>
        </w:rPr>
      </w:pPr>
      <w:r>
        <w:rPr>
          <w:bCs/>
          <w:szCs w:val="22"/>
        </w:rPr>
        <w:t>On TK and TCEs:  Noting Article 11 of the TK Draft Articles (</w:t>
      </w:r>
      <w:r>
        <w:t>WIPO/GRTKF/IC/46/4) and Article 9 of the TCEs Draft Articles (WIPO/GRTKF/IC/46/5), at an international level, would general protection be conditional on registration of TK and TCEs in databases, regist</w:t>
      </w:r>
      <w:r w:rsidR="00506296">
        <w:t>ries or any other formalities?</w:t>
      </w:r>
    </w:p>
    <w:p w14:paraId="6AC62B1C" w14:textId="7C0C0DF1" w:rsidR="00CD3628" w:rsidRDefault="00B70729" w:rsidP="00B21136">
      <w:pPr>
        <w:pStyle w:val="ListParagraph"/>
        <w:numPr>
          <w:ilvl w:val="0"/>
          <w:numId w:val="7"/>
        </w:numPr>
        <w:rPr>
          <w:szCs w:val="22"/>
        </w:rPr>
      </w:pPr>
      <w:r>
        <w:rPr>
          <w:szCs w:val="22"/>
        </w:rPr>
        <w:lastRenderedPageBreak/>
        <w:t xml:space="preserve">The second meeting, which took place from </w:t>
      </w:r>
      <w:r w:rsidR="00106DFD">
        <w:rPr>
          <w:szCs w:val="22"/>
        </w:rPr>
        <w:t>March 27 to 30, 2023</w:t>
      </w:r>
      <w:r w:rsidR="004515B4">
        <w:rPr>
          <w:szCs w:val="22"/>
        </w:rPr>
        <w:t>,</w:t>
      </w:r>
      <w:r w:rsidR="00CD3628">
        <w:rPr>
          <w:szCs w:val="22"/>
        </w:rPr>
        <w:t xml:space="preserve"> address</w:t>
      </w:r>
      <w:r w:rsidR="004515B4">
        <w:rPr>
          <w:szCs w:val="22"/>
        </w:rPr>
        <w:t>ed</w:t>
      </w:r>
      <w:r w:rsidR="00CD3628">
        <w:rPr>
          <w:szCs w:val="22"/>
        </w:rPr>
        <w:t xml:space="preserve"> some technical and practical issues relating to the establishment and maintenance of information systems, databases or registries on GRs/TK/TCEs, such as:</w:t>
      </w:r>
    </w:p>
    <w:p w14:paraId="757FBFF9" w14:textId="77777777" w:rsidR="00506296" w:rsidRDefault="00506296" w:rsidP="00B21136">
      <w:pPr>
        <w:pStyle w:val="ListParagraph"/>
        <w:rPr>
          <w:szCs w:val="22"/>
        </w:rPr>
      </w:pPr>
    </w:p>
    <w:p w14:paraId="4F70CE4D" w14:textId="7C47FE89" w:rsidR="00CD3628" w:rsidRPr="00D54C80" w:rsidRDefault="00CD3628" w:rsidP="00B21136">
      <w:pPr>
        <w:pStyle w:val="ListParagraph"/>
        <w:numPr>
          <w:ilvl w:val="1"/>
          <w:numId w:val="7"/>
        </w:numPr>
        <w:rPr>
          <w:szCs w:val="22"/>
        </w:rPr>
      </w:pPr>
      <w:proofErr w:type="gramStart"/>
      <w:r>
        <w:t xml:space="preserve">At the international level, what should be </w:t>
      </w:r>
      <w:r>
        <w:rPr>
          <w:szCs w:val="22"/>
        </w:rPr>
        <w:t>interoperability standards between the information systems in one Member State and the information systems in another Member State, such as standards on (</w:t>
      </w:r>
      <w:proofErr w:type="spellStart"/>
      <w:r>
        <w:rPr>
          <w:szCs w:val="22"/>
        </w:rPr>
        <w:t>i</w:t>
      </w:r>
      <w:proofErr w:type="spellEnd"/>
      <w:r>
        <w:rPr>
          <w:szCs w:val="22"/>
        </w:rPr>
        <w:t xml:space="preserve">) data formats (e.g., XML, data fields, etc.); </w:t>
      </w:r>
      <w:r w:rsidR="00506296">
        <w:rPr>
          <w:szCs w:val="22"/>
        </w:rPr>
        <w:t xml:space="preserve"> </w:t>
      </w:r>
      <w:r>
        <w:rPr>
          <w:szCs w:val="22"/>
        </w:rPr>
        <w:t xml:space="preserve">(ii) content data (e.g., characterization, function, technical use of GRs, TK or TCEs); </w:t>
      </w:r>
      <w:r w:rsidR="00506296">
        <w:rPr>
          <w:szCs w:val="22"/>
        </w:rPr>
        <w:t xml:space="preserve"> </w:t>
      </w:r>
      <w:r>
        <w:rPr>
          <w:szCs w:val="22"/>
        </w:rPr>
        <w:t xml:space="preserve">(iii) rights metadata (e.g., right holder, subject matter, date of documentation, etc.); </w:t>
      </w:r>
      <w:r w:rsidR="00506296">
        <w:rPr>
          <w:szCs w:val="22"/>
        </w:rPr>
        <w:t xml:space="preserve"> </w:t>
      </w:r>
      <w:r>
        <w:rPr>
          <w:szCs w:val="22"/>
        </w:rPr>
        <w:t>or (iv) structures of the information systems and services (e.g., APIs, etc.)?</w:t>
      </w:r>
      <w:r>
        <w:t>;</w:t>
      </w:r>
      <w:proofErr w:type="gramEnd"/>
    </w:p>
    <w:p w14:paraId="35A74700" w14:textId="77777777" w:rsidR="00CD3628" w:rsidRPr="00D54C80" w:rsidRDefault="00CD3628" w:rsidP="00B21136">
      <w:pPr>
        <w:pStyle w:val="ListParagraph"/>
        <w:numPr>
          <w:ilvl w:val="1"/>
          <w:numId w:val="7"/>
        </w:numPr>
        <w:rPr>
          <w:szCs w:val="22"/>
        </w:rPr>
      </w:pPr>
      <w:r>
        <w:t>What should be the principles and modalities related to the sharing of relevant information related to GRs, TK and TCEs, especially periodicals, digital libraries and databases of information related to GRs, TK and TCEs, and how should WIPO Members cooperate in the sharing of such information?</w:t>
      </w:r>
    </w:p>
    <w:p w14:paraId="6D5B9B78" w14:textId="77777777" w:rsidR="00CD3628" w:rsidRDefault="00CD3628" w:rsidP="00B21136">
      <w:pPr>
        <w:pStyle w:val="ListParagraph"/>
        <w:numPr>
          <w:ilvl w:val="1"/>
          <w:numId w:val="7"/>
        </w:numPr>
        <w:rPr>
          <w:szCs w:val="22"/>
        </w:rPr>
      </w:pPr>
      <w:r>
        <w:rPr>
          <w:szCs w:val="22"/>
        </w:rPr>
        <w:t>How to s</w:t>
      </w:r>
      <w:r w:rsidRPr="00D54C80">
        <w:rPr>
          <w:szCs w:val="22"/>
        </w:rPr>
        <w:t xml:space="preserve">tructure data to be stored in databases (e.g. </w:t>
      </w:r>
      <w:r>
        <w:rPr>
          <w:szCs w:val="22"/>
        </w:rPr>
        <w:t>GRs</w:t>
      </w:r>
      <w:r w:rsidRPr="00D54C80">
        <w:rPr>
          <w:szCs w:val="22"/>
        </w:rPr>
        <w:t xml:space="preserve"> and non-secret </w:t>
      </w:r>
      <w:r>
        <w:rPr>
          <w:szCs w:val="22"/>
        </w:rPr>
        <w:t>TK</w:t>
      </w:r>
      <w:r w:rsidRPr="00D54C80">
        <w:rPr>
          <w:szCs w:val="22"/>
        </w:rPr>
        <w:t xml:space="preserve"> associated with </w:t>
      </w:r>
      <w:r>
        <w:rPr>
          <w:szCs w:val="22"/>
        </w:rPr>
        <w:t>GRs</w:t>
      </w:r>
      <w:r w:rsidRPr="00D54C80">
        <w:rPr>
          <w:szCs w:val="22"/>
        </w:rPr>
        <w:t>) with a view to conductin</w:t>
      </w:r>
      <w:r>
        <w:rPr>
          <w:szCs w:val="22"/>
        </w:rPr>
        <w:t xml:space="preserve">g effective prior art searches?  </w:t>
      </w:r>
    </w:p>
    <w:p w14:paraId="6E684DF1" w14:textId="14480EEE" w:rsidR="00CD3628" w:rsidRPr="00EF70DA" w:rsidRDefault="00CD3628" w:rsidP="00B21136">
      <w:pPr>
        <w:pStyle w:val="ListParagraph"/>
        <w:numPr>
          <w:ilvl w:val="1"/>
          <w:numId w:val="7"/>
        </w:numPr>
        <w:rPr>
          <w:szCs w:val="22"/>
        </w:rPr>
      </w:pPr>
      <w:r>
        <w:rPr>
          <w:szCs w:val="22"/>
        </w:rPr>
        <w:t xml:space="preserve">What </w:t>
      </w:r>
      <w:r w:rsidRPr="00D54C80">
        <w:rPr>
          <w:szCs w:val="22"/>
        </w:rPr>
        <w:t xml:space="preserve">impact </w:t>
      </w:r>
      <w:r>
        <w:rPr>
          <w:szCs w:val="22"/>
        </w:rPr>
        <w:t xml:space="preserve">do </w:t>
      </w:r>
      <w:r w:rsidRPr="00D54C80">
        <w:rPr>
          <w:szCs w:val="22"/>
        </w:rPr>
        <w:t>national database</w:t>
      </w:r>
      <w:r>
        <w:rPr>
          <w:szCs w:val="22"/>
        </w:rPr>
        <w:t>s have on</w:t>
      </w:r>
      <w:r w:rsidRPr="00D54C80">
        <w:rPr>
          <w:szCs w:val="22"/>
        </w:rPr>
        <w:t xml:space="preserve"> </w:t>
      </w:r>
      <w:r>
        <w:rPr>
          <w:szCs w:val="22"/>
        </w:rPr>
        <w:t>GRs</w:t>
      </w:r>
      <w:r w:rsidRPr="00D54C80">
        <w:rPr>
          <w:szCs w:val="22"/>
        </w:rPr>
        <w:t xml:space="preserve"> and non-secret </w:t>
      </w:r>
      <w:r>
        <w:rPr>
          <w:szCs w:val="22"/>
        </w:rPr>
        <w:t xml:space="preserve">TK </w:t>
      </w:r>
      <w:r w:rsidRPr="00D54C80">
        <w:rPr>
          <w:szCs w:val="22"/>
        </w:rPr>
        <w:t xml:space="preserve">associated with </w:t>
      </w:r>
      <w:r>
        <w:rPr>
          <w:szCs w:val="22"/>
        </w:rPr>
        <w:t xml:space="preserve">GRs </w:t>
      </w:r>
      <w:r w:rsidRPr="00D54C80">
        <w:rPr>
          <w:szCs w:val="22"/>
        </w:rPr>
        <w:t xml:space="preserve">protected under tribal or IP laws (e.g. </w:t>
      </w:r>
      <w:r>
        <w:rPr>
          <w:szCs w:val="22"/>
        </w:rPr>
        <w:t xml:space="preserve">a </w:t>
      </w:r>
      <w:r w:rsidRPr="00D54C80">
        <w:rPr>
          <w:szCs w:val="22"/>
        </w:rPr>
        <w:t>third party unlawfully accesses a nat</w:t>
      </w:r>
      <w:r>
        <w:rPr>
          <w:szCs w:val="22"/>
        </w:rPr>
        <w:t>i</w:t>
      </w:r>
      <w:r w:rsidR="00506296">
        <w:rPr>
          <w:szCs w:val="22"/>
        </w:rPr>
        <w:t>onal database or WIPO portal)?</w:t>
      </w:r>
    </w:p>
    <w:p w14:paraId="3283006D" w14:textId="77777777" w:rsidR="00286A2B" w:rsidRDefault="00286A2B" w:rsidP="00B21136"/>
    <w:p w14:paraId="728EF90B" w14:textId="4E2A83FE" w:rsidR="00444934" w:rsidRPr="00444934" w:rsidRDefault="00CD3628" w:rsidP="00B21136">
      <w:pPr>
        <w:rPr>
          <w:szCs w:val="22"/>
        </w:rPr>
      </w:pPr>
      <w:r w:rsidRPr="004515B4">
        <w:rPr>
          <w:szCs w:val="22"/>
        </w:rPr>
        <w:fldChar w:fldCharType="begin"/>
      </w:r>
      <w:r w:rsidRPr="004515B4">
        <w:rPr>
          <w:szCs w:val="22"/>
        </w:rPr>
        <w:instrText xml:space="preserve"> AUTONUM  </w:instrText>
      </w:r>
      <w:r w:rsidRPr="004515B4">
        <w:rPr>
          <w:szCs w:val="22"/>
        </w:rPr>
        <w:fldChar w:fldCharType="end"/>
      </w:r>
      <w:r w:rsidRPr="004515B4">
        <w:rPr>
          <w:szCs w:val="22"/>
        </w:rPr>
        <w:tab/>
        <w:t xml:space="preserve">Mr. Felipe </w:t>
      </w:r>
      <w:proofErr w:type="spellStart"/>
      <w:r w:rsidRPr="004515B4">
        <w:rPr>
          <w:szCs w:val="22"/>
        </w:rPr>
        <w:t>Carino</w:t>
      </w:r>
      <w:proofErr w:type="spellEnd"/>
      <w:r w:rsidRPr="004515B4">
        <w:rPr>
          <w:szCs w:val="22"/>
        </w:rPr>
        <w:t xml:space="preserve">, one of the IGC Vice-Chairs, </w:t>
      </w:r>
      <w:r w:rsidR="004515B4" w:rsidRPr="004515B4">
        <w:rPr>
          <w:szCs w:val="22"/>
        </w:rPr>
        <w:t>chaired</w:t>
      </w:r>
      <w:r w:rsidR="00506296">
        <w:rPr>
          <w:szCs w:val="22"/>
        </w:rPr>
        <w:t xml:space="preserve"> the meetings.</w:t>
      </w:r>
    </w:p>
    <w:p w14:paraId="279883DD" w14:textId="77777777" w:rsidR="00CD3628" w:rsidRDefault="00CD3628" w:rsidP="00B21136">
      <w:pPr>
        <w:rPr>
          <w:rFonts w:eastAsia="Times New Roman"/>
          <w:szCs w:val="22"/>
          <w:lang w:eastAsia="en-US"/>
        </w:rPr>
      </w:pPr>
    </w:p>
    <w:p w14:paraId="210782D7" w14:textId="6776BC16" w:rsidR="00CD3628" w:rsidRDefault="00CD3628" w:rsidP="00B21136">
      <w:pPr>
        <w:rPr>
          <w:szCs w:val="22"/>
        </w:rPr>
      </w:pPr>
      <w:r>
        <w:rPr>
          <w:szCs w:val="22"/>
        </w:rPr>
        <w:fldChar w:fldCharType="begin"/>
      </w:r>
      <w:r>
        <w:rPr>
          <w:szCs w:val="22"/>
        </w:rPr>
        <w:instrText xml:space="preserve"> AUTONUM  </w:instrText>
      </w:r>
      <w:r>
        <w:rPr>
          <w:szCs w:val="22"/>
        </w:rPr>
        <w:fldChar w:fldCharType="end"/>
      </w:r>
      <w:r>
        <w:rPr>
          <w:szCs w:val="22"/>
        </w:rPr>
        <w:tab/>
      </w:r>
      <w:r w:rsidR="00444934">
        <w:rPr>
          <w:szCs w:val="22"/>
        </w:rPr>
        <w:t xml:space="preserve">Member States and accredited observers were invited to nominate </w:t>
      </w:r>
      <w:r w:rsidR="009462BA">
        <w:rPr>
          <w:szCs w:val="22"/>
        </w:rPr>
        <w:t xml:space="preserve">experts </w:t>
      </w:r>
      <w:r w:rsidR="00BB0057">
        <w:rPr>
          <w:szCs w:val="22"/>
        </w:rPr>
        <w:t>by submitting</w:t>
      </w:r>
      <w:r w:rsidR="00BB0057" w:rsidRPr="00BB0057">
        <w:t xml:space="preserve"> </w:t>
      </w:r>
      <w:r w:rsidR="00BB0057">
        <w:rPr>
          <w:szCs w:val="22"/>
        </w:rPr>
        <w:t xml:space="preserve">the name and full </w:t>
      </w:r>
      <w:r w:rsidR="00BB0057" w:rsidRPr="00BB0057">
        <w:rPr>
          <w:szCs w:val="22"/>
        </w:rPr>
        <w:t xml:space="preserve">contact details of the nominee(s), as well as </w:t>
      </w:r>
      <w:proofErr w:type="gramStart"/>
      <w:r w:rsidR="00BB0057" w:rsidRPr="00BB0057">
        <w:rPr>
          <w:szCs w:val="22"/>
        </w:rPr>
        <w:t>a curriculum</w:t>
      </w:r>
      <w:proofErr w:type="gramEnd"/>
      <w:r w:rsidR="00BB0057" w:rsidRPr="00BB0057">
        <w:rPr>
          <w:szCs w:val="22"/>
        </w:rPr>
        <w:t xml:space="preserve"> vit</w:t>
      </w:r>
      <w:r w:rsidR="00BB0057">
        <w:rPr>
          <w:szCs w:val="22"/>
        </w:rPr>
        <w:t>ae that demonstrate</w:t>
      </w:r>
      <w:r w:rsidR="000F230C">
        <w:rPr>
          <w:szCs w:val="22"/>
        </w:rPr>
        <w:t>d</w:t>
      </w:r>
      <w:r w:rsidR="00BB0057">
        <w:rPr>
          <w:szCs w:val="22"/>
        </w:rPr>
        <w:t xml:space="preserve"> their area </w:t>
      </w:r>
      <w:r w:rsidR="00BB0057" w:rsidRPr="00BB0057">
        <w:rPr>
          <w:szCs w:val="22"/>
        </w:rPr>
        <w:t>of expertise</w:t>
      </w:r>
      <w:r w:rsidR="009462BA">
        <w:rPr>
          <w:szCs w:val="22"/>
        </w:rPr>
        <w:t>.  The Secretariat selected</w:t>
      </w:r>
      <w:r w:rsidR="009462BA" w:rsidRPr="009462BA">
        <w:rPr>
          <w:szCs w:val="22"/>
        </w:rPr>
        <w:t xml:space="preserve"> experts based on </w:t>
      </w:r>
      <w:r w:rsidR="009462BA">
        <w:rPr>
          <w:szCs w:val="22"/>
        </w:rPr>
        <w:t xml:space="preserve">their </w:t>
      </w:r>
      <w:r w:rsidR="009462BA" w:rsidRPr="009462BA">
        <w:rPr>
          <w:szCs w:val="22"/>
        </w:rPr>
        <w:t>expert</w:t>
      </w:r>
      <w:r w:rsidR="009462BA">
        <w:rPr>
          <w:szCs w:val="22"/>
        </w:rPr>
        <w:t xml:space="preserve">ise and experience, taking into </w:t>
      </w:r>
      <w:r w:rsidR="009462BA" w:rsidRPr="009462BA">
        <w:rPr>
          <w:szCs w:val="22"/>
        </w:rPr>
        <w:t>account regional and gender balance</w:t>
      </w:r>
      <w:r w:rsidR="009462BA">
        <w:rPr>
          <w:szCs w:val="22"/>
        </w:rPr>
        <w:t>.</w:t>
      </w:r>
      <w:r w:rsidR="009462BA" w:rsidRPr="009462BA">
        <w:rPr>
          <w:szCs w:val="22"/>
        </w:rPr>
        <w:t xml:space="preserve"> </w:t>
      </w:r>
      <w:r w:rsidR="009462BA">
        <w:rPr>
          <w:szCs w:val="22"/>
        </w:rPr>
        <w:t xml:space="preserve"> </w:t>
      </w:r>
      <w:r>
        <w:rPr>
          <w:szCs w:val="22"/>
        </w:rPr>
        <w:t xml:space="preserve">In addition to the selected experts nominated by Member States and observers, </w:t>
      </w:r>
      <w:r w:rsidR="00106DFD">
        <w:rPr>
          <w:szCs w:val="22"/>
        </w:rPr>
        <w:t xml:space="preserve">the </w:t>
      </w:r>
      <w:r>
        <w:rPr>
          <w:szCs w:val="22"/>
        </w:rPr>
        <w:t xml:space="preserve">Secretariat invited </w:t>
      </w:r>
      <w:r w:rsidRPr="00BA3F49">
        <w:rPr>
          <w:szCs w:val="22"/>
        </w:rPr>
        <w:t xml:space="preserve">Mr. Paul Oldham, </w:t>
      </w:r>
      <w:r>
        <w:rPr>
          <w:szCs w:val="22"/>
        </w:rPr>
        <w:t xml:space="preserve">Director, </w:t>
      </w:r>
      <w:proofErr w:type="gramStart"/>
      <w:r w:rsidRPr="00BA3F49">
        <w:rPr>
          <w:szCs w:val="22"/>
        </w:rPr>
        <w:t>One</w:t>
      </w:r>
      <w:proofErr w:type="gramEnd"/>
      <w:r w:rsidRPr="00BA3F49">
        <w:rPr>
          <w:szCs w:val="22"/>
        </w:rPr>
        <w:t xml:space="preserve"> World Analytics</w:t>
      </w:r>
      <w:r>
        <w:rPr>
          <w:szCs w:val="22"/>
        </w:rPr>
        <w:t>,</w:t>
      </w:r>
      <w:r w:rsidRPr="00BA3F49">
        <w:rPr>
          <w:szCs w:val="22"/>
        </w:rPr>
        <w:t xml:space="preserve"> to</w:t>
      </w:r>
      <w:r>
        <w:rPr>
          <w:szCs w:val="22"/>
        </w:rPr>
        <w:t xml:space="preserve"> </w:t>
      </w:r>
      <w:r w:rsidR="00E21450">
        <w:rPr>
          <w:szCs w:val="22"/>
        </w:rPr>
        <w:t>participate as</w:t>
      </w:r>
      <w:r w:rsidR="004515B4">
        <w:rPr>
          <w:szCs w:val="22"/>
        </w:rPr>
        <w:t xml:space="preserve"> an expert</w:t>
      </w:r>
      <w:r>
        <w:rPr>
          <w:szCs w:val="22"/>
        </w:rPr>
        <w:t xml:space="preserve"> in </w:t>
      </w:r>
      <w:r w:rsidR="002D206F">
        <w:rPr>
          <w:szCs w:val="22"/>
        </w:rPr>
        <w:t xml:space="preserve">the meetings.  The list of </w:t>
      </w:r>
      <w:r w:rsidR="00D6015E">
        <w:rPr>
          <w:szCs w:val="22"/>
        </w:rPr>
        <w:t>experts</w:t>
      </w:r>
      <w:r w:rsidR="002D206F">
        <w:rPr>
          <w:szCs w:val="22"/>
        </w:rPr>
        <w:t xml:space="preserve"> of the meeting is contained in Annex </w:t>
      </w:r>
      <w:r w:rsidR="0038385E">
        <w:rPr>
          <w:szCs w:val="22"/>
        </w:rPr>
        <w:t>I</w:t>
      </w:r>
      <w:r w:rsidR="002D206F">
        <w:rPr>
          <w:szCs w:val="22"/>
        </w:rPr>
        <w:t>.</w:t>
      </w:r>
    </w:p>
    <w:p w14:paraId="38332582" w14:textId="77777777" w:rsidR="00CD3628" w:rsidRDefault="00CD3628" w:rsidP="00B21136">
      <w:pPr>
        <w:rPr>
          <w:szCs w:val="22"/>
        </w:rPr>
      </w:pPr>
    </w:p>
    <w:p w14:paraId="1D32B6EF" w14:textId="05034407" w:rsidR="00CD3628" w:rsidRDefault="00CD3628" w:rsidP="00B21136">
      <w:pPr>
        <w:rPr>
          <w:szCs w:val="22"/>
        </w:rPr>
      </w:pPr>
      <w:r>
        <w:rPr>
          <w:szCs w:val="22"/>
        </w:rPr>
        <w:fldChar w:fldCharType="begin"/>
      </w:r>
      <w:r>
        <w:rPr>
          <w:szCs w:val="22"/>
        </w:rPr>
        <w:instrText xml:space="preserve"> AUTONUM  </w:instrText>
      </w:r>
      <w:r>
        <w:rPr>
          <w:szCs w:val="22"/>
        </w:rPr>
        <w:fldChar w:fldCharType="end"/>
      </w:r>
      <w:r>
        <w:rPr>
          <w:szCs w:val="22"/>
        </w:rPr>
        <w:tab/>
      </w:r>
      <w:r w:rsidR="004515B4">
        <w:rPr>
          <w:szCs w:val="22"/>
        </w:rPr>
        <w:t xml:space="preserve">The experts </w:t>
      </w:r>
      <w:r>
        <w:rPr>
          <w:szCs w:val="22"/>
        </w:rPr>
        <w:t>participate</w:t>
      </w:r>
      <w:r w:rsidR="004515B4">
        <w:rPr>
          <w:szCs w:val="22"/>
        </w:rPr>
        <w:t>d</w:t>
      </w:r>
      <w:r>
        <w:rPr>
          <w:szCs w:val="22"/>
        </w:rPr>
        <w:t xml:space="preserve"> in an individual capacity. </w:t>
      </w:r>
      <w:r w:rsidRPr="00A37B63">
        <w:rPr>
          <w:szCs w:val="22"/>
        </w:rPr>
        <w:t xml:space="preserve"> </w:t>
      </w:r>
      <w:r w:rsidR="004515B4">
        <w:rPr>
          <w:szCs w:val="22"/>
        </w:rPr>
        <w:t>T</w:t>
      </w:r>
      <w:r w:rsidRPr="006A4DA8">
        <w:rPr>
          <w:szCs w:val="22"/>
        </w:rPr>
        <w:t>he meeting</w:t>
      </w:r>
      <w:r>
        <w:rPr>
          <w:szCs w:val="22"/>
        </w:rPr>
        <w:t>s</w:t>
      </w:r>
      <w:r w:rsidRPr="006A4DA8">
        <w:rPr>
          <w:szCs w:val="22"/>
        </w:rPr>
        <w:t xml:space="preserve"> follow</w:t>
      </w:r>
      <w:r w:rsidR="004515B4">
        <w:rPr>
          <w:szCs w:val="22"/>
        </w:rPr>
        <w:t>ed</w:t>
      </w:r>
      <w:r w:rsidRPr="006A4DA8">
        <w:rPr>
          <w:szCs w:val="22"/>
        </w:rPr>
        <w:t xml:space="preserve"> Chatham House Rule</w:t>
      </w:r>
      <w:r>
        <w:rPr>
          <w:szCs w:val="22"/>
        </w:rPr>
        <w:t>s</w:t>
      </w:r>
      <w:r w:rsidRPr="006A4DA8">
        <w:rPr>
          <w:szCs w:val="22"/>
        </w:rPr>
        <w:t xml:space="preserve">, i.e., </w:t>
      </w:r>
      <w:r w:rsidR="008179BF">
        <w:rPr>
          <w:szCs w:val="22"/>
        </w:rPr>
        <w:t>“</w:t>
      </w:r>
      <w:r w:rsidRPr="006A4DA8">
        <w:rPr>
          <w:szCs w:val="22"/>
        </w:rPr>
        <w:t>participants are free to use the information received, but neither the identity nor the affiliation of the speakers, nor that of any other pa</w:t>
      </w:r>
      <w:r>
        <w:rPr>
          <w:szCs w:val="22"/>
        </w:rPr>
        <w:t>rticipant, may be revealed</w:t>
      </w:r>
      <w:r w:rsidR="008179BF">
        <w:rPr>
          <w:szCs w:val="22"/>
        </w:rPr>
        <w:t>”</w:t>
      </w:r>
      <w:r>
        <w:rPr>
          <w:szCs w:val="22"/>
        </w:rPr>
        <w:t>.  All expert</w:t>
      </w:r>
      <w:r w:rsidRPr="006A4DA8">
        <w:rPr>
          <w:szCs w:val="22"/>
        </w:rPr>
        <w:t xml:space="preserve">s </w:t>
      </w:r>
      <w:proofErr w:type="gramStart"/>
      <w:r w:rsidR="004515B4">
        <w:rPr>
          <w:szCs w:val="22"/>
        </w:rPr>
        <w:t>were</w:t>
      </w:r>
      <w:r w:rsidRPr="006A4DA8">
        <w:rPr>
          <w:szCs w:val="22"/>
        </w:rPr>
        <w:t xml:space="preserve"> also requested</w:t>
      </w:r>
      <w:proofErr w:type="gramEnd"/>
      <w:r w:rsidRPr="006A4DA8">
        <w:rPr>
          <w:szCs w:val="22"/>
        </w:rPr>
        <w:t xml:space="preserve"> to respect the informality of the </w:t>
      </w:r>
      <w:r>
        <w:rPr>
          <w:szCs w:val="22"/>
        </w:rPr>
        <w:t>meetings</w:t>
      </w:r>
      <w:r w:rsidRPr="006A4DA8">
        <w:rPr>
          <w:szCs w:val="22"/>
        </w:rPr>
        <w:t xml:space="preserve">, and not to communicate to the public, whether </w:t>
      </w:r>
      <w:r w:rsidR="008179BF">
        <w:rPr>
          <w:szCs w:val="22"/>
        </w:rPr>
        <w:t>“</w:t>
      </w:r>
      <w:r w:rsidRPr="006A4DA8">
        <w:rPr>
          <w:szCs w:val="22"/>
        </w:rPr>
        <w:t>live</w:t>
      </w:r>
      <w:r w:rsidR="008179BF">
        <w:rPr>
          <w:szCs w:val="22"/>
        </w:rPr>
        <w:t>”</w:t>
      </w:r>
      <w:r w:rsidRPr="006A4DA8">
        <w:rPr>
          <w:szCs w:val="22"/>
        </w:rPr>
        <w:t xml:space="preserve"> or at any future time, the content or nature of the discussions taking place in the </w:t>
      </w:r>
      <w:r>
        <w:rPr>
          <w:szCs w:val="22"/>
        </w:rPr>
        <w:t>meetings</w:t>
      </w:r>
      <w:r w:rsidRPr="006A4DA8">
        <w:rPr>
          <w:szCs w:val="22"/>
        </w:rPr>
        <w:t>, whether in general terms or by way of quoting specific ex</w:t>
      </w:r>
      <w:r>
        <w:rPr>
          <w:szCs w:val="22"/>
        </w:rPr>
        <w:t>p</w:t>
      </w:r>
      <w:r w:rsidRPr="006A4DA8">
        <w:rPr>
          <w:szCs w:val="22"/>
        </w:rPr>
        <w:t>erts.</w:t>
      </w:r>
    </w:p>
    <w:p w14:paraId="3DA0A5F9" w14:textId="77777777" w:rsidR="00CD3628" w:rsidRDefault="00CD3628" w:rsidP="00B21136">
      <w:pPr>
        <w:rPr>
          <w:szCs w:val="22"/>
        </w:rPr>
      </w:pPr>
    </w:p>
    <w:p w14:paraId="570C0F4E" w14:textId="77777777" w:rsidR="00CD3628" w:rsidRDefault="00CD3628" w:rsidP="00B21136">
      <w:pPr>
        <w:rPr>
          <w:szCs w:val="22"/>
        </w:rPr>
      </w:pPr>
      <w:r>
        <w:rPr>
          <w:szCs w:val="22"/>
        </w:rPr>
        <w:fldChar w:fldCharType="begin"/>
      </w:r>
      <w:r>
        <w:rPr>
          <w:szCs w:val="22"/>
        </w:rPr>
        <w:instrText xml:space="preserve"> AUTONUM  </w:instrText>
      </w:r>
      <w:r>
        <w:rPr>
          <w:szCs w:val="22"/>
        </w:rPr>
        <w:fldChar w:fldCharType="end"/>
      </w:r>
      <w:r>
        <w:rPr>
          <w:szCs w:val="22"/>
        </w:rPr>
        <w:tab/>
        <w:t xml:space="preserve">Each meeting </w:t>
      </w:r>
      <w:r w:rsidR="004515B4">
        <w:rPr>
          <w:szCs w:val="22"/>
        </w:rPr>
        <w:t>took</w:t>
      </w:r>
      <w:r>
        <w:rPr>
          <w:szCs w:val="22"/>
        </w:rPr>
        <w:t xml:space="preserve"> place over four days, for 2.5 hours per day.</w:t>
      </w:r>
    </w:p>
    <w:p w14:paraId="04B418FA" w14:textId="77777777" w:rsidR="00CD3628" w:rsidRDefault="00CD3628" w:rsidP="00B21136"/>
    <w:p w14:paraId="0C2EE90B" w14:textId="7AEE3847" w:rsidR="00CD3628" w:rsidRDefault="00CD3628" w:rsidP="00B21136">
      <w:pPr>
        <w:rPr>
          <w:szCs w:val="22"/>
        </w:rPr>
      </w:pPr>
      <w:r>
        <w:fldChar w:fldCharType="begin"/>
      </w:r>
      <w:r>
        <w:instrText xml:space="preserve"> AUTONUM  </w:instrText>
      </w:r>
      <w:r>
        <w:fldChar w:fldCharType="end"/>
      </w:r>
      <w:r>
        <w:tab/>
        <w:t>The meetings</w:t>
      </w:r>
      <w:r>
        <w:rPr>
          <w:szCs w:val="22"/>
        </w:rPr>
        <w:t xml:space="preserve"> </w:t>
      </w:r>
      <w:r w:rsidR="004515B4">
        <w:rPr>
          <w:szCs w:val="22"/>
        </w:rPr>
        <w:t>were</w:t>
      </w:r>
      <w:r>
        <w:rPr>
          <w:szCs w:val="22"/>
        </w:rPr>
        <w:t xml:space="preserve"> </w:t>
      </w:r>
      <w:r w:rsidR="004515B4">
        <w:rPr>
          <w:szCs w:val="22"/>
        </w:rPr>
        <w:t>neither</w:t>
      </w:r>
      <w:r>
        <w:rPr>
          <w:szCs w:val="22"/>
        </w:rPr>
        <w:t xml:space="preserve"> webcasted </w:t>
      </w:r>
      <w:r w:rsidR="004515B4">
        <w:rPr>
          <w:szCs w:val="22"/>
        </w:rPr>
        <w:t>n</w:t>
      </w:r>
      <w:r w:rsidR="00506296">
        <w:rPr>
          <w:szCs w:val="22"/>
        </w:rPr>
        <w:t>or recorded.</w:t>
      </w:r>
    </w:p>
    <w:p w14:paraId="7EAF03A3" w14:textId="77777777" w:rsidR="00CD3628" w:rsidRDefault="00CD3628" w:rsidP="00B21136">
      <w:pPr>
        <w:rPr>
          <w:szCs w:val="22"/>
        </w:rPr>
      </w:pPr>
    </w:p>
    <w:p w14:paraId="1B2B90B5" w14:textId="77777777" w:rsidR="00C8692E" w:rsidRDefault="00CD3628" w:rsidP="00B21136">
      <w:pPr>
        <w:rPr>
          <w:szCs w:val="22"/>
        </w:rPr>
      </w:pPr>
      <w:r>
        <w:rPr>
          <w:szCs w:val="22"/>
        </w:rPr>
        <w:fldChar w:fldCharType="begin"/>
      </w:r>
      <w:r>
        <w:rPr>
          <w:szCs w:val="22"/>
        </w:rPr>
        <w:instrText xml:space="preserve"> AUTONUM  </w:instrText>
      </w:r>
      <w:r>
        <w:rPr>
          <w:szCs w:val="22"/>
        </w:rPr>
        <w:fldChar w:fldCharType="end"/>
      </w:r>
      <w:r>
        <w:rPr>
          <w:szCs w:val="22"/>
        </w:rPr>
        <w:tab/>
        <w:t xml:space="preserve">Interpretation from and into English, French and Spanish </w:t>
      </w:r>
      <w:r w:rsidR="004515B4">
        <w:rPr>
          <w:szCs w:val="22"/>
        </w:rPr>
        <w:t>was</w:t>
      </w:r>
      <w:r>
        <w:rPr>
          <w:szCs w:val="22"/>
        </w:rPr>
        <w:t xml:space="preserve"> provided for the meetings.</w:t>
      </w:r>
    </w:p>
    <w:p w14:paraId="715B3968" w14:textId="77777777" w:rsidR="00C8692E" w:rsidRDefault="00C8692E" w:rsidP="00B21136">
      <w:pPr>
        <w:rPr>
          <w:szCs w:val="22"/>
        </w:rPr>
      </w:pPr>
    </w:p>
    <w:p w14:paraId="53B639D3" w14:textId="757D789E" w:rsidR="002D206F" w:rsidRPr="00C8692E" w:rsidRDefault="00506296" w:rsidP="00B21136">
      <w:pPr>
        <w:rPr>
          <w:szCs w:val="22"/>
        </w:rPr>
      </w:pPr>
      <w:r>
        <w:rPr>
          <w:szCs w:val="22"/>
        </w:rPr>
        <w:t>12.</w:t>
      </w:r>
      <w:r>
        <w:rPr>
          <w:szCs w:val="22"/>
        </w:rPr>
        <w:tab/>
      </w:r>
      <w:r w:rsidR="002D206F" w:rsidRPr="00D55FFF">
        <w:rPr>
          <w:bCs/>
        </w:rPr>
        <w:t xml:space="preserve">The experts of the Virtual Technical Meetings on Information Systems, Registers and Databases of Genetic Resources (GRs), Traditional Knowledge (TK) and Traditional Cultural Expressions (TCEs) </w:t>
      </w:r>
      <w:r w:rsidR="0038385E">
        <w:rPr>
          <w:bCs/>
        </w:rPr>
        <w:t xml:space="preserve">had fruitful discussions and </w:t>
      </w:r>
      <w:r w:rsidR="002D206F" w:rsidRPr="00D55FFF">
        <w:rPr>
          <w:bCs/>
        </w:rPr>
        <w:t>ma</w:t>
      </w:r>
      <w:r w:rsidR="0038385E">
        <w:rPr>
          <w:bCs/>
        </w:rPr>
        <w:t>de</w:t>
      </w:r>
      <w:r w:rsidR="002D206F" w:rsidRPr="00D55FFF">
        <w:rPr>
          <w:bCs/>
        </w:rPr>
        <w:t xml:space="preserve"> the following recommendations</w:t>
      </w:r>
      <w:r>
        <w:rPr>
          <w:bCs/>
        </w:rPr>
        <w:t xml:space="preserve"> to IGC </w:t>
      </w:r>
      <w:r w:rsidR="002D206F" w:rsidRPr="00D55FFF">
        <w:rPr>
          <w:bCs/>
        </w:rPr>
        <w:t>47</w:t>
      </w:r>
      <w:r w:rsidR="0038385E">
        <w:rPr>
          <w:bCs/>
        </w:rPr>
        <w:t xml:space="preserve"> for the consideration </w:t>
      </w:r>
      <w:r w:rsidR="00415F1E">
        <w:rPr>
          <w:bCs/>
        </w:rPr>
        <w:t>by</w:t>
      </w:r>
      <w:r w:rsidR="0038385E">
        <w:rPr>
          <w:bCs/>
        </w:rPr>
        <w:t xml:space="preserve"> the </w:t>
      </w:r>
      <w:r w:rsidR="005861AE">
        <w:rPr>
          <w:bCs/>
        </w:rPr>
        <w:t>Committee</w:t>
      </w:r>
      <w:r w:rsidR="002D206F" w:rsidRPr="00D55FFF">
        <w:rPr>
          <w:bCs/>
        </w:rPr>
        <w:t>:</w:t>
      </w:r>
    </w:p>
    <w:p w14:paraId="10D534FD" w14:textId="77777777" w:rsidR="002D206F" w:rsidRPr="00D55FFF" w:rsidRDefault="002D206F" w:rsidP="00B21136">
      <w:pPr>
        <w:pStyle w:val="ListParagraph"/>
        <w:rPr>
          <w:bCs/>
        </w:rPr>
      </w:pPr>
    </w:p>
    <w:p w14:paraId="5E5E7F83" w14:textId="2496BC0E" w:rsidR="002D206F" w:rsidRPr="008D1EBF" w:rsidRDefault="002D206F" w:rsidP="00B21136">
      <w:pPr>
        <w:pStyle w:val="ONUME"/>
        <w:numPr>
          <w:ilvl w:val="0"/>
          <w:numId w:val="8"/>
        </w:numPr>
        <w:spacing w:after="0"/>
      </w:pPr>
      <w:r w:rsidRPr="008D1EBF">
        <w:t>The suggested text for Article 7 of the Chair</w:t>
      </w:r>
      <w:r w:rsidR="008179BF">
        <w:t>’</w:t>
      </w:r>
      <w:r w:rsidRPr="008D1EBF">
        <w:t>s Text of a Draft International Legal Instrument relating to Intellectual Property, Genetic Resources and Traditional Knowledge associated with Genetic Resources (</w:t>
      </w:r>
      <w:r w:rsidR="0038385E" w:rsidRPr="0038385E">
        <w:t>WIPO/GRTKF/IC/43/5</w:t>
      </w:r>
      <w:r w:rsidRPr="008D1EBF">
        <w:t>) on Information Systems</w:t>
      </w:r>
      <w:r w:rsidRPr="008D1EBF" w:rsidDel="00B72A1F">
        <w:t xml:space="preserve"> </w:t>
      </w:r>
      <w:r w:rsidRPr="008D1EBF">
        <w:t>:</w:t>
      </w:r>
    </w:p>
    <w:p w14:paraId="77FD5D76" w14:textId="78721DC7" w:rsidR="00B21136" w:rsidRDefault="00B21136" w:rsidP="00B21136">
      <w:pPr>
        <w:ind w:left="720"/>
        <w:jc w:val="center"/>
        <w:rPr>
          <w:b/>
          <w:bCs/>
        </w:rPr>
      </w:pPr>
    </w:p>
    <w:p w14:paraId="6A4EA7DE" w14:textId="6CF25747" w:rsidR="002D206F" w:rsidRDefault="002D206F" w:rsidP="00B21136">
      <w:pPr>
        <w:ind w:left="720"/>
        <w:jc w:val="center"/>
        <w:rPr>
          <w:b/>
          <w:bCs/>
        </w:rPr>
      </w:pPr>
      <w:r w:rsidRPr="00D55FFF">
        <w:rPr>
          <w:b/>
          <w:bCs/>
        </w:rPr>
        <w:lastRenderedPageBreak/>
        <w:t>Article 7</w:t>
      </w:r>
    </w:p>
    <w:p w14:paraId="280B2765" w14:textId="77777777" w:rsidR="00B21136" w:rsidRPr="00D55FFF" w:rsidRDefault="00B21136" w:rsidP="00B21136">
      <w:pPr>
        <w:ind w:left="720"/>
        <w:jc w:val="center"/>
        <w:rPr>
          <w:b/>
          <w:bCs/>
        </w:rPr>
      </w:pPr>
    </w:p>
    <w:p w14:paraId="668AE356" w14:textId="77777777" w:rsidR="002D206F" w:rsidRDefault="002D206F" w:rsidP="00B21136">
      <w:pPr>
        <w:ind w:left="720"/>
        <w:jc w:val="center"/>
        <w:rPr>
          <w:b/>
          <w:bCs/>
        </w:rPr>
      </w:pPr>
      <w:r w:rsidRPr="00D55FFF">
        <w:rPr>
          <w:b/>
          <w:bCs/>
        </w:rPr>
        <w:t>DATABASES</w:t>
      </w:r>
    </w:p>
    <w:p w14:paraId="79404576" w14:textId="77777777" w:rsidR="002D206F" w:rsidRPr="00D55FFF" w:rsidRDefault="002D206F" w:rsidP="00B21136">
      <w:pPr>
        <w:ind w:left="720"/>
        <w:jc w:val="center"/>
        <w:rPr>
          <w:b/>
          <w:bCs/>
        </w:rPr>
      </w:pPr>
    </w:p>
    <w:p w14:paraId="31B5BD4C" w14:textId="77777777" w:rsidR="002D206F" w:rsidRDefault="002D206F" w:rsidP="00B21136">
      <w:pPr>
        <w:ind w:left="720"/>
      </w:pPr>
      <w:r w:rsidRPr="00D55FFF">
        <w:t>Contracting Parties are encouraged to facilitate the establishment of databases of GRs and Associated TK, in consultation with relevant stakeholders, taking into account their national circumstances.  With appropriate safeguards, such databases are encouraged to be accessible to Offices for the purposes of search and examination of patent applications.</w:t>
      </w:r>
    </w:p>
    <w:p w14:paraId="242BE926" w14:textId="77777777" w:rsidR="00106DFD" w:rsidRPr="00D55FFF" w:rsidRDefault="00106DFD" w:rsidP="00B21136">
      <w:pPr>
        <w:ind w:left="720"/>
      </w:pPr>
    </w:p>
    <w:p w14:paraId="439C16CB" w14:textId="77777777" w:rsidR="002D206F" w:rsidRPr="00D55FFF" w:rsidRDefault="002D206F" w:rsidP="00B21136">
      <w:pPr>
        <w:ind w:left="720"/>
        <w:rPr>
          <w:lang w:val="en-AU"/>
        </w:rPr>
      </w:pPr>
      <w:r w:rsidRPr="00D55FFF">
        <w:t>[</w:t>
      </w:r>
      <w:r w:rsidRPr="00D55FFF">
        <w:rPr>
          <w:lang w:val="en-AU"/>
        </w:rPr>
        <w:t xml:space="preserve">An online portal </w:t>
      </w:r>
      <w:proofErr w:type="gramStart"/>
      <w:r w:rsidRPr="00D55FFF">
        <w:rPr>
          <w:lang w:val="en-AU"/>
        </w:rPr>
        <w:t>will be established</w:t>
      </w:r>
      <w:proofErr w:type="gramEnd"/>
      <w:r w:rsidRPr="00D55FFF">
        <w:rPr>
          <w:lang w:val="en-AU"/>
        </w:rPr>
        <w:t xml:space="preserve"> by the International Bureau of WIPO, mainly </w:t>
      </w:r>
      <w:r w:rsidRPr="00D55FFF">
        <w:t>from existing national databases, through which Offices [and authorized users] would be able to directly access and retrieve data from such databases, subject to appropriate safeguards.</w:t>
      </w:r>
      <w:r w:rsidRPr="00D55FFF">
        <w:rPr>
          <w:lang w:val="en-AU"/>
        </w:rPr>
        <w:t>]</w:t>
      </w:r>
      <w:r w:rsidRPr="00D55FFF">
        <w:rPr>
          <w:rStyle w:val="FootnoteReference"/>
          <w:lang w:val="en-AU"/>
        </w:rPr>
        <w:footnoteReference w:id="2"/>
      </w:r>
    </w:p>
    <w:p w14:paraId="5623483B" w14:textId="77777777" w:rsidR="002D206F" w:rsidRPr="00D55FFF" w:rsidRDefault="002D206F" w:rsidP="00B21136">
      <w:pPr>
        <w:ind w:left="720"/>
        <w:rPr>
          <w:lang w:val="en-AU"/>
        </w:rPr>
      </w:pPr>
    </w:p>
    <w:p w14:paraId="2296DB26" w14:textId="393A2A8A" w:rsidR="002D206F" w:rsidRPr="008D1EBF" w:rsidRDefault="002D206F" w:rsidP="00B21136">
      <w:pPr>
        <w:pStyle w:val="ListParagraph"/>
        <w:numPr>
          <w:ilvl w:val="0"/>
          <w:numId w:val="8"/>
        </w:numPr>
        <w:rPr>
          <w:lang w:val="en-AU"/>
        </w:rPr>
      </w:pPr>
      <w:r w:rsidRPr="008D1EBF">
        <w:rPr>
          <w:lang w:val="en-AU"/>
        </w:rPr>
        <w:t xml:space="preserve">The suggested text on databases of traditional knowledge in the first draft of the </w:t>
      </w:r>
      <w:r w:rsidRPr="008D1EBF">
        <w:rPr>
          <w:i/>
          <w:lang w:val="en-AU"/>
        </w:rPr>
        <w:t>Chair</w:t>
      </w:r>
      <w:r w:rsidR="008179BF">
        <w:rPr>
          <w:i/>
          <w:lang w:val="en-AU"/>
        </w:rPr>
        <w:t>’</w:t>
      </w:r>
      <w:r w:rsidRPr="008D1EBF">
        <w:rPr>
          <w:i/>
          <w:lang w:val="en-AU"/>
        </w:rPr>
        <w:t xml:space="preserve">s Text of a Draft International Legal Instrument relating to IP and TK/TCEs </w:t>
      </w:r>
      <w:r w:rsidRPr="008D1EBF">
        <w:rPr>
          <w:lang w:val="en-AU"/>
        </w:rPr>
        <w:t>(</w:t>
      </w:r>
      <w:r w:rsidR="0038385E" w:rsidRPr="0038385E">
        <w:t>WIPO/GRTKF/IC/46/CHAIRS TEXT</w:t>
      </w:r>
      <w:r w:rsidRPr="008D1EBF">
        <w:rPr>
          <w:lang w:val="en-AU"/>
        </w:rPr>
        <w:t xml:space="preserve">) </w:t>
      </w:r>
      <w:r w:rsidRPr="008D1EBF">
        <w:t>(without prejudging the nature of the text)</w:t>
      </w:r>
      <w:r w:rsidRPr="008D1EBF">
        <w:rPr>
          <w:lang w:val="en-AU"/>
        </w:rPr>
        <w:t>:</w:t>
      </w:r>
    </w:p>
    <w:p w14:paraId="6DE8A0D3" w14:textId="77777777" w:rsidR="00B21136" w:rsidRDefault="00B21136" w:rsidP="00B21136">
      <w:pPr>
        <w:jc w:val="center"/>
        <w:rPr>
          <w:lang w:val="en-AU"/>
        </w:rPr>
      </w:pPr>
    </w:p>
    <w:p w14:paraId="106200DF" w14:textId="5A9DAC52" w:rsidR="002D206F" w:rsidRDefault="002D206F" w:rsidP="00B21136">
      <w:pPr>
        <w:jc w:val="center"/>
        <w:rPr>
          <w:lang w:val="en-AU"/>
        </w:rPr>
      </w:pPr>
      <w:r w:rsidRPr="00D55FFF">
        <w:rPr>
          <w:lang w:val="en-AU"/>
        </w:rPr>
        <w:t>DATABASES</w:t>
      </w:r>
    </w:p>
    <w:p w14:paraId="1AC82A1B" w14:textId="77777777" w:rsidR="002D206F" w:rsidRPr="00D55FFF" w:rsidRDefault="002D206F" w:rsidP="00B21136">
      <w:pPr>
        <w:jc w:val="center"/>
        <w:rPr>
          <w:lang w:val="en-AU"/>
        </w:rPr>
      </w:pPr>
    </w:p>
    <w:p w14:paraId="0C03FF0A" w14:textId="77777777" w:rsidR="002D206F" w:rsidRDefault="002D206F" w:rsidP="00B21136">
      <w:pPr>
        <w:tabs>
          <w:tab w:val="num" w:pos="993"/>
        </w:tabs>
        <w:autoSpaceDE w:val="0"/>
        <w:autoSpaceDN w:val="0"/>
        <w:adjustRightInd w:val="0"/>
        <w:ind w:left="720"/>
      </w:pPr>
      <w:r w:rsidRPr="00D55FFF">
        <w:t xml:space="preserve">Member States are encouraged to facilitate the establishment of databases of traditional knowledge, in consultation with relevant stakeholders, taking into account their national circumstances.  With appropriate safeguards, such databases may be accessible to intellectual property offices </w:t>
      </w:r>
      <w:proofErr w:type="gramStart"/>
      <w:r w:rsidRPr="00D55FFF">
        <w:t>for the purpose of</w:t>
      </w:r>
      <w:proofErr w:type="gramEnd"/>
      <w:r w:rsidRPr="00D55FFF">
        <w:t xml:space="preserve"> preventing the erroneous grant of intellectual property rights.</w:t>
      </w:r>
    </w:p>
    <w:p w14:paraId="105BE313" w14:textId="77777777" w:rsidR="00106DFD" w:rsidRPr="00D55FFF" w:rsidRDefault="00106DFD" w:rsidP="00B21136">
      <w:pPr>
        <w:tabs>
          <w:tab w:val="num" w:pos="993"/>
        </w:tabs>
        <w:autoSpaceDE w:val="0"/>
        <w:autoSpaceDN w:val="0"/>
        <w:adjustRightInd w:val="0"/>
        <w:ind w:left="720"/>
      </w:pPr>
    </w:p>
    <w:p w14:paraId="30230B79" w14:textId="77777777" w:rsidR="002D206F" w:rsidRPr="00D55FFF" w:rsidRDefault="002D206F" w:rsidP="00B21136">
      <w:pPr>
        <w:ind w:left="720"/>
      </w:pPr>
      <w:r w:rsidRPr="00D55FFF">
        <w:t>[Such databases may also be used for the purpose of transparency, certainty, conservation, and/or transboundary cooperation, and may facilitate and encourage, as appropriate, the creation, exchange and dissemination of, and access to traditional knowledge.]</w:t>
      </w:r>
      <w:r w:rsidRPr="00D55FFF">
        <w:cr/>
      </w:r>
    </w:p>
    <w:p w14:paraId="4B7BE3F1" w14:textId="3DD86F85" w:rsidR="002D206F" w:rsidRPr="008D1EBF" w:rsidRDefault="002D206F" w:rsidP="00B21136">
      <w:pPr>
        <w:pStyle w:val="ListParagraph"/>
        <w:numPr>
          <w:ilvl w:val="0"/>
          <w:numId w:val="8"/>
        </w:numPr>
      </w:pPr>
      <w:r w:rsidRPr="008D1EBF">
        <w:t xml:space="preserve">The suggested text on formalities </w:t>
      </w:r>
      <w:r w:rsidRPr="008D1EBF">
        <w:rPr>
          <w:lang w:val="en-AU"/>
        </w:rPr>
        <w:t xml:space="preserve">in the first draft of the </w:t>
      </w:r>
      <w:r w:rsidRPr="008D1EBF">
        <w:rPr>
          <w:i/>
          <w:lang w:val="en-AU"/>
        </w:rPr>
        <w:t>Chair</w:t>
      </w:r>
      <w:r w:rsidR="008179BF">
        <w:rPr>
          <w:i/>
          <w:lang w:val="en-AU"/>
        </w:rPr>
        <w:t>’</w:t>
      </w:r>
      <w:r w:rsidRPr="008D1EBF">
        <w:rPr>
          <w:i/>
          <w:lang w:val="en-AU"/>
        </w:rPr>
        <w:t>s Text of a Draft International Legal Instrument relating to IP and TK/TCEs</w:t>
      </w:r>
      <w:r w:rsidRPr="008D1EBF">
        <w:rPr>
          <w:lang w:val="en-AU"/>
        </w:rPr>
        <w:t xml:space="preserve"> (</w:t>
      </w:r>
      <w:r w:rsidR="0038385E" w:rsidRPr="0038385E">
        <w:rPr>
          <w:lang w:val="en-AU"/>
        </w:rPr>
        <w:t>WIPO/GRTKF/IC/46/CHAIRS TEXT</w:t>
      </w:r>
      <w:r w:rsidRPr="008D1EBF">
        <w:rPr>
          <w:lang w:val="en-AU"/>
        </w:rPr>
        <w:t xml:space="preserve">) </w:t>
      </w:r>
      <w:r w:rsidRPr="008D1EBF">
        <w:t>(without prejudging the nature of the text):</w:t>
      </w:r>
    </w:p>
    <w:p w14:paraId="6AE47D39" w14:textId="77777777" w:rsidR="002D206F" w:rsidRPr="00D55FFF" w:rsidRDefault="002D206F" w:rsidP="00B21136">
      <w:pPr>
        <w:pStyle w:val="ListParagraph"/>
        <w:jc w:val="center"/>
      </w:pPr>
    </w:p>
    <w:p w14:paraId="5AA4EA64" w14:textId="77777777" w:rsidR="002D206F" w:rsidRPr="00D55FFF" w:rsidRDefault="002D206F" w:rsidP="00B21136">
      <w:pPr>
        <w:pStyle w:val="ListParagraph"/>
        <w:jc w:val="center"/>
      </w:pPr>
      <w:r w:rsidRPr="00D55FFF">
        <w:t>FORMALITIES</w:t>
      </w:r>
    </w:p>
    <w:p w14:paraId="03C0F3BF" w14:textId="77777777" w:rsidR="002D206F" w:rsidRPr="00D55FFF" w:rsidRDefault="002D206F" w:rsidP="00B21136">
      <w:pPr>
        <w:pStyle w:val="ListParagraph"/>
        <w:jc w:val="center"/>
      </w:pPr>
    </w:p>
    <w:p w14:paraId="1C538BB4" w14:textId="77777777" w:rsidR="002D206F" w:rsidRPr="00D55FFF" w:rsidRDefault="002D206F" w:rsidP="00B21136">
      <w:pPr>
        <w:pStyle w:val="ListParagraph"/>
      </w:pPr>
      <w:r w:rsidRPr="00D55FFF">
        <w:t>Member States may require formalities for the protection of traditional knowledge/traditional cultural expressions, without prejudice to any exi</w:t>
      </w:r>
      <w:r w:rsidR="00106DFD">
        <w:t>sting rights of Indigenous P</w:t>
      </w:r>
      <w:r w:rsidRPr="00D55FFF">
        <w:t xml:space="preserve">eoples and local communities.  </w:t>
      </w:r>
    </w:p>
    <w:p w14:paraId="4C233D66" w14:textId="77777777" w:rsidR="002D206F" w:rsidRPr="00D55FFF" w:rsidRDefault="002D206F" w:rsidP="00B21136">
      <w:pPr>
        <w:pStyle w:val="ListParagraph"/>
      </w:pPr>
    </w:p>
    <w:p w14:paraId="387E8350" w14:textId="4F007972" w:rsidR="003236CF" w:rsidRPr="000F230C" w:rsidRDefault="003236CF" w:rsidP="00B21136">
      <w:pPr>
        <w:pStyle w:val="ListParagraph"/>
        <w:numPr>
          <w:ilvl w:val="0"/>
          <w:numId w:val="8"/>
        </w:numPr>
        <w:rPr>
          <w:lang w:val="en-AU"/>
        </w:rPr>
      </w:pPr>
      <w:r>
        <w:t>In view of the complexity of the technical, legal and operational issues around the establishment and maintenance of information systems on GRs, TK and TCEs, the experts recommend to IGC 47 the establishment of a Subsidiary Technical Task Force by the IGC to further address the technical, legal and operational issues relating to information systems on GRs, TK and TCEs. Furthermore, the experts recommend that the 2024-2025 IGC mandate include a reference to the Subsidiary Technical Task Force.</w:t>
      </w:r>
      <w:r w:rsidR="00506296">
        <w:t xml:space="preserve"> </w:t>
      </w:r>
      <w:r>
        <w:t xml:space="preserve"> It </w:t>
      </w:r>
      <w:proofErr w:type="gramStart"/>
      <w:r>
        <w:t>is noted</w:t>
      </w:r>
      <w:proofErr w:type="gramEnd"/>
      <w:r>
        <w:t xml:space="preserve"> that the WIPO Secretariat would prepare a detailed proposal regarding the modalities of the Subsidiary Technical Task Force for consideration by IGC 48.</w:t>
      </w:r>
    </w:p>
    <w:p w14:paraId="71D3AE97" w14:textId="77777777" w:rsidR="002D206F" w:rsidRPr="00D55FFF" w:rsidRDefault="002D206F" w:rsidP="00B21136">
      <w:pPr>
        <w:pStyle w:val="ListParagraph"/>
        <w:rPr>
          <w:lang w:val="en-AU"/>
        </w:rPr>
      </w:pPr>
    </w:p>
    <w:p w14:paraId="60DDD675" w14:textId="77777777" w:rsidR="00C8692E" w:rsidRDefault="002D206F" w:rsidP="00B21136">
      <w:pPr>
        <w:pStyle w:val="ListParagraph"/>
        <w:numPr>
          <w:ilvl w:val="0"/>
          <w:numId w:val="8"/>
        </w:numPr>
        <w:rPr>
          <w:lang w:val="en-AU"/>
        </w:rPr>
      </w:pPr>
      <w:r w:rsidRPr="00D55FFF">
        <w:rPr>
          <w:lang w:val="en-AU"/>
        </w:rPr>
        <w:lastRenderedPageBreak/>
        <w:t xml:space="preserve">The experts endorse the format of the Virtual Expert Meetings and recommend that this tool </w:t>
      </w:r>
      <w:proofErr w:type="gramStart"/>
      <w:r w:rsidRPr="00D55FFF">
        <w:rPr>
          <w:lang w:val="en-AU"/>
        </w:rPr>
        <w:t>be deployed</w:t>
      </w:r>
      <w:proofErr w:type="gramEnd"/>
      <w:r w:rsidRPr="00D55FFF">
        <w:rPr>
          <w:lang w:val="en-AU"/>
        </w:rPr>
        <w:t xml:space="preserve"> by the IGC in the future on other topics. </w:t>
      </w:r>
    </w:p>
    <w:p w14:paraId="39792D3B" w14:textId="77777777" w:rsidR="00C8692E" w:rsidRPr="00C8692E" w:rsidRDefault="00C8692E" w:rsidP="00B21136">
      <w:pPr>
        <w:pStyle w:val="ListParagraph"/>
        <w:rPr>
          <w:lang w:val="en-AU"/>
        </w:rPr>
      </w:pPr>
    </w:p>
    <w:p w14:paraId="78C90B65" w14:textId="77777777" w:rsidR="00C8692E" w:rsidRDefault="00C8692E" w:rsidP="00B21136">
      <w:pPr>
        <w:rPr>
          <w:lang w:val="en-AU"/>
        </w:rPr>
      </w:pPr>
    </w:p>
    <w:p w14:paraId="53C70F29" w14:textId="77777777" w:rsidR="00106DFD" w:rsidRDefault="00C8692E" w:rsidP="00B21136">
      <w:pPr>
        <w:rPr>
          <w:caps/>
        </w:rPr>
      </w:pPr>
      <w:r w:rsidRPr="00CD3628">
        <w:rPr>
          <w:caps/>
        </w:rPr>
        <w:t xml:space="preserve">Virtual Technical Meetings on </w:t>
      </w:r>
      <w:r>
        <w:rPr>
          <w:caps/>
        </w:rPr>
        <w:t>possible disclosure requirements</w:t>
      </w:r>
    </w:p>
    <w:p w14:paraId="169D8046" w14:textId="77777777" w:rsidR="00C8692E" w:rsidRDefault="00C8692E" w:rsidP="00B21136">
      <w:pPr>
        <w:rPr>
          <w:caps/>
        </w:rPr>
      </w:pPr>
    </w:p>
    <w:p w14:paraId="334EB1E1" w14:textId="6B45CC89" w:rsidR="005D5D58" w:rsidRDefault="00506296" w:rsidP="00B21136">
      <w:pPr>
        <w:rPr>
          <w:szCs w:val="22"/>
        </w:rPr>
      </w:pPr>
      <w:r>
        <w:rPr>
          <w:szCs w:val="22"/>
        </w:rPr>
        <w:t>13.</w:t>
      </w:r>
      <w:r>
        <w:rPr>
          <w:szCs w:val="22"/>
        </w:rPr>
        <w:tab/>
      </w:r>
      <w:r w:rsidR="0038385E">
        <w:rPr>
          <w:szCs w:val="22"/>
        </w:rPr>
        <w:t>T</w:t>
      </w:r>
      <w:r w:rsidR="00C8692E">
        <w:rPr>
          <w:szCs w:val="22"/>
        </w:rPr>
        <w:t xml:space="preserve">he Secretariat organized </w:t>
      </w:r>
      <w:r w:rsidR="00C8692E">
        <w:t xml:space="preserve">virtual technical meetings of experts on possible disclosure requirements. </w:t>
      </w:r>
    </w:p>
    <w:p w14:paraId="6D0AE445" w14:textId="77777777" w:rsidR="005D5D58" w:rsidRDefault="005D5D58" w:rsidP="00B21136">
      <w:pPr>
        <w:rPr>
          <w:szCs w:val="22"/>
        </w:rPr>
      </w:pPr>
    </w:p>
    <w:p w14:paraId="515E7E0F" w14:textId="0FF83715" w:rsidR="00506296" w:rsidRDefault="005D5D58" w:rsidP="00B21136">
      <w:pPr>
        <w:rPr>
          <w:szCs w:val="22"/>
        </w:rPr>
      </w:pPr>
      <w:r>
        <w:rPr>
          <w:szCs w:val="22"/>
        </w:rPr>
        <w:t xml:space="preserve">14.  The objectives of these expert meetings were to analyze and discuss </w:t>
      </w:r>
      <w:r w:rsidRPr="009969C6">
        <w:rPr>
          <w:szCs w:val="22"/>
        </w:rPr>
        <w:t>substantive issues related to</w:t>
      </w:r>
      <w:r>
        <w:rPr>
          <w:szCs w:val="22"/>
        </w:rPr>
        <w:t xml:space="preserve"> possible disclosure requirements with the aim of narrowing gaps and reaching a common understanding on core issues, in support the IGC</w:t>
      </w:r>
      <w:r w:rsidR="008179BF">
        <w:rPr>
          <w:szCs w:val="22"/>
        </w:rPr>
        <w:t>’</w:t>
      </w:r>
      <w:r>
        <w:rPr>
          <w:szCs w:val="22"/>
        </w:rPr>
        <w:t>s negotiations as per its mandate for 2022-2023.</w:t>
      </w:r>
      <w:r w:rsidR="00506296">
        <w:rPr>
          <w:szCs w:val="22"/>
        </w:rPr>
        <w:t xml:space="preserve"> </w:t>
      </w:r>
      <w:r>
        <w:rPr>
          <w:szCs w:val="22"/>
        </w:rPr>
        <w:t xml:space="preserve"> The experts </w:t>
      </w:r>
      <w:proofErr w:type="gramStart"/>
      <w:r>
        <w:rPr>
          <w:szCs w:val="22"/>
        </w:rPr>
        <w:t>were invited</w:t>
      </w:r>
      <w:proofErr w:type="gramEnd"/>
      <w:r>
        <w:rPr>
          <w:szCs w:val="22"/>
        </w:rPr>
        <w:t xml:space="preserve"> to make suggestions on the language in the draft international legal instruments on GRs and associated TK to the IGC, especially the Chair</w:t>
      </w:r>
      <w:r w:rsidR="008179BF">
        <w:rPr>
          <w:szCs w:val="22"/>
        </w:rPr>
        <w:t>’</w:t>
      </w:r>
      <w:r>
        <w:rPr>
          <w:szCs w:val="22"/>
        </w:rPr>
        <w:t>s Text</w:t>
      </w:r>
      <w:r w:rsidR="00106DFD">
        <w:rPr>
          <w:szCs w:val="22"/>
        </w:rPr>
        <w:t xml:space="preserve"> </w:t>
      </w:r>
      <w:r w:rsidR="00106DFD" w:rsidRPr="008D1EBF">
        <w:t>of a Draft International Legal Instrument relating to Intellectual Property, Genetic Resources and Traditional Knowledge associated with Genetic Resources</w:t>
      </w:r>
      <w:r w:rsidR="00506296">
        <w:rPr>
          <w:szCs w:val="22"/>
        </w:rPr>
        <w:t>.</w:t>
      </w:r>
    </w:p>
    <w:p w14:paraId="0726D63C" w14:textId="77777777" w:rsidR="00506296" w:rsidRPr="005D5D58" w:rsidRDefault="00506296" w:rsidP="00B21136">
      <w:pPr>
        <w:rPr>
          <w:szCs w:val="22"/>
        </w:rPr>
      </w:pPr>
    </w:p>
    <w:p w14:paraId="2B0402EB" w14:textId="77777777" w:rsidR="005D5D58" w:rsidRDefault="005D5D58" w:rsidP="00B21136">
      <w:pPr>
        <w:pStyle w:val="ListParagraph"/>
        <w:numPr>
          <w:ilvl w:val="0"/>
          <w:numId w:val="7"/>
        </w:numPr>
        <w:rPr>
          <w:szCs w:val="22"/>
        </w:rPr>
      </w:pPr>
      <w:r>
        <w:rPr>
          <w:szCs w:val="22"/>
        </w:rPr>
        <w:t>The first meeting, which took place from March 13 to 16, 2023, addressed the following issues:</w:t>
      </w:r>
    </w:p>
    <w:p w14:paraId="53F0C3A4" w14:textId="77777777" w:rsidR="005D5D58" w:rsidRPr="009969C6" w:rsidRDefault="005D5D58" w:rsidP="00B21136">
      <w:pPr>
        <w:pStyle w:val="ListParagraph"/>
        <w:numPr>
          <w:ilvl w:val="1"/>
          <w:numId w:val="7"/>
        </w:numPr>
        <w:rPr>
          <w:bCs/>
          <w:szCs w:val="22"/>
        </w:rPr>
      </w:pPr>
      <w:r>
        <w:t>inclusion of associated TK</w:t>
      </w:r>
    </w:p>
    <w:p w14:paraId="568E555A" w14:textId="77777777" w:rsidR="005D5D58" w:rsidRPr="009969C6" w:rsidRDefault="005D5D58" w:rsidP="00B21136">
      <w:pPr>
        <w:pStyle w:val="ListParagraph"/>
        <w:numPr>
          <w:ilvl w:val="1"/>
          <w:numId w:val="7"/>
        </w:numPr>
        <w:rPr>
          <w:bCs/>
          <w:szCs w:val="22"/>
        </w:rPr>
      </w:pPr>
      <w:r>
        <w:t>trigger of disclosure</w:t>
      </w:r>
    </w:p>
    <w:p w14:paraId="2D6D3151" w14:textId="5B92A0EC" w:rsidR="005D5D58" w:rsidRPr="00506296" w:rsidRDefault="005D5D58" w:rsidP="00B21136">
      <w:pPr>
        <w:pStyle w:val="ListParagraph"/>
        <w:numPr>
          <w:ilvl w:val="1"/>
          <w:numId w:val="7"/>
        </w:numPr>
        <w:rPr>
          <w:bCs/>
          <w:szCs w:val="22"/>
        </w:rPr>
      </w:pPr>
      <w:r>
        <w:t>content of disclosure</w:t>
      </w:r>
    </w:p>
    <w:p w14:paraId="233459DC" w14:textId="77777777" w:rsidR="00506296" w:rsidRPr="00EF70DA" w:rsidRDefault="00506296" w:rsidP="00B21136">
      <w:pPr>
        <w:pStyle w:val="ListParagraph"/>
        <w:ind w:left="1440"/>
        <w:rPr>
          <w:bCs/>
          <w:szCs w:val="22"/>
        </w:rPr>
      </w:pPr>
    </w:p>
    <w:p w14:paraId="5109BF2D" w14:textId="3320AEA2" w:rsidR="005D5D58" w:rsidRDefault="005D5D58" w:rsidP="00B21136">
      <w:pPr>
        <w:pStyle w:val="ListParagraph"/>
        <w:numPr>
          <w:ilvl w:val="0"/>
          <w:numId w:val="7"/>
        </w:numPr>
        <w:rPr>
          <w:szCs w:val="22"/>
        </w:rPr>
      </w:pPr>
      <w:r>
        <w:rPr>
          <w:szCs w:val="22"/>
        </w:rPr>
        <w:t xml:space="preserve">The second meeting, which took place from May 1 to </w:t>
      </w:r>
      <w:r w:rsidR="001A40B1">
        <w:rPr>
          <w:szCs w:val="22"/>
        </w:rPr>
        <w:t>3</w:t>
      </w:r>
      <w:r>
        <w:rPr>
          <w:szCs w:val="22"/>
        </w:rPr>
        <w:t>, 2023, addressed the following issues:</w:t>
      </w:r>
    </w:p>
    <w:p w14:paraId="7DF7F783" w14:textId="77777777" w:rsidR="005D5D58" w:rsidRDefault="005D5D58" w:rsidP="00B21136">
      <w:pPr>
        <w:pStyle w:val="ListParagraph"/>
        <w:numPr>
          <w:ilvl w:val="1"/>
          <w:numId w:val="7"/>
        </w:numPr>
        <w:rPr>
          <w:szCs w:val="22"/>
        </w:rPr>
      </w:pPr>
      <w:r>
        <w:rPr>
          <w:szCs w:val="22"/>
        </w:rPr>
        <w:t>sanctions</w:t>
      </w:r>
    </w:p>
    <w:p w14:paraId="2CDF5873" w14:textId="77777777" w:rsidR="005D5D58" w:rsidRDefault="005D5D58" w:rsidP="00B21136">
      <w:pPr>
        <w:pStyle w:val="ListParagraph"/>
        <w:numPr>
          <w:ilvl w:val="1"/>
          <w:numId w:val="7"/>
        </w:numPr>
        <w:rPr>
          <w:szCs w:val="22"/>
        </w:rPr>
      </w:pPr>
      <w:r>
        <w:rPr>
          <w:szCs w:val="22"/>
        </w:rPr>
        <w:t>relationship with information systems</w:t>
      </w:r>
    </w:p>
    <w:p w14:paraId="0F50F0FF" w14:textId="77777777" w:rsidR="005D5D58" w:rsidRPr="00D62C34" w:rsidRDefault="005D5D58" w:rsidP="00B21136">
      <w:pPr>
        <w:pStyle w:val="ListParagraph"/>
        <w:numPr>
          <w:ilvl w:val="1"/>
          <w:numId w:val="7"/>
        </w:numPr>
        <w:rPr>
          <w:szCs w:val="22"/>
        </w:rPr>
      </w:pPr>
      <w:proofErr w:type="gramStart"/>
      <w:r>
        <w:rPr>
          <w:szCs w:val="22"/>
        </w:rPr>
        <w:t>relationship</w:t>
      </w:r>
      <w:proofErr w:type="gramEnd"/>
      <w:r>
        <w:rPr>
          <w:szCs w:val="22"/>
        </w:rPr>
        <w:t xml:space="preserve"> with other instruments.</w:t>
      </w:r>
    </w:p>
    <w:p w14:paraId="2F3A2979" w14:textId="77777777" w:rsidR="005D5D58" w:rsidRDefault="005D5D58" w:rsidP="00B21136">
      <w:pPr>
        <w:rPr>
          <w:szCs w:val="22"/>
        </w:rPr>
      </w:pPr>
    </w:p>
    <w:p w14:paraId="6555E1B1" w14:textId="18A6F36A" w:rsidR="005D5D58" w:rsidRDefault="005D5D58" w:rsidP="00B21136">
      <w:pPr>
        <w:rPr>
          <w:rFonts w:eastAsia="Times New Roman"/>
          <w:szCs w:val="22"/>
          <w:lang w:eastAsia="en-US"/>
        </w:rPr>
      </w:pPr>
      <w:r>
        <w:rPr>
          <w:szCs w:val="22"/>
        </w:rPr>
        <w:t>15.</w:t>
      </w:r>
      <w:r>
        <w:rPr>
          <w:szCs w:val="22"/>
        </w:rPr>
        <w:tab/>
      </w:r>
      <w:r w:rsidRPr="004515B4">
        <w:rPr>
          <w:szCs w:val="22"/>
        </w:rPr>
        <w:t xml:space="preserve">Mr. Felipe </w:t>
      </w:r>
      <w:proofErr w:type="spellStart"/>
      <w:r w:rsidRPr="004515B4">
        <w:rPr>
          <w:szCs w:val="22"/>
        </w:rPr>
        <w:t>Carino</w:t>
      </w:r>
      <w:proofErr w:type="spellEnd"/>
      <w:r w:rsidRPr="004515B4">
        <w:rPr>
          <w:szCs w:val="22"/>
        </w:rPr>
        <w:t>, one of the IGC Vice-Chairs, chaired the m</w:t>
      </w:r>
      <w:r w:rsidR="00506296">
        <w:rPr>
          <w:szCs w:val="22"/>
        </w:rPr>
        <w:t>eetings.</w:t>
      </w:r>
    </w:p>
    <w:p w14:paraId="2AC0423B" w14:textId="77777777" w:rsidR="005D5D58" w:rsidRDefault="005D5D58" w:rsidP="00B21136">
      <w:pPr>
        <w:rPr>
          <w:rFonts w:eastAsia="Times New Roman"/>
          <w:szCs w:val="22"/>
          <w:lang w:eastAsia="en-US"/>
        </w:rPr>
      </w:pPr>
    </w:p>
    <w:p w14:paraId="2CB99FBC" w14:textId="054E88C9" w:rsidR="005D5D58" w:rsidRDefault="005D5D58" w:rsidP="00B21136">
      <w:pPr>
        <w:rPr>
          <w:szCs w:val="22"/>
        </w:rPr>
      </w:pPr>
      <w:r>
        <w:rPr>
          <w:szCs w:val="22"/>
        </w:rPr>
        <w:t>16.</w:t>
      </w:r>
      <w:r>
        <w:rPr>
          <w:szCs w:val="22"/>
        </w:rPr>
        <w:tab/>
      </w:r>
      <w:r w:rsidR="009462BA">
        <w:rPr>
          <w:szCs w:val="22"/>
        </w:rPr>
        <w:t>Member States and accredited observers were invited to nominate experts</w:t>
      </w:r>
      <w:r w:rsidR="0029434D">
        <w:rPr>
          <w:szCs w:val="22"/>
        </w:rPr>
        <w:t xml:space="preserve"> by submitting</w:t>
      </w:r>
      <w:r w:rsidR="0029434D" w:rsidRPr="00BB0057">
        <w:t xml:space="preserve"> </w:t>
      </w:r>
      <w:r w:rsidR="0029434D">
        <w:rPr>
          <w:szCs w:val="22"/>
        </w:rPr>
        <w:t xml:space="preserve">the name and full </w:t>
      </w:r>
      <w:r w:rsidR="0029434D" w:rsidRPr="00BB0057">
        <w:rPr>
          <w:szCs w:val="22"/>
        </w:rPr>
        <w:t xml:space="preserve">contact details of the nominee(s), as well as </w:t>
      </w:r>
      <w:proofErr w:type="gramStart"/>
      <w:r w:rsidR="0029434D" w:rsidRPr="00BB0057">
        <w:rPr>
          <w:szCs w:val="22"/>
        </w:rPr>
        <w:t>a curriculum</w:t>
      </w:r>
      <w:proofErr w:type="gramEnd"/>
      <w:r w:rsidR="0029434D" w:rsidRPr="00BB0057">
        <w:rPr>
          <w:szCs w:val="22"/>
        </w:rPr>
        <w:t xml:space="preserve"> vit</w:t>
      </w:r>
      <w:r w:rsidR="0029434D">
        <w:rPr>
          <w:szCs w:val="22"/>
        </w:rPr>
        <w:t>ae that demonstrate</w:t>
      </w:r>
      <w:r w:rsidR="000F230C">
        <w:rPr>
          <w:szCs w:val="22"/>
        </w:rPr>
        <w:t>d</w:t>
      </w:r>
      <w:r w:rsidR="0029434D">
        <w:rPr>
          <w:szCs w:val="22"/>
        </w:rPr>
        <w:t xml:space="preserve"> their area </w:t>
      </w:r>
      <w:r w:rsidR="0029434D" w:rsidRPr="00BB0057">
        <w:rPr>
          <w:szCs w:val="22"/>
        </w:rPr>
        <w:t>of expertise</w:t>
      </w:r>
      <w:r w:rsidR="009462BA">
        <w:rPr>
          <w:szCs w:val="22"/>
        </w:rPr>
        <w:t>.  The Secretariat selected</w:t>
      </w:r>
      <w:r w:rsidR="009462BA" w:rsidRPr="009462BA">
        <w:rPr>
          <w:szCs w:val="22"/>
        </w:rPr>
        <w:t xml:space="preserve"> experts based on</w:t>
      </w:r>
      <w:r w:rsidR="009462BA">
        <w:rPr>
          <w:szCs w:val="22"/>
        </w:rPr>
        <w:t xml:space="preserve"> their</w:t>
      </w:r>
      <w:r w:rsidR="009462BA" w:rsidRPr="009462BA">
        <w:rPr>
          <w:szCs w:val="22"/>
        </w:rPr>
        <w:t xml:space="preserve"> expert</w:t>
      </w:r>
      <w:r w:rsidR="009462BA">
        <w:rPr>
          <w:szCs w:val="22"/>
        </w:rPr>
        <w:t xml:space="preserve">ise and experience, taking into </w:t>
      </w:r>
      <w:r w:rsidR="009462BA" w:rsidRPr="009462BA">
        <w:rPr>
          <w:szCs w:val="22"/>
        </w:rPr>
        <w:t>account regional and gender balance</w:t>
      </w:r>
      <w:r w:rsidR="009462BA">
        <w:rPr>
          <w:szCs w:val="22"/>
        </w:rPr>
        <w:t>.</w:t>
      </w:r>
      <w:r w:rsidR="009462BA" w:rsidRPr="009462BA">
        <w:rPr>
          <w:szCs w:val="22"/>
        </w:rPr>
        <w:t xml:space="preserve"> </w:t>
      </w:r>
      <w:r w:rsidR="009462BA">
        <w:rPr>
          <w:szCs w:val="22"/>
        </w:rPr>
        <w:t xml:space="preserve"> </w:t>
      </w:r>
      <w:r>
        <w:rPr>
          <w:szCs w:val="22"/>
        </w:rPr>
        <w:t xml:space="preserve">In addition to the selected experts from the nominations of Member States and observers, WIPO invited Ms. </w:t>
      </w:r>
      <w:r>
        <w:t>Margo Bagley</w:t>
      </w:r>
      <w:r w:rsidRPr="00262FBE">
        <w:t xml:space="preserve">, Emory University School of Law, </w:t>
      </w:r>
      <w:r>
        <w:t>United States of America;  Mr. Nilce Ekandzi,</w:t>
      </w:r>
      <w:r w:rsidRPr="00DE6AF1">
        <w:t xml:space="preserve"> Raymond Chabot Grant Thornton, Canada</w:t>
      </w:r>
      <w:r>
        <w:t>;  and Mr. Frederic Perron-Welch</w:t>
      </w:r>
      <w:r w:rsidRPr="00262FBE">
        <w:t xml:space="preserve">, </w:t>
      </w:r>
      <w:r w:rsidRPr="00A82C65">
        <w:t>Grotius Centre for International Legal Studies, Leiden University</w:t>
      </w:r>
      <w:r>
        <w:t>, Netherlands,</w:t>
      </w:r>
      <w:r>
        <w:rPr>
          <w:szCs w:val="22"/>
        </w:rPr>
        <w:t xml:space="preserve"> to participate in the meetings as experts.  </w:t>
      </w:r>
      <w:r w:rsidR="004A6636">
        <w:rPr>
          <w:szCs w:val="22"/>
        </w:rPr>
        <w:t xml:space="preserve">The list of </w:t>
      </w:r>
      <w:r w:rsidR="00D6015E">
        <w:rPr>
          <w:szCs w:val="22"/>
        </w:rPr>
        <w:t>experts</w:t>
      </w:r>
      <w:r w:rsidR="004A6636">
        <w:rPr>
          <w:szCs w:val="22"/>
        </w:rPr>
        <w:t xml:space="preserve"> of the meeting is contained in Annex </w:t>
      </w:r>
      <w:r w:rsidR="0038385E">
        <w:rPr>
          <w:szCs w:val="22"/>
        </w:rPr>
        <w:t>II</w:t>
      </w:r>
      <w:r w:rsidR="004A6636">
        <w:rPr>
          <w:szCs w:val="22"/>
        </w:rPr>
        <w:t>.</w:t>
      </w:r>
    </w:p>
    <w:p w14:paraId="6831C204" w14:textId="77777777" w:rsidR="005D5D58" w:rsidRDefault="005D5D58" w:rsidP="00B21136">
      <w:pPr>
        <w:rPr>
          <w:szCs w:val="22"/>
        </w:rPr>
      </w:pPr>
    </w:p>
    <w:p w14:paraId="57ED01AC" w14:textId="5896CEA1" w:rsidR="005D5D58" w:rsidRDefault="005D5D58" w:rsidP="00B21136">
      <w:pPr>
        <w:rPr>
          <w:szCs w:val="22"/>
        </w:rPr>
      </w:pPr>
      <w:r>
        <w:rPr>
          <w:szCs w:val="22"/>
        </w:rPr>
        <w:t>17.</w:t>
      </w:r>
      <w:r>
        <w:rPr>
          <w:szCs w:val="22"/>
        </w:rPr>
        <w:tab/>
      </w:r>
      <w:r w:rsidR="004A6636">
        <w:rPr>
          <w:szCs w:val="22"/>
        </w:rPr>
        <w:t xml:space="preserve">The experts participated in an individual capacity. </w:t>
      </w:r>
      <w:r w:rsidR="004A6636" w:rsidRPr="00A37B63">
        <w:rPr>
          <w:szCs w:val="22"/>
        </w:rPr>
        <w:t xml:space="preserve"> </w:t>
      </w:r>
      <w:r w:rsidR="004A6636">
        <w:rPr>
          <w:szCs w:val="22"/>
        </w:rPr>
        <w:t>T</w:t>
      </w:r>
      <w:r w:rsidR="004A6636" w:rsidRPr="006A4DA8">
        <w:rPr>
          <w:szCs w:val="22"/>
        </w:rPr>
        <w:t>he meeting</w:t>
      </w:r>
      <w:r w:rsidR="004A6636">
        <w:rPr>
          <w:szCs w:val="22"/>
        </w:rPr>
        <w:t>s</w:t>
      </w:r>
      <w:r w:rsidR="004A6636" w:rsidRPr="006A4DA8">
        <w:rPr>
          <w:szCs w:val="22"/>
        </w:rPr>
        <w:t xml:space="preserve"> follow</w:t>
      </w:r>
      <w:r w:rsidR="004A6636">
        <w:rPr>
          <w:szCs w:val="22"/>
        </w:rPr>
        <w:t>ed</w:t>
      </w:r>
      <w:r w:rsidR="004A6636" w:rsidRPr="006A4DA8">
        <w:rPr>
          <w:szCs w:val="22"/>
        </w:rPr>
        <w:t xml:space="preserve"> Chatham House Rule</w:t>
      </w:r>
      <w:r w:rsidR="004A6636">
        <w:rPr>
          <w:szCs w:val="22"/>
        </w:rPr>
        <w:t>s</w:t>
      </w:r>
      <w:r w:rsidR="004A6636" w:rsidRPr="006A4DA8">
        <w:rPr>
          <w:szCs w:val="22"/>
        </w:rPr>
        <w:t xml:space="preserve">, i.e., </w:t>
      </w:r>
      <w:r w:rsidR="008179BF">
        <w:rPr>
          <w:szCs w:val="22"/>
        </w:rPr>
        <w:t>“</w:t>
      </w:r>
      <w:r w:rsidR="004A6636" w:rsidRPr="006A4DA8">
        <w:rPr>
          <w:szCs w:val="22"/>
        </w:rPr>
        <w:t>participants are free to use the information received, but neither the identity nor the affiliation of the speakers, nor that of any other pa</w:t>
      </w:r>
      <w:r w:rsidR="004A6636">
        <w:rPr>
          <w:szCs w:val="22"/>
        </w:rPr>
        <w:t>rticipant, may be revealed</w:t>
      </w:r>
      <w:r w:rsidR="008179BF">
        <w:rPr>
          <w:szCs w:val="22"/>
        </w:rPr>
        <w:t>”</w:t>
      </w:r>
      <w:r w:rsidR="004A6636">
        <w:rPr>
          <w:szCs w:val="22"/>
        </w:rPr>
        <w:t>.  All expert</w:t>
      </w:r>
      <w:r w:rsidR="004A6636" w:rsidRPr="006A4DA8">
        <w:rPr>
          <w:szCs w:val="22"/>
        </w:rPr>
        <w:t xml:space="preserve">s </w:t>
      </w:r>
      <w:proofErr w:type="gramStart"/>
      <w:r w:rsidR="004A6636">
        <w:rPr>
          <w:szCs w:val="22"/>
        </w:rPr>
        <w:t>were</w:t>
      </w:r>
      <w:r w:rsidR="004A6636" w:rsidRPr="006A4DA8">
        <w:rPr>
          <w:szCs w:val="22"/>
        </w:rPr>
        <w:t xml:space="preserve"> also requested</w:t>
      </w:r>
      <w:proofErr w:type="gramEnd"/>
      <w:r w:rsidR="004A6636" w:rsidRPr="006A4DA8">
        <w:rPr>
          <w:szCs w:val="22"/>
        </w:rPr>
        <w:t xml:space="preserve"> to respect the informality of the </w:t>
      </w:r>
      <w:r w:rsidR="004A6636">
        <w:rPr>
          <w:szCs w:val="22"/>
        </w:rPr>
        <w:t>meetings</w:t>
      </w:r>
      <w:r w:rsidR="004A6636" w:rsidRPr="006A4DA8">
        <w:rPr>
          <w:szCs w:val="22"/>
        </w:rPr>
        <w:t xml:space="preserve">, and not to communicate to the public, whether </w:t>
      </w:r>
      <w:r w:rsidR="008179BF">
        <w:rPr>
          <w:szCs w:val="22"/>
        </w:rPr>
        <w:t>“</w:t>
      </w:r>
      <w:r w:rsidR="004A6636" w:rsidRPr="006A4DA8">
        <w:rPr>
          <w:szCs w:val="22"/>
        </w:rPr>
        <w:t>live</w:t>
      </w:r>
      <w:r w:rsidR="008179BF">
        <w:rPr>
          <w:szCs w:val="22"/>
        </w:rPr>
        <w:t>”</w:t>
      </w:r>
      <w:r w:rsidR="004A6636" w:rsidRPr="006A4DA8">
        <w:rPr>
          <w:szCs w:val="22"/>
        </w:rPr>
        <w:t xml:space="preserve"> or at any future time, the content or nature of the discussions taking place in the </w:t>
      </w:r>
      <w:r w:rsidR="004A6636">
        <w:rPr>
          <w:szCs w:val="22"/>
        </w:rPr>
        <w:t>meetings</w:t>
      </w:r>
      <w:r w:rsidR="004A6636" w:rsidRPr="006A4DA8">
        <w:rPr>
          <w:szCs w:val="22"/>
        </w:rPr>
        <w:t>, whether in general terms or by way of quoting specific ex</w:t>
      </w:r>
      <w:r w:rsidR="004A6636">
        <w:rPr>
          <w:szCs w:val="22"/>
        </w:rPr>
        <w:t>p</w:t>
      </w:r>
      <w:r w:rsidR="004A6636" w:rsidRPr="006A4DA8">
        <w:rPr>
          <w:szCs w:val="22"/>
        </w:rPr>
        <w:t>erts.</w:t>
      </w:r>
    </w:p>
    <w:p w14:paraId="3A6604BE" w14:textId="77777777" w:rsidR="004A6636" w:rsidRDefault="004A6636" w:rsidP="00B21136">
      <w:pPr>
        <w:rPr>
          <w:szCs w:val="22"/>
        </w:rPr>
      </w:pPr>
    </w:p>
    <w:p w14:paraId="76D0BE05" w14:textId="77777777" w:rsidR="005D5D58" w:rsidRDefault="005D5D58" w:rsidP="00B21136">
      <w:pPr>
        <w:rPr>
          <w:szCs w:val="22"/>
        </w:rPr>
      </w:pPr>
      <w:r>
        <w:rPr>
          <w:szCs w:val="22"/>
        </w:rPr>
        <w:t>18.</w:t>
      </w:r>
      <w:r>
        <w:rPr>
          <w:szCs w:val="22"/>
        </w:rPr>
        <w:tab/>
      </w:r>
      <w:r w:rsidR="004A6636">
        <w:rPr>
          <w:szCs w:val="22"/>
        </w:rPr>
        <w:t>Each meeting took place over four days, for 2.5 hours per day.</w:t>
      </w:r>
    </w:p>
    <w:p w14:paraId="4116AD38" w14:textId="77777777" w:rsidR="005D5D58" w:rsidRDefault="005D5D58" w:rsidP="00B21136"/>
    <w:p w14:paraId="1E000A4C" w14:textId="3A05D022" w:rsidR="005D5D58" w:rsidRDefault="004A6636" w:rsidP="00B21136">
      <w:pPr>
        <w:rPr>
          <w:szCs w:val="22"/>
        </w:rPr>
      </w:pPr>
      <w:r>
        <w:t>19</w:t>
      </w:r>
      <w:r w:rsidR="005D5D58">
        <w:t>.</w:t>
      </w:r>
      <w:r w:rsidR="005D5D58">
        <w:tab/>
      </w:r>
      <w:r>
        <w:t>The meetings</w:t>
      </w:r>
      <w:r>
        <w:rPr>
          <w:szCs w:val="22"/>
        </w:rPr>
        <w:t xml:space="preserve"> were n</w:t>
      </w:r>
      <w:r w:rsidR="00506296">
        <w:rPr>
          <w:szCs w:val="22"/>
        </w:rPr>
        <w:t>either webcasted nor recorded.</w:t>
      </w:r>
    </w:p>
    <w:p w14:paraId="0297CDFF" w14:textId="77777777" w:rsidR="005D5D58" w:rsidRDefault="005D5D58" w:rsidP="00B21136">
      <w:pPr>
        <w:rPr>
          <w:szCs w:val="22"/>
        </w:rPr>
      </w:pPr>
    </w:p>
    <w:p w14:paraId="14C64E96" w14:textId="77777777" w:rsidR="005D5D58" w:rsidRDefault="005D5D58" w:rsidP="00B21136">
      <w:pPr>
        <w:rPr>
          <w:szCs w:val="22"/>
        </w:rPr>
      </w:pPr>
      <w:r>
        <w:rPr>
          <w:szCs w:val="22"/>
        </w:rPr>
        <w:t>2</w:t>
      </w:r>
      <w:r w:rsidR="004A6636">
        <w:rPr>
          <w:szCs w:val="22"/>
        </w:rPr>
        <w:t>0</w:t>
      </w:r>
      <w:r>
        <w:rPr>
          <w:szCs w:val="22"/>
        </w:rPr>
        <w:t>.</w:t>
      </w:r>
      <w:r>
        <w:rPr>
          <w:szCs w:val="22"/>
        </w:rPr>
        <w:tab/>
        <w:t xml:space="preserve">Interpretation from and </w:t>
      </w:r>
      <w:r w:rsidR="004A6636">
        <w:rPr>
          <w:szCs w:val="22"/>
        </w:rPr>
        <w:t>into English</w:t>
      </w:r>
      <w:r>
        <w:rPr>
          <w:szCs w:val="22"/>
        </w:rPr>
        <w:t xml:space="preserve"> and Spanish </w:t>
      </w:r>
      <w:r w:rsidR="004A6636">
        <w:rPr>
          <w:szCs w:val="22"/>
        </w:rPr>
        <w:t>was</w:t>
      </w:r>
      <w:r>
        <w:rPr>
          <w:szCs w:val="22"/>
        </w:rPr>
        <w:t xml:space="preserve"> provided for the meetings.</w:t>
      </w:r>
    </w:p>
    <w:p w14:paraId="16C184A6" w14:textId="77777777" w:rsidR="002D206F" w:rsidRDefault="002D206F" w:rsidP="00B21136">
      <w:pPr>
        <w:rPr>
          <w:szCs w:val="22"/>
        </w:rPr>
      </w:pPr>
    </w:p>
    <w:p w14:paraId="190A889B" w14:textId="2C81D4AD" w:rsidR="0076373C" w:rsidRPr="00BF32D8" w:rsidRDefault="0076373C" w:rsidP="00B21136">
      <w:pPr>
        <w:rPr>
          <w:szCs w:val="22"/>
        </w:rPr>
      </w:pPr>
      <w:r>
        <w:rPr>
          <w:szCs w:val="22"/>
        </w:rPr>
        <w:lastRenderedPageBreak/>
        <w:t>2</w:t>
      </w:r>
      <w:r w:rsidR="00CE2E22">
        <w:rPr>
          <w:szCs w:val="22"/>
        </w:rPr>
        <w:t>1</w:t>
      </w:r>
      <w:r>
        <w:rPr>
          <w:szCs w:val="22"/>
        </w:rPr>
        <w:t>.</w:t>
      </w:r>
      <w:r>
        <w:rPr>
          <w:szCs w:val="22"/>
        </w:rPr>
        <w:tab/>
      </w:r>
      <w:r w:rsidRPr="00D55FFF">
        <w:rPr>
          <w:bCs/>
        </w:rPr>
        <w:t xml:space="preserve">The experts </w:t>
      </w:r>
      <w:r w:rsidR="00E70F64">
        <w:rPr>
          <w:bCs/>
        </w:rPr>
        <w:t>focused their discussion on</w:t>
      </w:r>
      <w:r w:rsidR="004102E7">
        <w:rPr>
          <w:bCs/>
        </w:rPr>
        <w:t xml:space="preserve"> the </w:t>
      </w:r>
      <w:r w:rsidR="004102E7" w:rsidRPr="008D1EBF">
        <w:t>Chair</w:t>
      </w:r>
      <w:r w:rsidR="008179BF">
        <w:t>’</w:t>
      </w:r>
      <w:r w:rsidR="004102E7" w:rsidRPr="008D1EBF">
        <w:t>s Text of a Draft International Legal Instrument relating to Intellectual Property, Genetic Resources and Traditional Knowledge associated with Genetic Resources (</w:t>
      </w:r>
      <w:r w:rsidR="00E70F64" w:rsidRPr="00E70F64">
        <w:t>WIPO/GRTKF/IC/43/5</w:t>
      </w:r>
      <w:r w:rsidR="004102E7" w:rsidRPr="00E979DB">
        <w:rPr>
          <w:rStyle w:val="Hyperlink"/>
          <w:color w:val="auto"/>
          <w:u w:val="none"/>
        </w:rPr>
        <w:t>)</w:t>
      </w:r>
      <w:r w:rsidR="00E70F64" w:rsidRPr="00E979DB">
        <w:rPr>
          <w:rStyle w:val="Hyperlink"/>
          <w:color w:val="auto"/>
          <w:u w:val="none"/>
        </w:rPr>
        <w:t>, and the summary of the discussion is as follow</w:t>
      </w:r>
      <w:r w:rsidR="00415F1E">
        <w:rPr>
          <w:rStyle w:val="Hyperlink"/>
          <w:color w:val="auto"/>
          <w:u w:val="none"/>
        </w:rPr>
        <w:t>s</w:t>
      </w:r>
      <w:r w:rsidRPr="00BF32D8">
        <w:rPr>
          <w:bCs/>
        </w:rPr>
        <w:t>:</w:t>
      </w:r>
    </w:p>
    <w:p w14:paraId="442773E8" w14:textId="77777777" w:rsidR="0076373C" w:rsidRPr="00D55FFF" w:rsidRDefault="0076373C" w:rsidP="00B21136">
      <w:pPr>
        <w:pStyle w:val="ListParagraph"/>
        <w:rPr>
          <w:bCs/>
        </w:rPr>
      </w:pPr>
    </w:p>
    <w:p w14:paraId="38965DB4" w14:textId="6FCF64B1" w:rsidR="0076373C" w:rsidRDefault="0076373C" w:rsidP="00B21136">
      <w:pPr>
        <w:pStyle w:val="ONUME"/>
        <w:numPr>
          <w:ilvl w:val="0"/>
          <w:numId w:val="11"/>
        </w:numPr>
        <w:spacing w:after="0"/>
        <w:rPr>
          <w:rStyle w:val="Hyperlink"/>
          <w:color w:val="auto"/>
          <w:u w:val="none"/>
        </w:rPr>
      </w:pPr>
      <w:r>
        <w:t xml:space="preserve">The experts agreed that </w:t>
      </w:r>
      <w:r w:rsidR="008179BF">
        <w:t>“</w:t>
      </w:r>
      <w:r>
        <w:t xml:space="preserve">traditional knowledge </w:t>
      </w:r>
      <w:r w:rsidR="00E70F64">
        <w:t>associated with genetic resources</w:t>
      </w:r>
      <w:r w:rsidR="008179BF">
        <w:t>”</w:t>
      </w:r>
      <w:r w:rsidR="00E979DB">
        <w:t xml:space="preserve"> </w:t>
      </w:r>
      <w:r>
        <w:t>should be included in the</w:t>
      </w:r>
      <w:r w:rsidR="004102E7">
        <w:t xml:space="preserve"> Chair</w:t>
      </w:r>
      <w:r w:rsidR="008179BF">
        <w:t>’</w:t>
      </w:r>
      <w:r w:rsidR="004102E7">
        <w:t>s Text</w:t>
      </w:r>
      <w:r w:rsidRPr="0076373C">
        <w:rPr>
          <w:rStyle w:val="Hyperlink"/>
          <w:color w:val="auto"/>
          <w:u w:val="none"/>
        </w:rPr>
        <w:t xml:space="preserve">. </w:t>
      </w:r>
      <w:r w:rsidR="00E70F64">
        <w:rPr>
          <w:rStyle w:val="Hyperlink"/>
          <w:color w:val="auto"/>
          <w:u w:val="none"/>
        </w:rPr>
        <w:t xml:space="preserve"> However, a clear definition of </w:t>
      </w:r>
      <w:r w:rsidR="008179BF">
        <w:rPr>
          <w:rStyle w:val="Hyperlink"/>
          <w:color w:val="auto"/>
          <w:u w:val="none"/>
        </w:rPr>
        <w:t>“</w:t>
      </w:r>
      <w:r w:rsidR="00E70F64">
        <w:rPr>
          <w:rStyle w:val="Hyperlink"/>
          <w:color w:val="auto"/>
          <w:u w:val="none"/>
        </w:rPr>
        <w:t>traditional knowledge associated with genetic resources</w:t>
      </w:r>
      <w:r w:rsidR="008179BF">
        <w:rPr>
          <w:rStyle w:val="Hyperlink"/>
          <w:color w:val="auto"/>
          <w:u w:val="none"/>
        </w:rPr>
        <w:t>”</w:t>
      </w:r>
      <w:r w:rsidR="00E70F64">
        <w:rPr>
          <w:rStyle w:val="Hyperlink"/>
          <w:color w:val="auto"/>
          <w:u w:val="none"/>
        </w:rPr>
        <w:t xml:space="preserve"> needs to be included. </w:t>
      </w:r>
    </w:p>
    <w:p w14:paraId="0256DB8F" w14:textId="77777777" w:rsidR="004930A7" w:rsidRDefault="004930A7" w:rsidP="004930A7">
      <w:pPr>
        <w:pStyle w:val="ONUME"/>
        <w:numPr>
          <w:ilvl w:val="0"/>
          <w:numId w:val="0"/>
        </w:numPr>
        <w:spacing w:after="0"/>
        <w:ind w:left="720"/>
        <w:rPr>
          <w:rStyle w:val="Hyperlink"/>
          <w:color w:val="auto"/>
          <w:u w:val="none"/>
        </w:rPr>
      </w:pPr>
    </w:p>
    <w:p w14:paraId="7B9594BC" w14:textId="7900A9A4" w:rsidR="004102E7" w:rsidRDefault="004102E7" w:rsidP="00B21136">
      <w:pPr>
        <w:pStyle w:val="ONUME"/>
        <w:numPr>
          <w:ilvl w:val="0"/>
          <w:numId w:val="11"/>
        </w:numPr>
        <w:spacing w:after="0"/>
      </w:pPr>
      <w:r>
        <w:t xml:space="preserve">Most of the experts agreed that </w:t>
      </w:r>
      <w:r w:rsidR="00FB743A">
        <w:t xml:space="preserve">disclosure requirements </w:t>
      </w:r>
      <w:proofErr w:type="gramStart"/>
      <w:r w:rsidR="00FB743A">
        <w:t>should not be extended</w:t>
      </w:r>
      <w:proofErr w:type="gramEnd"/>
      <w:r w:rsidR="00FB743A">
        <w:t xml:space="preserve"> to </w:t>
      </w:r>
      <w:r>
        <w:t>digital sequence information (DSI).</w:t>
      </w:r>
      <w:r w:rsidR="00E70F64">
        <w:t xml:space="preserve">  The issue of DSI </w:t>
      </w:r>
      <w:proofErr w:type="gramStart"/>
      <w:r w:rsidR="00E70F64">
        <w:t>can be addressed</w:t>
      </w:r>
      <w:proofErr w:type="gramEnd"/>
      <w:r w:rsidR="008A43B0">
        <w:t xml:space="preserve"> in the review</w:t>
      </w:r>
      <w:r w:rsidR="00C82B83">
        <w:t xml:space="preserve"> of the scope and contents of the instrument</w:t>
      </w:r>
      <w:r w:rsidR="008A43B0">
        <w:t>, as detailed</w:t>
      </w:r>
      <w:r w:rsidR="00E70F64">
        <w:t xml:space="preserve"> in Article 9. </w:t>
      </w:r>
    </w:p>
    <w:p w14:paraId="727A3B91" w14:textId="77777777" w:rsidR="004930A7" w:rsidRDefault="004930A7" w:rsidP="004930A7">
      <w:pPr>
        <w:pStyle w:val="ListParagraph"/>
      </w:pPr>
    </w:p>
    <w:p w14:paraId="3477E20A" w14:textId="1D25BBC9" w:rsidR="000A4B08" w:rsidRDefault="00415F1E" w:rsidP="00B21136">
      <w:pPr>
        <w:pStyle w:val="ONUME"/>
        <w:numPr>
          <w:ilvl w:val="0"/>
          <w:numId w:val="11"/>
        </w:numPr>
        <w:spacing w:after="0"/>
      </w:pPr>
      <w:r>
        <w:t>S</w:t>
      </w:r>
      <w:r w:rsidR="000A4B08" w:rsidRPr="008D1EBF">
        <w:t>uggested text</w:t>
      </w:r>
      <w:r>
        <w:t>ual changes</w:t>
      </w:r>
      <w:r w:rsidR="000A4B08" w:rsidRPr="008D1EBF">
        <w:t xml:space="preserve"> for </w:t>
      </w:r>
      <w:r w:rsidR="001A40B1">
        <w:t xml:space="preserve">Article 2 and </w:t>
      </w:r>
      <w:r w:rsidR="000A4B08" w:rsidRPr="008D1EBF">
        <w:t>A</w:t>
      </w:r>
      <w:r w:rsidR="000A4B08">
        <w:t>rticle</w:t>
      </w:r>
      <w:r w:rsidR="00E70F64">
        <w:t>s</w:t>
      </w:r>
      <w:r w:rsidR="000A4B08">
        <w:t xml:space="preserve"> 3</w:t>
      </w:r>
      <w:r w:rsidR="00E70F64">
        <w:t>.1 and 3.2</w:t>
      </w:r>
      <w:r w:rsidR="000A4B08" w:rsidRPr="008D1EBF">
        <w:t xml:space="preserve"> of the Chair</w:t>
      </w:r>
      <w:r w:rsidR="008179BF">
        <w:t>’</w:t>
      </w:r>
      <w:r w:rsidR="000A4B08" w:rsidRPr="008D1EBF">
        <w:t xml:space="preserve">s Text </w:t>
      </w:r>
      <w:r w:rsidR="00E70F64">
        <w:t>regarding the trigger and content of disclosure</w:t>
      </w:r>
      <w:r w:rsidR="000A4B08" w:rsidRPr="008D1EBF" w:rsidDel="00B72A1F">
        <w:t xml:space="preserve"> </w:t>
      </w:r>
      <w:r>
        <w:t>are</w:t>
      </w:r>
      <w:r w:rsidR="00E70F64">
        <w:t xml:space="preserve"> as below</w:t>
      </w:r>
      <w:r w:rsidR="000A4B08" w:rsidRPr="008D1EBF">
        <w:t>:</w:t>
      </w:r>
    </w:p>
    <w:p w14:paraId="4BA1C730" w14:textId="35C39994" w:rsidR="00506296" w:rsidRDefault="00506296" w:rsidP="00B21136">
      <w:pPr>
        <w:pStyle w:val="ONUME"/>
        <w:numPr>
          <w:ilvl w:val="0"/>
          <w:numId w:val="0"/>
        </w:numPr>
        <w:spacing w:after="0"/>
        <w:ind w:left="720"/>
      </w:pPr>
    </w:p>
    <w:p w14:paraId="2BE78F32" w14:textId="77777777" w:rsidR="00B21136" w:rsidRDefault="00B21136" w:rsidP="00B21136">
      <w:pPr>
        <w:pStyle w:val="ONUME"/>
        <w:numPr>
          <w:ilvl w:val="0"/>
          <w:numId w:val="0"/>
        </w:numPr>
        <w:spacing w:after="0"/>
        <w:ind w:left="720"/>
      </w:pPr>
    </w:p>
    <w:p w14:paraId="76276947" w14:textId="08FBE42D" w:rsidR="000A4B08" w:rsidRDefault="000A4B08" w:rsidP="00B21136">
      <w:pPr>
        <w:pStyle w:val="ONUME"/>
        <w:numPr>
          <w:ilvl w:val="0"/>
          <w:numId w:val="0"/>
        </w:numPr>
        <w:spacing w:after="0"/>
        <w:ind w:left="720"/>
        <w:jc w:val="center"/>
        <w:rPr>
          <w:b/>
        </w:rPr>
      </w:pPr>
      <w:r w:rsidRPr="000A4B08">
        <w:rPr>
          <w:b/>
        </w:rPr>
        <w:t xml:space="preserve">ARTICLE 3 </w:t>
      </w:r>
    </w:p>
    <w:p w14:paraId="426D4633" w14:textId="77777777" w:rsidR="00B21136" w:rsidRPr="000A4B08" w:rsidRDefault="00B21136" w:rsidP="00B21136">
      <w:pPr>
        <w:pStyle w:val="ONUME"/>
        <w:numPr>
          <w:ilvl w:val="0"/>
          <w:numId w:val="0"/>
        </w:numPr>
        <w:spacing w:after="0"/>
        <w:ind w:left="720"/>
        <w:jc w:val="center"/>
        <w:rPr>
          <w:b/>
        </w:rPr>
      </w:pPr>
    </w:p>
    <w:p w14:paraId="60FECC37" w14:textId="5E9F27FC" w:rsidR="000A4B08" w:rsidRDefault="000A4B08" w:rsidP="00B21136">
      <w:pPr>
        <w:pStyle w:val="ONUME"/>
        <w:numPr>
          <w:ilvl w:val="0"/>
          <w:numId w:val="0"/>
        </w:numPr>
        <w:spacing w:after="0"/>
        <w:ind w:left="720"/>
        <w:jc w:val="center"/>
        <w:rPr>
          <w:b/>
        </w:rPr>
      </w:pPr>
      <w:r w:rsidRPr="000A4B08">
        <w:rPr>
          <w:b/>
        </w:rPr>
        <w:t>DISCLOSURE REQUIREMENT</w:t>
      </w:r>
    </w:p>
    <w:p w14:paraId="1ACDD607" w14:textId="77777777" w:rsidR="00B21136" w:rsidRPr="000A4B08" w:rsidRDefault="00B21136" w:rsidP="00B21136">
      <w:pPr>
        <w:pStyle w:val="ONUME"/>
        <w:numPr>
          <w:ilvl w:val="0"/>
          <w:numId w:val="0"/>
        </w:numPr>
        <w:spacing w:after="0"/>
        <w:ind w:left="720"/>
        <w:jc w:val="center"/>
        <w:rPr>
          <w:b/>
        </w:rPr>
      </w:pPr>
    </w:p>
    <w:p w14:paraId="3FDDF3C4" w14:textId="1835290D" w:rsidR="001A40B1" w:rsidRDefault="001A40B1" w:rsidP="004930A7">
      <w:pPr>
        <w:keepLines/>
        <w:ind w:left="1170" w:hanging="540"/>
      </w:pPr>
      <w:r w:rsidRPr="00192771">
        <w:t>3.1</w:t>
      </w:r>
      <w:r w:rsidRPr="00192771">
        <w:tab/>
      </w:r>
      <w:r w:rsidRPr="001A40B1">
        <w:t xml:space="preserve">Where the claimed invention in a patent application </w:t>
      </w:r>
      <w:proofErr w:type="gramStart"/>
      <w:r w:rsidRPr="00E979DB">
        <w:t xml:space="preserve">is </w:t>
      </w:r>
      <w:r w:rsidRPr="00E979DB">
        <w:rPr>
          <w:i/>
        </w:rPr>
        <w:t>materially</w:t>
      </w:r>
      <w:r w:rsidRPr="00E979DB">
        <w:t xml:space="preserve"> and </w:t>
      </w:r>
      <w:r w:rsidRPr="00E979DB">
        <w:rPr>
          <w:i/>
        </w:rPr>
        <w:t xml:space="preserve">directly </w:t>
      </w:r>
      <w:r w:rsidRPr="00E979DB">
        <w:t>based</w:t>
      </w:r>
      <w:proofErr w:type="gramEnd"/>
      <w:r w:rsidRPr="00E979DB">
        <w:t xml:space="preserve"> on GRs</w:t>
      </w:r>
      <w:r w:rsidRPr="001A40B1">
        <w:t>, each Contracting Party shall require applicants to disclose:</w:t>
      </w:r>
    </w:p>
    <w:p w14:paraId="4A749DC8" w14:textId="77777777" w:rsidR="001A40B1" w:rsidRPr="001A40B1" w:rsidRDefault="001A40B1" w:rsidP="001A313C">
      <w:pPr>
        <w:keepLines/>
        <w:ind w:left="1134" w:firstLine="396"/>
      </w:pPr>
    </w:p>
    <w:p w14:paraId="40DD6FC8" w14:textId="77777777" w:rsidR="001A40B1" w:rsidRPr="001A40B1" w:rsidRDefault="001A40B1" w:rsidP="004930A7">
      <w:pPr>
        <w:pStyle w:val="NormalWeb"/>
        <w:numPr>
          <w:ilvl w:val="0"/>
          <w:numId w:val="12"/>
        </w:numPr>
        <w:spacing w:before="0" w:beforeAutospacing="0" w:after="0" w:afterAutospacing="0"/>
        <w:ind w:left="1710" w:hanging="450"/>
        <w:rPr>
          <w:rFonts w:ascii="Arial" w:hAnsi="Arial" w:cs="Arial"/>
          <w:sz w:val="22"/>
          <w:szCs w:val="22"/>
        </w:rPr>
      </w:pPr>
      <w:r w:rsidRPr="001A40B1">
        <w:rPr>
          <w:rFonts w:ascii="Arial" w:hAnsi="Arial" w:cs="Arial"/>
          <w:sz w:val="22"/>
          <w:szCs w:val="22"/>
        </w:rPr>
        <w:t xml:space="preserve">the country of origin </w:t>
      </w:r>
      <w:r w:rsidRPr="00E979DB">
        <w:rPr>
          <w:rFonts w:ascii="Arial" w:hAnsi="Arial" w:cs="Arial"/>
          <w:sz w:val="22"/>
          <w:szCs w:val="22"/>
        </w:rPr>
        <w:t>from which the GRs were obtained</w:t>
      </w:r>
      <w:r w:rsidRPr="001A40B1">
        <w:rPr>
          <w:rFonts w:ascii="Arial" w:hAnsi="Arial" w:cs="Arial"/>
          <w:sz w:val="22"/>
          <w:szCs w:val="22"/>
        </w:rPr>
        <w:t>, or,</w:t>
      </w:r>
    </w:p>
    <w:p w14:paraId="0A1633BC" w14:textId="77777777" w:rsidR="001A40B1" w:rsidRPr="001A40B1" w:rsidRDefault="001A40B1" w:rsidP="004930A7">
      <w:pPr>
        <w:pStyle w:val="NormalWeb"/>
        <w:spacing w:before="0" w:beforeAutospacing="0" w:after="0" w:afterAutospacing="0"/>
        <w:ind w:left="1710" w:hanging="450"/>
        <w:rPr>
          <w:rFonts w:ascii="Arial" w:hAnsi="Arial" w:cs="Arial"/>
          <w:sz w:val="22"/>
          <w:szCs w:val="22"/>
        </w:rPr>
      </w:pPr>
    </w:p>
    <w:p w14:paraId="10CB723D" w14:textId="77777777" w:rsidR="001A40B1" w:rsidRPr="001A40B1" w:rsidRDefault="001A40B1" w:rsidP="004930A7">
      <w:pPr>
        <w:pStyle w:val="NormalWeb"/>
        <w:spacing w:before="0" w:beforeAutospacing="0" w:after="0" w:afterAutospacing="0"/>
        <w:ind w:left="1710" w:hanging="450"/>
        <w:rPr>
          <w:rFonts w:ascii="Arial" w:hAnsi="Arial" w:cs="Arial"/>
          <w:sz w:val="22"/>
          <w:szCs w:val="22"/>
        </w:rPr>
      </w:pPr>
      <w:r w:rsidRPr="001A40B1">
        <w:rPr>
          <w:rFonts w:ascii="Arial" w:hAnsi="Arial" w:cs="Arial"/>
          <w:sz w:val="22"/>
          <w:szCs w:val="22"/>
        </w:rPr>
        <w:t>(b)</w:t>
      </w:r>
      <w:r w:rsidRPr="001A40B1">
        <w:rPr>
          <w:rFonts w:ascii="Arial" w:hAnsi="Arial" w:cs="Arial"/>
          <w:sz w:val="22"/>
          <w:szCs w:val="22"/>
        </w:rPr>
        <w:tab/>
      </w:r>
      <w:proofErr w:type="gramStart"/>
      <w:r w:rsidRPr="001A40B1">
        <w:rPr>
          <w:rFonts w:ascii="Arial" w:hAnsi="Arial" w:cs="Arial"/>
          <w:sz w:val="22"/>
          <w:szCs w:val="22"/>
        </w:rPr>
        <w:t>in</w:t>
      </w:r>
      <w:proofErr w:type="gramEnd"/>
      <w:r w:rsidRPr="001A40B1">
        <w:rPr>
          <w:rFonts w:ascii="Arial" w:hAnsi="Arial" w:cs="Arial"/>
          <w:sz w:val="22"/>
          <w:szCs w:val="22"/>
        </w:rPr>
        <w:t xml:space="preserve"> cases where the information in sub paragraph (a) is not known to the applicant, or where sub paragraph (a) does not apply, the source of the GRs.</w:t>
      </w:r>
    </w:p>
    <w:p w14:paraId="67EA57D0" w14:textId="77777777" w:rsidR="001A40B1" w:rsidRPr="001A40B1" w:rsidRDefault="001A40B1" w:rsidP="00B21136">
      <w:pPr>
        <w:pStyle w:val="NormalWeb"/>
        <w:spacing w:before="0" w:beforeAutospacing="0" w:after="0" w:afterAutospacing="0"/>
        <w:ind w:left="1584"/>
        <w:rPr>
          <w:rFonts w:ascii="Arial" w:hAnsi="Arial" w:cs="Arial"/>
          <w:sz w:val="22"/>
          <w:szCs w:val="22"/>
        </w:rPr>
      </w:pPr>
    </w:p>
    <w:p w14:paraId="2437B59C" w14:textId="7178D856" w:rsidR="001A40B1" w:rsidRDefault="001A40B1" w:rsidP="004930A7">
      <w:pPr>
        <w:ind w:left="1170" w:hanging="540"/>
      </w:pPr>
      <w:r w:rsidRPr="001A40B1">
        <w:t>3.2</w:t>
      </w:r>
      <w:r w:rsidRPr="001A40B1">
        <w:tab/>
        <w:t xml:space="preserve">Where the claimed invention in a patent application </w:t>
      </w:r>
      <w:proofErr w:type="gramStart"/>
      <w:r w:rsidRPr="001A40B1">
        <w:t xml:space="preserve">is </w:t>
      </w:r>
      <w:r w:rsidRPr="00E979DB">
        <w:rPr>
          <w:i/>
        </w:rPr>
        <w:t>materially and directly</w:t>
      </w:r>
      <w:r w:rsidRPr="00E979DB">
        <w:t xml:space="preserve"> based</w:t>
      </w:r>
      <w:proofErr w:type="gramEnd"/>
      <w:r w:rsidRPr="00E979DB">
        <w:t xml:space="preserve"> on Associated TK</w:t>
      </w:r>
      <w:r w:rsidRPr="001A40B1">
        <w:t>, each Contracting Party shall require applicants to disclose:</w:t>
      </w:r>
    </w:p>
    <w:p w14:paraId="44105DEB" w14:textId="77777777" w:rsidR="001A40B1" w:rsidRPr="001A40B1" w:rsidRDefault="001A40B1" w:rsidP="00B21136">
      <w:pPr>
        <w:ind w:left="1134"/>
      </w:pPr>
    </w:p>
    <w:p w14:paraId="083EDC7F" w14:textId="5359C2F5" w:rsidR="001A40B1" w:rsidRDefault="001A40B1" w:rsidP="004930A7">
      <w:pPr>
        <w:ind w:left="1710" w:hanging="360"/>
      </w:pPr>
      <w:r w:rsidRPr="001A40B1">
        <w:t>(a)</w:t>
      </w:r>
      <w:r w:rsidRPr="001A40B1">
        <w:tab/>
      </w:r>
      <w:proofErr w:type="gramStart"/>
      <w:r w:rsidRPr="001A40B1">
        <w:t>the</w:t>
      </w:r>
      <w:proofErr w:type="gramEnd"/>
      <w:r w:rsidRPr="001A40B1">
        <w:t xml:space="preserve"> indigenous peoples or local community that provided the Associated TK, or,</w:t>
      </w:r>
    </w:p>
    <w:p w14:paraId="35990C7E" w14:textId="77777777" w:rsidR="001A40B1" w:rsidRPr="001A40B1" w:rsidRDefault="001A40B1" w:rsidP="004930A7">
      <w:pPr>
        <w:ind w:left="1710" w:hanging="360"/>
      </w:pPr>
    </w:p>
    <w:p w14:paraId="6E9D97CD" w14:textId="77777777" w:rsidR="001A40B1" w:rsidRPr="001A40B1" w:rsidRDefault="001A40B1" w:rsidP="004930A7">
      <w:pPr>
        <w:ind w:left="1710" w:hanging="360"/>
      </w:pPr>
      <w:r w:rsidRPr="001A40B1">
        <w:t>(b)</w:t>
      </w:r>
      <w:r w:rsidRPr="001A40B1">
        <w:tab/>
      </w:r>
      <w:proofErr w:type="gramStart"/>
      <w:r w:rsidRPr="001A40B1">
        <w:t>in</w:t>
      </w:r>
      <w:proofErr w:type="gramEnd"/>
      <w:r w:rsidRPr="001A40B1">
        <w:t xml:space="preserve"> cases where the information in sub paragraph (a) is not known to the applicant, or where sub paragraph (a) does not apply, the source of the Associated TK.</w:t>
      </w:r>
    </w:p>
    <w:p w14:paraId="2ED57EFF" w14:textId="77777777" w:rsidR="001A40B1" w:rsidRPr="001A40B1" w:rsidRDefault="001A40B1" w:rsidP="00B21136">
      <w:pPr>
        <w:ind w:left="1134"/>
      </w:pPr>
    </w:p>
    <w:p w14:paraId="4F75C94A" w14:textId="327BED8B" w:rsidR="001A40B1" w:rsidRDefault="001A40B1" w:rsidP="00B21136">
      <w:pPr>
        <w:ind w:left="1134"/>
      </w:pPr>
      <w:r w:rsidRPr="001A40B1">
        <w:t xml:space="preserve">In terms of </w:t>
      </w:r>
      <w:r>
        <w:t xml:space="preserve">relevant </w:t>
      </w:r>
      <w:r w:rsidRPr="001A40B1">
        <w:t>definitions</w:t>
      </w:r>
      <w:r w:rsidR="005861AE">
        <w:t xml:space="preserve"> in Article 2</w:t>
      </w:r>
      <w:r w:rsidRPr="001A40B1">
        <w:t>:</w:t>
      </w:r>
    </w:p>
    <w:p w14:paraId="682DA608" w14:textId="77777777" w:rsidR="001A40B1" w:rsidRPr="001A40B1" w:rsidRDefault="001A40B1" w:rsidP="00B21136">
      <w:pPr>
        <w:ind w:left="1134"/>
      </w:pPr>
    </w:p>
    <w:p w14:paraId="74B7EEC0" w14:textId="11B5B988" w:rsidR="001A40B1" w:rsidRDefault="008179BF" w:rsidP="00B21136">
      <w:pPr>
        <w:ind w:left="1134"/>
      </w:pPr>
      <w:r>
        <w:rPr>
          <w:b/>
          <w:i/>
        </w:rPr>
        <w:t>“</w:t>
      </w:r>
      <w:r w:rsidR="001A40B1" w:rsidRPr="001A40B1">
        <w:rPr>
          <w:b/>
          <w:i/>
        </w:rPr>
        <w:t>Country of origin</w:t>
      </w:r>
      <w:r>
        <w:rPr>
          <w:b/>
          <w:i/>
        </w:rPr>
        <w:t>”</w:t>
      </w:r>
      <w:r w:rsidR="001A40B1" w:rsidRPr="001A40B1">
        <w:t xml:space="preserve"> means the </w:t>
      </w:r>
      <w:proofErr w:type="gramStart"/>
      <w:r w:rsidR="001A40B1" w:rsidRPr="001A40B1">
        <w:t>country which</w:t>
      </w:r>
      <w:proofErr w:type="gramEnd"/>
      <w:r w:rsidR="001A40B1" w:rsidRPr="001A40B1">
        <w:t xml:space="preserve"> possesses genetic resources in </w:t>
      </w:r>
      <w:r w:rsidR="001A40B1" w:rsidRPr="001A40B1">
        <w:rPr>
          <w:i/>
        </w:rPr>
        <w:t>in situ</w:t>
      </w:r>
      <w:r w:rsidR="001A40B1" w:rsidRPr="001A40B1">
        <w:t xml:space="preserve"> conditions. </w:t>
      </w:r>
    </w:p>
    <w:p w14:paraId="67E18EDE" w14:textId="77777777" w:rsidR="001A40B1" w:rsidRPr="001A40B1" w:rsidRDefault="001A40B1" w:rsidP="00B21136">
      <w:pPr>
        <w:ind w:left="1134"/>
      </w:pPr>
    </w:p>
    <w:p w14:paraId="4F4F37E8" w14:textId="7623A3A5" w:rsidR="001A40B1" w:rsidRDefault="008179BF" w:rsidP="00B21136">
      <w:pPr>
        <w:ind w:left="1134"/>
      </w:pPr>
      <w:r>
        <w:rPr>
          <w:b/>
          <w:i/>
        </w:rPr>
        <w:t>“</w:t>
      </w:r>
      <w:r w:rsidR="001A40B1" w:rsidRPr="001A40B1">
        <w:rPr>
          <w:b/>
          <w:i/>
        </w:rPr>
        <w:t>Materially and Directly based on</w:t>
      </w:r>
      <w:r>
        <w:rPr>
          <w:b/>
          <w:i/>
        </w:rPr>
        <w:t>”</w:t>
      </w:r>
      <w:r w:rsidR="001A40B1" w:rsidRPr="001A40B1">
        <w:t xml:space="preserve"> means that the GRs and/or Associated TK must</w:t>
      </w:r>
      <w:r w:rsidR="001A40B1" w:rsidRPr="001A40B1">
        <w:rPr>
          <w:i/>
        </w:rPr>
        <w:t xml:space="preserve"> have been necessary </w:t>
      </w:r>
      <w:r w:rsidR="001A40B1" w:rsidRPr="00E979DB">
        <w:rPr>
          <w:i/>
        </w:rPr>
        <w:t>for</w:t>
      </w:r>
      <w:r w:rsidR="001A40B1" w:rsidRPr="001A40B1">
        <w:rPr>
          <w:i/>
        </w:rPr>
        <w:t xml:space="preserve"> </w:t>
      </w:r>
      <w:r w:rsidR="005F052D">
        <w:rPr>
          <w:i/>
        </w:rPr>
        <w:t>and</w:t>
      </w:r>
      <w:r w:rsidR="001A40B1" w:rsidRPr="001A40B1">
        <w:rPr>
          <w:i/>
        </w:rPr>
        <w:t xml:space="preserve"> </w:t>
      </w:r>
      <w:r w:rsidR="001A40B1" w:rsidRPr="00E979DB">
        <w:rPr>
          <w:i/>
        </w:rPr>
        <w:t>material to the claimed invention</w:t>
      </w:r>
      <w:r w:rsidR="001A40B1" w:rsidRPr="001A40B1">
        <w:t xml:space="preserve"> and that </w:t>
      </w:r>
      <w:r w:rsidR="001A40B1" w:rsidRPr="001A40B1">
        <w:rPr>
          <w:i/>
        </w:rPr>
        <w:t xml:space="preserve">the claimed invention must depend on the specific properties of the GRs and/or </w:t>
      </w:r>
      <w:r w:rsidR="001A40B1" w:rsidRPr="00E979DB">
        <w:rPr>
          <w:i/>
        </w:rPr>
        <w:t>insights from the</w:t>
      </w:r>
      <w:r w:rsidR="001A40B1" w:rsidRPr="001A40B1">
        <w:rPr>
          <w:i/>
        </w:rPr>
        <w:t xml:space="preserve"> Associated TK.</w:t>
      </w:r>
      <w:r w:rsidR="001A40B1" w:rsidRPr="001A40B1">
        <w:t xml:space="preserve">  </w:t>
      </w:r>
    </w:p>
    <w:p w14:paraId="3BCAACBE" w14:textId="77777777" w:rsidR="001A40B1" w:rsidRPr="001A40B1" w:rsidRDefault="001A40B1" w:rsidP="00B21136">
      <w:pPr>
        <w:ind w:left="1134"/>
      </w:pPr>
    </w:p>
    <w:p w14:paraId="2D20985F" w14:textId="3BEC35D9" w:rsidR="001A40B1" w:rsidRPr="00192771" w:rsidRDefault="008179BF" w:rsidP="00B21136">
      <w:pPr>
        <w:ind w:left="1134"/>
      </w:pPr>
      <w:r>
        <w:rPr>
          <w:b/>
          <w:i/>
        </w:rPr>
        <w:t>“</w:t>
      </w:r>
      <w:r w:rsidR="001A40B1" w:rsidRPr="001A40B1">
        <w:rPr>
          <w:b/>
          <w:i/>
        </w:rPr>
        <w:t>Source of Genetic Resources</w:t>
      </w:r>
      <w:r>
        <w:rPr>
          <w:b/>
          <w:i/>
        </w:rPr>
        <w:t>”</w:t>
      </w:r>
      <w:r w:rsidR="001A40B1" w:rsidRPr="001A40B1">
        <w:t xml:space="preserve"> refers to any source from which the applicant has obtained the GRs, such as </w:t>
      </w:r>
      <w:r w:rsidR="001A40B1" w:rsidRPr="00E979DB">
        <w:t>indigenous peoples and local communities,</w:t>
      </w:r>
      <w:r w:rsidR="001A40B1" w:rsidRPr="001A40B1">
        <w:t xml:space="preserve"> a research </w:t>
      </w:r>
      <w:proofErr w:type="spellStart"/>
      <w:r w:rsidR="001A40B1" w:rsidRPr="001A40B1">
        <w:t>centre</w:t>
      </w:r>
      <w:proofErr w:type="spellEnd"/>
      <w:r w:rsidR="001A40B1" w:rsidRPr="001A40B1">
        <w:t xml:space="preserve">, gene bank, the Multilateral System of the International Treaty on Plant Genetic Resources for Food and Agriculture (ITPGRFA), or any other </w:t>
      </w:r>
      <w:r w:rsidR="001A40B1" w:rsidRPr="001A40B1">
        <w:rPr>
          <w:i/>
        </w:rPr>
        <w:t>ex situ</w:t>
      </w:r>
      <w:r w:rsidR="001A40B1" w:rsidRPr="001A40B1">
        <w:t xml:space="preserve"> collection or depository of GRs.</w:t>
      </w:r>
    </w:p>
    <w:p w14:paraId="05C56372" w14:textId="77777777" w:rsidR="004930A7" w:rsidRDefault="004930A7" w:rsidP="00B21136">
      <w:pPr>
        <w:ind w:left="720"/>
      </w:pPr>
    </w:p>
    <w:p w14:paraId="1996EF9F" w14:textId="6C8ABF1F" w:rsidR="002C1063" w:rsidRDefault="001A40B1" w:rsidP="00B21136">
      <w:pPr>
        <w:pStyle w:val="ONUME"/>
        <w:numPr>
          <w:ilvl w:val="0"/>
          <w:numId w:val="11"/>
        </w:numPr>
        <w:spacing w:after="0"/>
      </w:pPr>
      <w:r>
        <w:t>Regarding</w:t>
      </w:r>
      <w:r w:rsidR="002C1063" w:rsidRPr="008D1EBF">
        <w:t xml:space="preserve"> A</w:t>
      </w:r>
      <w:r w:rsidR="004C4C97">
        <w:t>rticle 6</w:t>
      </w:r>
      <w:r w:rsidR="002C1063" w:rsidRPr="008D1EBF">
        <w:t xml:space="preserve"> of the Chair</w:t>
      </w:r>
      <w:r w:rsidR="008179BF">
        <w:t>’</w:t>
      </w:r>
      <w:r w:rsidR="002C1063" w:rsidRPr="008D1EBF">
        <w:t xml:space="preserve">s Text </w:t>
      </w:r>
      <w:r>
        <w:t>(</w:t>
      </w:r>
      <w:r w:rsidR="004C4C97">
        <w:t>Sanctions and Remedies</w:t>
      </w:r>
      <w:r>
        <w:t>),</w:t>
      </w:r>
    </w:p>
    <w:p w14:paraId="21D30073" w14:textId="77777777" w:rsidR="004930A7" w:rsidRDefault="004930A7" w:rsidP="004930A7">
      <w:pPr>
        <w:pStyle w:val="ONUME"/>
        <w:numPr>
          <w:ilvl w:val="0"/>
          <w:numId w:val="0"/>
        </w:numPr>
        <w:spacing w:after="0"/>
        <w:ind w:left="720"/>
      </w:pPr>
    </w:p>
    <w:p w14:paraId="473D0105" w14:textId="33BDEC23" w:rsidR="002440DE" w:rsidRDefault="002440DE" w:rsidP="00B21136">
      <w:pPr>
        <w:pStyle w:val="ONUME"/>
        <w:numPr>
          <w:ilvl w:val="0"/>
          <w:numId w:val="14"/>
        </w:numPr>
        <w:spacing w:after="0"/>
      </w:pPr>
      <w:r>
        <w:t xml:space="preserve">Some experts suggested adding to </w:t>
      </w:r>
      <w:r w:rsidR="005F052D">
        <w:t xml:space="preserve">Article </w:t>
      </w:r>
      <w:r>
        <w:t>6.2 the possibility to be able to correct erroneous information</w:t>
      </w:r>
      <w:r w:rsidR="00AB0735">
        <w:t>, in addition rectify</w:t>
      </w:r>
      <w:r w:rsidR="005861AE">
        <w:t>ing</w:t>
      </w:r>
      <w:r w:rsidR="00AB0735">
        <w:t xml:space="preserve"> a failure to include the minimum information</w:t>
      </w:r>
      <w:r>
        <w:t xml:space="preserve">. </w:t>
      </w:r>
    </w:p>
    <w:p w14:paraId="0A5CE98C" w14:textId="5FC3C564" w:rsidR="002440DE" w:rsidRDefault="00F8678C" w:rsidP="00B21136">
      <w:pPr>
        <w:pStyle w:val="ONUME"/>
        <w:numPr>
          <w:ilvl w:val="0"/>
          <w:numId w:val="14"/>
        </w:numPr>
        <w:spacing w:after="0"/>
      </w:pPr>
      <w:r>
        <w:t>W</w:t>
      </w:r>
      <w:r w:rsidR="002440DE">
        <w:t>hile most experts were not in favor of rev</w:t>
      </w:r>
      <w:r>
        <w:t>ocation, some experts supported revocation.</w:t>
      </w:r>
    </w:p>
    <w:p w14:paraId="501BB868" w14:textId="3E37A34E" w:rsidR="005F052D" w:rsidRDefault="005F052D" w:rsidP="00B21136">
      <w:pPr>
        <w:pStyle w:val="ONUME"/>
        <w:numPr>
          <w:ilvl w:val="0"/>
          <w:numId w:val="14"/>
        </w:numPr>
        <w:spacing w:after="0"/>
      </w:pPr>
      <w:r>
        <w:t>There was a general agre</w:t>
      </w:r>
      <w:r w:rsidR="005861AE">
        <w:t>ement that the order of Article</w:t>
      </w:r>
      <w:r>
        <w:t xml:space="preserve"> 6.3 and 6.4</w:t>
      </w:r>
      <w:r w:rsidR="005861AE">
        <w:t xml:space="preserve"> </w:t>
      </w:r>
      <w:proofErr w:type="gramStart"/>
      <w:r w:rsidR="005861AE">
        <w:t>should</w:t>
      </w:r>
      <w:r>
        <w:t xml:space="preserve"> be </w:t>
      </w:r>
      <w:r w:rsidR="003233CF">
        <w:t>switched</w:t>
      </w:r>
      <w:proofErr w:type="gramEnd"/>
      <w:r>
        <w:t xml:space="preserve">. </w:t>
      </w:r>
    </w:p>
    <w:p w14:paraId="13F89EC4" w14:textId="68B52E08" w:rsidR="00AB0735" w:rsidRDefault="00AB0735" w:rsidP="00B21136">
      <w:pPr>
        <w:pStyle w:val="ONUME"/>
        <w:numPr>
          <w:ilvl w:val="0"/>
          <w:numId w:val="14"/>
        </w:numPr>
        <w:spacing w:after="0"/>
      </w:pPr>
      <w:r>
        <w:t xml:space="preserve">Some experts wondered whether it is necessary to include </w:t>
      </w:r>
      <w:r w:rsidR="008179BF">
        <w:t>“</w:t>
      </w:r>
      <w:r>
        <w:t>solely</w:t>
      </w:r>
      <w:r w:rsidR="008179BF">
        <w:t>”</w:t>
      </w:r>
      <w:r>
        <w:t xml:space="preserve"> in Article 6.3.</w:t>
      </w:r>
    </w:p>
    <w:p w14:paraId="03DCE86C" w14:textId="2B55540B" w:rsidR="00AB0735" w:rsidRDefault="00754DF7" w:rsidP="00B21136">
      <w:pPr>
        <w:pStyle w:val="ONUME"/>
        <w:numPr>
          <w:ilvl w:val="0"/>
          <w:numId w:val="14"/>
        </w:numPr>
        <w:spacing w:after="0"/>
      </w:pPr>
      <w:r>
        <w:t>The e</w:t>
      </w:r>
      <w:r w:rsidR="005F052D">
        <w:t xml:space="preserve">xperts discussed the use of the term </w:t>
      </w:r>
      <w:r w:rsidR="008179BF">
        <w:t>“</w:t>
      </w:r>
      <w:r w:rsidR="005F052D">
        <w:t>fraudulent intent</w:t>
      </w:r>
      <w:r w:rsidR="008179BF">
        <w:t>”</w:t>
      </w:r>
      <w:r w:rsidR="00AB0735">
        <w:t xml:space="preserve"> in Article 6.4</w:t>
      </w:r>
      <w:r w:rsidR="003233CF">
        <w:t xml:space="preserve">. Among the experts, there was not a </w:t>
      </w:r>
      <w:r w:rsidR="005F052D">
        <w:t xml:space="preserve">common understanding </w:t>
      </w:r>
      <w:r w:rsidR="003233CF">
        <w:t>of the term</w:t>
      </w:r>
      <w:r w:rsidR="005F052D">
        <w:t xml:space="preserve">.  Some experts suggested replacing it with </w:t>
      </w:r>
      <w:r w:rsidR="008179BF">
        <w:t>“</w:t>
      </w:r>
      <w:r w:rsidR="005F052D">
        <w:t>fraudulent or willful intent</w:t>
      </w:r>
      <w:r w:rsidR="008179BF">
        <w:t>”</w:t>
      </w:r>
      <w:r w:rsidR="00AB0735">
        <w:t>.</w:t>
      </w:r>
    </w:p>
    <w:p w14:paraId="76568DE9" w14:textId="523C4E5E" w:rsidR="005F052D" w:rsidRDefault="00AB0735" w:rsidP="00B21136">
      <w:pPr>
        <w:pStyle w:val="ONUME"/>
        <w:numPr>
          <w:ilvl w:val="0"/>
          <w:numId w:val="14"/>
        </w:numPr>
        <w:spacing w:after="0"/>
      </w:pPr>
      <w:r>
        <w:t xml:space="preserve">Some experts expressed their concerns about </w:t>
      </w:r>
      <w:r w:rsidR="008179BF">
        <w:t>“</w:t>
      </w:r>
      <w:r w:rsidR="003233CF">
        <w:t xml:space="preserve">post </w:t>
      </w:r>
      <w:r>
        <w:t>grant sanctions</w:t>
      </w:r>
      <w:r w:rsidR="008179BF">
        <w:t>”</w:t>
      </w:r>
      <w:r w:rsidR="00506296">
        <w:t xml:space="preserve"> in Article 6.4. </w:t>
      </w:r>
    </w:p>
    <w:p w14:paraId="29785356" w14:textId="4A414D00" w:rsidR="00F8678C" w:rsidRDefault="002440DE" w:rsidP="00B21136">
      <w:pPr>
        <w:pStyle w:val="ONUME"/>
        <w:numPr>
          <w:ilvl w:val="0"/>
          <w:numId w:val="14"/>
        </w:numPr>
        <w:spacing w:after="0"/>
      </w:pPr>
      <w:r>
        <w:t>Some expe</w:t>
      </w:r>
      <w:r w:rsidR="00CE2E22">
        <w:t xml:space="preserve">rts suggested deleting </w:t>
      </w:r>
      <w:r w:rsidR="00A52B05">
        <w:t xml:space="preserve">Article </w:t>
      </w:r>
      <w:r w:rsidR="00CE2E22">
        <w:t xml:space="preserve">6.5, as they believed it is not </w:t>
      </w:r>
      <w:r>
        <w:t xml:space="preserve">helpful in the context of a transparency measure. </w:t>
      </w:r>
      <w:r w:rsidR="00A52B05">
        <w:t xml:space="preserve"> </w:t>
      </w:r>
      <w:r w:rsidR="00CE2E22">
        <w:t>However, m</w:t>
      </w:r>
      <w:r>
        <w:t xml:space="preserve">ost experts believed that </w:t>
      </w:r>
      <w:r w:rsidR="00A52B05">
        <w:t xml:space="preserve">Article </w:t>
      </w:r>
      <w:r>
        <w:t>6.5 is helpful as it encourages non-litigation dispute settlement.</w:t>
      </w:r>
      <w:r w:rsidR="00A52B05">
        <w:t xml:space="preserve">  Some expert</w:t>
      </w:r>
      <w:r w:rsidR="005861AE">
        <w:t>s</w:t>
      </w:r>
      <w:r w:rsidR="00A52B05">
        <w:t xml:space="preserve"> suggested replacing </w:t>
      </w:r>
      <w:r w:rsidR="008179BF">
        <w:t>“</w:t>
      </w:r>
      <w:r w:rsidR="00AB0735">
        <w:t>shall</w:t>
      </w:r>
      <w:r w:rsidR="008179BF">
        <w:t>”</w:t>
      </w:r>
      <w:r w:rsidR="00AB0735">
        <w:t xml:space="preserve"> with </w:t>
      </w:r>
      <w:r w:rsidR="008179BF">
        <w:t>“</w:t>
      </w:r>
      <w:r w:rsidR="00AB0735">
        <w:t>may</w:t>
      </w:r>
      <w:r w:rsidR="008179BF">
        <w:t>”</w:t>
      </w:r>
      <w:r w:rsidR="00AB0735">
        <w:t xml:space="preserve">, </w:t>
      </w:r>
      <w:r w:rsidR="008179BF">
        <w:t>“</w:t>
      </w:r>
      <w:r w:rsidR="00AB0735">
        <w:t>adequate dispute mechanisms</w:t>
      </w:r>
      <w:r w:rsidR="008179BF">
        <w:t>”</w:t>
      </w:r>
      <w:r w:rsidR="00AB0735">
        <w:t xml:space="preserve"> with </w:t>
      </w:r>
      <w:r w:rsidR="008179BF">
        <w:t>“</w:t>
      </w:r>
      <w:r w:rsidR="00AB0735">
        <w:t>alternative dispute resolutions</w:t>
      </w:r>
      <w:r w:rsidR="008179BF">
        <w:t>”</w:t>
      </w:r>
      <w:r w:rsidR="00AB0735">
        <w:t xml:space="preserve">, and </w:t>
      </w:r>
      <w:r w:rsidR="008179BF">
        <w:t>“</w:t>
      </w:r>
      <w:r w:rsidR="00AB0735">
        <w:t>all parties concerned</w:t>
      </w:r>
      <w:r w:rsidR="008179BF">
        <w:t>”</w:t>
      </w:r>
      <w:r w:rsidR="00AB0735">
        <w:t xml:space="preserve"> with </w:t>
      </w:r>
      <w:r w:rsidR="008179BF">
        <w:t>“</w:t>
      </w:r>
      <w:r w:rsidR="00AB0735">
        <w:t>the parties concerned</w:t>
      </w:r>
      <w:r w:rsidR="008179BF">
        <w:t>”</w:t>
      </w:r>
      <w:r w:rsidR="00506296">
        <w:t xml:space="preserve">. </w:t>
      </w:r>
    </w:p>
    <w:p w14:paraId="4633D623" w14:textId="77777777" w:rsidR="004930A7" w:rsidRDefault="004930A7" w:rsidP="004930A7">
      <w:pPr>
        <w:pStyle w:val="ONUME"/>
        <w:numPr>
          <w:ilvl w:val="0"/>
          <w:numId w:val="0"/>
        </w:numPr>
        <w:spacing w:after="0"/>
        <w:ind w:left="1440"/>
      </w:pPr>
    </w:p>
    <w:p w14:paraId="0AD7F1EA" w14:textId="3B9B118C" w:rsidR="00B51865" w:rsidRDefault="00754DF7" w:rsidP="00B21136">
      <w:pPr>
        <w:pStyle w:val="ONUME"/>
        <w:numPr>
          <w:ilvl w:val="0"/>
          <w:numId w:val="11"/>
        </w:numPr>
        <w:spacing w:after="0"/>
      </w:pPr>
      <w:r>
        <w:t xml:space="preserve">Regarding </w:t>
      </w:r>
      <w:r w:rsidR="000B2651" w:rsidRPr="008D1EBF">
        <w:t>A</w:t>
      </w:r>
      <w:r w:rsidR="000B2651">
        <w:t>rticle</w:t>
      </w:r>
      <w:r w:rsidR="00F8678C" w:rsidRPr="008D1EBF">
        <w:t xml:space="preserve"> </w:t>
      </w:r>
      <w:r w:rsidR="000B2651">
        <w:t xml:space="preserve">7 </w:t>
      </w:r>
      <w:r w:rsidR="00F8678C" w:rsidRPr="008D1EBF">
        <w:t>of the Chair</w:t>
      </w:r>
      <w:r w:rsidR="008179BF">
        <w:t>’</w:t>
      </w:r>
      <w:r w:rsidR="00F8678C" w:rsidRPr="008D1EBF">
        <w:t xml:space="preserve">s Text on </w:t>
      </w:r>
      <w:r w:rsidR="000B2651">
        <w:t>Information Systems</w:t>
      </w:r>
      <w:r>
        <w:t xml:space="preserve">, the experts took note of the suggested text </w:t>
      </w:r>
      <w:r w:rsidR="00F075B0">
        <w:t>proposed</w:t>
      </w:r>
      <w:r>
        <w:t xml:space="preserve"> by the </w:t>
      </w:r>
      <w:r w:rsidRPr="00754DF7">
        <w:t xml:space="preserve">experts </w:t>
      </w:r>
      <w:r w:rsidR="003233CF">
        <w:t>that participated in the virtual technical meetings on</w:t>
      </w:r>
      <w:r w:rsidRPr="00754DF7">
        <w:t xml:space="preserve"> information systems, registers and databases of GRs, TK and TCEs</w:t>
      </w:r>
      <w:r>
        <w:t xml:space="preserve">, and </w:t>
      </w:r>
      <w:r w:rsidR="00F075B0">
        <w:t xml:space="preserve">generally </w:t>
      </w:r>
      <w:r>
        <w:t xml:space="preserve">agreed with the suggestions.  One additional suggestion </w:t>
      </w:r>
      <w:r w:rsidR="00F075B0">
        <w:t>was</w:t>
      </w:r>
      <w:r>
        <w:t xml:space="preserve"> to emphasize the involvement of Indigenous Peoples and local communities by </w:t>
      </w:r>
      <w:r w:rsidR="000B2651">
        <w:t xml:space="preserve">replacing </w:t>
      </w:r>
      <w:r w:rsidR="008179BF">
        <w:t>“</w:t>
      </w:r>
      <w:r w:rsidR="000B2651">
        <w:t>in consultation with relevant stakeholders</w:t>
      </w:r>
      <w:r w:rsidR="008179BF">
        <w:t>”</w:t>
      </w:r>
      <w:r w:rsidR="000B2651">
        <w:t xml:space="preserve"> with </w:t>
      </w:r>
      <w:r w:rsidR="008179BF">
        <w:t>“</w:t>
      </w:r>
      <w:r w:rsidR="00B51865">
        <w:t xml:space="preserve">in consultation with </w:t>
      </w:r>
      <w:r w:rsidR="000B2651">
        <w:t>Indigenous Peoples and local communities and other stakeholders</w:t>
      </w:r>
      <w:r w:rsidR="008179BF">
        <w:t>”</w:t>
      </w:r>
      <w:r w:rsidR="00B51865">
        <w:t>.</w:t>
      </w:r>
      <w:r>
        <w:t xml:space="preserve">  </w:t>
      </w:r>
      <w:r w:rsidR="00B51865">
        <w:t xml:space="preserve">The experts </w:t>
      </w:r>
      <w:r>
        <w:t xml:space="preserve">also </w:t>
      </w:r>
      <w:r w:rsidR="00B51865">
        <w:t xml:space="preserve">agreed that secret </w:t>
      </w:r>
      <w:r w:rsidR="0054685C">
        <w:t>TK</w:t>
      </w:r>
      <w:r w:rsidR="00B51865">
        <w:t xml:space="preserve"> should not be included in database</w:t>
      </w:r>
      <w:r w:rsidR="0054685C">
        <w:t>s</w:t>
      </w:r>
      <w:r w:rsidR="00B51865">
        <w:t xml:space="preserve">. </w:t>
      </w:r>
    </w:p>
    <w:p w14:paraId="46FCE932" w14:textId="77777777" w:rsidR="004930A7" w:rsidRDefault="004930A7" w:rsidP="004930A7">
      <w:pPr>
        <w:pStyle w:val="ONUME"/>
        <w:numPr>
          <w:ilvl w:val="0"/>
          <w:numId w:val="0"/>
        </w:numPr>
        <w:spacing w:after="0"/>
        <w:ind w:left="720"/>
      </w:pPr>
    </w:p>
    <w:p w14:paraId="196843A0" w14:textId="2F91C446" w:rsidR="00531EAD" w:rsidRDefault="0054685C" w:rsidP="00B21136">
      <w:pPr>
        <w:pStyle w:val="ONUME"/>
        <w:numPr>
          <w:ilvl w:val="0"/>
          <w:numId w:val="11"/>
        </w:numPr>
        <w:spacing w:after="0"/>
      </w:pPr>
      <w:r>
        <w:t xml:space="preserve">Regarding </w:t>
      </w:r>
      <w:r w:rsidR="00531EAD" w:rsidRPr="008D1EBF">
        <w:t>A</w:t>
      </w:r>
      <w:r w:rsidR="00531EAD">
        <w:t>rticle 8</w:t>
      </w:r>
      <w:r w:rsidR="00531EAD" w:rsidRPr="008D1EBF">
        <w:t xml:space="preserve"> of the Chair</w:t>
      </w:r>
      <w:r w:rsidR="008179BF">
        <w:t>’</w:t>
      </w:r>
      <w:r w:rsidR="00531EAD" w:rsidRPr="008D1EBF">
        <w:t xml:space="preserve">s Text on </w:t>
      </w:r>
      <w:r w:rsidR="00531EAD">
        <w:t>Relationship with Other International Agreements, the experts agreed to delete the footnote to Article 8</w:t>
      </w:r>
      <w:r w:rsidR="00BF32D8">
        <w:t xml:space="preserve">.  Some experts suggested replacing </w:t>
      </w:r>
      <w:r w:rsidR="008179BF">
        <w:t>“</w:t>
      </w:r>
      <w:r w:rsidR="00BF32D8">
        <w:t>mutually supportive</w:t>
      </w:r>
      <w:r w:rsidR="008179BF">
        <w:t>”</w:t>
      </w:r>
      <w:r w:rsidR="00BF32D8">
        <w:t xml:space="preserve"> with </w:t>
      </w:r>
      <w:r w:rsidR="008179BF">
        <w:t>“</w:t>
      </w:r>
      <w:r w:rsidR="00BF32D8">
        <w:t>coherent</w:t>
      </w:r>
      <w:r w:rsidR="008179BF">
        <w:t>”</w:t>
      </w:r>
      <w:r w:rsidR="00BF32D8">
        <w:t xml:space="preserve">.  </w:t>
      </w:r>
    </w:p>
    <w:p w14:paraId="1A8C15AC" w14:textId="738AEADF" w:rsidR="008C6191" w:rsidRDefault="008C6191" w:rsidP="00B21136"/>
    <w:p w14:paraId="1CAAA086" w14:textId="5CB86FF2" w:rsidR="008C6191" w:rsidRDefault="008C6191" w:rsidP="00B21136">
      <w:pPr>
        <w:pStyle w:val="ONUME"/>
        <w:numPr>
          <w:ilvl w:val="0"/>
          <w:numId w:val="0"/>
        </w:numPr>
        <w:spacing w:after="0"/>
        <w:ind w:left="5103"/>
        <w:rPr>
          <w:i/>
        </w:rPr>
      </w:pPr>
      <w:r w:rsidRPr="008C6191">
        <w:rPr>
          <w:i/>
        </w:rPr>
        <w:t>2</w:t>
      </w:r>
      <w:r w:rsidR="0014635F">
        <w:rPr>
          <w:i/>
        </w:rPr>
        <w:t>2</w:t>
      </w:r>
      <w:r w:rsidR="00DF0579" w:rsidRPr="008C6191">
        <w:rPr>
          <w:i/>
        </w:rPr>
        <w:t>.</w:t>
      </w:r>
      <w:r w:rsidR="005015E6">
        <w:rPr>
          <w:i/>
        </w:rPr>
        <w:tab/>
      </w:r>
      <w:r w:rsidR="00DF0579" w:rsidRPr="008C6191">
        <w:rPr>
          <w:i/>
        </w:rPr>
        <w:t xml:space="preserve">The Committee </w:t>
      </w:r>
      <w:proofErr w:type="gramStart"/>
      <w:r w:rsidR="00DF0579" w:rsidRPr="008C6191">
        <w:rPr>
          <w:i/>
        </w:rPr>
        <w:t>is invited</w:t>
      </w:r>
      <w:proofErr w:type="gramEnd"/>
      <w:r w:rsidR="00DF0579" w:rsidRPr="008C6191">
        <w:rPr>
          <w:i/>
        </w:rPr>
        <w:t xml:space="preserve"> to </w:t>
      </w:r>
      <w:r w:rsidR="0014635F">
        <w:rPr>
          <w:i/>
        </w:rPr>
        <w:t>take note of this document</w:t>
      </w:r>
      <w:r w:rsidR="005015E6">
        <w:rPr>
          <w:i/>
        </w:rPr>
        <w:t>, consider the recommendation</w:t>
      </w:r>
      <w:r w:rsidR="0014635F">
        <w:rPr>
          <w:i/>
        </w:rPr>
        <w:t xml:space="preserve"> </w:t>
      </w:r>
      <w:r w:rsidR="005015E6">
        <w:rPr>
          <w:i/>
        </w:rPr>
        <w:t xml:space="preserve">on the establishment of </w:t>
      </w:r>
      <w:r w:rsidR="005015E6" w:rsidRPr="005015E6">
        <w:rPr>
          <w:i/>
        </w:rPr>
        <w:t>a Subsidiary Technical Task Force</w:t>
      </w:r>
      <w:r w:rsidR="00F13A33">
        <w:rPr>
          <w:i/>
        </w:rPr>
        <w:t xml:space="preserve"> on information systems,</w:t>
      </w:r>
      <w:r w:rsidR="005015E6" w:rsidRPr="005015E6">
        <w:rPr>
          <w:i/>
        </w:rPr>
        <w:t xml:space="preserve"> </w:t>
      </w:r>
      <w:r w:rsidR="0014635F">
        <w:rPr>
          <w:i/>
        </w:rPr>
        <w:t>and consider transmitting this document to the IGC Special Session</w:t>
      </w:r>
      <w:r w:rsidR="00DF0579" w:rsidRPr="008C6191">
        <w:rPr>
          <w:i/>
        </w:rPr>
        <w:t xml:space="preserve">. </w:t>
      </w:r>
    </w:p>
    <w:p w14:paraId="2AAB83F0" w14:textId="4F51FBBB" w:rsidR="004930A7" w:rsidRDefault="004930A7" w:rsidP="00B21136">
      <w:pPr>
        <w:pStyle w:val="ONUME"/>
        <w:numPr>
          <w:ilvl w:val="0"/>
          <w:numId w:val="0"/>
        </w:numPr>
        <w:spacing w:after="0"/>
        <w:ind w:left="5103"/>
        <w:rPr>
          <w:i/>
        </w:rPr>
      </w:pPr>
    </w:p>
    <w:p w14:paraId="173302A3" w14:textId="77777777" w:rsidR="004930A7" w:rsidRPr="008C6191" w:rsidRDefault="004930A7" w:rsidP="00B21136">
      <w:pPr>
        <w:pStyle w:val="ONUME"/>
        <w:numPr>
          <w:ilvl w:val="0"/>
          <w:numId w:val="0"/>
        </w:numPr>
        <w:spacing w:after="0"/>
        <w:ind w:left="5103"/>
        <w:rPr>
          <w:i/>
        </w:rPr>
      </w:pPr>
    </w:p>
    <w:p w14:paraId="58DCFD95" w14:textId="77777777" w:rsidR="00531EAD" w:rsidRDefault="00DF0579" w:rsidP="00B21136">
      <w:pPr>
        <w:pStyle w:val="ONUME"/>
        <w:numPr>
          <w:ilvl w:val="0"/>
          <w:numId w:val="0"/>
        </w:numPr>
        <w:spacing w:after="0"/>
        <w:ind w:left="5103"/>
      </w:pPr>
      <w:r>
        <w:t>[Annexes follow]</w:t>
      </w:r>
    </w:p>
    <w:p w14:paraId="30F93338" w14:textId="77777777" w:rsidR="000B2651" w:rsidRDefault="000B2651" w:rsidP="00B21136">
      <w:pPr>
        <w:pStyle w:val="ONUME"/>
        <w:numPr>
          <w:ilvl w:val="0"/>
          <w:numId w:val="0"/>
        </w:numPr>
        <w:spacing w:after="0"/>
        <w:ind w:left="720"/>
      </w:pPr>
    </w:p>
    <w:p w14:paraId="20342D9A" w14:textId="77777777" w:rsidR="000A13C5" w:rsidRDefault="000A13C5" w:rsidP="00B21136">
      <w:pPr>
        <w:pStyle w:val="ONUME"/>
        <w:numPr>
          <w:ilvl w:val="0"/>
          <w:numId w:val="0"/>
        </w:numPr>
        <w:spacing w:after="0"/>
        <w:ind w:left="720"/>
        <w:sectPr w:rsidR="000A13C5" w:rsidSect="00847D8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22996A3E" w14:textId="04BFDCD8" w:rsidR="000A13C5" w:rsidRDefault="000A13C5" w:rsidP="00B21136">
      <w:pPr>
        <w:pStyle w:val="ONUME"/>
        <w:numPr>
          <w:ilvl w:val="0"/>
          <w:numId w:val="0"/>
        </w:numPr>
        <w:spacing w:after="0"/>
        <w:jc w:val="center"/>
      </w:pPr>
      <w:r>
        <w:lastRenderedPageBreak/>
        <w:t>ANNEX I</w:t>
      </w:r>
    </w:p>
    <w:p w14:paraId="4F87FB65" w14:textId="77777777" w:rsidR="004930A7" w:rsidRDefault="004930A7" w:rsidP="00B21136">
      <w:pPr>
        <w:pStyle w:val="ONUME"/>
        <w:numPr>
          <w:ilvl w:val="0"/>
          <w:numId w:val="0"/>
        </w:numPr>
        <w:spacing w:after="0"/>
        <w:jc w:val="center"/>
      </w:pPr>
    </w:p>
    <w:p w14:paraId="0BB3F534" w14:textId="1184257F" w:rsidR="000A13C5" w:rsidRDefault="008C6191" w:rsidP="00B21136">
      <w:pPr>
        <w:jc w:val="center"/>
      </w:pPr>
      <w:r>
        <w:t>LIST OF EXPERTS</w:t>
      </w:r>
    </w:p>
    <w:p w14:paraId="159F2F63" w14:textId="77777777" w:rsidR="004930A7" w:rsidRDefault="004930A7" w:rsidP="00B21136">
      <w:pPr>
        <w:jc w:val="center"/>
      </w:pPr>
      <w:bookmarkStart w:id="6" w:name="_GoBack"/>
      <w:bookmarkEnd w:id="6"/>
    </w:p>
    <w:p w14:paraId="509A416B" w14:textId="31A4ACC2" w:rsidR="008C6191" w:rsidRDefault="008C6191" w:rsidP="00B21136">
      <w:pPr>
        <w:jc w:val="center"/>
        <w:rPr>
          <w:caps/>
        </w:rPr>
      </w:pPr>
      <w:r w:rsidRPr="008C6191">
        <w:rPr>
          <w:caps/>
        </w:rPr>
        <w:t xml:space="preserve">virtual technical meetings </w:t>
      </w:r>
      <w:r w:rsidR="001E534D" w:rsidRPr="00CD3628">
        <w:rPr>
          <w:caps/>
        </w:rPr>
        <w:t>on Information Systems, Registers and Databases of Genetic Resources (GRs), Traditional Knowledge (TK) and Traditional Cultural Expressions (TCEs)</w:t>
      </w:r>
    </w:p>
    <w:p w14:paraId="48CC8448" w14:textId="77777777" w:rsidR="008C6191" w:rsidRDefault="008C6191" w:rsidP="00B21136">
      <w:pPr>
        <w:jc w:val="center"/>
      </w:pPr>
    </w:p>
    <w:p w14:paraId="68FB92E6" w14:textId="77777777" w:rsidR="008C6191" w:rsidRDefault="008C6191" w:rsidP="00B21136">
      <w:pPr>
        <w:jc w:val="center"/>
      </w:pPr>
    </w:p>
    <w:p w14:paraId="163F6C1B" w14:textId="77777777" w:rsidR="001E534D" w:rsidRDefault="001E534D" w:rsidP="00B21136">
      <w:pPr>
        <w:pStyle w:val="NoSpacing"/>
        <w:rPr>
          <w:lang w:eastAsia="en-US"/>
        </w:rPr>
      </w:pPr>
      <w:proofErr w:type="spellStart"/>
      <w:r w:rsidRPr="001E534D">
        <w:rPr>
          <w:lang w:eastAsia="en-US"/>
        </w:rPr>
        <w:t>Yassine</w:t>
      </w:r>
      <w:proofErr w:type="spellEnd"/>
      <w:r w:rsidRPr="001E534D">
        <w:rPr>
          <w:lang w:eastAsia="en-US"/>
        </w:rPr>
        <w:t xml:space="preserve"> </w:t>
      </w:r>
      <w:proofErr w:type="spellStart"/>
      <w:r w:rsidRPr="001E534D">
        <w:rPr>
          <w:lang w:eastAsia="en-US"/>
        </w:rPr>
        <w:t>Alla</w:t>
      </w:r>
      <w:proofErr w:type="spellEnd"/>
      <w:r w:rsidRPr="001E534D">
        <w:rPr>
          <w:lang w:eastAsia="en-US"/>
        </w:rPr>
        <w:t xml:space="preserve"> </w:t>
      </w:r>
      <w:proofErr w:type="spellStart"/>
      <w:r w:rsidRPr="001E534D">
        <w:rPr>
          <w:lang w:eastAsia="en-US"/>
        </w:rPr>
        <w:t>Ou</w:t>
      </w:r>
      <w:proofErr w:type="spellEnd"/>
      <w:r w:rsidRPr="001E534D">
        <w:rPr>
          <w:lang w:eastAsia="en-US"/>
        </w:rPr>
        <w:t xml:space="preserve"> </w:t>
      </w:r>
      <w:proofErr w:type="spellStart"/>
      <w:r w:rsidRPr="001E534D">
        <w:rPr>
          <w:lang w:eastAsia="en-US"/>
        </w:rPr>
        <w:t>Lhadj</w:t>
      </w:r>
      <w:proofErr w:type="spellEnd"/>
      <w:r w:rsidRPr="001E534D">
        <w:rPr>
          <w:lang w:eastAsia="en-US"/>
        </w:rPr>
        <w:t xml:space="preserve"> (Mr.), Moroccan Office of Intellectual and Commercial Property, Morocco</w:t>
      </w:r>
    </w:p>
    <w:p w14:paraId="1A230687" w14:textId="77777777" w:rsidR="001E534D" w:rsidRDefault="001E534D" w:rsidP="00B21136">
      <w:pPr>
        <w:pStyle w:val="NoSpacing"/>
        <w:rPr>
          <w:lang w:eastAsia="en-US"/>
        </w:rPr>
      </w:pPr>
    </w:p>
    <w:p w14:paraId="4CBE1DCB" w14:textId="77777777" w:rsidR="001E534D" w:rsidRDefault="001E534D" w:rsidP="00B21136">
      <w:pPr>
        <w:pStyle w:val="NoSpacing"/>
        <w:rPr>
          <w:lang w:eastAsia="en-US"/>
        </w:rPr>
      </w:pPr>
      <w:r w:rsidRPr="001E534D">
        <w:rPr>
          <w:lang w:eastAsia="en-US"/>
        </w:rPr>
        <w:t>Jane Anderson (Ms.), International Science Council, United States</w:t>
      </w:r>
    </w:p>
    <w:p w14:paraId="3489C9CA" w14:textId="77777777" w:rsidR="001E534D" w:rsidRPr="001E534D" w:rsidRDefault="001E534D" w:rsidP="00B21136">
      <w:pPr>
        <w:pStyle w:val="NoSpacing"/>
        <w:rPr>
          <w:lang w:eastAsia="en-US"/>
        </w:rPr>
      </w:pPr>
    </w:p>
    <w:p w14:paraId="250F2A71" w14:textId="77777777" w:rsidR="001E534D" w:rsidRDefault="001E534D" w:rsidP="00B21136">
      <w:pPr>
        <w:pStyle w:val="NoSpacing"/>
        <w:rPr>
          <w:lang w:eastAsia="en-US"/>
        </w:rPr>
      </w:pPr>
      <w:r w:rsidRPr="001E534D">
        <w:rPr>
          <w:lang w:eastAsia="en-US"/>
        </w:rPr>
        <w:t xml:space="preserve">Andres Valladolid </w:t>
      </w:r>
      <w:proofErr w:type="spellStart"/>
      <w:r w:rsidRPr="001E534D">
        <w:rPr>
          <w:lang w:eastAsia="en-US"/>
        </w:rPr>
        <w:t>Cavero</w:t>
      </w:r>
      <w:proofErr w:type="spellEnd"/>
      <w:r w:rsidRPr="001E534D">
        <w:rPr>
          <w:lang w:eastAsia="en-US"/>
        </w:rPr>
        <w:t xml:space="preserve"> (Mr.), National Institute for the Defense of Free Competition and the Protection of Intellectual Property (INDECOPI), Peru</w:t>
      </w:r>
      <w:r w:rsidRPr="001E534D">
        <w:rPr>
          <w:lang w:eastAsia="en-US"/>
        </w:rPr>
        <w:tab/>
      </w:r>
    </w:p>
    <w:p w14:paraId="51DC05A5" w14:textId="77777777" w:rsidR="001E534D" w:rsidRPr="001E534D" w:rsidRDefault="001E534D" w:rsidP="00B21136">
      <w:pPr>
        <w:pStyle w:val="NoSpacing"/>
        <w:rPr>
          <w:lang w:eastAsia="en-US"/>
        </w:rPr>
      </w:pPr>
    </w:p>
    <w:p w14:paraId="00D1678F" w14:textId="7C86875F" w:rsidR="001E534D" w:rsidRDefault="001E534D" w:rsidP="00B21136">
      <w:pPr>
        <w:pStyle w:val="NoSpacing"/>
        <w:rPr>
          <w:lang w:eastAsia="en-US"/>
        </w:rPr>
      </w:pPr>
      <w:r w:rsidRPr="001E534D">
        <w:rPr>
          <w:lang w:eastAsia="en-US"/>
        </w:rPr>
        <w:t>Kamal Eralp (Mr.), Turkish Pate</w:t>
      </w:r>
      <w:r w:rsidR="00506296">
        <w:rPr>
          <w:lang w:eastAsia="en-US"/>
        </w:rPr>
        <w:t>nt and Trademark Office, Turkey</w:t>
      </w:r>
    </w:p>
    <w:p w14:paraId="7C7E798A" w14:textId="77777777" w:rsidR="001E534D" w:rsidRPr="001E534D" w:rsidRDefault="001E534D" w:rsidP="00B21136">
      <w:pPr>
        <w:pStyle w:val="NoSpacing"/>
        <w:rPr>
          <w:lang w:eastAsia="en-US"/>
        </w:rPr>
      </w:pPr>
    </w:p>
    <w:p w14:paraId="1B09A3DD" w14:textId="77777777" w:rsidR="001E534D" w:rsidRDefault="001E534D" w:rsidP="00B21136">
      <w:pPr>
        <w:pStyle w:val="NoSpacing"/>
        <w:rPr>
          <w:lang w:eastAsia="en-US"/>
        </w:rPr>
      </w:pPr>
      <w:r w:rsidRPr="001E534D">
        <w:rPr>
          <w:lang w:eastAsia="en-US"/>
        </w:rPr>
        <w:t>Dominic Keating (Mr.), United States Patent and Trademark Office, United States</w:t>
      </w:r>
      <w:r>
        <w:rPr>
          <w:lang w:eastAsia="en-US"/>
        </w:rPr>
        <w:t xml:space="preserve"> of America</w:t>
      </w:r>
    </w:p>
    <w:p w14:paraId="5BE0168C" w14:textId="77777777" w:rsidR="001E534D" w:rsidRPr="001E534D" w:rsidRDefault="001E534D" w:rsidP="00B21136">
      <w:pPr>
        <w:pStyle w:val="NoSpacing"/>
        <w:rPr>
          <w:lang w:eastAsia="en-US"/>
        </w:rPr>
      </w:pPr>
    </w:p>
    <w:p w14:paraId="3ECDDAB7" w14:textId="24C77C73" w:rsidR="001E534D" w:rsidRDefault="001E534D" w:rsidP="00B21136">
      <w:pPr>
        <w:pStyle w:val="NoSpacing"/>
        <w:rPr>
          <w:lang w:eastAsia="en-US"/>
        </w:rPr>
      </w:pPr>
      <w:r w:rsidRPr="001E534D">
        <w:rPr>
          <w:lang w:eastAsia="en-US"/>
        </w:rPr>
        <w:t xml:space="preserve">Atsushi </w:t>
      </w:r>
      <w:proofErr w:type="spellStart"/>
      <w:r w:rsidRPr="001E534D">
        <w:rPr>
          <w:lang w:eastAsia="en-US"/>
        </w:rPr>
        <w:t>Kukuu</w:t>
      </w:r>
      <w:proofErr w:type="spellEnd"/>
      <w:r w:rsidRPr="001E534D">
        <w:rPr>
          <w:lang w:eastAsia="en-US"/>
        </w:rPr>
        <w:t xml:space="preserve"> (Mr.), Japan Patent Office, Ministry of Eco</w:t>
      </w:r>
      <w:r w:rsidR="00506296">
        <w:rPr>
          <w:lang w:eastAsia="en-US"/>
        </w:rPr>
        <w:t>nomy, Trade and Industry, Japan</w:t>
      </w:r>
    </w:p>
    <w:p w14:paraId="7A4C80DC" w14:textId="77777777" w:rsidR="001E534D" w:rsidRPr="001E534D" w:rsidRDefault="001E534D" w:rsidP="00B21136">
      <w:pPr>
        <w:pStyle w:val="NoSpacing"/>
        <w:rPr>
          <w:lang w:eastAsia="en-US"/>
        </w:rPr>
      </w:pPr>
    </w:p>
    <w:p w14:paraId="63F864B7" w14:textId="77777777" w:rsidR="001E534D" w:rsidRDefault="001E534D" w:rsidP="00B21136">
      <w:pPr>
        <w:pStyle w:val="NoSpacing"/>
        <w:rPr>
          <w:lang w:eastAsia="en-US"/>
        </w:rPr>
      </w:pPr>
      <w:proofErr w:type="spellStart"/>
      <w:r w:rsidRPr="001E534D">
        <w:rPr>
          <w:lang w:eastAsia="en-US"/>
        </w:rPr>
        <w:t>Jianfeng</w:t>
      </w:r>
      <w:proofErr w:type="spellEnd"/>
      <w:r w:rsidRPr="001E534D">
        <w:rPr>
          <w:lang w:eastAsia="en-US"/>
        </w:rPr>
        <w:t xml:space="preserve"> Liu (Mr.), Institute for the History of Chinese Medicine and Medical Literature, China </w:t>
      </w:r>
    </w:p>
    <w:p w14:paraId="4B3CB6CB" w14:textId="2C71997C" w:rsidR="001E534D" w:rsidRDefault="001E534D" w:rsidP="00B21136">
      <w:pPr>
        <w:pStyle w:val="NoSpacing"/>
        <w:rPr>
          <w:lang w:eastAsia="en-US"/>
        </w:rPr>
      </w:pPr>
      <w:r w:rsidRPr="001E534D">
        <w:rPr>
          <w:lang w:eastAsia="en-US"/>
        </w:rPr>
        <w:t xml:space="preserve">Academy of </w:t>
      </w:r>
      <w:r w:rsidR="00506296">
        <w:rPr>
          <w:lang w:eastAsia="en-US"/>
        </w:rPr>
        <w:t>Chinese Medical Sciences, China</w:t>
      </w:r>
    </w:p>
    <w:p w14:paraId="733D5C50" w14:textId="77777777" w:rsidR="001E534D" w:rsidRPr="001E534D" w:rsidRDefault="001E534D" w:rsidP="00B21136">
      <w:pPr>
        <w:pStyle w:val="NoSpacing"/>
        <w:rPr>
          <w:lang w:eastAsia="en-US"/>
        </w:rPr>
      </w:pPr>
    </w:p>
    <w:p w14:paraId="140B6FB6" w14:textId="638F5F25" w:rsidR="001E534D" w:rsidRDefault="001E534D" w:rsidP="00B21136">
      <w:pPr>
        <w:pStyle w:val="NoSpacing"/>
        <w:rPr>
          <w:lang w:eastAsia="en-US"/>
        </w:rPr>
      </w:pPr>
      <w:r w:rsidRPr="001E534D">
        <w:rPr>
          <w:lang w:eastAsia="en-US"/>
        </w:rPr>
        <w:t>Wen Long (Mr.), Intellectual Propert</w:t>
      </w:r>
      <w:r w:rsidR="00506296">
        <w:rPr>
          <w:lang w:eastAsia="en-US"/>
        </w:rPr>
        <w:t>y Publishing House, China</w:t>
      </w:r>
    </w:p>
    <w:p w14:paraId="15C95C55" w14:textId="77777777" w:rsidR="001E534D" w:rsidRPr="001E534D" w:rsidRDefault="001E534D" w:rsidP="00B21136">
      <w:pPr>
        <w:pStyle w:val="NoSpacing"/>
        <w:rPr>
          <w:lang w:eastAsia="en-US"/>
        </w:rPr>
      </w:pPr>
    </w:p>
    <w:p w14:paraId="68E7D9BB" w14:textId="18DE48DD" w:rsidR="001E534D" w:rsidRDefault="001E534D" w:rsidP="00B21136">
      <w:pPr>
        <w:pStyle w:val="NoSpacing"/>
        <w:rPr>
          <w:lang w:eastAsia="en-US"/>
        </w:rPr>
      </w:pPr>
      <w:r w:rsidRPr="001E534D">
        <w:rPr>
          <w:lang w:eastAsia="en-US"/>
        </w:rPr>
        <w:t>Aroha Mead (Ms.), Internationa</w:t>
      </w:r>
      <w:r w:rsidR="00506296">
        <w:rPr>
          <w:lang w:eastAsia="en-US"/>
        </w:rPr>
        <w:t xml:space="preserve">l Science Council, New Zealand </w:t>
      </w:r>
    </w:p>
    <w:p w14:paraId="2198C542" w14:textId="77777777" w:rsidR="001E534D" w:rsidRPr="001E534D" w:rsidRDefault="001E534D" w:rsidP="00B21136">
      <w:pPr>
        <w:pStyle w:val="NoSpacing"/>
        <w:rPr>
          <w:lang w:eastAsia="en-US"/>
        </w:rPr>
      </w:pPr>
    </w:p>
    <w:p w14:paraId="7CD44525" w14:textId="5708CE6F" w:rsidR="001E534D" w:rsidRDefault="001E534D" w:rsidP="00B21136">
      <w:pPr>
        <w:pStyle w:val="NoSpacing"/>
        <w:rPr>
          <w:lang w:eastAsia="en-US"/>
        </w:rPr>
      </w:pPr>
      <w:r w:rsidRPr="001E534D">
        <w:rPr>
          <w:lang w:eastAsia="en-US"/>
        </w:rPr>
        <w:t xml:space="preserve">Paul Oldham (Mr.), One </w:t>
      </w:r>
      <w:r w:rsidR="00506296">
        <w:rPr>
          <w:lang w:eastAsia="en-US"/>
        </w:rPr>
        <w:t>World Analytics, United Kingdom</w:t>
      </w:r>
    </w:p>
    <w:p w14:paraId="766DAA47" w14:textId="77777777" w:rsidR="001E534D" w:rsidRPr="001E534D" w:rsidRDefault="001E534D" w:rsidP="00B21136">
      <w:pPr>
        <w:pStyle w:val="NoSpacing"/>
        <w:rPr>
          <w:lang w:eastAsia="en-US"/>
        </w:rPr>
      </w:pPr>
    </w:p>
    <w:p w14:paraId="682A6026" w14:textId="20CC8381" w:rsidR="001E534D" w:rsidRDefault="001E534D" w:rsidP="00B21136">
      <w:pPr>
        <w:pStyle w:val="NoSpacing"/>
        <w:rPr>
          <w:lang w:eastAsia="en-US"/>
        </w:rPr>
      </w:pPr>
      <w:r w:rsidRPr="001E534D">
        <w:rPr>
          <w:lang w:eastAsia="en-US"/>
        </w:rPr>
        <w:t>Shumi Pango (Ms.), Department of Scien</w:t>
      </w:r>
      <w:r w:rsidR="00506296">
        <w:rPr>
          <w:lang w:eastAsia="en-US"/>
        </w:rPr>
        <w:t>ce and Innovation, South Africa</w:t>
      </w:r>
    </w:p>
    <w:p w14:paraId="3CB78379" w14:textId="77777777" w:rsidR="001E534D" w:rsidRPr="001E534D" w:rsidRDefault="001E534D" w:rsidP="00B21136">
      <w:pPr>
        <w:pStyle w:val="NoSpacing"/>
        <w:rPr>
          <w:lang w:eastAsia="en-US"/>
        </w:rPr>
      </w:pPr>
    </w:p>
    <w:p w14:paraId="673B817C" w14:textId="77777777" w:rsidR="001E534D" w:rsidRDefault="001E534D" w:rsidP="00B21136">
      <w:pPr>
        <w:pStyle w:val="NoSpacing"/>
        <w:rPr>
          <w:lang w:eastAsia="en-US"/>
        </w:rPr>
      </w:pPr>
      <w:r w:rsidRPr="001E534D">
        <w:rPr>
          <w:lang w:eastAsia="en-US"/>
        </w:rPr>
        <w:t>Alejandro Perticari (Mr.), National Institute of Agricultural Technology (INTA), Argentina</w:t>
      </w:r>
    </w:p>
    <w:p w14:paraId="70E36BA7" w14:textId="77777777" w:rsidR="001E534D" w:rsidRPr="001E534D" w:rsidRDefault="001E534D" w:rsidP="00B21136">
      <w:pPr>
        <w:pStyle w:val="NoSpacing"/>
        <w:rPr>
          <w:lang w:eastAsia="en-US"/>
        </w:rPr>
      </w:pPr>
    </w:p>
    <w:p w14:paraId="5FA5DE4D" w14:textId="77777777" w:rsidR="001E534D" w:rsidRDefault="001E534D" w:rsidP="00B21136">
      <w:pPr>
        <w:pStyle w:val="NoSpacing"/>
        <w:rPr>
          <w:lang w:eastAsia="en-US"/>
        </w:rPr>
      </w:pPr>
      <w:proofErr w:type="spellStart"/>
      <w:r w:rsidRPr="001E534D">
        <w:rPr>
          <w:lang w:eastAsia="en-US"/>
        </w:rPr>
        <w:t>Pwint</w:t>
      </w:r>
      <w:proofErr w:type="spellEnd"/>
      <w:r w:rsidRPr="001E534D">
        <w:rPr>
          <w:lang w:eastAsia="en-US"/>
        </w:rPr>
        <w:t xml:space="preserve"> Phyo Win (Ms.), Intellectual Property Department, Ministry of Commerce, Myanmar</w:t>
      </w:r>
    </w:p>
    <w:p w14:paraId="794E1AE4" w14:textId="477A2CFC" w:rsidR="001E534D" w:rsidRPr="001E534D" w:rsidRDefault="001E534D" w:rsidP="00B21136">
      <w:pPr>
        <w:pStyle w:val="NoSpacing"/>
        <w:rPr>
          <w:lang w:eastAsia="en-US"/>
        </w:rPr>
      </w:pPr>
    </w:p>
    <w:p w14:paraId="446AA4C0" w14:textId="562C1BE1" w:rsidR="001E534D" w:rsidRDefault="001E534D" w:rsidP="00B21136">
      <w:pPr>
        <w:pStyle w:val="NoSpacing"/>
        <w:rPr>
          <w:lang w:eastAsia="en-US"/>
        </w:rPr>
      </w:pPr>
      <w:r w:rsidRPr="001E534D">
        <w:rPr>
          <w:lang w:eastAsia="en-US"/>
        </w:rPr>
        <w:t xml:space="preserve">Rekha </w:t>
      </w:r>
      <w:proofErr w:type="spellStart"/>
      <w:r w:rsidRPr="001E534D">
        <w:rPr>
          <w:lang w:eastAsia="en-US"/>
        </w:rPr>
        <w:t>Vijayam</w:t>
      </w:r>
      <w:proofErr w:type="spellEnd"/>
      <w:r w:rsidRPr="001E534D">
        <w:rPr>
          <w:lang w:eastAsia="en-US"/>
        </w:rPr>
        <w:t xml:space="preserve"> (Ms.), Office of the Controller General of Patents</w:t>
      </w:r>
      <w:r w:rsidR="00506296">
        <w:rPr>
          <w:lang w:eastAsia="en-US"/>
        </w:rPr>
        <w:t>, Designs and Trademarks, India</w:t>
      </w:r>
    </w:p>
    <w:p w14:paraId="4A3F2068" w14:textId="77777777" w:rsidR="001E534D" w:rsidRPr="001E534D" w:rsidRDefault="001E534D" w:rsidP="00B21136">
      <w:pPr>
        <w:pStyle w:val="NoSpacing"/>
        <w:rPr>
          <w:lang w:eastAsia="en-US"/>
        </w:rPr>
      </w:pPr>
    </w:p>
    <w:p w14:paraId="72CB1AA2" w14:textId="0C0C6CAC" w:rsidR="001E534D" w:rsidRPr="001E534D" w:rsidRDefault="001E534D" w:rsidP="00B21136">
      <w:pPr>
        <w:pStyle w:val="NoSpacing"/>
        <w:rPr>
          <w:lang w:eastAsia="en-US"/>
        </w:rPr>
      </w:pPr>
      <w:r w:rsidRPr="001E534D">
        <w:rPr>
          <w:lang w:eastAsia="en-US"/>
        </w:rPr>
        <w:t xml:space="preserve">Andreas </w:t>
      </w:r>
      <w:proofErr w:type="spellStart"/>
      <w:r w:rsidRPr="001E534D">
        <w:rPr>
          <w:lang w:eastAsia="en-US"/>
        </w:rPr>
        <w:t>Wieber</w:t>
      </w:r>
      <w:proofErr w:type="spellEnd"/>
      <w:r w:rsidRPr="001E534D">
        <w:rPr>
          <w:lang w:eastAsia="en-US"/>
        </w:rPr>
        <w:t xml:space="preserve"> (Mr.), German Association for the Protection of</w:t>
      </w:r>
      <w:r w:rsidR="00506296">
        <w:rPr>
          <w:lang w:eastAsia="en-US"/>
        </w:rPr>
        <w:t xml:space="preserve"> Intellectual Property, Germany</w:t>
      </w:r>
    </w:p>
    <w:p w14:paraId="4432347D" w14:textId="77777777" w:rsidR="008C6191" w:rsidRDefault="008C6191" w:rsidP="00B21136">
      <w:pPr>
        <w:jc w:val="center"/>
      </w:pPr>
    </w:p>
    <w:p w14:paraId="551486E3" w14:textId="77777777" w:rsidR="008C6191" w:rsidRDefault="008C6191" w:rsidP="00B21136">
      <w:pPr>
        <w:jc w:val="center"/>
      </w:pPr>
    </w:p>
    <w:p w14:paraId="5571025F" w14:textId="77777777" w:rsidR="000A13C5" w:rsidRDefault="000A13C5" w:rsidP="00B21136">
      <w:pPr>
        <w:jc w:val="center"/>
        <w:sectPr w:rsidR="000A13C5" w:rsidSect="00847D82">
          <w:headerReference w:type="first" r:id="rId16"/>
          <w:endnotePr>
            <w:numFmt w:val="decimal"/>
          </w:endnotePr>
          <w:pgSz w:w="11907" w:h="16840" w:code="9"/>
          <w:pgMar w:top="567" w:right="1134" w:bottom="1418" w:left="1418" w:header="510" w:footer="1021" w:gutter="0"/>
          <w:cols w:space="720"/>
          <w:titlePg/>
          <w:docGrid w:linePitch="299"/>
        </w:sectPr>
      </w:pPr>
    </w:p>
    <w:p w14:paraId="0F878663" w14:textId="275B34D2" w:rsidR="008C6191" w:rsidRDefault="000A13C5" w:rsidP="00B21136">
      <w:pPr>
        <w:jc w:val="center"/>
      </w:pPr>
      <w:r>
        <w:lastRenderedPageBreak/>
        <w:t>ANNEX II</w:t>
      </w:r>
    </w:p>
    <w:p w14:paraId="71062B30" w14:textId="77777777" w:rsidR="00CE1DF2" w:rsidRDefault="00CE1DF2" w:rsidP="00B21136">
      <w:pPr>
        <w:jc w:val="center"/>
      </w:pPr>
    </w:p>
    <w:p w14:paraId="3C946E9B" w14:textId="0369F181" w:rsidR="000A13C5" w:rsidRDefault="008C6191" w:rsidP="00B21136">
      <w:pPr>
        <w:jc w:val="center"/>
      </w:pPr>
      <w:r>
        <w:t>LIST OF EXPERTS</w:t>
      </w:r>
    </w:p>
    <w:p w14:paraId="12628A54" w14:textId="77777777" w:rsidR="004930A7" w:rsidRDefault="004930A7" w:rsidP="00B21136">
      <w:pPr>
        <w:jc w:val="center"/>
      </w:pPr>
    </w:p>
    <w:p w14:paraId="4DA20D34" w14:textId="1584641F" w:rsidR="00DF0579" w:rsidRDefault="008C6191" w:rsidP="00B21136">
      <w:pPr>
        <w:jc w:val="center"/>
        <w:rPr>
          <w:caps/>
        </w:rPr>
      </w:pPr>
      <w:r w:rsidRPr="008C6191">
        <w:rPr>
          <w:caps/>
        </w:rPr>
        <w:t>virtual technical meetings on possible disclosure requirements</w:t>
      </w:r>
    </w:p>
    <w:p w14:paraId="5CE16958" w14:textId="77777777" w:rsidR="001E534D" w:rsidRDefault="001E534D" w:rsidP="00B21136">
      <w:pPr>
        <w:jc w:val="center"/>
        <w:rPr>
          <w:caps/>
        </w:rPr>
      </w:pPr>
    </w:p>
    <w:p w14:paraId="4E932C8F" w14:textId="77777777" w:rsidR="008C6191" w:rsidRPr="008C6191" w:rsidRDefault="008C6191" w:rsidP="00B21136"/>
    <w:p w14:paraId="7F2150BF" w14:textId="77777777" w:rsidR="00DF0579" w:rsidRDefault="00DF0579" w:rsidP="00B21136">
      <w:r w:rsidRPr="00DE6AF1">
        <w:t>Margo Bagley (Ms.), Emory University School of Law, United States of America</w:t>
      </w:r>
    </w:p>
    <w:p w14:paraId="3C23B7AF" w14:textId="77777777" w:rsidR="00DF0579" w:rsidRPr="00DE6AF1" w:rsidRDefault="00DF0579" w:rsidP="00B21136"/>
    <w:p w14:paraId="414A77A3" w14:textId="77777777" w:rsidR="00DF0579" w:rsidRDefault="00DF0579" w:rsidP="00B21136">
      <w:r w:rsidRPr="00DE6AF1">
        <w:t>Micaela Anabel Bonafina (Ms.), National Biodiversity Directorate, Ministry of Environment and Sustainable Development, Argentina</w:t>
      </w:r>
    </w:p>
    <w:p w14:paraId="60DC717E" w14:textId="77777777" w:rsidR="00DF0579" w:rsidRPr="00DE6AF1" w:rsidRDefault="00DF0579" w:rsidP="00B21136"/>
    <w:p w14:paraId="03FAE158" w14:textId="77777777" w:rsidR="00DF0579" w:rsidRDefault="00DF0579" w:rsidP="00B21136">
      <w:r w:rsidRPr="00DE6AF1">
        <w:t>Axel Braun (Mr.), International Federation of Pharmaceutical Manufacturers &amp; Associations (IFPMA), Switzerland</w:t>
      </w:r>
    </w:p>
    <w:p w14:paraId="4AA39607" w14:textId="77777777" w:rsidR="00DF0579" w:rsidRPr="00DE6AF1" w:rsidRDefault="00DF0579" w:rsidP="00B21136"/>
    <w:p w14:paraId="00BF7911" w14:textId="06236EA6" w:rsidR="00DF0579" w:rsidRDefault="00DF0579" w:rsidP="00B21136">
      <w:r w:rsidRPr="00DE6AF1">
        <w:t>Marco D</w:t>
      </w:r>
      <w:r w:rsidR="008179BF">
        <w:t>’</w:t>
      </w:r>
      <w:r w:rsidRPr="00DE6AF1">
        <w:t>Alessandro (Mr.), Swiss Federal Institute of Intellectual Property, Switzerland</w:t>
      </w:r>
    </w:p>
    <w:p w14:paraId="4C943194" w14:textId="77777777" w:rsidR="00DF0579" w:rsidRPr="00DE6AF1" w:rsidRDefault="00DF0579" w:rsidP="00B21136"/>
    <w:p w14:paraId="6C3EE1A4" w14:textId="77777777" w:rsidR="00DF0579" w:rsidRDefault="00DF0579" w:rsidP="00B21136">
      <w:r w:rsidRPr="00DE6AF1">
        <w:t>Nilce Ekandzi (Mr.), Data Privacy, Raymond Chabot Grant Thornton, Canada</w:t>
      </w:r>
    </w:p>
    <w:p w14:paraId="436344F1" w14:textId="77777777" w:rsidR="00DF0579" w:rsidRPr="00DE6AF1" w:rsidRDefault="00DF0579" w:rsidP="00B21136"/>
    <w:p w14:paraId="5258AED6" w14:textId="77777777" w:rsidR="00DF0579" w:rsidRDefault="00DF0579" w:rsidP="00B21136">
      <w:proofErr w:type="spellStart"/>
      <w:r w:rsidRPr="00DE6AF1">
        <w:t>Kazuhide</w:t>
      </w:r>
      <w:proofErr w:type="spellEnd"/>
      <w:r w:rsidRPr="00DE6AF1">
        <w:t xml:space="preserve"> Fujita (Mr.), Japan Patent Office, Ministry of Economy, Trade and Industry, Japan</w:t>
      </w:r>
    </w:p>
    <w:p w14:paraId="2F38270D" w14:textId="77777777" w:rsidR="00DF0579" w:rsidRPr="00DE6AF1" w:rsidRDefault="00DF0579" w:rsidP="00B21136"/>
    <w:p w14:paraId="183EF95D" w14:textId="77777777" w:rsidR="00DF0579" w:rsidRDefault="00DF0579" w:rsidP="00B21136">
      <w:r w:rsidRPr="00DE6AF1">
        <w:t xml:space="preserve">Zulay </w:t>
      </w:r>
      <w:proofErr w:type="spellStart"/>
      <w:r w:rsidRPr="00DE6AF1">
        <w:t>Poggy</w:t>
      </w:r>
      <w:proofErr w:type="spellEnd"/>
      <w:r w:rsidRPr="00DE6AF1">
        <w:t xml:space="preserve"> Gonzalez (Ms.), Service for Intellectual Property, Venezuela</w:t>
      </w:r>
    </w:p>
    <w:p w14:paraId="42F11DE1" w14:textId="77777777" w:rsidR="00DF0579" w:rsidRPr="00DE6AF1" w:rsidRDefault="00DF0579" w:rsidP="00B21136"/>
    <w:p w14:paraId="37142A50" w14:textId="77777777" w:rsidR="00DF0579" w:rsidRDefault="00DF0579" w:rsidP="00B21136">
      <w:proofErr w:type="spellStart"/>
      <w:r w:rsidRPr="00DE6AF1">
        <w:t>Weiwei</w:t>
      </w:r>
      <w:proofErr w:type="spellEnd"/>
      <w:r w:rsidRPr="00DE6AF1">
        <w:t xml:space="preserve"> Han (Ms.), Patent Protection Association of China (PPAC), China</w:t>
      </w:r>
    </w:p>
    <w:p w14:paraId="1BA81648" w14:textId="77777777" w:rsidR="00DF0579" w:rsidRPr="00DE6AF1" w:rsidRDefault="00DF0579" w:rsidP="00B21136"/>
    <w:p w14:paraId="1A6B8C1E" w14:textId="77777777" w:rsidR="00DF0579" w:rsidRDefault="00DF0579" w:rsidP="00B21136">
      <w:r w:rsidRPr="00DE6AF1">
        <w:t xml:space="preserve">Preston Hardison (Mr.), </w:t>
      </w:r>
      <w:proofErr w:type="spellStart"/>
      <w:r w:rsidRPr="00DE6AF1">
        <w:t>Tebtebba</w:t>
      </w:r>
      <w:proofErr w:type="spellEnd"/>
      <w:r w:rsidRPr="00DE6AF1">
        <w:t xml:space="preserve"> Foundation, United States of America</w:t>
      </w:r>
    </w:p>
    <w:p w14:paraId="2AEB2B13" w14:textId="77777777" w:rsidR="00DF0579" w:rsidRPr="00DE6AF1" w:rsidRDefault="00DF0579" w:rsidP="00B21136"/>
    <w:p w14:paraId="1AE03905" w14:textId="77777777" w:rsidR="00DF0579" w:rsidRDefault="00DF0579" w:rsidP="00B21136">
      <w:proofErr w:type="spellStart"/>
      <w:r w:rsidRPr="00DE6AF1">
        <w:t>Arais</w:t>
      </w:r>
      <w:proofErr w:type="spellEnd"/>
      <w:r w:rsidRPr="00DE6AF1">
        <w:t xml:space="preserve"> Fernandez Herrera (Mr.), Industrial Property Office, Cuba</w:t>
      </w:r>
    </w:p>
    <w:p w14:paraId="26F82260" w14:textId="77777777" w:rsidR="00DF0579" w:rsidRPr="00DE6AF1" w:rsidRDefault="00DF0579" w:rsidP="00B21136"/>
    <w:p w14:paraId="184B8123" w14:textId="0BC08A06" w:rsidR="00DF0579" w:rsidRDefault="00DF0579" w:rsidP="00B21136">
      <w:r w:rsidRPr="00DE6AF1">
        <w:t>Dominic Keating (Mr.), United States of America Patent and Trademark Office (U</w:t>
      </w:r>
      <w:r w:rsidR="00CE1DF2">
        <w:t>SPTO), United States of America</w:t>
      </w:r>
    </w:p>
    <w:p w14:paraId="23A5E166" w14:textId="77777777" w:rsidR="00DF0579" w:rsidRPr="00DE6AF1" w:rsidRDefault="00DF0579" w:rsidP="00B21136"/>
    <w:p w14:paraId="2DC4DD0C" w14:textId="77777777" w:rsidR="00DF0579" w:rsidRDefault="00DF0579" w:rsidP="00B21136">
      <w:proofErr w:type="spellStart"/>
      <w:r w:rsidRPr="00DE6AF1">
        <w:t>Evgeniia</w:t>
      </w:r>
      <w:proofErr w:type="spellEnd"/>
      <w:r w:rsidRPr="00DE6AF1">
        <w:t xml:space="preserve"> </w:t>
      </w:r>
      <w:proofErr w:type="spellStart"/>
      <w:r w:rsidRPr="00DE6AF1">
        <w:t>Korobenkova</w:t>
      </w:r>
      <w:proofErr w:type="spellEnd"/>
      <w:r w:rsidRPr="00DE6AF1">
        <w:t xml:space="preserve"> (Ms.), Multilateral Cooperation Division, Federal Service for Intellectual Property (</w:t>
      </w:r>
      <w:proofErr w:type="spellStart"/>
      <w:r w:rsidRPr="00DE6AF1">
        <w:t>Rospatent</w:t>
      </w:r>
      <w:proofErr w:type="spellEnd"/>
      <w:r w:rsidRPr="00DE6AF1">
        <w:t>), Russia</w:t>
      </w:r>
      <w:r>
        <w:t>n Federation</w:t>
      </w:r>
    </w:p>
    <w:p w14:paraId="7460EAC6" w14:textId="77777777" w:rsidR="00DF0579" w:rsidRPr="00DE6AF1" w:rsidRDefault="00DF0579" w:rsidP="00B21136"/>
    <w:p w14:paraId="451BB0D4" w14:textId="77777777" w:rsidR="00DF0579" w:rsidRDefault="00DF0579" w:rsidP="00B21136">
      <w:r w:rsidRPr="00DE6AF1">
        <w:t>Chidi Oguamanam (Mr.), Faculty of Law, University of Ottawa, Canada</w:t>
      </w:r>
    </w:p>
    <w:p w14:paraId="525B9B71" w14:textId="77777777" w:rsidR="00DF0579" w:rsidRPr="00DE6AF1" w:rsidRDefault="00DF0579" w:rsidP="00B21136"/>
    <w:p w14:paraId="1F672382" w14:textId="77777777" w:rsidR="00DF0579" w:rsidRDefault="00DF0579" w:rsidP="00B21136">
      <w:r w:rsidRPr="00DE6AF1">
        <w:t>Frederic Perron-Welch (Mr.), Grotius Centre for International Legal Studies, Leiden University, Netherlands</w:t>
      </w:r>
    </w:p>
    <w:p w14:paraId="52C9E374" w14:textId="77777777" w:rsidR="00DF0579" w:rsidRPr="00DE6AF1" w:rsidRDefault="00DF0579" w:rsidP="00B21136">
      <w:pPr>
        <w:rPr>
          <w:lang w:val="en-CA"/>
        </w:rPr>
      </w:pPr>
    </w:p>
    <w:p w14:paraId="2627BFF2" w14:textId="77777777" w:rsidR="00DF0579" w:rsidRDefault="00DF0579" w:rsidP="00B21136">
      <w:r w:rsidRPr="00DE6AF1">
        <w:t>Thomas Reitinger (Mr.), German Patent and Trade Mark Office, Germany</w:t>
      </w:r>
    </w:p>
    <w:p w14:paraId="5DFB627B" w14:textId="77777777" w:rsidR="00DF0579" w:rsidRPr="00DE6AF1" w:rsidRDefault="00DF0579" w:rsidP="00B21136"/>
    <w:p w14:paraId="0FFDF209" w14:textId="77777777" w:rsidR="00DF0579" w:rsidRDefault="00DF0579" w:rsidP="00B21136">
      <w:r w:rsidRPr="00DE6AF1">
        <w:t>Ann Ruth Reyes (Ms.), Intellectual Property Office of the Philippines (IPOPHIL), the Philippines</w:t>
      </w:r>
    </w:p>
    <w:p w14:paraId="1C3B0595" w14:textId="77777777" w:rsidR="00DF0579" w:rsidRPr="00DE6AF1" w:rsidRDefault="00DF0579" w:rsidP="00B21136"/>
    <w:p w14:paraId="1F51F574" w14:textId="77777777" w:rsidR="00DF0579" w:rsidRDefault="00DF0579" w:rsidP="00B21136">
      <w:r w:rsidRPr="00DE6AF1">
        <w:t>Olivier Sauvageot (Mr.), International Seed Federation, Switzerland</w:t>
      </w:r>
    </w:p>
    <w:p w14:paraId="26423231" w14:textId="77777777" w:rsidR="00DF0579" w:rsidRPr="00DE6AF1" w:rsidRDefault="00DF0579" w:rsidP="00B21136"/>
    <w:p w14:paraId="548C4D7A" w14:textId="77777777" w:rsidR="00DF0579" w:rsidRDefault="00DF0579" w:rsidP="00B21136">
      <w:r w:rsidRPr="00DE6AF1">
        <w:t>Nadja Seibel Thomsen (Ms.), International Chamber of Commerce (ICC), France</w:t>
      </w:r>
    </w:p>
    <w:p w14:paraId="25852CB2" w14:textId="77777777" w:rsidR="00DF0579" w:rsidRPr="00DE6AF1" w:rsidRDefault="00DF0579" w:rsidP="00B21136"/>
    <w:p w14:paraId="0110674F" w14:textId="77777777" w:rsidR="00DF0579" w:rsidRDefault="00DF0579" w:rsidP="00B21136">
      <w:r>
        <w:t xml:space="preserve">Henry Kafunjo </w:t>
      </w:r>
      <w:proofErr w:type="spellStart"/>
      <w:r w:rsidRPr="00DE6AF1">
        <w:t>Twinomujuni</w:t>
      </w:r>
      <w:proofErr w:type="spellEnd"/>
      <w:r w:rsidRPr="00DE6AF1">
        <w:t xml:space="preserve"> (Mr.), Uganda Registration Services Bureau, Uganda</w:t>
      </w:r>
    </w:p>
    <w:p w14:paraId="6D57EF7A" w14:textId="77777777" w:rsidR="00DF0579" w:rsidRPr="00DE6AF1" w:rsidRDefault="00DF0579" w:rsidP="00B21136"/>
    <w:p w14:paraId="618B1AD9" w14:textId="77777777" w:rsidR="00DF0579" w:rsidRDefault="00DF0579" w:rsidP="00B21136">
      <w:r w:rsidRPr="00DE6AF1">
        <w:t xml:space="preserve">Rekha </w:t>
      </w:r>
      <w:proofErr w:type="spellStart"/>
      <w:r w:rsidRPr="00DE6AF1">
        <w:t>Vijayam</w:t>
      </w:r>
      <w:proofErr w:type="spellEnd"/>
      <w:r w:rsidRPr="00DE6AF1">
        <w:t xml:space="preserve"> (Ms.), Office of the Controller General of Patents</w:t>
      </w:r>
      <w:r>
        <w:t>, Designs and Trademarks, India</w:t>
      </w:r>
    </w:p>
    <w:p w14:paraId="3091E20E" w14:textId="77777777" w:rsidR="00DF0579" w:rsidRPr="00DE6AF1" w:rsidRDefault="00DF0579" w:rsidP="00B21136"/>
    <w:p w14:paraId="679A0A27" w14:textId="77777777" w:rsidR="00DF0579" w:rsidRDefault="00DF0579" w:rsidP="00B21136">
      <w:r w:rsidRPr="00DE6AF1">
        <w:t>Lucie Zamykalová (Ms.), Industrial Property Office, Czech Republic</w:t>
      </w:r>
    </w:p>
    <w:p w14:paraId="1B84568F" w14:textId="77777777" w:rsidR="00DF0579" w:rsidRPr="00DE6AF1" w:rsidRDefault="00DF0579" w:rsidP="00B21136"/>
    <w:p w14:paraId="3EF95E00" w14:textId="0C64B0DC" w:rsidR="00D6015E" w:rsidRDefault="00DF0579" w:rsidP="00B21136">
      <w:proofErr w:type="spellStart"/>
      <w:r w:rsidRPr="00DE6AF1">
        <w:lastRenderedPageBreak/>
        <w:t>Fuwei</w:t>
      </w:r>
      <w:proofErr w:type="spellEnd"/>
      <w:r w:rsidRPr="00DE6AF1">
        <w:t xml:space="preserve"> Zhao (Mr.), Nanjing Institute of Environmental Sciences, Ministry of Ecology and Environment, China</w:t>
      </w:r>
    </w:p>
    <w:p w14:paraId="0DE19542" w14:textId="39EA4C1B" w:rsidR="00CE1DF2" w:rsidRDefault="00CE1DF2" w:rsidP="00B21136"/>
    <w:p w14:paraId="6C76888A" w14:textId="1A47FBFB" w:rsidR="00CE1DF2" w:rsidRDefault="00CE1DF2" w:rsidP="00B21136"/>
    <w:p w14:paraId="569A934A" w14:textId="5558265B" w:rsidR="00CE1DF2" w:rsidRDefault="00CE1DF2" w:rsidP="00B21136">
      <w:pPr>
        <w:ind w:left="5500"/>
      </w:pPr>
      <w:r w:rsidRPr="00F673DB">
        <w:t xml:space="preserve">[End of </w:t>
      </w:r>
      <w:r>
        <w:t xml:space="preserve">Annexes and of </w:t>
      </w:r>
      <w:r w:rsidRPr="00F673DB">
        <w:t>document]</w:t>
      </w:r>
    </w:p>
    <w:sectPr w:rsidR="00CE1DF2" w:rsidSect="00847D82">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6E06E" w14:textId="77777777" w:rsidR="005F052D" w:rsidRDefault="005F052D">
      <w:r>
        <w:separator/>
      </w:r>
    </w:p>
  </w:endnote>
  <w:endnote w:type="continuationSeparator" w:id="0">
    <w:p w14:paraId="39A0A95A" w14:textId="77777777" w:rsidR="005F052D" w:rsidRDefault="005F052D" w:rsidP="003B38C1">
      <w:r>
        <w:separator/>
      </w:r>
    </w:p>
    <w:p w14:paraId="638DAE6C" w14:textId="77777777" w:rsidR="005F052D" w:rsidRPr="003B38C1" w:rsidRDefault="005F052D" w:rsidP="003B38C1">
      <w:pPr>
        <w:spacing w:after="60"/>
        <w:rPr>
          <w:sz w:val="17"/>
        </w:rPr>
      </w:pPr>
      <w:r>
        <w:rPr>
          <w:sz w:val="17"/>
        </w:rPr>
        <w:t>[Endnote continued from previous page]</w:t>
      </w:r>
    </w:p>
  </w:endnote>
  <w:endnote w:type="continuationNotice" w:id="1">
    <w:p w14:paraId="59A58D93" w14:textId="77777777" w:rsidR="005F052D" w:rsidRPr="003B38C1" w:rsidRDefault="005F052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7F7F" w14:textId="77777777" w:rsidR="00415F1E" w:rsidRDefault="00415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328D" w14:textId="77777777" w:rsidR="00415F1E" w:rsidRDefault="00415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E98F" w14:textId="77777777" w:rsidR="00415F1E" w:rsidRDefault="0041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1E57" w14:textId="77777777" w:rsidR="005F052D" w:rsidRDefault="005F052D">
      <w:r>
        <w:separator/>
      </w:r>
    </w:p>
  </w:footnote>
  <w:footnote w:type="continuationSeparator" w:id="0">
    <w:p w14:paraId="23502200" w14:textId="77777777" w:rsidR="005F052D" w:rsidRDefault="005F052D" w:rsidP="008B60B2">
      <w:r>
        <w:separator/>
      </w:r>
    </w:p>
    <w:p w14:paraId="543524DA" w14:textId="77777777" w:rsidR="005F052D" w:rsidRPr="00ED77FB" w:rsidRDefault="005F052D" w:rsidP="008B60B2">
      <w:pPr>
        <w:spacing w:after="60"/>
        <w:rPr>
          <w:sz w:val="17"/>
          <w:szCs w:val="17"/>
        </w:rPr>
      </w:pPr>
      <w:r w:rsidRPr="00ED77FB">
        <w:rPr>
          <w:sz w:val="17"/>
          <w:szCs w:val="17"/>
        </w:rPr>
        <w:t>[Footnote continued from previous page]</w:t>
      </w:r>
    </w:p>
  </w:footnote>
  <w:footnote w:type="continuationNotice" w:id="1">
    <w:p w14:paraId="7446418C" w14:textId="77777777" w:rsidR="005F052D" w:rsidRPr="00ED77FB" w:rsidRDefault="005F052D" w:rsidP="008B60B2">
      <w:pPr>
        <w:spacing w:before="60"/>
        <w:jc w:val="right"/>
        <w:rPr>
          <w:sz w:val="17"/>
          <w:szCs w:val="17"/>
        </w:rPr>
      </w:pPr>
      <w:r w:rsidRPr="00ED77FB">
        <w:rPr>
          <w:sz w:val="17"/>
          <w:szCs w:val="17"/>
        </w:rPr>
        <w:t>[Footnote continued on next page]</w:t>
      </w:r>
    </w:p>
  </w:footnote>
  <w:footnote w:id="2">
    <w:p w14:paraId="3E2ABAD2" w14:textId="77777777" w:rsidR="005F052D" w:rsidRPr="002A2C4E" w:rsidRDefault="005F052D" w:rsidP="002D206F">
      <w:pPr>
        <w:pStyle w:val="FootnoteText"/>
      </w:pPr>
      <w:r w:rsidRPr="002A2C4E">
        <w:rPr>
          <w:rStyle w:val="FootnoteReference"/>
        </w:rPr>
        <w:footnoteRef/>
      </w:r>
      <w:r w:rsidRPr="002A2C4E">
        <w:t xml:space="preserve"> Square brackets </w:t>
      </w:r>
      <w:r>
        <w:t xml:space="preserve">indicate sections of the text that </w:t>
      </w:r>
      <w:proofErr w:type="gramStart"/>
      <w:r>
        <w:t>were suggested</w:t>
      </w:r>
      <w:proofErr w:type="gramEnd"/>
      <w:r>
        <w:t xml:space="preserve"> by several experts but were not agreed upon by all the experts.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ECAF" w14:textId="77777777" w:rsidR="00415F1E" w:rsidRDefault="00415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DAC" w14:textId="77777777" w:rsidR="005F052D" w:rsidRPr="002326AB" w:rsidRDefault="005F052D" w:rsidP="00477D6B">
    <w:pPr>
      <w:jc w:val="right"/>
      <w:rPr>
        <w:caps/>
      </w:rPr>
    </w:pPr>
    <w:bookmarkStart w:id="5" w:name="Code2"/>
    <w:bookmarkEnd w:id="5"/>
    <w:r>
      <w:rPr>
        <w:caps/>
      </w:rPr>
      <w:t>WIPO/GRTKF/IC/47/13</w:t>
    </w:r>
  </w:p>
  <w:p w14:paraId="273B80F9" w14:textId="0F7A342A" w:rsidR="005F052D" w:rsidRDefault="005F052D" w:rsidP="00477D6B">
    <w:pPr>
      <w:jc w:val="right"/>
    </w:pPr>
    <w:proofErr w:type="gramStart"/>
    <w:r>
      <w:t>page</w:t>
    </w:r>
    <w:proofErr w:type="gramEnd"/>
    <w:r>
      <w:t xml:space="preserve"> </w:t>
    </w:r>
    <w:r>
      <w:fldChar w:fldCharType="begin"/>
    </w:r>
    <w:r>
      <w:instrText xml:space="preserve"> PAGE  \* MERGEFORMAT </w:instrText>
    </w:r>
    <w:r>
      <w:fldChar w:fldCharType="separate"/>
    </w:r>
    <w:r w:rsidR="004930A7">
      <w:rPr>
        <w:noProof/>
      </w:rPr>
      <w:t>10</w:t>
    </w:r>
    <w:r>
      <w:fldChar w:fldCharType="end"/>
    </w:r>
  </w:p>
  <w:p w14:paraId="30CFA0DB" w14:textId="77777777" w:rsidR="005F052D" w:rsidRDefault="005F052D" w:rsidP="00477D6B">
    <w:pPr>
      <w:jc w:val="right"/>
    </w:pPr>
  </w:p>
  <w:p w14:paraId="285AC794" w14:textId="77777777" w:rsidR="005F052D" w:rsidRDefault="005F052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AFBB" w14:textId="77777777" w:rsidR="00415F1E" w:rsidRDefault="00415F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CAC2" w14:textId="133B43DB" w:rsidR="000A13C5" w:rsidRDefault="000A13C5" w:rsidP="00E979DB">
    <w:pPr>
      <w:pStyle w:val="Header"/>
      <w:jc w:val="right"/>
    </w:pPr>
    <w:r>
      <w:t>WIPO/GRTKF/IC/47/13</w:t>
    </w:r>
  </w:p>
  <w:p w14:paraId="63A6EFD0" w14:textId="419B2172" w:rsidR="000A13C5" w:rsidRDefault="000A13C5" w:rsidP="00E979DB">
    <w:pPr>
      <w:pStyle w:val="Header"/>
      <w:jc w:val="right"/>
    </w:pPr>
    <w:r>
      <w:t>ANNEX I</w:t>
    </w:r>
  </w:p>
  <w:p w14:paraId="775ED878" w14:textId="2E44663B" w:rsidR="000A13C5" w:rsidRDefault="000A13C5">
    <w:pPr>
      <w:pStyle w:val="Header"/>
    </w:pPr>
  </w:p>
  <w:p w14:paraId="1112B948" w14:textId="77777777" w:rsidR="000A13C5" w:rsidRDefault="000A13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031" w14:textId="77777777" w:rsidR="000A13C5" w:rsidRDefault="000A13C5" w:rsidP="00E979DB">
    <w:pPr>
      <w:pStyle w:val="Header"/>
      <w:jc w:val="right"/>
    </w:pPr>
    <w:r>
      <w:t>WIPO/GRTKF/IC/47/13</w:t>
    </w:r>
  </w:p>
  <w:p w14:paraId="198E7E03" w14:textId="46E4EFE0" w:rsidR="000A13C5" w:rsidRDefault="000A13C5" w:rsidP="00E979DB">
    <w:pPr>
      <w:pStyle w:val="Header"/>
      <w:jc w:val="right"/>
    </w:pPr>
    <w:r>
      <w:t>ANNEX II</w:t>
    </w:r>
  </w:p>
  <w:p w14:paraId="29969B4A" w14:textId="779E1A38" w:rsidR="000A13C5" w:rsidRDefault="000A1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2160"/>
        </w:tabs>
        <w:ind w:left="21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820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685DDE"/>
    <w:multiLevelType w:val="hybridMultilevel"/>
    <w:tmpl w:val="981E321A"/>
    <w:lvl w:ilvl="0" w:tplc="02DC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CB5A29"/>
    <w:multiLevelType w:val="hybridMultilevel"/>
    <w:tmpl w:val="5582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313E0C"/>
    <w:multiLevelType w:val="hybridMultilevel"/>
    <w:tmpl w:val="100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53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A21829"/>
    <w:multiLevelType w:val="hybridMultilevel"/>
    <w:tmpl w:val="B2EC90A4"/>
    <w:lvl w:ilvl="0" w:tplc="02DC1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D8560D"/>
    <w:multiLevelType w:val="hybridMultilevel"/>
    <w:tmpl w:val="6D3E7A26"/>
    <w:lvl w:ilvl="0" w:tplc="9738B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C7104E"/>
    <w:multiLevelType w:val="multilevel"/>
    <w:tmpl w:val="1F068ADC"/>
    <w:lvl w:ilvl="0">
      <w:start w:val="1"/>
      <w:numFmt w:val="decimal"/>
      <w:lvlText w:val="%1."/>
      <w:lvlJc w:val="left"/>
      <w:pPr>
        <w:ind w:left="72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8"/>
  </w:num>
  <w:num w:numId="8">
    <w:abstractNumId w:val="10"/>
  </w:num>
  <w:num w:numId="9">
    <w:abstractNumId w:val="4"/>
  </w:num>
  <w:num w:numId="10">
    <w:abstractNumId w:val="11"/>
  </w:num>
  <w:num w:numId="11">
    <w:abstractNumId w:val="14"/>
  </w:num>
  <w:num w:numId="12">
    <w:abstractNumId w:val="6"/>
  </w:num>
  <w:num w:numId="13">
    <w:abstractNumId w:val="12"/>
  </w:num>
  <w:num w:numId="14">
    <w:abstractNumId w:val="5"/>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82"/>
    <w:rsid w:val="0000527C"/>
    <w:rsid w:val="00043CAA"/>
    <w:rsid w:val="00056816"/>
    <w:rsid w:val="00075432"/>
    <w:rsid w:val="00086FDD"/>
    <w:rsid w:val="000968ED"/>
    <w:rsid w:val="000A13C5"/>
    <w:rsid w:val="000A3D97"/>
    <w:rsid w:val="000A4B08"/>
    <w:rsid w:val="000B0E20"/>
    <w:rsid w:val="000B2651"/>
    <w:rsid w:val="000F230C"/>
    <w:rsid w:val="000F5E56"/>
    <w:rsid w:val="00106DFD"/>
    <w:rsid w:val="00115F38"/>
    <w:rsid w:val="001362EE"/>
    <w:rsid w:val="0014635F"/>
    <w:rsid w:val="00150C52"/>
    <w:rsid w:val="001647D5"/>
    <w:rsid w:val="001832A6"/>
    <w:rsid w:val="001A313C"/>
    <w:rsid w:val="001A40B1"/>
    <w:rsid w:val="001A612C"/>
    <w:rsid w:val="001D4107"/>
    <w:rsid w:val="001E534D"/>
    <w:rsid w:val="001F54C6"/>
    <w:rsid w:val="00203D24"/>
    <w:rsid w:val="0021217E"/>
    <w:rsid w:val="002326AB"/>
    <w:rsid w:val="00243430"/>
    <w:rsid w:val="002440DE"/>
    <w:rsid w:val="002634C4"/>
    <w:rsid w:val="00286A2B"/>
    <w:rsid w:val="002928D3"/>
    <w:rsid w:val="00293480"/>
    <w:rsid w:val="0029434D"/>
    <w:rsid w:val="002B01F5"/>
    <w:rsid w:val="002C1063"/>
    <w:rsid w:val="002D206F"/>
    <w:rsid w:val="002F1FE6"/>
    <w:rsid w:val="002F4E68"/>
    <w:rsid w:val="00312F7F"/>
    <w:rsid w:val="003233CF"/>
    <w:rsid w:val="003236CF"/>
    <w:rsid w:val="00331DCB"/>
    <w:rsid w:val="00361450"/>
    <w:rsid w:val="003673CF"/>
    <w:rsid w:val="0038385E"/>
    <w:rsid w:val="003845C1"/>
    <w:rsid w:val="003A6F89"/>
    <w:rsid w:val="003B38C1"/>
    <w:rsid w:val="003C34E9"/>
    <w:rsid w:val="004102E7"/>
    <w:rsid w:val="00415F1E"/>
    <w:rsid w:val="00423E3E"/>
    <w:rsid w:val="00427AF4"/>
    <w:rsid w:val="00444934"/>
    <w:rsid w:val="004515B4"/>
    <w:rsid w:val="004647DA"/>
    <w:rsid w:val="004651E1"/>
    <w:rsid w:val="00474062"/>
    <w:rsid w:val="00477D6B"/>
    <w:rsid w:val="004930A7"/>
    <w:rsid w:val="004A6636"/>
    <w:rsid w:val="004B007E"/>
    <w:rsid w:val="004C4C97"/>
    <w:rsid w:val="005015E6"/>
    <w:rsid w:val="005019FF"/>
    <w:rsid w:val="00506296"/>
    <w:rsid w:val="00507A9C"/>
    <w:rsid w:val="0053057A"/>
    <w:rsid w:val="00531EAD"/>
    <w:rsid w:val="0054685C"/>
    <w:rsid w:val="00556076"/>
    <w:rsid w:val="00560A29"/>
    <w:rsid w:val="005861AE"/>
    <w:rsid w:val="005C6649"/>
    <w:rsid w:val="005D042E"/>
    <w:rsid w:val="005D5D58"/>
    <w:rsid w:val="005F052D"/>
    <w:rsid w:val="005F7E4F"/>
    <w:rsid w:val="00605827"/>
    <w:rsid w:val="006236E5"/>
    <w:rsid w:val="006411E1"/>
    <w:rsid w:val="00646050"/>
    <w:rsid w:val="006713CA"/>
    <w:rsid w:val="006719CC"/>
    <w:rsid w:val="00676C5C"/>
    <w:rsid w:val="00694635"/>
    <w:rsid w:val="00720EFD"/>
    <w:rsid w:val="00754DF7"/>
    <w:rsid w:val="0076373C"/>
    <w:rsid w:val="007854AF"/>
    <w:rsid w:val="00793A7C"/>
    <w:rsid w:val="007A398A"/>
    <w:rsid w:val="007D1613"/>
    <w:rsid w:val="007E4C0E"/>
    <w:rsid w:val="008179BF"/>
    <w:rsid w:val="0082180E"/>
    <w:rsid w:val="008418E6"/>
    <w:rsid w:val="00847D82"/>
    <w:rsid w:val="00851730"/>
    <w:rsid w:val="00867653"/>
    <w:rsid w:val="008A134B"/>
    <w:rsid w:val="008A43B0"/>
    <w:rsid w:val="008B0969"/>
    <w:rsid w:val="008B2CC1"/>
    <w:rsid w:val="008B60B2"/>
    <w:rsid w:val="008C6191"/>
    <w:rsid w:val="008E40AA"/>
    <w:rsid w:val="0090731E"/>
    <w:rsid w:val="00916EE2"/>
    <w:rsid w:val="00931071"/>
    <w:rsid w:val="009462BA"/>
    <w:rsid w:val="00966A22"/>
    <w:rsid w:val="0096722F"/>
    <w:rsid w:val="00980843"/>
    <w:rsid w:val="009E2791"/>
    <w:rsid w:val="009E3F6F"/>
    <w:rsid w:val="009F499F"/>
    <w:rsid w:val="00A37342"/>
    <w:rsid w:val="00A42DAF"/>
    <w:rsid w:val="00A45BD8"/>
    <w:rsid w:val="00A52B05"/>
    <w:rsid w:val="00A869B7"/>
    <w:rsid w:val="00A90F0A"/>
    <w:rsid w:val="00AB0735"/>
    <w:rsid w:val="00AC205C"/>
    <w:rsid w:val="00AF0A6B"/>
    <w:rsid w:val="00B05A69"/>
    <w:rsid w:val="00B21136"/>
    <w:rsid w:val="00B35CB2"/>
    <w:rsid w:val="00B436E1"/>
    <w:rsid w:val="00B51865"/>
    <w:rsid w:val="00B56079"/>
    <w:rsid w:val="00B70729"/>
    <w:rsid w:val="00B75281"/>
    <w:rsid w:val="00B92F1F"/>
    <w:rsid w:val="00B9734B"/>
    <w:rsid w:val="00BA30E2"/>
    <w:rsid w:val="00BB0057"/>
    <w:rsid w:val="00BF32D8"/>
    <w:rsid w:val="00C11BFE"/>
    <w:rsid w:val="00C46F3E"/>
    <w:rsid w:val="00C5068F"/>
    <w:rsid w:val="00C82B83"/>
    <w:rsid w:val="00C8692E"/>
    <w:rsid w:val="00C86D74"/>
    <w:rsid w:val="00C91A8D"/>
    <w:rsid w:val="00C95DCC"/>
    <w:rsid w:val="00C97366"/>
    <w:rsid w:val="00CD04F1"/>
    <w:rsid w:val="00CD3628"/>
    <w:rsid w:val="00CE1DF2"/>
    <w:rsid w:val="00CE2E22"/>
    <w:rsid w:val="00CF681A"/>
    <w:rsid w:val="00D07C78"/>
    <w:rsid w:val="00D45252"/>
    <w:rsid w:val="00D6015E"/>
    <w:rsid w:val="00D71B4D"/>
    <w:rsid w:val="00D93D55"/>
    <w:rsid w:val="00DC3CAA"/>
    <w:rsid w:val="00DD7B7F"/>
    <w:rsid w:val="00DF0579"/>
    <w:rsid w:val="00E15015"/>
    <w:rsid w:val="00E21450"/>
    <w:rsid w:val="00E335FE"/>
    <w:rsid w:val="00E70F64"/>
    <w:rsid w:val="00E7646A"/>
    <w:rsid w:val="00E979DB"/>
    <w:rsid w:val="00EA7D6E"/>
    <w:rsid w:val="00EB2F76"/>
    <w:rsid w:val="00EC4E49"/>
    <w:rsid w:val="00ED6251"/>
    <w:rsid w:val="00ED77FB"/>
    <w:rsid w:val="00EE45FA"/>
    <w:rsid w:val="00F043DE"/>
    <w:rsid w:val="00F075B0"/>
    <w:rsid w:val="00F13A33"/>
    <w:rsid w:val="00F511D2"/>
    <w:rsid w:val="00F66152"/>
    <w:rsid w:val="00F8678C"/>
    <w:rsid w:val="00F9165B"/>
    <w:rsid w:val="00FB743A"/>
    <w:rsid w:val="00FC25D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0E6CFD4"/>
  <w15:docId w15:val="{3F1BC24C-8BBE-477F-ACC3-A3CB12A2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19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31DCB"/>
    <w:rPr>
      <w:color w:val="0000FF" w:themeColor="hyperlink"/>
      <w:u w:val="single"/>
    </w:rPr>
  </w:style>
  <w:style w:type="paragraph" w:styleId="ListParagraph">
    <w:name w:val="List Paragraph"/>
    <w:basedOn w:val="Normal"/>
    <w:uiPriority w:val="34"/>
    <w:qFormat/>
    <w:rsid w:val="00CD3628"/>
    <w:pPr>
      <w:ind w:left="720"/>
      <w:contextualSpacing/>
    </w:pPr>
    <w:rPr>
      <w:rFonts w:eastAsiaTheme="minorEastAsia"/>
    </w:rPr>
  </w:style>
  <w:style w:type="character" w:customStyle="1" w:styleId="FootnoteTextChar">
    <w:name w:val="Footnote Text Char"/>
    <w:basedOn w:val="DefaultParagraphFont"/>
    <w:link w:val="FootnoteText"/>
    <w:uiPriority w:val="99"/>
    <w:semiHidden/>
    <w:rsid w:val="002D206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D206F"/>
    <w:rPr>
      <w:vertAlign w:val="superscript"/>
    </w:rPr>
  </w:style>
  <w:style w:type="character" w:customStyle="1" w:styleId="ONUMEChar">
    <w:name w:val="ONUM E Char"/>
    <w:basedOn w:val="DefaultParagraphFont"/>
    <w:link w:val="ONUME"/>
    <w:rsid w:val="002D206F"/>
    <w:rPr>
      <w:rFonts w:ascii="Arial" w:eastAsia="SimSun" w:hAnsi="Arial" w:cs="Arial"/>
      <w:sz w:val="22"/>
      <w:lang w:val="en-US" w:eastAsia="zh-CN"/>
    </w:rPr>
  </w:style>
  <w:style w:type="paragraph" w:styleId="NormalWeb">
    <w:name w:val="Normal (Web)"/>
    <w:basedOn w:val="Normal"/>
    <w:uiPriority w:val="99"/>
    <w:unhideWhenUsed/>
    <w:rsid w:val="000A4B08"/>
    <w:pPr>
      <w:spacing w:before="100" w:beforeAutospacing="1" w:after="100" w:afterAutospacing="1"/>
    </w:pPr>
    <w:rPr>
      <w:rFonts w:ascii="Times New Roman" w:eastAsia="Times New Roman" w:hAnsi="Times New Roman" w:cs="Times New Roman"/>
      <w:sz w:val="24"/>
      <w:szCs w:val="24"/>
      <w:lang w:val="en-AU" w:eastAsia="en-US"/>
    </w:rPr>
  </w:style>
  <w:style w:type="paragraph" w:styleId="NoSpacing">
    <w:name w:val="No Spacing"/>
    <w:uiPriority w:val="1"/>
    <w:qFormat/>
    <w:rsid w:val="001E534D"/>
    <w:rPr>
      <w:rFonts w:ascii="Arial" w:eastAsia="SimSun" w:hAnsi="Arial" w:cs="Arial"/>
      <w:sz w:val="22"/>
      <w:lang w:val="en-US" w:eastAsia="zh-CN"/>
    </w:rPr>
  </w:style>
  <w:style w:type="paragraph" w:styleId="BalloonText">
    <w:name w:val="Balloon Text"/>
    <w:basedOn w:val="Normal"/>
    <w:link w:val="BalloonTextChar"/>
    <w:semiHidden/>
    <w:unhideWhenUsed/>
    <w:rsid w:val="006411E1"/>
    <w:rPr>
      <w:rFonts w:ascii="Segoe UI" w:hAnsi="Segoe UI" w:cs="Segoe UI"/>
      <w:sz w:val="18"/>
      <w:szCs w:val="18"/>
    </w:rPr>
  </w:style>
  <w:style w:type="character" w:customStyle="1" w:styleId="BalloonTextChar">
    <w:name w:val="Balloon Text Char"/>
    <w:basedOn w:val="DefaultParagraphFont"/>
    <w:link w:val="BalloonText"/>
    <w:semiHidden/>
    <w:rsid w:val="006411E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411E1"/>
    <w:rPr>
      <w:sz w:val="16"/>
      <w:szCs w:val="16"/>
    </w:rPr>
  </w:style>
  <w:style w:type="paragraph" w:styleId="CommentSubject">
    <w:name w:val="annotation subject"/>
    <w:basedOn w:val="CommentText"/>
    <w:next w:val="CommentText"/>
    <w:link w:val="CommentSubjectChar"/>
    <w:semiHidden/>
    <w:unhideWhenUsed/>
    <w:rsid w:val="006411E1"/>
    <w:rPr>
      <w:b/>
      <w:bCs/>
      <w:sz w:val="20"/>
    </w:rPr>
  </w:style>
  <w:style w:type="character" w:customStyle="1" w:styleId="CommentTextChar">
    <w:name w:val="Comment Text Char"/>
    <w:basedOn w:val="DefaultParagraphFont"/>
    <w:link w:val="CommentText"/>
    <w:semiHidden/>
    <w:rsid w:val="006411E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411E1"/>
    <w:rPr>
      <w:rFonts w:ascii="Arial" w:eastAsia="SimSun" w:hAnsi="Arial" w:cs="Arial"/>
      <w:b/>
      <w:bCs/>
      <w:sz w:val="18"/>
      <w:lang w:val="en-US" w:eastAsia="zh-CN"/>
    </w:rPr>
  </w:style>
  <w:style w:type="paragraph" w:styleId="Revision">
    <w:name w:val="Revision"/>
    <w:hidden/>
    <w:uiPriority w:val="99"/>
    <w:semiHidden/>
    <w:rsid w:val="001A40B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358">
      <w:bodyDiv w:val="1"/>
      <w:marLeft w:val="0"/>
      <w:marRight w:val="0"/>
      <w:marTop w:val="0"/>
      <w:marBottom w:val="0"/>
      <w:divBdr>
        <w:top w:val="none" w:sz="0" w:space="0" w:color="auto"/>
        <w:left w:val="none" w:sz="0" w:space="0" w:color="auto"/>
        <w:bottom w:val="none" w:sz="0" w:space="0" w:color="auto"/>
        <w:right w:val="none" w:sz="0" w:space="0" w:color="auto"/>
      </w:divBdr>
    </w:div>
    <w:div w:id="1570112491">
      <w:bodyDiv w:val="1"/>
      <w:marLeft w:val="0"/>
      <w:marRight w:val="0"/>
      <w:marTop w:val="0"/>
      <w:marBottom w:val="0"/>
      <w:divBdr>
        <w:top w:val="none" w:sz="0" w:space="0" w:color="auto"/>
        <w:left w:val="none" w:sz="0" w:space="0" w:color="auto"/>
        <w:bottom w:val="none" w:sz="0" w:space="0" w:color="auto"/>
        <w:right w:val="none" w:sz="0" w:space="0" w:color="auto"/>
      </w:divBdr>
    </w:div>
    <w:div w:id="1620146397">
      <w:bodyDiv w:val="1"/>
      <w:marLeft w:val="0"/>
      <w:marRight w:val="0"/>
      <w:marTop w:val="0"/>
      <w:marBottom w:val="0"/>
      <w:divBdr>
        <w:top w:val="none" w:sz="0" w:space="0" w:color="auto"/>
        <w:left w:val="none" w:sz="0" w:space="0" w:color="auto"/>
        <w:bottom w:val="none" w:sz="0" w:space="0" w:color="auto"/>
        <w:right w:val="none" w:sz="0" w:space="0" w:color="auto"/>
      </w:divBdr>
    </w:div>
    <w:div w:id="20129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tk/en/igc/consultation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F5BB-E0B1-47A0-B9A6-B6F4CBBE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69</TotalTime>
  <Pages>10</Pages>
  <Words>3263</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subject/>
  <dc:creator>MCCAULEY Tana</dc:creator>
  <cp:keywords>FOR OFFICIAL USE ONLY</cp:keywords>
  <dc:description/>
  <cp:lastModifiedBy>MORENO PALESTINI Maria del Pilar</cp:lastModifiedBy>
  <cp:revision>7</cp:revision>
  <cp:lastPrinted>2011-02-15T11:56:00Z</cp:lastPrinted>
  <dcterms:created xsi:type="dcterms:W3CDTF">2023-05-22T14:21:00Z</dcterms:created>
  <dcterms:modified xsi:type="dcterms:W3CDTF">2023-05-24T10:38:00Z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2023-05-15T02:07:46Z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8f0a93ad-c23d-47c2-948b-507bcf46d94b</vt:lpwstr>
  </property>
  <property fmtid="{D5CDD505-2E9C-101B-9397-08002B2CF9AE}" pid="14" name="MSIP_Label_20773ee6-353b-4fb9-a59d-0b94c8c67bea_ContentBits">
    <vt:lpwstr>0</vt:lpwstr>
  </property>
</Properties>
</file>