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4C7D2" w14:textId="77777777" w:rsidR="008B2CC1" w:rsidRPr="00F043DE" w:rsidRDefault="00B92F1F" w:rsidP="005C43B8">
      <w:pPr>
        <w:pBdr>
          <w:bottom w:val="single" w:sz="4" w:space="10" w:color="auto"/>
        </w:pBdr>
        <w:spacing w:after="120"/>
        <w:jc w:val="right"/>
        <w:rPr>
          <w:b/>
          <w:sz w:val="32"/>
          <w:szCs w:val="40"/>
        </w:rPr>
      </w:pPr>
      <w:bookmarkStart w:id="0" w:name="_GoBack"/>
      <w:bookmarkEnd w:id="0"/>
      <w:r>
        <w:rPr>
          <w:noProof/>
          <w:sz w:val="28"/>
          <w:szCs w:val="28"/>
          <w:lang w:eastAsia="en-US"/>
        </w:rPr>
        <w:drawing>
          <wp:inline distT="0" distB="0" distL="0" distR="0" wp14:anchorId="699EF06A" wp14:editId="1179F12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68263E1" w14:textId="77777777" w:rsidR="008B2CC1" w:rsidRPr="002326AB" w:rsidRDefault="005C43B8" w:rsidP="00EB2F76">
      <w:pPr>
        <w:jc w:val="right"/>
        <w:rPr>
          <w:rFonts w:ascii="Arial Black" w:hAnsi="Arial Black"/>
          <w:caps/>
          <w:sz w:val="15"/>
          <w:szCs w:val="15"/>
        </w:rPr>
      </w:pPr>
      <w:r>
        <w:rPr>
          <w:rFonts w:ascii="Arial Black" w:hAnsi="Arial Black"/>
          <w:caps/>
          <w:sz w:val="15"/>
          <w:szCs w:val="15"/>
        </w:rPr>
        <w:t>WIPO/GRTKF/IC/46/</w:t>
      </w:r>
      <w:bookmarkStart w:id="1" w:name="Code"/>
      <w:bookmarkEnd w:id="1"/>
      <w:r w:rsidR="006358A8">
        <w:rPr>
          <w:rFonts w:ascii="Arial Black" w:hAnsi="Arial Black"/>
          <w:caps/>
          <w:sz w:val="15"/>
          <w:szCs w:val="15"/>
        </w:rPr>
        <w:t>10</w:t>
      </w:r>
    </w:p>
    <w:p w14:paraId="333EAF78"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6358A8">
        <w:rPr>
          <w:rFonts w:ascii="Arial Black" w:hAnsi="Arial Black"/>
          <w:caps/>
          <w:sz w:val="15"/>
          <w:szCs w:val="15"/>
        </w:rPr>
        <w:t xml:space="preserve"> English</w:t>
      </w:r>
    </w:p>
    <w:bookmarkEnd w:id="2"/>
    <w:p w14:paraId="06DE5B53" w14:textId="0F90AF4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6358A8">
        <w:rPr>
          <w:rFonts w:ascii="Arial Black" w:hAnsi="Arial Black"/>
          <w:caps/>
          <w:sz w:val="15"/>
          <w:szCs w:val="15"/>
        </w:rPr>
        <w:t xml:space="preserve"> February </w:t>
      </w:r>
      <w:r w:rsidR="008770FF">
        <w:rPr>
          <w:rFonts w:ascii="Arial Black" w:hAnsi="Arial Black"/>
          <w:caps/>
          <w:sz w:val="15"/>
          <w:szCs w:val="15"/>
        </w:rPr>
        <w:t>23</w:t>
      </w:r>
      <w:r w:rsidR="008A366D">
        <w:rPr>
          <w:rFonts w:ascii="Arial Black" w:hAnsi="Arial Black"/>
          <w:caps/>
          <w:sz w:val="15"/>
          <w:szCs w:val="15"/>
        </w:rPr>
        <w:t>, 2023</w:t>
      </w:r>
    </w:p>
    <w:bookmarkEnd w:id="3"/>
    <w:p w14:paraId="1B6232A1" w14:textId="12081BBB" w:rsidR="008B2CC1" w:rsidRPr="00720EFD" w:rsidRDefault="005C43B8" w:rsidP="00720EFD">
      <w:pPr>
        <w:pStyle w:val="Heading1"/>
        <w:spacing w:before="0" w:after="480"/>
        <w:rPr>
          <w:sz w:val="28"/>
          <w:szCs w:val="28"/>
        </w:rPr>
      </w:pPr>
      <w:r>
        <w:rPr>
          <w:caps w:val="0"/>
          <w:sz w:val="28"/>
          <w:szCs w:val="28"/>
        </w:rPr>
        <w:t>I</w:t>
      </w:r>
      <w:r w:rsidRPr="005C43B8">
        <w:rPr>
          <w:caps w:val="0"/>
          <w:sz w:val="28"/>
          <w:szCs w:val="28"/>
        </w:rPr>
        <w:t xml:space="preserve">ntergovernmental </w:t>
      </w:r>
      <w:r>
        <w:rPr>
          <w:caps w:val="0"/>
          <w:sz w:val="28"/>
          <w:szCs w:val="28"/>
        </w:rPr>
        <w:t>C</w:t>
      </w:r>
      <w:r w:rsidRPr="005C43B8">
        <w:rPr>
          <w:caps w:val="0"/>
          <w:sz w:val="28"/>
          <w:szCs w:val="28"/>
        </w:rPr>
        <w:t xml:space="preserve">ommittee on </w:t>
      </w:r>
      <w:r>
        <w:rPr>
          <w:caps w:val="0"/>
          <w:sz w:val="28"/>
          <w:szCs w:val="28"/>
        </w:rPr>
        <w:t>I</w:t>
      </w:r>
      <w:r w:rsidRPr="005C43B8">
        <w:rPr>
          <w:caps w:val="0"/>
          <w:sz w:val="28"/>
          <w:szCs w:val="28"/>
        </w:rPr>
        <w:t xml:space="preserve">ntellectual </w:t>
      </w:r>
      <w:r>
        <w:rPr>
          <w:caps w:val="0"/>
          <w:sz w:val="28"/>
          <w:szCs w:val="28"/>
        </w:rPr>
        <w:t>P</w:t>
      </w:r>
      <w:r w:rsidRPr="005C43B8">
        <w:rPr>
          <w:caps w:val="0"/>
          <w:sz w:val="28"/>
          <w:szCs w:val="28"/>
        </w:rPr>
        <w:t xml:space="preserve">roperty and </w:t>
      </w:r>
      <w:r>
        <w:rPr>
          <w:caps w:val="0"/>
          <w:sz w:val="28"/>
          <w:szCs w:val="28"/>
        </w:rPr>
        <w:t>G</w:t>
      </w:r>
      <w:r w:rsidRPr="005C43B8">
        <w:rPr>
          <w:caps w:val="0"/>
          <w:sz w:val="28"/>
          <w:szCs w:val="28"/>
        </w:rPr>
        <w:t xml:space="preserve">enetic </w:t>
      </w:r>
      <w:r>
        <w:rPr>
          <w:caps w:val="0"/>
          <w:sz w:val="28"/>
          <w:szCs w:val="28"/>
        </w:rPr>
        <w:t>R</w:t>
      </w:r>
      <w:r w:rsidRPr="005C43B8">
        <w:rPr>
          <w:caps w:val="0"/>
          <w:sz w:val="28"/>
          <w:szCs w:val="28"/>
        </w:rPr>
        <w:t xml:space="preserve">esources, </w:t>
      </w:r>
      <w:r>
        <w:rPr>
          <w:caps w:val="0"/>
          <w:sz w:val="28"/>
          <w:szCs w:val="28"/>
        </w:rPr>
        <w:t>T</w:t>
      </w:r>
      <w:r w:rsidRPr="005C43B8">
        <w:rPr>
          <w:caps w:val="0"/>
          <w:sz w:val="28"/>
          <w:szCs w:val="28"/>
        </w:rPr>
        <w:t xml:space="preserve">raditional </w:t>
      </w:r>
      <w:r>
        <w:rPr>
          <w:caps w:val="0"/>
          <w:sz w:val="28"/>
          <w:szCs w:val="28"/>
        </w:rPr>
        <w:t>K</w:t>
      </w:r>
      <w:r w:rsidRPr="005C43B8">
        <w:rPr>
          <w:caps w:val="0"/>
          <w:sz w:val="28"/>
          <w:szCs w:val="28"/>
        </w:rPr>
        <w:t xml:space="preserve">nowledge and </w:t>
      </w:r>
      <w:r>
        <w:rPr>
          <w:caps w:val="0"/>
          <w:sz w:val="28"/>
          <w:szCs w:val="28"/>
        </w:rPr>
        <w:t>F</w:t>
      </w:r>
      <w:r w:rsidRPr="005C43B8">
        <w:rPr>
          <w:caps w:val="0"/>
          <w:sz w:val="28"/>
          <w:szCs w:val="28"/>
        </w:rPr>
        <w:t>olklore</w:t>
      </w:r>
    </w:p>
    <w:p w14:paraId="213D1C2A" w14:textId="77777777" w:rsidR="00A90F0A" w:rsidRDefault="005C43B8" w:rsidP="00A90F0A">
      <w:pPr>
        <w:outlineLvl w:val="1"/>
        <w:rPr>
          <w:b/>
          <w:sz w:val="24"/>
          <w:szCs w:val="24"/>
        </w:rPr>
      </w:pPr>
      <w:r>
        <w:rPr>
          <w:b/>
          <w:sz w:val="24"/>
          <w:szCs w:val="24"/>
        </w:rPr>
        <w:t>Forty-Sixth Session</w:t>
      </w:r>
    </w:p>
    <w:p w14:paraId="406E2A49" w14:textId="77777777" w:rsidR="008B2CC1" w:rsidRPr="003845C1" w:rsidRDefault="005C43B8" w:rsidP="00F9165B">
      <w:pPr>
        <w:spacing w:after="720"/>
        <w:outlineLvl w:val="1"/>
        <w:rPr>
          <w:b/>
          <w:sz w:val="24"/>
          <w:szCs w:val="24"/>
        </w:rPr>
      </w:pPr>
      <w:r>
        <w:rPr>
          <w:b/>
          <w:sz w:val="24"/>
          <w:szCs w:val="24"/>
        </w:rPr>
        <w:t>Geneva, February 27 to March 3, 2023</w:t>
      </w:r>
    </w:p>
    <w:p w14:paraId="5D5900BE" w14:textId="77777777" w:rsidR="008B2CC1" w:rsidRPr="003845C1" w:rsidRDefault="002528AB" w:rsidP="00DD7B7F">
      <w:pPr>
        <w:spacing w:after="360"/>
        <w:outlineLvl w:val="0"/>
        <w:rPr>
          <w:caps/>
          <w:sz w:val="24"/>
        </w:rPr>
      </w:pPr>
      <w:bookmarkStart w:id="4" w:name="TitleOfDoc"/>
      <w:r w:rsidRPr="002528AB">
        <w:rPr>
          <w:caps/>
          <w:sz w:val="24"/>
        </w:rPr>
        <w:t>LEGAL PRINCIPLES RELATED TO AN INTERNATIONAL INSTRUMENT</w:t>
      </w:r>
    </w:p>
    <w:p w14:paraId="3A7E6B24" w14:textId="77777777" w:rsidR="002928D3" w:rsidRPr="00F9165B" w:rsidRDefault="002528AB" w:rsidP="001D4107">
      <w:pPr>
        <w:spacing w:after="1040"/>
        <w:rPr>
          <w:i/>
        </w:rPr>
      </w:pPr>
      <w:bookmarkStart w:id="5" w:name="Prepared"/>
      <w:bookmarkEnd w:id="4"/>
      <w:bookmarkEnd w:id="5"/>
      <w:r>
        <w:rPr>
          <w:i/>
        </w:rPr>
        <w:t>Prepared by the Secretariat</w:t>
      </w:r>
    </w:p>
    <w:p w14:paraId="1EE1100F" w14:textId="041F880A" w:rsidR="002528AB" w:rsidRPr="002528AB" w:rsidRDefault="002528AB" w:rsidP="002528AB">
      <w:pPr>
        <w:pStyle w:val="onume0"/>
        <w:rPr>
          <w:b w:val="0"/>
          <w:szCs w:val="20"/>
        </w:rPr>
      </w:pPr>
      <w:r>
        <w:rPr>
          <w:b w:val="0"/>
          <w:szCs w:val="20"/>
        </w:rPr>
        <w:fldChar w:fldCharType="begin"/>
      </w:r>
      <w:r>
        <w:rPr>
          <w:b w:val="0"/>
          <w:szCs w:val="20"/>
        </w:rPr>
        <w:instrText xml:space="preserve"> AUTONUM  </w:instrText>
      </w:r>
      <w:r>
        <w:rPr>
          <w:b w:val="0"/>
          <w:szCs w:val="20"/>
        </w:rPr>
        <w:fldChar w:fldCharType="end"/>
      </w:r>
      <w:r>
        <w:rPr>
          <w:b w:val="0"/>
          <w:szCs w:val="20"/>
        </w:rPr>
        <w:tab/>
      </w:r>
      <w:proofErr w:type="gramStart"/>
      <w:r w:rsidRPr="002528AB">
        <w:rPr>
          <w:b w:val="0"/>
          <w:szCs w:val="20"/>
        </w:rPr>
        <w:t xml:space="preserve">At its Forty-Fifth Session, </w:t>
      </w:r>
      <w:r w:rsidR="00C5105D">
        <w:rPr>
          <w:b w:val="0"/>
          <w:szCs w:val="20"/>
        </w:rPr>
        <w:t xml:space="preserve">which addressed traditional knowledge (TK) and traditional cultural expressions (TCEs), </w:t>
      </w:r>
      <w:r w:rsidRPr="002528AB">
        <w:rPr>
          <w:b w:val="0"/>
          <w:szCs w:val="20"/>
        </w:rPr>
        <w:t xml:space="preserve">the Intergovernmental Committee on Intellectual Property and Genetic Resources, Traditional Knowledge and Folklore (the </w:t>
      </w:r>
      <w:r>
        <w:rPr>
          <w:b w:val="0"/>
          <w:szCs w:val="20"/>
        </w:rPr>
        <w:t>IGC</w:t>
      </w:r>
      <w:r w:rsidRPr="002528AB">
        <w:rPr>
          <w:b w:val="0"/>
          <w:szCs w:val="20"/>
        </w:rPr>
        <w:t>) “requested the Secretariat to update and streamline by IGC 46 some documents from the early years of the IGC on topics such as rights and measures-based approaches, the interplay between national and international instruments, the differences between minimum and maximum standards, and options for the legal nature of international instruments.”</w:t>
      </w:r>
      <w:proofErr w:type="gramEnd"/>
      <w:r w:rsidRPr="002528AB">
        <w:rPr>
          <w:b w:val="0"/>
          <w:szCs w:val="20"/>
        </w:rPr>
        <w:t xml:space="preserve">  This document has been prepared</w:t>
      </w:r>
      <w:r w:rsidR="00C5105D">
        <w:rPr>
          <w:b w:val="0"/>
          <w:szCs w:val="20"/>
        </w:rPr>
        <w:t xml:space="preserve"> in relation to an international instrument(s) on TK and TCEs</w:t>
      </w:r>
      <w:r w:rsidRPr="002528AB">
        <w:rPr>
          <w:b w:val="0"/>
          <w:szCs w:val="20"/>
        </w:rPr>
        <w:t xml:space="preserve"> for this session pursuant to this decision.</w:t>
      </w:r>
      <w:r w:rsidR="00A326B9">
        <w:rPr>
          <w:b w:val="0"/>
          <w:szCs w:val="20"/>
        </w:rPr>
        <w:t xml:space="preserve"> </w:t>
      </w:r>
      <w:r w:rsidR="008770FF">
        <w:rPr>
          <w:b w:val="0"/>
          <w:szCs w:val="20"/>
        </w:rPr>
        <w:t xml:space="preserve"> </w:t>
      </w:r>
      <w:r w:rsidR="00A326B9">
        <w:rPr>
          <w:b w:val="0"/>
          <w:szCs w:val="20"/>
        </w:rPr>
        <w:t xml:space="preserve">The document is an initial draft and </w:t>
      </w:r>
      <w:proofErr w:type="gramStart"/>
      <w:r w:rsidR="00A326B9">
        <w:rPr>
          <w:b w:val="0"/>
          <w:szCs w:val="20"/>
        </w:rPr>
        <w:t>may be developed</w:t>
      </w:r>
      <w:proofErr w:type="gramEnd"/>
      <w:r w:rsidR="00A326B9">
        <w:rPr>
          <w:b w:val="0"/>
          <w:szCs w:val="20"/>
        </w:rPr>
        <w:t xml:space="preserve"> further for future sessions of the Committee. </w:t>
      </w:r>
    </w:p>
    <w:p w14:paraId="3B31C9F8" w14:textId="77777777" w:rsidR="002528AB" w:rsidRDefault="002528AB" w:rsidP="002528AB">
      <w:pPr>
        <w:pStyle w:val="onume0"/>
        <w:rPr>
          <w:b w:val="0"/>
          <w:caps/>
        </w:rPr>
      </w:pPr>
    </w:p>
    <w:p w14:paraId="001E039E" w14:textId="77777777" w:rsidR="00FC5243" w:rsidRDefault="00FC5243" w:rsidP="002528AB">
      <w:pPr>
        <w:pStyle w:val="onume0"/>
        <w:rPr>
          <w:b w:val="0"/>
          <w:caps/>
        </w:rPr>
      </w:pPr>
    </w:p>
    <w:p w14:paraId="1A7D73AE" w14:textId="77777777" w:rsidR="002528AB" w:rsidRPr="00FF6C83" w:rsidRDefault="002528AB" w:rsidP="002528AB">
      <w:pPr>
        <w:pStyle w:val="onume0"/>
        <w:rPr>
          <w:b w:val="0"/>
          <w:caps/>
        </w:rPr>
      </w:pPr>
      <w:r w:rsidRPr="00FF6C83">
        <w:rPr>
          <w:b w:val="0"/>
          <w:caps/>
        </w:rPr>
        <w:t>Options for the legal nature of international instruments</w:t>
      </w:r>
    </w:p>
    <w:p w14:paraId="59CBA54A" w14:textId="77777777" w:rsidR="002528AB" w:rsidRPr="00617098" w:rsidRDefault="002528AB" w:rsidP="002528AB">
      <w:pPr>
        <w:rPr>
          <w:rFonts w:eastAsia="Times New Roman"/>
          <w:lang w:eastAsia="en-AU"/>
        </w:rPr>
      </w:pPr>
    </w:p>
    <w:p w14:paraId="7490F03C" w14:textId="697554E6" w:rsidR="002528AB" w:rsidRPr="00617098" w:rsidRDefault="002528AB" w:rsidP="002528AB">
      <w:pPr>
        <w:rPr>
          <w:rFonts w:eastAsia="Times New Roman"/>
          <w:lang w:eastAsia="en-AU"/>
        </w:rPr>
      </w:pPr>
      <w:r w:rsidRPr="00617098">
        <w:rPr>
          <w:rFonts w:eastAsia="Times New Roman"/>
          <w:lang w:eastAsia="en-AU"/>
        </w:rPr>
        <w:fldChar w:fldCharType="begin"/>
      </w:r>
      <w:r w:rsidRPr="00617098">
        <w:rPr>
          <w:rFonts w:eastAsia="Times New Roman"/>
          <w:lang w:eastAsia="en-AU"/>
        </w:rPr>
        <w:instrText xml:space="preserve"> AUTONUM  </w:instrText>
      </w:r>
      <w:r w:rsidRPr="00617098">
        <w:rPr>
          <w:rFonts w:eastAsia="Times New Roman"/>
          <w:lang w:eastAsia="en-AU"/>
        </w:rPr>
        <w:fldChar w:fldCharType="end"/>
      </w:r>
      <w:r w:rsidRPr="00617098">
        <w:rPr>
          <w:rFonts w:eastAsia="Times New Roman"/>
          <w:lang w:eastAsia="en-AU"/>
        </w:rPr>
        <w:tab/>
        <w:t>The choice of the legal nature of an international instrument is a</w:t>
      </w:r>
      <w:r>
        <w:rPr>
          <w:rFonts w:eastAsia="Times New Roman"/>
          <w:lang w:eastAsia="en-AU"/>
        </w:rPr>
        <w:t xml:space="preserve"> political question for WIPO’s </w:t>
      </w:r>
      <w:r w:rsidR="004F2436">
        <w:rPr>
          <w:rFonts w:eastAsia="Times New Roman"/>
          <w:lang w:eastAsia="en-AU"/>
        </w:rPr>
        <w:t>Member S</w:t>
      </w:r>
      <w:r w:rsidRPr="00617098">
        <w:rPr>
          <w:rFonts w:eastAsia="Times New Roman"/>
          <w:lang w:eastAsia="en-AU"/>
        </w:rPr>
        <w:t xml:space="preserve">tates to consider and determine.  </w:t>
      </w:r>
      <w:r w:rsidR="00C5105D" w:rsidRPr="00C5105D">
        <w:rPr>
          <w:rFonts w:eastAsia="Times New Roman"/>
          <w:lang w:eastAsia="en-AU"/>
        </w:rPr>
        <w:t xml:space="preserve">The IGC’s mandate requested the IGC to “continue to expedite its work, with the objective of finalizing an agreement on an international legal instrument(s), without prejudging the nature of the outcome(s).”  </w:t>
      </w:r>
      <w:r w:rsidRPr="00617098">
        <w:rPr>
          <w:rFonts w:eastAsia="Times New Roman"/>
          <w:lang w:eastAsia="en-AU"/>
        </w:rPr>
        <w:t xml:space="preserve">Accordingly, the present document does not seek to promote any particular outcome, but simply aims to catalogue and factually describe </w:t>
      </w:r>
      <w:r>
        <w:rPr>
          <w:rFonts w:eastAsia="Times New Roman"/>
          <w:lang w:eastAsia="en-AU"/>
        </w:rPr>
        <w:t xml:space="preserve">some of </w:t>
      </w:r>
      <w:r w:rsidRPr="00617098">
        <w:rPr>
          <w:rFonts w:eastAsia="Times New Roman"/>
          <w:lang w:eastAsia="en-AU"/>
        </w:rPr>
        <w:t xml:space="preserve">the </w:t>
      </w:r>
      <w:r>
        <w:rPr>
          <w:rFonts w:eastAsia="Times New Roman"/>
          <w:lang w:eastAsia="en-AU"/>
        </w:rPr>
        <w:t xml:space="preserve">main </w:t>
      </w:r>
      <w:r w:rsidRPr="00617098">
        <w:rPr>
          <w:rFonts w:eastAsia="Times New Roman"/>
          <w:lang w:eastAsia="en-AU"/>
        </w:rPr>
        <w:t>available options.  The range of options described below is descriptive and non-exhaustive:</w:t>
      </w:r>
    </w:p>
    <w:p w14:paraId="775D36D6" w14:textId="77777777" w:rsidR="002528AB" w:rsidRPr="00617098" w:rsidRDefault="002528AB" w:rsidP="002528AB">
      <w:pPr>
        <w:rPr>
          <w:rFonts w:eastAsia="Times New Roman"/>
          <w:lang w:eastAsia="en-AU"/>
        </w:rPr>
      </w:pPr>
    </w:p>
    <w:p w14:paraId="4E0DB87C" w14:textId="77777777" w:rsidR="002528AB" w:rsidRPr="00617098" w:rsidRDefault="002528AB" w:rsidP="00C5105D">
      <w:pPr>
        <w:keepNext/>
        <w:keepLines/>
        <w:numPr>
          <w:ilvl w:val="1"/>
          <w:numId w:val="7"/>
        </w:numPr>
        <w:ind w:left="1124" w:hanging="562"/>
        <w:rPr>
          <w:rFonts w:eastAsia="Times New Roman"/>
          <w:lang w:eastAsia="en-AU"/>
        </w:rPr>
      </w:pPr>
      <w:r w:rsidRPr="00617098">
        <w:rPr>
          <w:rFonts w:eastAsia="Times New Roman"/>
          <w:lang w:eastAsia="en-AU"/>
        </w:rPr>
        <w:lastRenderedPageBreak/>
        <w:t>a bin</w:t>
      </w:r>
      <w:r>
        <w:rPr>
          <w:rFonts w:eastAsia="Times New Roman"/>
          <w:lang w:eastAsia="en-AU"/>
        </w:rPr>
        <w:t>ding international instrument</w:t>
      </w:r>
      <w:r w:rsidRPr="00617098">
        <w:rPr>
          <w:rFonts w:eastAsia="Times New Roman"/>
          <w:lang w:eastAsia="en-AU"/>
        </w:rPr>
        <w:t>;</w:t>
      </w:r>
    </w:p>
    <w:p w14:paraId="7F6B59EA" w14:textId="77777777" w:rsidR="002528AB" w:rsidRPr="00617098" w:rsidRDefault="002528AB" w:rsidP="00C5105D">
      <w:pPr>
        <w:keepNext/>
        <w:keepLines/>
        <w:numPr>
          <w:ilvl w:val="1"/>
          <w:numId w:val="7"/>
        </w:numPr>
        <w:ind w:left="1124" w:hanging="562"/>
        <w:rPr>
          <w:rFonts w:eastAsia="Times New Roman"/>
          <w:lang w:eastAsia="en-AU"/>
        </w:rPr>
      </w:pPr>
      <w:r>
        <w:rPr>
          <w:rFonts w:eastAsia="Times New Roman"/>
          <w:lang w:eastAsia="en-AU"/>
        </w:rPr>
        <w:t>a non-binding international instrument (soft law)</w:t>
      </w:r>
      <w:r w:rsidRPr="00617098">
        <w:rPr>
          <w:rFonts w:eastAsia="Times New Roman"/>
          <w:lang w:eastAsia="en-AU"/>
        </w:rPr>
        <w:t>;</w:t>
      </w:r>
    </w:p>
    <w:p w14:paraId="54656349" w14:textId="77777777" w:rsidR="002528AB" w:rsidRPr="00617098" w:rsidRDefault="002528AB" w:rsidP="00C5105D">
      <w:pPr>
        <w:keepNext/>
        <w:keepLines/>
        <w:numPr>
          <w:ilvl w:val="1"/>
          <w:numId w:val="7"/>
        </w:numPr>
        <w:ind w:left="1124" w:hanging="562"/>
        <w:rPr>
          <w:rFonts w:eastAsia="Times New Roman"/>
          <w:lang w:eastAsia="en-AU"/>
        </w:rPr>
      </w:pPr>
      <w:proofErr w:type="gramStart"/>
      <w:r>
        <w:rPr>
          <w:rFonts w:eastAsia="Times New Roman"/>
          <w:lang w:eastAsia="en-AU"/>
        </w:rPr>
        <w:t>model</w:t>
      </w:r>
      <w:proofErr w:type="gramEnd"/>
      <w:r>
        <w:rPr>
          <w:rFonts w:eastAsia="Times New Roman"/>
          <w:lang w:eastAsia="en-AU"/>
        </w:rPr>
        <w:t xml:space="preserve"> laws or guidelines</w:t>
      </w:r>
      <w:r w:rsidRPr="00617098">
        <w:rPr>
          <w:rFonts w:eastAsia="Times New Roman"/>
          <w:lang w:eastAsia="en-AU"/>
        </w:rPr>
        <w:t>.</w:t>
      </w:r>
    </w:p>
    <w:p w14:paraId="509EDC55" w14:textId="77777777" w:rsidR="002528AB" w:rsidRPr="00617098" w:rsidRDefault="002528AB" w:rsidP="002528AB">
      <w:pPr>
        <w:rPr>
          <w:rFonts w:eastAsia="Times New Roman"/>
          <w:lang w:eastAsia="en-AU"/>
        </w:rPr>
      </w:pPr>
    </w:p>
    <w:p w14:paraId="79778989" w14:textId="77777777" w:rsidR="002528AB" w:rsidRPr="00C80413" w:rsidRDefault="002528AB" w:rsidP="004550A9">
      <w:pPr>
        <w:keepNext/>
        <w:rPr>
          <w:rFonts w:eastAsia="Times New Roman"/>
          <w:b/>
          <w:lang w:eastAsia="en-AU"/>
        </w:rPr>
      </w:pPr>
      <w:r w:rsidRPr="00C80413">
        <w:rPr>
          <w:rFonts w:eastAsia="Times New Roman"/>
          <w:b/>
          <w:lang w:eastAsia="en-AU"/>
        </w:rPr>
        <w:t>A binding international instrument</w:t>
      </w:r>
    </w:p>
    <w:p w14:paraId="79E432BE" w14:textId="77777777" w:rsidR="002528AB" w:rsidRPr="00617098" w:rsidRDefault="002528AB" w:rsidP="004550A9">
      <w:pPr>
        <w:keepNext/>
        <w:rPr>
          <w:rFonts w:eastAsia="Times New Roman"/>
          <w:lang w:eastAsia="en-AU"/>
        </w:rPr>
      </w:pPr>
    </w:p>
    <w:p w14:paraId="427BAB78" w14:textId="77777777" w:rsidR="002528AB" w:rsidRDefault="002528AB" w:rsidP="004550A9">
      <w:pPr>
        <w:keepNext/>
        <w:rPr>
          <w:rFonts w:eastAsia="Times New Roman"/>
          <w:lang w:eastAsia="en-AU"/>
        </w:rPr>
      </w:pPr>
      <w:r w:rsidRPr="00617098">
        <w:rPr>
          <w:rFonts w:eastAsia="Times New Roman"/>
          <w:lang w:eastAsia="en-AU"/>
        </w:rPr>
        <w:fldChar w:fldCharType="begin"/>
      </w:r>
      <w:r w:rsidRPr="00617098">
        <w:rPr>
          <w:rFonts w:eastAsia="Times New Roman"/>
          <w:lang w:eastAsia="en-AU"/>
        </w:rPr>
        <w:instrText xml:space="preserve"> AUTONUM  </w:instrText>
      </w:r>
      <w:r w:rsidRPr="00617098">
        <w:rPr>
          <w:rFonts w:eastAsia="Times New Roman"/>
          <w:lang w:eastAsia="en-AU"/>
        </w:rPr>
        <w:fldChar w:fldCharType="end"/>
      </w:r>
      <w:r w:rsidRPr="00617098">
        <w:rPr>
          <w:rFonts w:eastAsia="Times New Roman"/>
          <w:lang w:eastAsia="en-AU"/>
        </w:rPr>
        <w:tab/>
        <w:t xml:space="preserve">A binding </w:t>
      </w:r>
      <w:r>
        <w:rPr>
          <w:rFonts w:eastAsia="Times New Roman"/>
          <w:lang w:eastAsia="en-AU"/>
        </w:rPr>
        <w:t xml:space="preserve">international </w:t>
      </w:r>
      <w:r w:rsidRPr="00617098">
        <w:rPr>
          <w:rFonts w:eastAsia="Times New Roman"/>
          <w:lang w:eastAsia="en-AU"/>
        </w:rPr>
        <w:t xml:space="preserve">instrument </w:t>
      </w:r>
      <w:r>
        <w:rPr>
          <w:rFonts w:eastAsia="Times New Roman"/>
          <w:lang w:eastAsia="en-AU"/>
        </w:rPr>
        <w:t>refers to a treaty or convention that creates legally binding obligations for its signatory states.  It would oblige contracting p</w:t>
      </w:r>
      <w:r w:rsidRPr="00617098">
        <w:rPr>
          <w:rFonts w:eastAsia="Times New Roman"/>
          <w:lang w:eastAsia="en-AU"/>
        </w:rPr>
        <w:t xml:space="preserve">arties to apply the prescribed standards in their national law, as an obligation under international law. </w:t>
      </w:r>
      <w:r>
        <w:rPr>
          <w:rFonts w:eastAsia="Times New Roman"/>
          <w:lang w:eastAsia="en-AU"/>
        </w:rPr>
        <w:t xml:space="preserve"> This type of instrument </w:t>
      </w:r>
      <w:proofErr w:type="gramStart"/>
      <w:r>
        <w:rPr>
          <w:rFonts w:eastAsia="Times New Roman"/>
          <w:lang w:eastAsia="en-AU"/>
        </w:rPr>
        <w:t>can be used</w:t>
      </w:r>
      <w:proofErr w:type="gramEnd"/>
      <w:r>
        <w:rPr>
          <w:rFonts w:eastAsia="Times New Roman"/>
          <w:lang w:eastAsia="en-AU"/>
        </w:rPr>
        <w:t xml:space="preserve"> to establish a common set of rules and standards for the protection and enforcement of intellectual property (IP) globally.  </w:t>
      </w:r>
    </w:p>
    <w:p w14:paraId="1D6DEB98" w14:textId="77777777" w:rsidR="002528AB" w:rsidRDefault="002528AB" w:rsidP="002528AB">
      <w:pPr>
        <w:rPr>
          <w:rFonts w:eastAsia="Times New Roman"/>
          <w:lang w:eastAsia="en-AU"/>
        </w:rPr>
      </w:pPr>
    </w:p>
    <w:p w14:paraId="1CF3E742" w14:textId="16958BBC" w:rsidR="002528AB" w:rsidRPr="00617098" w:rsidRDefault="002528AB"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A distinct treaty-</w:t>
      </w:r>
      <w:r w:rsidRPr="00617098">
        <w:rPr>
          <w:rFonts w:eastAsia="Times New Roman"/>
          <w:lang w:eastAsia="en-AU"/>
        </w:rPr>
        <w:t>making process would be required (typically, a diplomatic conference) to negotiate</w:t>
      </w:r>
      <w:r>
        <w:rPr>
          <w:rFonts w:eastAsia="Times New Roman"/>
          <w:lang w:eastAsia="en-AU"/>
        </w:rPr>
        <w:t xml:space="preserve"> and adopt such an instrument.  The instrument</w:t>
      </w:r>
      <w:r w:rsidRPr="00617098">
        <w:rPr>
          <w:rFonts w:eastAsia="Times New Roman"/>
          <w:lang w:eastAsia="en-AU"/>
        </w:rPr>
        <w:t xml:space="preserve"> would become binding only on those </w:t>
      </w:r>
      <w:proofErr w:type="gramStart"/>
      <w:r w:rsidRPr="00617098">
        <w:rPr>
          <w:rFonts w:eastAsia="Times New Roman"/>
          <w:lang w:eastAsia="en-AU"/>
        </w:rPr>
        <w:t>countries which</w:t>
      </w:r>
      <w:proofErr w:type="gramEnd"/>
      <w:r w:rsidRPr="00617098">
        <w:rPr>
          <w:rFonts w:eastAsia="Times New Roman"/>
          <w:lang w:eastAsia="en-AU"/>
        </w:rPr>
        <w:t xml:space="preserve"> </w:t>
      </w:r>
      <w:r w:rsidR="00FC5243">
        <w:rPr>
          <w:rFonts w:eastAsia="Times New Roman"/>
          <w:lang w:eastAsia="en-AU"/>
        </w:rPr>
        <w:t>decide</w:t>
      </w:r>
      <w:r w:rsidR="00FC5243" w:rsidRPr="00617098">
        <w:rPr>
          <w:rFonts w:eastAsia="Times New Roman"/>
          <w:lang w:eastAsia="en-AU"/>
        </w:rPr>
        <w:t xml:space="preserve"> </w:t>
      </w:r>
      <w:r w:rsidRPr="00617098">
        <w:rPr>
          <w:rFonts w:eastAsia="Times New Roman"/>
          <w:lang w:eastAsia="en-AU"/>
        </w:rPr>
        <w:t xml:space="preserve">to adhere </w:t>
      </w:r>
      <w:r w:rsidR="0076424F">
        <w:rPr>
          <w:rFonts w:eastAsia="Times New Roman"/>
          <w:lang w:eastAsia="en-AU"/>
        </w:rPr>
        <w:t xml:space="preserve">to it </w:t>
      </w:r>
      <w:r w:rsidRPr="00617098">
        <w:rPr>
          <w:rFonts w:eastAsia="Times New Roman"/>
          <w:lang w:eastAsia="en-AU"/>
        </w:rPr>
        <w:t>through a distinct act of ratification or accession.</w:t>
      </w:r>
      <w:r>
        <w:rPr>
          <w:rFonts w:eastAsia="Times New Roman"/>
          <w:lang w:eastAsia="en-AU"/>
        </w:rPr>
        <w:t xml:space="preserve"> </w:t>
      </w:r>
      <w:r w:rsidRPr="006A72E8">
        <w:rPr>
          <w:rFonts w:eastAsia="Times New Roman"/>
          <w:lang w:eastAsia="en-AU"/>
        </w:rPr>
        <w:t xml:space="preserve"> </w:t>
      </w:r>
      <w:r>
        <w:rPr>
          <w:rFonts w:eastAsia="Times New Roman"/>
          <w:lang w:eastAsia="en-AU"/>
        </w:rPr>
        <w:t xml:space="preserve">While </w:t>
      </w:r>
      <w:proofErr w:type="gramStart"/>
      <w:r>
        <w:rPr>
          <w:rFonts w:eastAsia="Times New Roman"/>
          <w:lang w:eastAsia="en-AU"/>
        </w:rPr>
        <w:t>other states would</w:t>
      </w:r>
      <w:r w:rsidRPr="00617098">
        <w:rPr>
          <w:rFonts w:eastAsia="Times New Roman"/>
          <w:lang w:eastAsia="en-AU"/>
        </w:rPr>
        <w:t xml:space="preserve"> n</w:t>
      </w:r>
      <w:r>
        <w:rPr>
          <w:rFonts w:eastAsia="Times New Roman"/>
          <w:lang w:eastAsia="en-AU"/>
        </w:rPr>
        <w:t>ot be bound by the treaty</w:t>
      </w:r>
      <w:proofErr w:type="gramEnd"/>
      <w:r>
        <w:rPr>
          <w:rFonts w:eastAsia="Times New Roman"/>
          <w:lang w:eastAsia="en-AU"/>
        </w:rPr>
        <w:t xml:space="preserve"> as such, they may choose</w:t>
      </w:r>
      <w:r w:rsidRPr="00617098">
        <w:rPr>
          <w:rFonts w:eastAsia="Times New Roman"/>
          <w:lang w:eastAsia="en-AU"/>
        </w:rPr>
        <w:t xml:space="preserve"> to apply the standards created by </w:t>
      </w:r>
      <w:r>
        <w:rPr>
          <w:rFonts w:eastAsia="Times New Roman"/>
          <w:lang w:eastAsia="en-AU"/>
        </w:rPr>
        <w:t>the instrument</w:t>
      </w:r>
      <w:r w:rsidRPr="00617098">
        <w:rPr>
          <w:rFonts w:eastAsia="Times New Roman"/>
          <w:lang w:eastAsia="en-AU"/>
        </w:rPr>
        <w:t xml:space="preserve"> without formally adhering to</w:t>
      </w:r>
      <w:r w:rsidR="006C61F8">
        <w:rPr>
          <w:rFonts w:eastAsia="Times New Roman"/>
          <w:lang w:eastAsia="en-AU"/>
        </w:rPr>
        <w:t xml:space="preserve"> it</w:t>
      </w:r>
      <w:r>
        <w:rPr>
          <w:rFonts w:eastAsia="Times New Roman"/>
          <w:lang w:eastAsia="en-AU"/>
        </w:rPr>
        <w:t>.</w:t>
      </w:r>
    </w:p>
    <w:p w14:paraId="53FB9BED" w14:textId="77777777" w:rsidR="002528AB" w:rsidRPr="00617098" w:rsidRDefault="002528AB" w:rsidP="002528AB">
      <w:pPr>
        <w:rPr>
          <w:rFonts w:eastAsia="Times New Roman"/>
          <w:lang w:eastAsia="en-AU"/>
        </w:rPr>
      </w:pPr>
    </w:p>
    <w:p w14:paraId="7699C1D7" w14:textId="7F126762" w:rsidR="002528AB" w:rsidRDefault="002528AB" w:rsidP="002528AB">
      <w:pPr>
        <w:rPr>
          <w:rFonts w:eastAsia="Times New Roman"/>
          <w:lang w:eastAsia="en-AU"/>
        </w:rPr>
      </w:pPr>
      <w:r w:rsidRPr="00617098">
        <w:rPr>
          <w:rFonts w:eastAsia="Times New Roman"/>
          <w:lang w:eastAsia="en-AU"/>
        </w:rPr>
        <w:fldChar w:fldCharType="begin"/>
      </w:r>
      <w:r w:rsidRPr="00617098">
        <w:rPr>
          <w:rFonts w:eastAsia="Times New Roman"/>
          <w:lang w:eastAsia="en-AU"/>
        </w:rPr>
        <w:instrText xml:space="preserve"> AUTONUM  </w:instrText>
      </w:r>
      <w:r w:rsidRPr="00617098">
        <w:rPr>
          <w:rFonts w:eastAsia="Times New Roman"/>
          <w:lang w:eastAsia="en-AU"/>
        </w:rPr>
        <w:fldChar w:fldCharType="end"/>
      </w:r>
      <w:r w:rsidRPr="00617098">
        <w:rPr>
          <w:rFonts w:eastAsia="Times New Roman"/>
          <w:lang w:eastAsia="en-AU"/>
        </w:rPr>
        <w:tab/>
        <w:t xml:space="preserve">Binding instruments may have the character of framework or policymaking conventions, providing a basis or policy platform for further normative development and for greater convergence and transparency of national policy initiatives.  Specific international legal mechanisms with more precise obligations </w:t>
      </w:r>
      <w:proofErr w:type="gramStart"/>
      <w:r w:rsidRPr="00617098">
        <w:rPr>
          <w:rFonts w:eastAsia="Times New Roman"/>
          <w:lang w:eastAsia="en-AU"/>
        </w:rPr>
        <w:t>may then be negotiated</w:t>
      </w:r>
      <w:proofErr w:type="gramEnd"/>
      <w:r w:rsidRPr="00617098">
        <w:rPr>
          <w:rFonts w:eastAsia="Times New Roman"/>
          <w:lang w:eastAsia="en-AU"/>
        </w:rPr>
        <w:t xml:space="preserve"> as protocols under the original framework agreement.</w:t>
      </w:r>
    </w:p>
    <w:p w14:paraId="001518C9" w14:textId="2753A7B3" w:rsidR="005B1EFC" w:rsidRDefault="005B1EFC" w:rsidP="002528AB">
      <w:pPr>
        <w:rPr>
          <w:rFonts w:eastAsia="Times New Roman"/>
          <w:lang w:eastAsia="en-AU"/>
        </w:rPr>
      </w:pPr>
    </w:p>
    <w:p w14:paraId="4353A1CE" w14:textId="45551DDE" w:rsidR="00187A35" w:rsidRDefault="005B1EFC"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 xml:space="preserve">Examples of binding international instruments </w:t>
      </w:r>
      <w:r w:rsidR="003233F1">
        <w:rPr>
          <w:rFonts w:eastAsia="Times New Roman"/>
          <w:lang w:eastAsia="en-AU"/>
        </w:rPr>
        <w:t xml:space="preserve">in intellectual property </w:t>
      </w:r>
      <w:r>
        <w:rPr>
          <w:rFonts w:eastAsia="Times New Roman"/>
          <w:lang w:eastAsia="en-AU"/>
        </w:rPr>
        <w:t>include</w:t>
      </w:r>
      <w:r w:rsidR="003233F1">
        <w:rPr>
          <w:rFonts w:eastAsia="Times New Roman"/>
          <w:lang w:eastAsia="en-AU"/>
        </w:rPr>
        <w:t>, amongst others, the Patent Law Treaty</w:t>
      </w:r>
      <w:r w:rsidR="00BE0421">
        <w:rPr>
          <w:rFonts w:eastAsia="Times New Roman"/>
          <w:lang w:eastAsia="en-AU"/>
        </w:rPr>
        <w:t xml:space="preserve"> (2010)</w:t>
      </w:r>
      <w:r w:rsidR="003233F1">
        <w:rPr>
          <w:rFonts w:eastAsia="Times New Roman"/>
          <w:lang w:eastAsia="en-AU"/>
        </w:rPr>
        <w:t>, the WIPO Copyright Treaty</w:t>
      </w:r>
      <w:r w:rsidR="00BE0421">
        <w:rPr>
          <w:rFonts w:eastAsia="Times New Roman"/>
          <w:lang w:eastAsia="en-AU"/>
        </w:rPr>
        <w:t xml:space="preserve"> (1996)</w:t>
      </w:r>
      <w:r w:rsidR="003233F1">
        <w:rPr>
          <w:rFonts w:eastAsia="Times New Roman"/>
          <w:lang w:eastAsia="en-AU"/>
        </w:rPr>
        <w:t>,</w:t>
      </w:r>
      <w:r>
        <w:rPr>
          <w:rFonts w:eastAsia="Times New Roman"/>
          <w:lang w:eastAsia="en-AU"/>
        </w:rPr>
        <w:t xml:space="preserve"> the </w:t>
      </w:r>
      <w:r w:rsidRPr="005B1EFC">
        <w:rPr>
          <w:rFonts w:eastAsia="Times New Roman"/>
          <w:lang w:eastAsia="en-AU"/>
        </w:rPr>
        <w:t>WIPO Performan</w:t>
      </w:r>
      <w:r w:rsidR="003233F1">
        <w:rPr>
          <w:rFonts w:eastAsia="Times New Roman"/>
          <w:lang w:eastAsia="en-AU"/>
        </w:rPr>
        <w:t>ces and Phonograms Treaty</w:t>
      </w:r>
      <w:r w:rsidR="00BE0421">
        <w:rPr>
          <w:rFonts w:eastAsia="Times New Roman"/>
          <w:lang w:eastAsia="en-AU"/>
        </w:rPr>
        <w:t xml:space="preserve"> (1996)</w:t>
      </w:r>
      <w:r w:rsidR="003233F1">
        <w:rPr>
          <w:rFonts w:eastAsia="Times New Roman"/>
          <w:lang w:eastAsia="en-AU"/>
        </w:rPr>
        <w:t xml:space="preserve"> and the </w:t>
      </w:r>
      <w:r w:rsidR="00187A35">
        <w:rPr>
          <w:rFonts w:eastAsia="Times New Roman"/>
          <w:lang w:eastAsia="en-AU"/>
        </w:rPr>
        <w:t>Madrid Agreement Concerning the International Registration of Marks (1979).</w:t>
      </w:r>
    </w:p>
    <w:p w14:paraId="03AE40C8" w14:textId="77777777" w:rsidR="002528AB" w:rsidRPr="00617098" w:rsidRDefault="002528AB" w:rsidP="002528AB">
      <w:pPr>
        <w:rPr>
          <w:rFonts w:eastAsia="Times New Roman"/>
          <w:lang w:eastAsia="en-AU"/>
        </w:rPr>
      </w:pPr>
    </w:p>
    <w:p w14:paraId="4EF7ECE1" w14:textId="77777777" w:rsidR="002528AB" w:rsidRPr="00C80413" w:rsidRDefault="002528AB" w:rsidP="002528AB">
      <w:pPr>
        <w:keepNext/>
        <w:rPr>
          <w:rFonts w:eastAsia="Times New Roman"/>
          <w:b/>
          <w:lang w:eastAsia="en-AU"/>
        </w:rPr>
      </w:pPr>
      <w:r w:rsidRPr="00C80413">
        <w:rPr>
          <w:rFonts w:eastAsia="Times New Roman"/>
          <w:b/>
          <w:lang w:eastAsia="en-AU"/>
        </w:rPr>
        <w:t>A non-binding international instrument</w:t>
      </w:r>
    </w:p>
    <w:p w14:paraId="184764BC" w14:textId="77777777" w:rsidR="002528AB" w:rsidRPr="00617098" w:rsidRDefault="002528AB" w:rsidP="002528AB">
      <w:pPr>
        <w:keepNext/>
        <w:rPr>
          <w:rFonts w:eastAsia="Times New Roman"/>
          <w:lang w:eastAsia="en-AU"/>
        </w:rPr>
      </w:pPr>
    </w:p>
    <w:p w14:paraId="05F0307B" w14:textId="12D4F757" w:rsidR="002528AB" w:rsidRDefault="002528AB" w:rsidP="002528AB">
      <w:pPr>
        <w:rPr>
          <w:rFonts w:eastAsia="Times New Roman"/>
          <w:lang w:eastAsia="en-AU"/>
        </w:rPr>
      </w:pPr>
      <w:r w:rsidRPr="00617098">
        <w:rPr>
          <w:rFonts w:eastAsia="Times New Roman"/>
          <w:lang w:eastAsia="en-AU"/>
        </w:rPr>
        <w:fldChar w:fldCharType="begin"/>
      </w:r>
      <w:r w:rsidRPr="00617098">
        <w:rPr>
          <w:rFonts w:eastAsia="Times New Roman"/>
          <w:lang w:eastAsia="en-AU"/>
        </w:rPr>
        <w:instrText xml:space="preserve"> AUTONUM  </w:instrText>
      </w:r>
      <w:r w:rsidRPr="00617098">
        <w:rPr>
          <w:rFonts w:eastAsia="Times New Roman"/>
          <w:lang w:eastAsia="en-AU"/>
        </w:rPr>
        <w:fldChar w:fldCharType="end"/>
      </w:r>
      <w:r w:rsidRPr="00617098">
        <w:rPr>
          <w:rFonts w:eastAsia="Times New Roman"/>
          <w:lang w:eastAsia="en-AU"/>
        </w:rPr>
        <w:tab/>
        <w:t>A non-</w:t>
      </w:r>
      <w:r>
        <w:rPr>
          <w:rFonts w:eastAsia="Times New Roman"/>
          <w:lang w:eastAsia="en-AU"/>
        </w:rPr>
        <w:t>binding</w:t>
      </w:r>
      <w:r w:rsidRPr="00617098">
        <w:rPr>
          <w:rFonts w:eastAsia="Times New Roman"/>
          <w:lang w:eastAsia="en-AU"/>
        </w:rPr>
        <w:t xml:space="preserve"> </w:t>
      </w:r>
      <w:r>
        <w:rPr>
          <w:rFonts w:eastAsia="Times New Roman"/>
          <w:lang w:eastAsia="en-AU"/>
        </w:rPr>
        <w:t xml:space="preserve">international </w:t>
      </w:r>
      <w:r w:rsidRPr="00617098">
        <w:rPr>
          <w:rFonts w:eastAsia="Times New Roman"/>
          <w:lang w:eastAsia="en-AU"/>
        </w:rPr>
        <w:t xml:space="preserve">instrument </w:t>
      </w:r>
      <w:r>
        <w:rPr>
          <w:rFonts w:eastAsia="Times New Roman"/>
          <w:lang w:eastAsia="en-AU"/>
        </w:rPr>
        <w:t>can take the form of a recommendation, resolution, declaration, decision or any other form of instrument that does not create legally binding obligations for its signatory states (“soft law”).</w:t>
      </w:r>
    </w:p>
    <w:p w14:paraId="6A808A4A" w14:textId="77777777" w:rsidR="002528AB" w:rsidRDefault="002528AB" w:rsidP="002528AB">
      <w:pPr>
        <w:rPr>
          <w:rFonts w:eastAsia="Times New Roman"/>
          <w:lang w:eastAsia="en-AU"/>
        </w:rPr>
      </w:pPr>
    </w:p>
    <w:p w14:paraId="60462E25" w14:textId="6B34B893" w:rsidR="002528AB" w:rsidRDefault="002528AB"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 xml:space="preserve">Such an instrument can reflect the political will of member states, including </w:t>
      </w:r>
      <w:r w:rsidR="000D16BD">
        <w:rPr>
          <w:rFonts w:eastAsia="Times New Roman"/>
          <w:lang w:eastAsia="en-AU"/>
        </w:rPr>
        <w:t xml:space="preserve">agreement </w:t>
      </w:r>
      <w:r>
        <w:rPr>
          <w:rFonts w:eastAsia="Times New Roman"/>
          <w:lang w:eastAsia="en-AU"/>
        </w:rPr>
        <w:t>on core issues or principles in a given area, or provide guidance on policy issues or best practices and standards.  It could recommend or encourage s</w:t>
      </w:r>
      <w:r w:rsidRPr="00617098">
        <w:rPr>
          <w:rFonts w:eastAsia="Times New Roman"/>
          <w:lang w:eastAsia="en-AU"/>
        </w:rPr>
        <w:t>tates to give effect to certain standards in their national laws and in other administrative and non-legal processes and policies, or could simply provide a framewor</w:t>
      </w:r>
      <w:r>
        <w:rPr>
          <w:rFonts w:eastAsia="Times New Roman"/>
          <w:lang w:eastAsia="en-AU"/>
        </w:rPr>
        <w:t>k for coordination among those s</w:t>
      </w:r>
      <w:r w:rsidRPr="00617098">
        <w:rPr>
          <w:rFonts w:eastAsia="Times New Roman"/>
          <w:lang w:eastAsia="en-AU"/>
        </w:rPr>
        <w:t>tates, which cho</w:t>
      </w:r>
      <w:r w:rsidR="0076424F">
        <w:rPr>
          <w:rFonts w:eastAsia="Times New Roman"/>
          <w:lang w:eastAsia="en-AU"/>
        </w:rPr>
        <w:t>o</w:t>
      </w:r>
      <w:r w:rsidRPr="00617098">
        <w:rPr>
          <w:rFonts w:eastAsia="Times New Roman"/>
          <w:lang w:eastAsia="en-AU"/>
        </w:rPr>
        <w:t xml:space="preserve">se to follow the agreed approach.  </w:t>
      </w:r>
    </w:p>
    <w:p w14:paraId="6099C6BA" w14:textId="77777777" w:rsidR="006128B7" w:rsidRPr="00617098" w:rsidRDefault="006128B7" w:rsidP="002528AB">
      <w:pPr>
        <w:rPr>
          <w:rFonts w:eastAsia="Times New Roman"/>
          <w:lang w:eastAsia="en-AU"/>
        </w:rPr>
      </w:pPr>
    </w:p>
    <w:p w14:paraId="51AEE0BB" w14:textId="0C492164" w:rsidR="006128B7" w:rsidRDefault="006128B7" w:rsidP="006128B7">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Examples include t</w:t>
      </w:r>
      <w:r w:rsidRPr="00411137">
        <w:rPr>
          <w:rFonts w:eastAsia="Times New Roman"/>
          <w:lang w:eastAsia="en-AU"/>
        </w:rPr>
        <w:t>he United Nations Declaration on the Right</w:t>
      </w:r>
      <w:r>
        <w:rPr>
          <w:rFonts w:eastAsia="Times New Roman"/>
          <w:lang w:eastAsia="en-AU"/>
        </w:rPr>
        <w:t xml:space="preserve">s of Indigenous Peoples (UNDRIP) (2007) or the </w:t>
      </w:r>
      <w:r w:rsidRPr="006C61F8">
        <w:rPr>
          <w:rFonts w:eastAsia="Times New Roman"/>
          <w:lang w:eastAsia="en-AU"/>
        </w:rPr>
        <w:t>Joint Recommendation Concerning Provisions on the</w:t>
      </w:r>
      <w:r>
        <w:rPr>
          <w:rFonts w:eastAsia="Times New Roman"/>
          <w:lang w:eastAsia="en-AU"/>
        </w:rPr>
        <w:t xml:space="preserve"> Protection of Well-Known Marks adopted in 1999 by the Assembly of the Paris Union for the Protection of Industrial</w:t>
      </w:r>
      <w:r w:rsidRPr="006C61F8">
        <w:rPr>
          <w:rFonts w:eastAsia="Times New Roman"/>
          <w:lang w:eastAsia="en-AU"/>
        </w:rPr>
        <w:t xml:space="preserve"> Property and the General Assembly</w:t>
      </w:r>
      <w:r>
        <w:rPr>
          <w:rFonts w:eastAsia="Times New Roman"/>
          <w:lang w:eastAsia="en-AU"/>
        </w:rPr>
        <w:t>.</w:t>
      </w:r>
    </w:p>
    <w:p w14:paraId="7F65258B" w14:textId="77777777" w:rsidR="002528AB" w:rsidRPr="00617098" w:rsidRDefault="002528AB" w:rsidP="002528AB">
      <w:pPr>
        <w:rPr>
          <w:rFonts w:eastAsia="Times New Roman"/>
          <w:lang w:eastAsia="en-AU"/>
        </w:rPr>
      </w:pPr>
    </w:p>
    <w:p w14:paraId="755F3395" w14:textId="77777777" w:rsidR="00814FCC" w:rsidRDefault="002528AB" w:rsidP="002528AB">
      <w:pPr>
        <w:rPr>
          <w:rFonts w:eastAsia="Times New Roman"/>
          <w:lang w:eastAsia="en-AU"/>
        </w:rPr>
      </w:pPr>
      <w:r w:rsidRPr="00617098">
        <w:rPr>
          <w:rFonts w:eastAsia="Times New Roman"/>
          <w:lang w:eastAsia="en-AU"/>
        </w:rPr>
        <w:fldChar w:fldCharType="begin"/>
      </w:r>
      <w:r w:rsidRPr="00617098">
        <w:rPr>
          <w:rFonts w:eastAsia="Times New Roman"/>
          <w:lang w:eastAsia="en-AU"/>
        </w:rPr>
        <w:instrText xml:space="preserve"> AUTONUM  </w:instrText>
      </w:r>
      <w:r w:rsidRPr="00617098">
        <w:rPr>
          <w:rFonts w:eastAsia="Times New Roman"/>
          <w:lang w:eastAsia="en-AU"/>
        </w:rPr>
        <w:fldChar w:fldCharType="end"/>
      </w:r>
      <w:r w:rsidRPr="00617098">
        <w:rPr>
          <w:rFonts w:eastAsia="Times New Roman"/>
          <w:lang w:eastAsia="en-AU"/>
        </w:rPr>
        <w:tab/>
      </w:r>
      <w:r>
        <w:rPr>
          <w:rFonts w:eastAsia="Times New Roman"/>
          <w:lang w:eastAsia="en-AU"/>
        </w:rPr>
        <w:t>A non-binding international instrument can have a consensus-building effect and provide the basis for future negotiations o</w:t>
      </w:r>
      <w:r w:rsidRPr="00617098">
        <w:rPr>
          <w:rFonts w:eastAsia="Times New Roman"/>
          <w:lang w:eastAsia="en-AU"/>
        </w:rPr>
        <w:t>f binding international law</w:t>
      </w:r>
      <w:r>
        <w:rPr>
          <w:rFonts w:eastAsia="Times New Roman"/>
          <w:lang w:eastAsia="en-AU"/>
        </w:rPr>
        <w:t xml:space="preserve">. </w:t>
      </w:r>
      <w:r w:rsidR="00814FCC">
        <w:rPr>
          <w:rFonts w:eastAsia="Times New Roman"/>
          <w:lang w:eastAsia="en-AU"/>
        </w:rPr>
        <w:t xml:space="preserve"> </w:t>
      </w:r>
    </w:p>
    <w:p w14:paraId="0DF157B2" w14:textId="77777777" w:rsidR="00814FCC" w:rsidRDefault="00814FCC" w:rsidP="002528AB">
      <w:pPr>
        <w:rPr>
          <w:rFonts w:eastAsia="Times New Roman"/>
          <w:lang w:eastAsia="en-AU"/>
        </w:rPr>
      </w:pPr>
    </w:p>
    <w:p w14:paraId="665E391C" w14:textId="5F81A7C4" w:rsidR="002528AB" w:rsidRDefault="00814FCC"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In some instances, declarations and other forms of soft law can eventually become legally binding customary international law over time.  Customary international law derives from a general practice accepted as law.</w:t>
      </w:r>
      <w:r w:rsidR="008770FF">
        <w:rPr>
          <w:rFonts w:eastAsia="Times New Roman"/>
          <w:lang w:eastAsia="en-AU"/>
        </w:rPr>
        <w:t xml:space="preserve"> </w:t>
      </w:r>
      <w:r>
        <w:rPr>
          <w:rFonts w:eastAsia="Times New Roman"/>
          <w:lang w:eastAsia="en-AU"/>
        </w:rPr>
        <w:t xml:space="preserve"> For example, some consider aspects of the Universal Declaration of Human R</w:t>
      </w:r>
      <w:r w:rsidR="00384195">
        <w:rPr>
          <w:rFonts w:eastAsia="Times New Roman"/>
          <w:lang w:eastAsia="en-AU"/>
        </w:rPr>
        <w:t>ight</w:t>
      </w:r>
      <w:r>
        <w:rPr>
          <w:rFonts w:eastAsia="Times New Roman"/>
          <w:lang w:eastAsia="en-AU"/>
        </w:rPr>
        <w:t xml:space="preserve">s (1948), </w:t>
      </w:r>
      <w:r w:rsidRPr="00814FCC">
        <w:rPr>
          <w:rFonts w:eastAsia="Times New Roman"/>
          <w:lang w:eastAsia="en-AU"/>
        </w:rPr>
        <w:t xml:space="preserve">such as the right not to be subject to torture and the right </w:t>
      </w:r>
      <w:r w:rsidRPr="00814FCC">
        <w:rPr>
          <w:rFonts w:eastAsia="Times New Roman"/>
          <w:lang w:eastAsia="en-AU"/>
        </w:rPr>
        <w:lastRenderedPageBreak/>
        <w:t>against arbitrary imprisonment</w:t>
      </w:r>
      <w:r>
        <w:rPr>
          <w:rFonts w:eastAsia="Times New Roman"/>
          <w:lang w:eastAsia="en-AU"/>
        </w:rPr>
        <w:t xml:space="preserve">, to be customary </w:t>
      </w:r>
      <w:r w:rsidR="00384195">
        <w:rPr>
          <w:rFonts w:eastAsia="Times New Roman"/>
          <w:lang w:eastAsia="en-AU"/>
        </w:rPr>
        <w:t xml:space="preserve">international </w:t>
      </w:r>
      <w:r>
        <w:rPr>
          <w:rFonts w:eastAsia="Times New Roman"/>
          <w:lang w:eastAsia="en-AU"/>
        </w:rPr>
        <w:t xml:space="preserve">law.  Similarly, </w:t>
      </w:r>
      <w:r w:rsidR="00384195">
        <w:rPr>
          <w:rFonts w:eastAsia="Times New Roman"/>
          <w:lang w:eastAsia="en-AU"/>
        </w:rPr>
        <w:t xml:space="preserve">several key provisions of </w:t>
      </w:r>
      <w:r w:rsidR="006128B7">
        <w:rPr>
          <w:rFonts w:eastAsia="Times New Roman"/>
          <w:lang w:eastAsia="en-AU"/>
        </w:rPr>
        <w:t>UNDRIP</w:t>
      </w:r>
      <w:r w:rsidR="00384195">
        <w:rPr>
          <w:rFonts w:eastAsia="Times New Roman"/>
          <w:lang w:eastAsia="en-AU"/>
        </w:rPr>
        <w:t xml:space="preserve"> are considered by some as part of the quickly evolving area of customary international law.</w:t>
      </w:r>
    </w:p>
    <w:p w14:paraId="61E92162" w14:textId="23AAE76B" w:rsidR="006C61F8" w:rsidRPr="00617098" w:rsidRDefault="006C61F8" w:rsidP="002528AB">
      <w:pPr>
        <w:rPr>
          <w:rFonts w:eastAsia="Times New Roman"/>
          <w:lang w:eastAsia="en-AU"/>
        </w:rPr>
      </w:pPr>
    </w:p>
    <w:p w14:paraId="70A8CFA7" w14:textId="77777777" w:rsidR="002528AB" w:rsidRPr="00617098" w:rsidRDefault="002528AB" w:rsidP="002528AB">
      <w:pPr>
        <w:keepNext/>
        <w:rPr>
          <w:rFonts w:eastAsia="Times New Roman"/>
          <w:b/>
          <w:lang w:eastAsia="en-AU"/>
        </w:rPr>
      </w:pPr>
      <w:r>
        <w:rPr>
          <w:rFonts w:eastAsia="Times New Roman"/>
          <w:b/>
          <w:lang w:eastAsia="en-AU"/>
        </w:rPr>
        <w:t>Model laws or guidelines</w:t>
      </w:r>
    </w:p>
    <w:p w14:paraId="173337ED" w14:textId="77777777" w:rsidR="002528AB" w:rsidRPr="00617098" w:rsidRDefault="002528AB" w:rsidP="002528AB">
      <w:pPr>
        <w:keepNext/>
        <w:rPr>
          <w:rFonts w:eastAsia="Times New Roman"/>
          <w:lang w:eastAsia="en-AU"/>
        </w:rPr>
      </w:pPr>
    </w:p>
    <w:p w14:paraId="22F53520" w14:textId="28C490D0" w:rsidR="002528AB" w:rsidRDefault="002528AB" w:rsidP="002528AB">
      <w:pPr>
        <w:keepNext/>
        <w:rPr>
          <w:rFonts w:eastAsia="Times New Roman"/>
          <w:lang w:eastAsia="en-AU"/>
        </w:rPr>
      </w:pPr>
      <w:r w:rsidRPr="00617098">
        <w:rPr>
          <w:rFonts w:eastAsia="Times New Roman"/>
          <w:lang w:eastAsia="en-AU"/>
        </w:rPr>
        <w:fldChar w:fldCharType="begin"/>
      </w:r>
      <w:r w:rsidRPr="00617098">
        <w:rPr>
          <w:rFonts w:eastAsia="Times New Roman"/>
          <w:lang w:eastAsia="en-AU"/>
        </w:rPr>
        <w:instrText xml:space="preserve"> AUTONUM  </w:instrText>
      </w:r>
      <w:r w:rsidRPr="00617098">
        <w:rPr>
          <w:rFonts w:eastAsia="Times New Roman"/>
          <w:lang w:eastAsia="en-AU"/>
        </w:rPr>
        <w:fldChar w:fldCharType="end"/>
      </w:r>
      <w:r w:rsidRPr="00617098">
        <w:rPr>
          <w:rFonts w:eastAsia="Times New Roman"/>
          <w:lang w:eastAsia="en-AU"/>
        </w:rPr>
        <w:tab/>
        <w:t xml:space="preserve">Model laws or guidelines </w:t>
      </w:r>
      <w:r>
        <w:rPr>
          <w:rFonts w:eastAsia="Times New Roman"/>
          <w:lang w:eastAsia="en-AU"/>
        </w:rPr>
        <w:t xml:space="preserve">are a standardized set of legal provisions that can serve as a reference for national legislation.  They </w:t>
      </w:r>
      <w:proofErr w:type="gramStart"/>
      <w:r>
        <w:rPr>
          <w:rFonts w:eastAsia="Times New Roman"/>
          <w:lang w:eastAsia="en-AU"/>
        </w:rPr>
        <w:t>are meant</w:t>
      </w:r>
      <w:proofErr w:type="gramEnd"/>
      <w:r>
        <w:rPr>
          <w:rFonts w:eastAsia="Times New Roman"/>
          <w:lang w:eastAsia="en-AU"/>
        </w:rPr>
        <w:t xml:space="preserve"> to provide guidance for states in developing their own laws or regulations.  They can help ensure a consistent level </w:t>
      </w:r>
      <w:r w:rsidR="0060134E">
        <w:rPr>
          <w:rFonts w:eastAsia="Times New Roman"/>
          <w:lang w:eastAsia="en-AU"/>
        </w:rPr>
        <w:t>of</w:t>
      </w:r>
      <w:r>
        <w:rPr>
          <w:rFonts w:eastAsia="Times New Roman"/>
          <w:lang w:eastAsia="en-AU"/>
        </w:rPr>
        <w:t xml:space="preserve"> protection across countries and promote harmonization of IP laws at the international level.  They are not legally binding and each country remains free to adopt or adjust provisions in a manner that suits them.  </w:t>
      </w:r>
    </w:p>
    <w:p w14:paraId="3403BEAE" w14:textId="77777777" w:rsidR="002528AB" w:rsidRDefault="002528AB" w:rsidP="002528AB">
      <w:pPr>
        <w:rPr>
          <w:rFonts w:eastAsia="Times New Roman"/>
          <w:lang w:eastAsia="en-AU"/>
        </w:rPr>
      </w:pPr>
    </w:p>
    <w:p w14:paraId="0EB6D994" w14:textId="77777777" w:rsidR="002528AB" w:rsidRDefault="002528AB"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 xml:space="preserve">Such tools </w:t>
      </w:r>
      <w:proofErr w:type="gramStart"/>
      <w:r w:rsidRPr="00617098">
        <w:rPr>
          <w:rFonts w:eastAsia="Times New Roman"/>
          <w:lang w:eastAsia="en-AU"/>
        </w:rPr>
        <w:t>have in the past been used</w:t>
      </w:r>
      <w:proofErr w:type="gramEnd"/>
      <w:r w:rsidRPr="00617098">
        <w:rPr>
          <w:rFonts w:eastAsia="Times New Roman"/>
          <w:lang w:eastAsia="en-AU"/>
        </w:rPr>
        <w:t xml:space="preserve"> to express a shared international approach </w:t>
      </w:r>
      <w:r>
        <w:rPr>
          <w:rFonts w:eastAsia="Times New Roman"/>
          <w:lang w:eastAsia="en-AU"/>
        </w:rPr>
        <w:t xml:space="preserve">and </w:t>
      </w:r>
      <w:r w:rsidRPr="00617098">
        <w:rPr>
          <w:rFonts w:eastAsia="Times New Roman"/>
          <w:lang w:eastAsia="en-AU"/>
        </w:rPr>
        <w:t xml:space="preserve">to assist in the coordination of national laws and policy development, without the adoption of a specific international instrument.  This can provide the basis for cooperation, convergence and mutual compatibility of national legislative initiatives, and </w:t>
      </w:r>
      <w:proofErr w:type="gramStart"/>
      <w:r w:rsidRPr="00617098">
        <w:rPr>
          <w:rFonts w:eastAsia="Times New Roman"/>
          <w:lang w:eastAsia="en-AU"/>
        </w:rPr>
        <w:t>can also</w:t>
      </w:r>
      <w:proofErr w:type="gramEnd"/>
      <w:r w:rsidRPr="00617098">
        <w:rPr>
          <w:rFonts w:eastAsia="Times New Roman"/>
          <w:lang w:eastAsia="en-AU"/>
        </w:rPr>
        <w:t xml:space="preserve"> lay the groundwork for more formal international instruments.  </w:t>
      </w:r>
    </w:p>
    <w:p w14:paraId="17C5B75E" w14:textId="77777777" w:rsidR="002528AB" w:rsidRDefault="002528AB" w:rsidP="002528AB">
      <w:pPr>
        <w:rPr>
          <w:rFonts w:eastAsia="Times New Roman"/>
          <w:lang w:eastAsia="en-AU"/>
        </w:rPr>
      </w:pPr>
    </w:p>
    <w:p w14:paraId="33AA10E0" w14:textId="4149D1B4" w:rsidR="003233F1" w:rsidRDefault="002528AB"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r>
      <w:r w:rsidRPr="00617098">
        <w:rPr>
          <w:rFonts w:eastAsia="Times New Roman"/>
          <w:lang w:eastAsia="en-AU"/>
        </w:rPr>
        <w:t>In practice, it may be difficult to distinguish between model laws or guidelines and the kind of s</w:t>
      </w:r>
      <w:r w:rsidR="003233F1">
        <w:rPr>
          <w:rFonts w:eastAsia="Times New Roman"/>
          <w:lang w:eastAsia="en-AU"/>
        </w:rPr>
        <w:t>oft law norms discussed above.</w:t>
      </w:r>
    </w:p>
    <w:p w14:paraId="47FEB571" w14:textId="5D1308F5" w:rsidR="003233F1" w:rsidRDefault="003233F1" w:rsidP="002528AB">
      <w:pPr>
        <w:rPr>
          <w:rFonts w:eastAsia="Times New Roman"/>
          <w:lang w:eastAsia="en-AU"/>
        </w:rPr>
      </w:pPr>
    </w:p>
    <w:p w14:paraId="3E4B87D4" w14:textId="2AABFD4A" w:rsidR="003233F1" w:rsidRPr="00617098" w:rsidRDefault="003233F1"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r>
      <w:r w:rsidR="009B69C7">
        <w:rPr>
          <w:rFonts w:eastAsia="Times New Roman"/>
          <w:lang w:eastAsia="en-AU"/>
        </w:rPr>
        <w:t>Examples</w:t>
      </w:r>
      <w:r>
        <w:rPr>
          <w:rFonts w:eastAsia="Times New Roman"/>
          <w:lang w:eastAsia="en-AU"/>
        </w:rPr>
        <w:t xml:space="preserve"> include the </w:t>
      </w:r>
      <w:r w:rsidRPr="003233F1">
        <w:rPr>
          <w:rFonts w:eastAsia="Times New Roman"/>
          <w:lang w:eastAsia="en-AU"/>
        </w:rPr>
        <w:t>WIPO-UNESCO Model Provisions for National Laws on the Protection of Expressions of Folklore against Illicit Exploitation and other Prejudicial Actions</w:t>
      </w:r>
      <w:r w:rsidR="009B69C7">
        <w:rPr>
          <w:rFonts w:eastAsia="Times New Roman"/>
          <w:lang w:eastAsia="en-AU"/>
        </w:rPr>
        <w:t xml:space="preserve"> (198</w:t>
      </w:r>
      <w:r w:rsidR="00BE0421">
        <w:rPr>
          <w:rFonts w:eastAsia="Times New Roman"/>
          <w:lang w:eastAsia="en-AU"/>
        </w:rPr>
        <w:t>2)</w:t>
      </w:r>
      <w:r>
        <w:rPr>
          <w:rFonts w:eastAsia="Times New Roman"/>
          <w:lang w:eastAsia="en-AU"/>
        </w:rPr>
        <w:t xml:space="preserve"> and the </w:t>
      </w:r>
      <w:r w:rsidR="009B69C7">
        <w:rPr>
          <w:rFonts w:eastAsia="Times New Roman"/>
          <w:lang w:eastAsia="en-AU"/>
        </w:rPr>
        <w:t>2002 Pacific Model Law for the Protection of Traditional Knowledge and Expressions of Culture.</w:t>
      </w:r>
    </w:p>
    <w:p w14:paraId="1BFE9DEA" w14:textId="77777777" w:rsidR="002528AB" w:rsidRDefault="002528AB" w:rsidP="002528AB">
      <w:pPr>
        <w:rPr>
          <w:rFonts w:eastAsia="Times New Roman"/>
          <w:lang w:eastAsia="en-AU"/>
        </w:rPr>
      </w:pPr>
    </w:p>
    <w:p w14:paraId="11FCEDDB" w14:textId="77777777" w:rsidR="002528AB" w:rsidRDefault="002528AB" w:rsidP="002528AB">
      <w:pPr>
        <w:rPr>
          <w:rFonts w:eastAsia="Times New Roman"/>
          <w:lang w:eastAsia="en-AU"/>
        </w:rPr>
      </w:pPr>
    </w:p>
    <w:p w14:paraId="2F3DA7DA" w14:textId="77777777" w:rsidR="002528AB" w:rsidRDefault="002528AB" w:rsidP="002528AB">
      <w:pPr>
        <w:rPr>
          <w:rFonts w:eastAsia="Times New Roman"/>
          <w:lang w:eastAsia="en-AU"/>
        </w:rPr>
      </w:pPr>
      <w:r>
        <w:rPr>
          <w:rFonts w:eastAsia="Times New Roman"/>
          <w:lang w:eastAsia="en-AU"/>
        </w:rPr>
        <w:t>AN OVERVIEW OF RELEVANT APPROACHES IN DRAFTING AN INTERNATIONAL LEGAL INSTRUMENT(S) ON TRADITIONAL KNOWLEDGE AND TRADITIONAL CULTURAL EXPRESSIONS</w:t>
      </w:r>
    </w:p>
    <w:p w14:paraId="6B5D1FFF" w14:textId="77777777" w:rsidR="002528AB" w:rsidRDefault="002528AB" w:rsidP="002528AB">
      <w:pPr>
        <w:rPr>
          <w:rFonts w:eastAsia="Times New Roman"/>
          <w:lang w:eastAsia="en-AU"/>
        </w:rPr>
      </w:pPr>
    </w:p>
    <w:p w14:paraId="6EA1769D" w14:textId="77777777" w:rsidR="002528AB" w:rsidRPr="00CA0CE5" w:rsidRDefault="002528AB" w:rsidP="002528AB">
      <w:pPr>
        <w:pStyle w:val="onume0"/>
        <w:rPr>
          <w:bCs/>
        </w:rPr>
      </w:pPr>
      <w:r w:rsidRPr="00CA0CE5">
        <w:rPr>
          <w:bCs/>
        </w:rPr>
        <w:t>Positive and defensive protection approaches</w:t>
      </w:r>
    </w:p>
    <w:p w14:paraId="43506457" w14:textId="77777777" w:rsidR="002528AB" w:rsidRDefault="002528AB" w:rsidP="002528AB">
      <w:pPr>
        <w:pStyle w:val="onume0"/>
        <w:rPr>
          <w:b w:val="0"/>
        </w:rPr>
      </w:pPr>
    </w:p>
    <w:p w14:paraId="7E262875" w14:textId="09B3BA51" w:rsidR="002528AB" w:rsidRPr="004D5EC3" w:rsidRDefault="002528AB" w:rsidP="002528AB">
      <w:pPr>
        <w:pStyle w:val="onume0"/>
        <w:rPr>
          <w:b w:val="0"/>
        </w:rPr>
      </w:pPr>
      <w:r>
        <w:rPr>
          <w:b w:val="0"/>
        </w:rPr>
        <w:fldChar w:fldCharType="begin"/>
      </w:r>
      <w:r>
        <w:rPr>
          <w:b w:val="0"/>
        </w:rPr>
        <w:instrText xml:space="preserve"> AUTONUM  </w:instrText>
      </w:r>
      <w:r>
        <w:rPr>
          <w:b w:val="0"/>
        </w:rPr>
        <w:fldChar w:fldCharType="end"/>
      </w:r>
      <w:r>
        <w:rPr>
          <w:b w:val="0"/>
        </w:rPr>
        <w:tab/>
      </w:r>
      <w:r w:rsidRPr="004D5EC3">
        <w:rPr>
          <w:b w:val="0"/>
        </w:rPr>
        <w:t xml:space="preserve">The IP system </w:t>
      </w:r>
      <w:proofErr w:type="gramStart"/>
      <w:r w:rsidRPr="004D5EC3">
        <w:rPr>
          <w:b w:val="0"/>
        </w:rPr>
        <w:t>can be approached</w:t>
      </w:r>
      <w:proofErr w:type="gramEnd"/>
      <w:r w:rsidRPr="004D5EC3">
        <w:rPr>
          <w:b w:val="0"/>
        </w:rPr>
        <w:t xml:space="preserve"> from two different angles to ensure protection of </w:t>
      </w:r>
      <w:r w:rsidR="00C5105D">
        <w:rPr>
          <w:b w:val="0"/>
        </w:rPr>
        <w:t>TK and TCEs</w:t>
      </w:r>
      <w:r w:rsidRPr="004D5EC3">
        <w:rPr>
          <w:b w:val="0"/>
        </w:rPr>
        <w:t xml:space="preserve">.  These two </w:t>
      </w:r>
      <w:proofErr w:type="gramStart"/>
      <w:r w:rsidRPr="004D5EC3">
        <w:rPr>
          <w:b w:val="0"/>
        </w:rPr>
        <w:t>approaches</w:t>
      </w:r>
      <w:r>
        <w:rPr>
          <w:b w:val="0"/>
        </w:rPr>
        <w:t>,</w:t>
      </w:r>
      <w:proofErr w:type="gramEnd"/>
      <w:r w:rsidRPr="004D5EC3">
        <w:rPr>
          <w:b w:val="0"/>
        </w:rPr>
        <w:t xml:space="preserve"> generally referred to as “positive” and “defensive” protection</w:t>
      </w:r>
      <w:r>
        <w:rPr>
          <w:b w:val="0"/>
        </w:rPr>
        <w:t>,</w:t>
      </w:r>
      <w:r w:rsidRPr="004D5EC3">
        <w:rPr>
          <w:b w:val="0"/>
        </w:rPr>
        <w:t xml:space="preserve"> can be undertaken together in a compl</w:t>
      </w:r>
      <w:r w:rsidR="00983D3E">
        <w:rPr>
          <w:b w:val="0"/>
        </w:rPr>
        <w:t>e</w:t>
      </w:r>
      <w:r w:rsidRPr="004D5EC3">
        <w:rPr>
          <w:b w:val="0"/>
        </w:rPr>
        <w:t>mentary way.</w:t>
      </w:r>
    </w:p>
    <w:p w14:paraId="18EAFBF4" w14:textId="77777777" w:rsidR="002528AB" w:rsidRPr="004D5EC3" w:rsidRDefault="002528AB" w:rsidP="002528AB">
      <w:pPr>
        <w:pStyle w:val="onume0"/>
        <w:rPr>
          <w:b w:val="0"/>
        </w:rPr>
      </w:pPr>
    </w:p>
    <w:p w14:paraId="09D08567" w14:textId="52E47732" w:rsidR="002528AB" w:rsidRPr="004D5EC3" w:rsidRDefault="002528AB" w:rsidP="002528AB">
      <w:pPr>
        <w:pStyle w:val="onume0"/>
        <w:rPr>
          <w:b w:val="0"/>
        </w:rPr>
      </w:pPr>
      <w:r>
        <w:rPr>
          <w:b w:val="0"/>
        </w:rPr>
        <w:fldChar w:fldCharType="begin"/>
      </w:r>
      <w:r>
        <w:rPr>
          <w:b w:val="0"/>
        </w:rPr>
        <w:instrText xml:space="preserve"> AUTONUM  </w:instrText>
      </w:r>
      <w:r>
        <w:rPr>
          <w:b w:val="0"/>
        </w:rPr>
        <w:fldChar w:fldCharType="end"/>
      </w:r>
      <w:r>
        <w:rPr>
          <w:b w:val="0"/>
        </w:rPr>
        <w:tab/>
      </w:r>
      <w:r w:rsidRPr="004D5EC3">
        <w:rPr>
          <w:b w:val="0"/>
        </w:rPr>
        <w:t xml:space="preserve">Under the positive protection approach, the IP system is designed to enable holders, if they so wish, to acquire and assert IP rights in their TK/TCEs. </w:t>
      </w:r>
      <w:r w:rsidR="00FC5243">
        <w:rPr>
          <w:b w:val="0"/>
        </w:rPr>
        <w:t xml:space="preserve"> </w:t>
      </w:r>
      <w:r w:rsidRPr="004D5EC3">
        <w:rPr>
          <w:b w:val="0"/>
        </w:rPr>
        <w:t xml:space="preserve">This can allow them to prevent unwanted, unauthorized or inappropriate uses by third parties (including culturally offensive or demeaning use) and/or to exploit TK/TCEs commercially, for example through the granting of licenses, as a contribution to their economic development. </w:t>
      </w:r>
      <w:r w:rsidR="00FC5243">
        <w:rPr>
          <w:b w:val="0"/>
        </w:rPr>
        <w:t xml:space="preserve"> </w:t>
      </w:r>
      <w:r w:rsidRPr="004D5EC3">
        <w:rPr>
          <w:b w:val="0"/>
        </w:rPr>
        <w:t xml:space="preserve">In brief, positive protection is the granting of rights that empower communities to promote their TK/TCEs, control their uses by third parties and benefit from their commercial exploitation. </w:t>
      </w:r>
      <w:r w:rsidR="00983D3E">
        <w:rPr>
          <w:b w:val="0"/>
        </w:rPr>
        <w:t xml:space="preserve">Numerous national and regional laws provide </w:t>
      </w:r>
      <w:r w:rsidR="00BF6739" w:rsidRPr="00763942">
        <w:rPr>
          <w:b w:val="0"/>
          <w:i/>
        </w:rPr>
        <w:t>sui generis</w:t>
      </w:r>
      <w:r w:rsidR="00BF6739">
        <w:rPr>
          <w:b w:val="0"/>
        </w:rPr>
        <w:t xml:space="preserve"> </w:t>
      </w:r>
      <w:r w:rsidR="00983D3E">
        <w:rPr>
          <w:b w:val="0"/>
        </w:rPr>
        <w:t xml:space="preserve">IP rights in TK and TCEs – these are examples of a “positive” approach. </w:t>
      </w:r>
    </w:p>
    <w:p w14:paraId="1F9A7804" w14:textId="77777777" w:rsidR="002528AB" w:rsidRPr="004D5EC3" w:rsidRDefault="002528AB" w:rsidP="002528AB">
      <w:pPr>
        <w:pStyle w:val="onume0"/>
        <w:rPr>
          <w:b w:val="0"/>
        </w:rPr>
      </w:pPr>
    </w:p>
    <w:p w14:paraId="03FB02C1" w14:textId="33B45214" w:rsidR="002528AB" w:rsidRDefault="002528AB" w:rsidP="002528AB">
      <w:pPr>
        <w:pStyle w:val="onume0"/>
        <w:rPr>
          <w:b w:val="0"/>
        </w:rPr>
      </w:pPr>
      <w:r>
        <w:rPr>
          <w:b w:val="0"/>
        </w:rPr>
        <w:fldChar w:fldCharType="begin"/>
      </w:r>
      <w:r>
        <w:rPr>
          <w:b w:val="0"/>
        </w:rPr>
        <w:instrText xml:space="preserve"> AUTONUM  </w:instrText>
      </w:r>
      <w:r>
        <w:rPr>
          <w:b w:val="0"/>
        </w:rPr>
        <w:fldChar w:fldCharType="end"/>
      </w:r>
      <w:r>
        <w:rPr>
          <w:b w:val="0"/>
        </w:rPr>
        <w:tab/>
      </w:r>
      <w:r w:rsidRPr="004D5EC3">
        <w:rPr>
          <w:b w:val="0"/>
        </w:rPr>
        <w:t xml:space="preserve">The defensive protection approach, on the other hand, </w:t>
      </w:r>
      <w:proofErr w:type="gramStart"/>
      <w:r w:rsidRPr="004D5EC3">
        <w:rPr>
          <w:b w:val="0"/>
        </w:rPr>
        <w:t>is designed</w:t>
      </w:r>
      <w:proofErr w:type="gramEnd"/>
      <w:r w:rsidRPr="004D5EC3">
        <w:rPr>
          <w:b w:val="0"/>
        </w:rPr>
        <w:t xml:space="preserve"> to prevent the illegitimate acquisition or maintaining of IP rights by third parties. </w:t>
      </w:r>
      <w:r w:rsidR="00FC5243">
        <w:rPr>
          <w:b w:val="0"/>
        </w:rPr>
        <w:t xml:space="preserve"> </w:t>
      </w:r>
      <w:r w:rsidRPr="004D5EC3">
        <w:rPr>
          <w:b w:val="0"/>
        </w:rPr>
        <w:t xml:space="preserve">Stated otherwise, defensive protection aims to stop people outside the community from acquiring IP rights over TK and TCEs. </w:t>
      </w:r>
      <w:r w:rsidR="008770FF">
        <w:rPr>
          <w:b w:val="0"/>
        </w:rPr>
        <w:t xml:space="preserve"> </w:t>
      </w:r>
      <w:r w:rsidR="00983D3E">
        <w:rPr>
          <w:b w:val="0"/>
        </w:rPr>
        <w:t xml:space="preserve">Measures that place TK in the public domain aimed at preventing third parties from acquiring patents in inventions closely based on the TK is a good example of a “defensive” approach. </w:t>
      </w:r>
    </w:p>
    <w:p w14:paraId="65BC54F3" w14:textId="6BB7AFA0" w:rsidR="002528AB" w:rsidRDefault="002528AB" w:rsidP="002528AB">
      <w:pPr>
        <w:rPr>
          <w:rFonts w:eastAsia="Times New Roman"/>
          <w:lang w:eastAsia="en-AU"/>
        </w:rPr>
      </w:pPr>
    </w:p>
    <w:p w14:paraId="0513CBDE" w14:textId="77777777" w:rsidR="002528AB" w:rsidRPr="004D5EC3" w:rsidRDefault="002528AB" w:rsidP="00072EC1">
      <w:pPr>
        <w:pStyle w:val="onume0"/>
        <w:keepNext/>
        <w:rPr>
          <w:bCs/>
        </w:rPr>
      </w:pPr>
      <w:r w:rsidRPr="004D5EC3">
        <w:rPr>
          <w:bCs/>
        </w:rPr>
        <w:lastRenderedPageBreak/>
        <w:t>Rights-based and measures-based approaches</w:t>
      </w:r>
    </w:p>
    <w:p w14:paraId="6380B21A" w14:textId="77777777" w:rsidR="002528AB" w:rsidRPr="004D5EC3" w:rsidRDefault="002528AB" w:rsidP="00072EC1">
      <w:pPr>
        <w:pStyle w:val="onume0"/>
        <w:keepNext/>
        <w:rPr>
          <w:b w:val="0"/>
        </w:rPr>
      </w:pPr>
    </w:p>
    <w:p w14:paraId="505A77A7" w14:textId="00A6FA21" w:rsidR="00386FEA" w:rsidRDefault="002528AB" w:rsidP="00405A56">
      <w:pPr>
        <w:pStyle w:val="onume0"/>
        <w:keepNext/>
        <w:rPr>
          <w:b w:val="0"/>
        </w:rPr>
      </w:pPr>
      <w:r>
        <w:rPr>
          <w:b w:val="0"/>
        </w:rPr>
        <w:fldChar w:fldCharType="begin"/>
      </w:r>
      <w:r>
        <w:rPr>
          <w:b w:val="0"/>
        </w:rPr>
        <w:instrText xml:space="preserve"> AUTONUM  </w:instrText>
      </w:r>
      <w:r>
        <w:rPr>
          <w:b w:val="0"/>
        </w:rPr>
        <w:fldChar w:fldCharType="end"/>
      </w:r>
      <w:r>
        <w:rPr>
          <w:b w:val="0"/>
        </w:rPr>
        <w:tab/>
      </w:r>
      <w:r w:rsidR="005C7A06">
        <w:rPr>
          <w:b w:val="0"/>
        </w:rPr>
        <w:t>The rights-based approach places emphasis on the recognition and protection of IP rights as legal entitlements.  The objective of this approach is to create a legal framework that safeguards the rights of creators and owners of IP.</w:t>
      </w:r>
      <w:r w:rsidR="006128B7">
        <w:rPr>
          <w:b w:val="0"/>
        </w:rPr>
        <w:t xml:space="preserve">  </w:t>
      </w:r>
      <w:r w:rsidRPr="004D5EC3">
        <w:rPr>
          <w:b w:val="0"/>
        </w:rPr>
        <w:t xml:space="preserve">In a rights-based approach, the beneficiaries </w:t>
      </w:r>
      <w:proofErr w:type="gramStart"/>
      <w:r w:rsidRPr="004D5EC3">
        <w:rPr>
          <w:b w:val="0"/>
        </w:rPr>
        <w:t>are granted</w:t>
      </w:r>
      <w:proofErr w:type="gramEnd"/>
      <w:r w:rsidRPr="004D5EC3">
        <w:rPr>
          <w:b w:val="0"/>
        </w:rPr>
        <w:t xml:space="preserve"> rights, which</w:t>
      </w:r>
      <w:r>
        <w:rPr>
          <w:b w:val="0"/>
        </w:rPr>
        <w:t xml:space="preserve"> they can manage and enforce. </w:t>
      </w:r>
      <w:r w:rsidR="008770FF">
        <w:rPr>
          <w:b w:val="0"/>
        </w:rPr>
        <w:t xml:space="preserve"> </w:t>
      </w:r>
      <w:r w:rsidR="00E3194F">
        <w:rPr>
          <w:b w:val="0"/>
        </w:rPr>
        <w:t>Third parties have a corresponding obligation to respect those rights.</w:t>
      </w:r>
      <w:r w:rsidR="00405A56">
        <w:rPr>
          <w:b w:val="0"/>
        </w:rPr>
        <w:t xml:space="preserve">  </w:t>
      </w:r>
      <w:r w:rsidR="007C6BC8">
        <w:rPr>
          <w:b w:val="0"/>
        </w:rPr>
        <w:t xml:space="preserve">For example, </w:t>
      </w:r>
      <w:r w:rsidR="00D31188">
        <w:rPr>
          <w:b w:val="0"/>
        </w:rPr>
        <w:t>the Berne Convention for the Protection of Literary and Artistic Works</w:t>
      </w:r>
      <w:r w:rsidR="00405A56">
        <w:rPr>
          <w:b w:val="0"/>
        </w:rPr>
        <w:t xml:space="preserve"> (1971) </w:t>
      </w:r>
      <w:r w:rsidR="00D31188">
        <w:rPr>
          <w:b w:val="0"/>
        </w:rPr>
        <w:t xml:space="preserve">(the Berne Convention) </w:t>
      </w:r>
      <w:r w:rsidR="00386FEA">
        <w:rPr>
          <w:b w:val="0"/>
        </w:rPr>
        <w:t>grants authors a range of exclus</w:t>
      </w:r>
      <w:r w:rsidR="003E3AE8">
        <w:rPr>
          <w:b w:val="0"/>
        </w:rPr>
        <w:t xml:space="preserve">ive economic and moral rights.  </w:t>
      </w:r>
    </w:p>
    <w:p w14:paraId="5DFF5219" w14:textId="7E71A4AA" w:rsidR="002528AB" w:rsidRPr="004D5EC3" w:rsidRDefault="002528AB" w:rsidP="002528AB">
      <w:pPr>
        <w:pStyle w:val="onume0"/>
        <w:rPr>
          <w:b w:val="0"/>
        </w:rPr>
      </w:pPr>
    </w:p>
    <w:p w14:paraId="69A5E4E1" w14:textId="24BE1640" w:rsidR="00092C38" w:rsidRDefault="002528AB" w:rsidP="00D31188">
      <w:pPr>
        <w:pStyle w:val="onume0"/>
        <w:rPr>
          <w:b w:val="0"/>
        </w:rPr>
      </w:pPr>
      <w:r>
        <w:rPr>
          <w:b w:val="0"/>
        </w:rPr>
        <w:fldChar w:fldCharType="begin"/>
      </w:r>
      <w:r>
        <w:rPr>
          <w:b w:val="0"/>
        </w:rPr>
        <w:instrText xml:space="preserve"> AUTONUM  </w:instrText>
      </w:r>
      <w:r>
        <w:rPr>
          <w:b w:val="0"/>
        </w:rPr>
        <w:fldChar w:fldCharType="end"/>
      </w:r>
      <w:r>
        <w:rPr>
          <w:b w:val="0"/>
        </w:rPr>
        <w:tab/>
        <w:t>I</w:t>
      </w:r>
      <w:r w:rsidRPr="004D5EC3">
        <w:rPr>
          <w:b w:val="0"/>
        </w:rPr>
        <w:t xml:space="preserve">n a measures-based approach, </w:t>
      </w:r>
      <w:r w:rsidR="005C7A06">
        <w:rPr>
          <w:b w:val="0"/>
        </w:rPr>
        <w:t xml:space="preserve">emphasis </w:t>
      </w:r>
      <w:proofErr w:type="gramStart"/>
      <w:r w:rsidR="005C7A06">
        <w:rPr>
          <w:b w:val="0"/>
        </w:rPr>
        <w:t>is placed</w:t>
      </w:r>
      <w:proofErr w:type="gramEnd"/>
      <w:r w:rsidR="005C7A06">
        <w:rPr>
          <w:b w:val="0"/>
        </w:rPr>
        <w:t xml:space="preserve"> on the measures taken to protect IP, rather than the rights themselves.  </w:t>
      </w:r>
      <w:r w:rsidR="00C32A99">
        <w:rPr>
          <w:b w:val="0"/>
        </w:rPr>
        <w:t>C</w:t>
      </w:r>
      <w:r w:rsidR="007C6BC8">
        <w:rPr>
          <w:b w:val="0"/>
        </w:rPr>
        <w:t xml:space="preserve">ontracting </w:t>
      </w:r>
      <w:r w:rsidRPr="004D5EC3">
        <w:rPr>
          <w:b w:val="0"/>
        </w:rPr>
        <w:t xml:space="preserve">states </w:t>
      </w:r>
      <w:proofErr w:type="gramStart"/>
      <w:r w:rsidRPr="004D5EC3">
        <w:rPr>
          <w:b w:val="0"/>
        </w:rPr>
        <w:t>are enjoined</w:t>
      </w:r>
      <w:proofErr w:type="gramEnd"/>
      <w:r w:rsidRPr="004D5EC3">
        <w:rPr>
          <w:b w:val="0"/>
        </w:rPr>
        <w:t xml:space="preserve"> only to provide “measures” </w:t>
      </w:r>
      <w:r w:rsidR="00D31188">
        <w:rPr>
          <w:b w:val="0"/>
        </w:rPr>
        <w:t>to</w:t>
      </w:r>
      <w:r w:rsidR="00E826FF">
        <w:rPr>
          <w:b w:val="0"/>
        </w:rPr>
        <w:t>, for example,</w:t>
      </w:r>
      <w:r w:rsidR="00D31188">
        <w:rPr>
          <w:b w:val="0"/>
        </w:rPr>
        <w:t xml:space="preserve"> ensure </w:t>
      </w:r>
      <w:r w:rsidR="00092C38">
        <w:rPr>
          <w:b w:val="0"/>
        </w:rPr>
        <w:t xml:space="preserve">the </w:t>
      </w:r>
      <w:r w:rsidR="00E826FF">
        <w:rPr>
          <w:b w:val="0"/>
        </w:rPr>
        <w:t xml:space="preserve">protection of TK/TCEs, </w:t>
      </w:r>
      <w:r w:rsidR="00D31188">
        <w:rPr>
          <w:b w:val="0"/>
        </w:rPr>
        <w:t>or prevent</w:t>
      </w:r>
      <w:r w:rsidR="00E826FF">
        <w:rPr>
          <w:b w:val="0"/>
        </w:rPr>
        <w:t xml:space="preserve"> the occurrence of certain acts</w:t>
      </w:r>
      <w:r w:rsidR="005C7A06">
        <w:rPr>
          <w:b w:val="0"/>
        </w:rPr>
        <w:t xml:space="preserve">.  Such measures can be legal, administrative </w:t>
      </w:r>
      <w:r w:rsidR="00D31188">
        <w:rPr>
          <w:b w:val="0"/>
        </w:rPr>
        <w:t xml:space="preserve">or </w:t>
      </w:r>
      <w:r w:rsidRPr="004D5EC3">
        <w:rPr>
          <w:b w:val="0"/>
        </w:rPr>
        <w:t>practica</w:t>
      </w:r>
      <w:r>
        <w:rPr>
          <w:b w:val="0"/>
        </w:rPr>
        <w:t>l</w:t>
      </w:r>
      <w:r w:rsidR="00D31188">
        <w:rPr>
          <w:b w:val="0"/>
        </w:rPr>
        <w:t xml:space="preserve"> in nature</w:t>
      </w:r>
      <w:r>
        <w:rPr>
          <w:b w:val="0"/>
        </w:rPr>
        <w:t>.</w:t>
      </w:r>
      <w:r w:rsidR="00E3194F">
        <w:rPr>
          <w:b w:val="0"/>
        </w:rPr>
        <w:t xml:space="preserve"> </w:t>
      </w:r>
      <w:r w:rsidR="00092C38">
        <w:rPr>
          <w:b w:val="0"/>
        </w:rPr>
        <w:t xml:space="preserve"> </w:t>
      </w:r>
    </w:p>
    <w:p w14:paraId="3FAD8B5D" w14:textId="59DB6F8A" w:rsidR="003E3AE8" w:rsidRDefault="003E3AE8" w:rsidP="002528AB">
      <w:pPr>
        <w:pStyle w:val="onume0"/>
        <w:rPr>
          <w:b w:val="0"/>
        </w:rPr>
      </w:pPr>
    </w:p>
    <w:p w14:paraId="689399BD" w14:textId="43BC5207" w:rsidR="003E3AE8" w:rsidRDefault="00D34F54" w:rsidP="003E3AE8">
      <w:pPr>
        <w:pStyle w:val="onume0"/>
        <w:rPr>
          <w:b w:val="0"/>
        </w:rPr>
      </w:pPr>
      <w:r>
        <w:rPr>
          <w:b w:val="0"/>
        </w:rPr>
        <w:fldChar w:fldCharType="begin"/>
      </w:r>
      <w:r>
        <w:rPr>
          <w:b w:val="0"/>
        </w:rPr>
        <w:instrText xml:space="preserve"> AUTONUM  </w:instrText>
      </w:r>
      <w:r>
        <w:rPr>
          <w:b w:val="0"/>
        </w:rPr>
        <w:fldChar w:fldCharType="end"/>
      </w:r>
      <w:r>
        <w:rPr>
          <w:b w:val="0"/>
        </w:rPr>
        <w:tab/>
      </w:r>
      <w:r w:rsidR="007C6BC8">
        <w:rPr>
          <w:b w:val="0"/>
        </w:rPr>
        <w:t xml:space="preserve">For example, the </w:t>
      </w:r>
      <w:r w:rsidR="00BE0421">
        <w:rPr>
          <w:b w:val="0"/>
        </w:rPr>
        <w:t xml:space="preserve">Brussels Convention Relating to the Distribution of </w:t>
      </w:r>
      <w:proofErr w:type="spellStart"/>
      <w:r w:rsidR="00BE0421">
        <w:rPr>
          <w:b w:val="0"/>
        </w:rPr>
        <w:t>Programme</w:t>
      </w:r>
      <w:proofErr w:type="spellEnd"/>
      <w:r w:rsidR="00BE0421">
        <w:rPr>
          <w:b w:val="0"/>
        </w:rPr>
        <w:t>-Carrying Signals Transmitted by Satellite (1974)</w:t>
      </w:r>
      <w:r w:rsidR="007C6BC8" w:rsidRPr="007C6BC8">
        <w:rPr>
          <w:b w:val="0"/>
        </w:rPr>
        <w:t xml:space="preserve"> </w:t>
      </w:r>
      <w:r w:rsidR="007C6BC8">
        <w:rPr>
          <w:b w:val="0"/>
        </w:rPr>
        <w:t>requires contracting s</w:t>
      </w:r>
      <w:r w:rsidR="007C6BC8" w:rsidRPr="007C6BC8">
        <w:rPr>
          <w:b w:val="0"/>
        </w:rPr>
        <w:t xml:space="preserve">tates to take adequate measures to prevent the </w:t>
      </w:r>
      <w:r w:rsidR="00C86354" w:rsidRPr="00C86354">
        <w:rPr>
          <w:b w:val="0"/>
        </w:rPr>
        <w:t xml:space="preserve">unauthorized distribution on or from its territory of any </w:t>
      </w:r>
      <w:proofErr w:type="spellStart"/>
      <w:r w:rsidR="00C86354" w:rsidRPr="00C86354">
        <w:rPr>
          <w:b w:val="0"/>
        </w:rPr>
        <w:t>programme</w:t>
      </w:r>
      <w:proofErr w:type="spellEnd"/>
      <w:r w:rsidR="00C86354" w:rsidRPr="00C86354">
        <w:rPr>
          <w:b w:val="0"/>
        </w:rPr>
        <w:t>-carrying signal transmitted by satellite</w:t>
      </w:r>
      <w:r w:rsidR="007C6BC8">
        <w:rPr>
          <w:b w:val="0"/>
        </w:rPr>
        <w:t xml:space="preserve">.  </w:t>
      </w:r>
    </w:p>
    <w:p w14:paraId="57B78095" w14:textId="77777777" w:rsidR="003E3AE8" w:rsidRDefault="003E3AE8" w:rsidP="003E3AE8">
      <w:pPr>
        <w:pStyle w:val="onume0"/>
        <w:rPr>
          <w:b w:val="0"/>
        </w:rPr>
      </w:pPr>
    </w:p>
    <w:p w14:paraId="26FD7AE6" w14:textId="49B6BBAC" w:rsidR="002528AB" w:rsidRDefault="003E3AE8" w:rsidP="002528AB">
      <w:pPr>
        <w:pStyle w:val="onume0"/>
        <w:rPr>
          <w:b w:val="0"/>
        </w:rPr>
      </w:pPr>
      <w:r>
        <w:rPr>
          <w:b w:val="0"/>
        </w:rPr>
        <w:fldChar w:fldCharType="begin"/>
      </w:r>
      <w:r>
        <w:rPr>
          <w:b w:val="0"/>
        </w:rPr>
        <w:instrText xml:space="preserve"> AUTONUM  </w:instrText>
      </w:r>
      <w:r>
        <w:rPr>
          <w:b w:val="0"/>
        </w:rPr>
        <w:fldChar w:fldCharType="end"/>
      </w:r>
      <w:r>
        <w:rPr>
          <w:b w:val="0"/>
        </w:rPr>
        <w:tab/>
        <w:t>Rights-based and measures-based approaches are not mutually exclusive and there are examples of international instruments containing both approaches.  For example, the WIPO Copyright Treaty (1996)</w:t>
      </w:r>
      <w:r w:rsidR="00193A26">
        <w:rPr>
          <w:b w:val="0"/>
        </w:rPr>
        <w:t xml:space="preserve"> establishes the right of reproduction, distribution, and communication to the public as exclusive rights of the copyright holder (rights-based), but it also prohibits the circumvention of </w:t>
      </w:r>
      <w:r w:rsidR="006128B7">
        <w:rPr>
          <w:b w:val="0"/>
        </w:rPr>
        <w:t>technological protection measures</w:t>
      </w:r>
      <w:r w:rsidR="00193A26">
        <w:rPr>
          <w:b w:val="0"/>
        </w:rPr>
        <w:t xml:space="preserve"> and the distribution of tools to circumvent them (measures-based).</w:t>
      </w:r>
    </w:p>
    <w:p w14:paraId="4650CB18" w14:textId="18500547" w:rsidR="002528AB" w:rsidRPr="00206E9B" w:rsidRDefault="002528AB" w:rsidP="002528AB">
      <w:pPr>
        <w:pStyle w:val="onume0"/>
        <w:rPr>
          <w:b w:val="0"/>
        </w:rPr>
      </w:pPr>
    </w:p>
    <w:p w14:paraId="248C3B73" w14:textId="77777777" w:rsidR="002528AB" w:rsidRPr="00206E9B" w:rsidRDefault="002528AB" w:rsidP="002528AB">
      <w:pPr>
        <w:rPr>
          <w:rFonts w:eastAsia="Times New Roman"/>
          <w:b/>
          <w:lang w:eastAsia="en-AU"/>
        </w:rPr>
      </w:pPr>
      <w:r w:rsidRPr="00206E9B">
        <w:rPr>
          <w:rFonts w:eastAsia="Times New Roman"/>
          <w:b/>
          <w:lang w:eastAsia="en-AU"/>
        </w:rPr>
        <w:t xml:space="preserve">Minimum and maximum </w:t>
      </w:r>
      <w:r>
        <w:rPr>
          <w:rFonts w:eastAsia="Times New Roman"/>
          <w:b/>
          <w:lang w:eastAsia="en-AU"/>
        </w:rPr>
        <w:t>standards of protection</w:t>
      </w:r>
    </w:p>
    <w:p w14:paraId="32D17B8D" w14:textId="77777777" w:rsidR="002528AB" w:rsidRDefault="002528AB" w:rsidP="002528AB">
      <w:pPr>
        <w:rPr>
          <w:rFonts w:eastAsia="Times New Roman"/>
          <w:lang w:eastAsia="en-AU"/>
        </w:rPr>
      </w:pPr>
    </w:p>
    <w:p w14:paraId="297DA2B8" w14:textId="2A6FBF93" w:rsidR="002528AB" w:rsidRDefault="002528AB"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 xml:space="preserve">Minimum standards of protection refer to the basic level of protection that </w:t>
      </w:r>
      <w:proofErr w:type="gramStart"/>
      <w:r>
        <w:rPr>
          <w:rFonts w:eastAsia="Times New Roman"/>
          <w:lang w:eastAsia="en-AU"/>
        </w:rPr>
        <w:t>must be adhered</w:t>
      </w:r>
      <w:proofErr w:type="gramEnd"/>
      <w:r>
        <w:rPr>
          <w:rFonts w:eastAsia="Times New Roman"/>
          <w:lang w:eastAsia="en-AU"/>
        </w:rPr>
        <w:t xml:space="preserve"> to by all signatories to an international legal instrument in their national law.  While ensuring a common basic level of protection, this approach also allows for some degree of variation in the levels and specifics of protection between countries</w:t>
      </w:r>
      <w:r w:rsidR="00D45BAE">
        <w:rPr>
          <w:rFonts w:eastAsia="Times New Roman"/>
          <w:lang w:eastAsia="en-AU"/>
        </w:rPr>
        <w:t>, as countries may enact higher standards in their national laws</w:t>
      </w:r>
      <w:r w:rsidR="0027766A">
        <w:rPr>
          <w:rFonts w:eastAsia="Times New Roman"/>
          <w:lang w:eastAsia="en-AU"/>
        </w:rPr>
        <w:t>.</w:t>
      </w:r>
    </w:p>
    <w:p w14:paraId="1C1544B2" w14:textId="560E8B70" w:rsidR="0027766A" w:rsidRDefault="0027766A" w:rsidP="002528AB">
      <w:pPr>
        <w:rPr>
          <w:rFonts w:eastAsia="Times New Roman"/>
          <w:lang w:eastAsia="en-AU"/>
        </w:rPr>
      </w:pPr>
    </w:p>
    <w:p w14:paraId="07083922" w14:textId="42543727" w:rsidR="0027766A" w:rsidRDefault="0027766A"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For example, under the Berne Convention</w:t>
      </w:r>
      <w:r w:rsidR="00C86354">
        <w:rPr>
          <w:rFonts w:eastAsia="Times New Roman"/>
          <w:lang w:eastAsia="en-AU"/>
        </w:rPr>
        <w:t xml:space="preserve"> </w:t>
      </w:r>
      <w:r w:rsidR="00D31188">
        <w:rPr>
          <w:rFonts w:eastAsia="Times New Roman"/>
          <w:lang w:eastAsia="en-AU"/>
        </w:rPr>
        <w:t xml:space="preserve">certain minimum standards of protection </w:t>
      </w:r>
      <w:proofErr w:type="gramStart"/>
      <w:r w:rsidR="00D31188">
        <w:rPr>
          <w:rFonts w:eastAsia="Times New Roman"/>
          <w:lang w:eastAsia="en-AU"/>
        </w:rPr>
        <w:t>have been prescribed</w:t>
      </w:r>
      <w:proofErr w:type="gramEnd"/>
      <w:r w:rsidR="00D31188">
        <w:rPr>
          <w:rFonts w:eastAsia="Times New Roman"/>
          <w:lang w:eastAsia="en-AU"/>
        </w:rPr>
        <w:t xml:space="preserve"> relating to the duration of protection.</w:t>
      </w:r>
      <w:r w:rsidR="008770FF">
        <w:rPr>
          <w:rFonts w:eastAsia="Times New Roman"/>
          <w:lang w:eastAsia="en-AU"/>
        </w:rPr>
        <w:t xml:space="preserve"> </w:t>
      </w:r>
      <w:r w:rsidR="00D31188">
        <w:rPr>
          <w:rFonts w:eastAsia="Times New Roman"/>
          <w:lang w:eastAsia="en-AU"/>
        </w:rPr>
        <w:t xml:space="preserve"> According to Article 7, the</w:t>
      </w:r>
      <w:r>
        <w:rPr>
          <w:rFonts w:eastAsia="Times New Roman"/>
          <w:lang w:eastAsia="en-AU"/>
        </w:rPr>
        <w:t xml:space="preserve"> minimum </w:t>
      </w:r>
      <w:r w:rsidR="00D31188">
        <w:rPr>
          <w:rFonts w:eastAsia="Times New Roman"/>
          <w:lang w:eastAsia="en-AU"/>
        </w:rPr>
        <w:t>term</w:t>
      </w:r>
      <w:r>
        <w:rPr>
          <w:rFonts w:eastAsia="Times New Roman"/>
          <w:lang w:eastAsia="en-AU"/>
        </w:rPr>
        <w:t xml:space="preserve"> of protection is the life of the author plus 50 years after his </w:t>
      </w:r>
      <w:r w:rsidR="0060134E">
        <w:rPr>
          <w:rFonts w:eastAsia="Times New Roman"/>
          <w:lang w:eastAsia="en-AU"/>
        </w:rPr>
        <w:t xml:space="preserve">or her </w:t>
      </w:r>
      <w:r>
        <w:rPr>
          <w:rFonts w:eastAsia="Times New Roman"/>
          <w:lang w:eastAsia="en-AU"/>
        </w:rPr>
        <w:t>death.  However, a number of countries have chosen to go beyond this minimum term of protection.</w:t>
      </w:r>
    </w:p>
    <w:p w14:paraId="53D84628" w14:textId="77777777" w:rsidR="002528AB" w:rsidRDefault="002528AB" w:rsidP="002528AB">
      <w:pPr>
        <w:rPr>
          <w:rFonts w:eastAsia="Times New Roman"/>
          <w:lang w:eastAsia="en-AU"/>
        </w:rPr>
      </w:pPr>
    </w:p>
    <w:p w14:paraId="2B085A27" w14:textId="7BA3185C" w:rsidR="002528AB" w:rsidRDefault="002528AB"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 xml:space="preserve">On the other hand, maximum standards of protection refer to the highest level of protection that </w:t>
      </w:r>
      <w:proofErr w:type="gramStart"/>
      <w:r>
        <w:rPr>
          <w:rFonts w:eastAsia="Times New Roman"/>
          <w:lang w:eastAsia="en-AU"/>
        </w:rPr>
        <w:t>can be granted</w:t>
      </w:r>
      <w:proofErr w:type="gramEnd"/>
      <w:r>
        <w:rPr>
          <w:rFonts w:eastAsia="Times New Roman"/>
          <w:lang w:eastAsia="en-AU"/>
        </w:rPr>
        <w:t xml:space="preserve"> under national law.</w:t>
      </w:r>
    </w:p>
    <w:p w14:paraId="3AEA83B9" w14:textId="1DDDE2EA" w:rsidR="0027766A" w:rsidRDefault="0027766A" w:rsidP="002528AB">
      <w:pPr>
        <w:rPr>
          <w:rFonts w:eastAsia="Times New Roman"/>
          <w:lang w:eastAsia="en-AU"/>
        </w:rPr>
      </w:pPr>
    </w:p>
    <w:p w14:paraId="6456DE1B" w14:textId="6561A11C" w:rsidR="0027766A" w:rsidRDefault="0027766A"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r>
      <w:proofErr w:type="gramStart"/>
      <w:r>
        <w:rPr>
          <w:rFonts w:eastAsia="Times New Roman"/>
          <w:lang w:eastAsia="en-AU"/>
        </w:rPr>
        <w:t>For example, in the context of the Trademark Law Treaty</w:t>
      </w:r>
      <w:r w:rsidR="00BE0421">
        <w:rPr>
          <w:rFonts w:eastAsia="Times New Roman"/>
          <w:lang w:eastAsia="en-AU"/>
        </w:rPr>
        <w:t xml:space="preserve"> (1994)</w:t>
      </w:r>
      <w:r>
        <w:rPr>
          <w:rFonts w:eastAsia="Times New Roman"/>
          <w:lang w:eastAsia="en-AU"/>
        </w:rPr>
        <w:t>, Article 5 of the Treaty provides for the maximum information that an Office may require for the grant of a filing date;  Article 12 contains the maximum requirements that an Office may request for the correction of mistakes made by an applicant or holder in any communication to the Office, and Article 13</w:t>
      </w:r>
      <w:r w:rsidR="003E4687">
        <w:rPr>
          <w:rFonts w:eastAsia="Times New Roman"/>
          <w:lang w:eastAsia="en-AU"/>
        </w:rPr>
        <w:t xml:space="preserve"> enumerates the maximum requirements that an Office may impose with respect to renewal.</w:t>
      </w:r>
      <w:proofErr w:type="gramEnd"/>
    </w:p>
    <w:p w14:paraId="7A775A0A" w14:textId="77777777" w:rsidR="002528AB" w:rsidRDefault="002528AB" w:rsidP="002528AB">
      <w:pPr>
        <w:rPr>
          <w:rFonts w:eastAsia="Times New Roman"/>
          <w:lang w:eastAsia="en-AU"/>
        </w:rPr>
      </w:pPr>
    </w:p>
    <w:p w14:paraId="4FC62399" w14:textId="77777777" w:rsidR="002528AB" w:rsidRDefault="002528AB" w:rsidP="002528AB">
      <w:pPr>
        <w:rPr>
          <w:rFonts w:eastAsia="Times New Roman"/>
          <w:lang w:eastAsia="en-AU"/>
        </w:rPr>
      </w:pPr>
    </w:p>
    <w:p w14:paraId="7F50890F" w14:textId="77777777" w:rsidR="002528AB" w:rsidRDefault="002528AB" w:rsidP="002528AB">
      <w:pPr>
        <w:rPr>
          <w:rFonts w:eastAsia="Times New Roman"/>
          <w:lang w:eastAsia="en-AU"/>
        </w:rPr>
      </w:pPr>
      <w:r>
        <w:rPr>
          <w:rFonts w:eastAsia="Times New Roman"/>
          <w:lang w:eastAsia="en-AU"/>
        </w:rPr>
        <w:t>THE INTERPLAY BETWEEN NATIONAL AND INTERNATIONAL LAW</w:t>
      </w:r>
    </w:p>
    <w:p w14:paraId="4FA6F48B" w14:textId="77777777" w:rsidR="002528AB" w:rsidRDefault="002528AB" w:rsidP="002528AB">
      <w:pPr>
        <w:rPr>
          <w:rFonts w:eastAsia="Times New Roman"/>
          <w:lang w:eastAsia="en-AU"/>
        </w:rPr>
      </w:pPr>
    </w:p>
    <w:p w14:paraId="53004825" w14:textId="77777777" w:rsidR="002528AB" w:rsidRDefault="002528AB"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 xml:space="preserve">The evolution and development of international IP law has built on a number of core elements.  These included the recognition of national treatment, the overall independence of </w:t>
      </w:r>
      <w:r>
        <w:rPr>
          <w:rFonts w:eastAsia="Times New Roman"/>
          <w:lang w:eastAsia="en-AU"/>
        </w:rPr>
        <w:lastRenderedPageBreak/>
        <w:t xml:space="preserve">rights granted under different national laws, the national discretion to implement international standards through a variety of legal doctrines and mechanisms, a focus on addressing practical hurdles faced by right holders when their rights </w:t>
      </w:r>
      <w:proofErr w:type="gramStart"/>
      <w:r>
        <w:rPr>
          <w:rFonts w:eastAsia="Times New Roman"/>
          <w:lang w:eastAsia="en-AU"/>
        </w:rPr>
        <w:t>were obtained</w:t>
      </w:r>
      <w:proofErr w:type="gramEnd"/>
      <w:r>
        <w:rPr>
          <w:rFonts w:eastAsia="Times New Roman"/>
          <w:lang w:eastAsia="en-AU"/>
        </w:rPr>
        <w:t xml:space="preserve"> through formal procedures, and a need for administrative coordination.  The following paragraphs focus on the principle of national discretion in applying international standards.</w:t>
      </w:r>
    </w:p>
    <w:p w14:paraId="4CDC9080" w14:textId="77777777" w:rsidR="002528AB" w:rsidRDefault="002528AB" w:rsidP="002528AB">
      <w:pPr>
        <w:rPr>
          <w:rFonts w:eastAsia="Times New Roman"/>
          <w:lang w:eastAsia="en-AU"/>
        </w:rPr>
      </w:pPr>
    </w:p>
    <w:p w14:paraId="44A06F44" w14:textId="77777777" w:rsidR="002528AB" w:rsidRPr="003B1ECD" w:rsidRDefault="002528AB" w:rsidP="002528AB">
      <w:pPr>
        <w:rPr>
          <w:rFonts w:eastAsia="Times New Roman"/>
          <w:b/>
          <w:lang w:eastAsia="en-AU"/>
        </w:rPr>
      </w:pPr>
      <w:r w:rsidRPr="003B1ECD">
        <w:rPr>
          <w:rFonts w:eastAsia="Times New Roman"/>
          <w:b/>
          <w:lang w:eastAsia="en-AU"/>
        </w:rPr>
        <w:t>National discretion in applying international standards</w:t>
      </w:r>
    </w:p>
    <w:p w14:paraId="59D96BB4" w14:textId="77777777" w:rsidR="002528AB" w:rsidRDefault="002528AB" w:rsidP="002528AB">
      <w:pPr>
        <w:rPr>
          <w:rFonts w:eastAsia="Times New Roman"/>
          <w:lang w:eastAsia="en-AU"/>
        </w:rPr>
      </w:pPr>
    </w:p>
    <w:p w14:paraId="7AFC2A4A" w14:textId="77777777" w:rsidR="00D10BA5" w:rsidRDefault="002528AB" w:rsidP="00D10BA5">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I</w:t>
      </w:r>
      <w:r w:rsidRPr="003B1ECD">
        <w:rPr>
          <w:rFonts w:eastAsia="Times New Roman"/>
          <w:lang w:eastAsia="en-AU"/>
        </w:rPr>
        <w:t xml:space="preserve">nternational IP law </w:t>
      </w:r>
      <w:r>
        <w:rPr>
          <w:rFonts w:eastAsia="Times New Roman"/>
          <w:lang w:eastAsia="en-AU"/>
        </w:rPr>
        <w:t xml:space="preserve">makes a distinction </w:t>
      </w:r>
      <w:r w:rsidRPr="003B1ECD">
        <w:rPr>
          <w:rFonts w:eastAsia="Times New Roman"/>
          <w:lang w:eastAsia="en-AU"/>
        </w:rPr>
        <w:t xml:space="preserve">between the articulation of international standards and principles, and the choice of national legal mechanism to give effect to what </w:t>
      </w:r>
      <w:proofErr w:type="gramStart"/>
      <w:r w:rsidRPr="003B1ECD">
        <w:rPr>
          <w:rFonts w:eastAsia="Times New Roman"/>
          <w:lang w:eastAsia="en-AU"/>
        </w:rPr>
        <w:t>has been agreed</w:t>
      </w:r>
      <w:proofErr w:type="gramEnd"/>
      <w:r w:rsidRPr="003B1ECD">
        <w:rPr>
          <w:rFonts w:eastAsia="Times New Roman"/>
          <w:lang w:eastAsia="en-AU"/>
        </w:rPr>
        <w:t xml:space="preserve">.  This </w:t>
      </w:r>
      <w:r w:rsidR="00D10BA5">
        <w:rPr>
          <w:rFonts w:eastAsia="Times New Roman"/>
          <w:lang w:eastAsia="en-AU"/>
        </w:rPr>
        <w:t xml:space="preserve">often </w:t>
      </w:r>
      <w:r w:rsidRPr="003B1ECD">
        <w:rPr>
          <w:rFonts w:eastAsia="Times New Roman"/>
          <w:lang w:eastAsia="en-AU"/>
        </w:rPr>
        <w:t xml:space="preserve">gives </w:t>
      </w:r>
      <w:r w:rsidR="00E12A7A">
        <w:rPr>
          <w:rFonts w:eastAsia="Times New Roman"/>
          <w:lang w:eastAsia="en-AU"/>
        </w:rPr>
        <w:t xml:space="preserve">contracting </w:t>
      </w:r>
      <w:r>
        <w:rPr>
          <w:rFonts w:eastAsia="Times New Roman"/>
          <w:lang w:eastAsia="en-AU"/>
        </w:rPr>
        <w:t>states</w:t>
      </w:r>
      <w:r w:rsidRPr="003B1ECD">
        <w:rPr>
          <w:rFonts w:eastAsia="Times New Roman"/>
          <w:lang w:eastAsia="en-AU"/>
        </w:rPr>
        <w:t xml:space="preserve"> wide areas of discretion in how and by what legal tools and doctrines they give effe</w:t>
      </w:r>
      <w:r>
        <w:rPr>
          <w:rFonts w:eastAsia="Times New Roman"/>
          <w:lang w:eastAsia="en-AU"/>
        </w:rPr>
        <w:t>ct to international standards</w:t>
      </w:r>
      <w:r w:rsidRPr="003B1ECD">
        <w:rPr>
          <w:rFonts w:eastAsia="Times New Roman"/>
          <w:lang w:eastAsia="en-AU"/>
        </w:rPr>
        <w:t xml:space="preserve">.  </w:t>
      </w:r>
    </w:p>
    <w:p w14:paraId="473FCB59" w14:textId="62A07480" w:rsidR="002528AB" w:rsidRDefault="002528AB" w:rsidP="002528AB">
      <w:pPr>
        <w:rPr>
          <w:rFonts w:eastAsia="Times New Roman"/>
          <w:lang w:eastAsia="en-AU"/>
        </w:rPr>
      </w:pPr>
    </w:p>
    <w:p w14:paraId="7568DDA3" w14:textId="77777777" w:rsidR="002528AB" w:rsidRDefault="002528AB"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r>
      <w:r w:rsidRPr="003B1ECD">
        <w:rPr>
          <w:rFonts w:eastAsia="Times New Roman"/>
          <w:lang w:eastAsia="en-AU"/>
        </w:rPr>
        <w:t xml:space="preserve">In some instances, international instruments explicitly set out the range of </w:t>
      </w:r>
      <w:r>
        <w:rPr>
          <w:rFonts w:eastAsia="Times New Roman"/>
          <w:lang w:eastAsia="en-AU"/>
        </w:rPr>
        <w:t xml:space="preserve">legal mechanisms under national law to give effect to general protection standards articulated at the international level.  </w:t>
      </w:r>
      <w:r w:rsidRPr="003B1ECD">
        <w:rPr>
          <w:rFonts w:eastAsia="Times New Roman"/>
          <w:lang w:eastAsia="en-AU"/>
        </w:rPr>
        <w:t xml:space="preserve">Protection requirements </w:t>
      </w:r>
      <w:proofErr w:type="gramStart"/>
      <w:r w:rsidRPr="003B1ECD">
        <w:rPr>
          <w:rFonts w:eastAsia="Times New Roman"/>
          <w:lang w:eastAsia="en-AU"/>
        </w:rPr>
        <w:t xml:space="preserve">may </w:t>
      </w:r>
      <w:r>
        <w:rPr>
          <w:rFonts w:eastAsia="Times New Roman"/>
          <w:lang w:eastAsia="en-AU"/>
        </w:rPr>
        <w:t xml:space="preserve">also </w:t>
      </w:r>
      <w:r w:rsidRPr="003B1ECD">
        <w:rPr>
          <w:rFonts w:eastAsia="Times New Roman"/>
          <w:lang w:eastAsia="en-AU"/>
        </w:rPr>
        <w:t>simply be articulated</w:t>
      </w:r>
      <w:proofErr w:type="gramEnd"/>
      <w:r w:rsidRPr="003B1ECD">
        <w:rPr>
          <w:rFonts w:eastAsia="Times New Roman"/>
          <w:lang w:eastAsia="en-AU"/>
        </w:rPr>
        <w:t xml:space="preserve"> in terms of those entitled to initiate legal action or to seek remedies in line with the general standards set out in the international instrument.</w:t>
      </w:r>
    </w:p>
    <w:p w14:paraId="530B9AEB" w14:textId="77777777" w:rsidR="002528AB" w:rsidRDefault="002528AB" w:rsidP="002528AB">
      <w:pPr>
        <w:rPr>
          <w:rFonts w:eastAsia="Times New Roman"/>
          <w:lang w:eastAsia="en-AU"/>
        </w:rPr>
      </w:pPr>
    </w:p>
    <w:p w14:paraId="7F430801" w14:textId="78E94EC5" w:rsidR="002528AB" w:rsidRDefault="002528AB" w:rsidP="002528AB">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r>
      <w:r w:rsidRPr="003F5EEF">
        <w:rPr>
          <w:rFonts w:eastAsia="Times New Roman"/>
          <w:lang w:eastAsia="en-AU"/>
        </w:rPr>
        <w:t xml:space="preserve">While national discretion is an important aspect of the </w:t>
      </w:r>
      <w:r>
        <w:rPr>
          <w:rFonts w:eastAsia="Times New Roman"/>
          <w:lang w:eastAsia="en-AU"/>
        </w:rPr>
        <w:t>international IP</w:t>
      </w:r>
      <w:r w:rsidRPr="003F5EEF">
        <w:rPr>
          <w:rFonts w:eastAsia="Times New Roman"/>
          <w:lang w:eastAsia="en-AU"/>
        </w:rPr>
        <w:t xml:space="preserve"> system, it </w:t>
      </w:r>
      <w:proofErr w:type="gramStart"/>
      <w:r w:rsidRPr="003F5EEF">
        <w:rPr>
          <w:rFonts w:eastAsia="Times New Roman"/>
          <w:lang w:eastAsia="en-AU"/>
        </w:rPr>
        <w:t>must be exercised</w:t>
      </w:r>
      <w:proofErr w:type="gramEnd"/>
      <w:r w:rsidRPr="003F5EEF">
        <w:rPr>
          <w:rFonts w:eastAsia="Times New Roman"/>
          <w:lang w:eastAsia="en-AU"/>
        </w:rPr>
        <w:t xml:space="preserve"> in a manner that is consistent with international obligations and does not undermine the </w:t>
      </w:r>
      <w:r>
        <w:rPr>
          <w:rFonts w:eastAsia="Times New Roman"/>
          <w:lang w:eastAsia="en-AU"/>
        </w:rPr>
        <w:t>general standards set by the international instrument</w:t>
      </w:r>
      <w:r w:rsidRPr="003F5EEF">
        <w:rPr>
          <w:rFonts w:eastAsia="Times New Roman"/>
          <w:lang w:eastAsia="en-AU"/>
        </w:rPr>
        <w:t>.</w:t>
      </w:r>
      <w:r>
        <w:rPr>
          <w:rFonts w:eastAsia="Times New Roman"/>
          <w:lang w:eastAsia="en-AU"/>
        </w:rPr>
        <w:t xml:space="preserve"> </w:t>
      </w:r>
      <w:r w:rsidRPr="003F5EEF">
        <w:rPr>
          <w:rFonts w:eastAsia="Times New Roman"/>
          <w:lang w:eastAsia="en-AU"/>
        </w:rPr>
        <w:t xml:space="preserve"> The goal of national discretion is to ensure that each country can tailor its </w:t>
      </w:r>
      <w:r>
        <w:rPr>
          <w:rFonts w:eastAsia="Times New Roman"/>
          <w:lang w:eastAsia="en-AU"/>
        </w:rPr>
        <w:t>IP</w:t>
      </w:r>
      <w:r w:rsidRPr="003F5EEF">
        <w:rPr>
          <w:rFonts w:eastAsia="Times New Roman"/>
          <w:lang w:eastAsia="en-AU"/>
        </w:rPr>
        <w:t xml:space="preserve"> laws to its own needs, while also contributing to the overall stability and predictability of the international system.</w:t>
      </w:r>
    </w:p>
    <w:p w14:paraId="297FD148" w14:textId="41B44B44" w:rsidR="00F858A5" w:rsidRDefault="00F858A5" w:rsidP="002528AB">
      <w:pPr>
        <w:rPr>
          <w:rFonts w:eastAsia="Times New Roman"/>
          <w:lang w:eastAsia="en-AU"/>
        </w:rPr>
      </w:pPr>
    </w:p>
    <w:p w14:paraId="5B2F571E" w14:textId="6D4A002F" w:rsidR="005721AF" w:rsidRDefault="00F858A5" w:rsidP="00F858A5">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r>
      <w:proofErr w:type="gramStart"/>
      <w:r>
        <w:rPr>
          <w:rFonts w:eastAsia="Times New Roman"/>
          <w:lang w:eastAsia="en-AU"/>
        </w:rPr>
        <w:t xml:space="preserve">For example, under the WTO </w:t>
      </w:r>
      <w:r w:rsidR="0060134E">
        <w:rPr>
          <w:rFonts w:eastAsia="Times New Roman"/>
          <w:lang w:eastAsia="en-AU"/>
        </w:rPr>
        <w:t>Agreement on the Trade-Related Aspects of Intellectual Property Rights (</w:t>
      </w:r>
      <w:r>
        <w:rPr>
          <w:rFonts w:eastAsia="Times New Roman"/>
          <w:lang w:eastAsia="en-AU"/>
        </w:rPr>
        <w:t>TRIPS Agreement</w:t>
      </w:r>
      <w:r w:rsidR="0060134E">
        <w:rPr>
          <w:rFonts w:eastAsia="Times New Roman"/>
          <w:lang w:eastAsia="en-AU"/>
        </w:rPr>
        <w:t>)</w:t>
      </w:r>
      <w:r w:rsidR="00BE0421">
        <w:rPr>
          <w:rFonts w:eastAsia="Times New Roman"/>
          <w:lang w:eastAsia="en-AU"/>
        </w:rPr>
        <w:t xml:space="preserve"> (1994)</w:t>
      </w:r>
      <w:r>
        <w:rPr>
          <w:rFonts w:eastAsia="Times New Roman"/>
          <w:lang w:eastAsia="en-AU"/>
        </w:rPr>
        <w:t>, members are free to determine the appropriate method of implementing the provisions of the Agreement within their own legal system and practice, and may implement more extensive protection than what is required, provided that such additional protection does not contravene other provisions of the A</w:t>
      </w:r>
      <w:r w:rsidR="00E826FF">
        <w:rPr>
          <w:rFonts w:eastAsia="Times New Roman"/>
          <w:lang w:eastAsia="en-AU"/>
        </w:rPr>
        <w:t>greement (Article 1).</w:t>
      </w:r>
      <w:proofErr w:type="gramEnd"/>
      <w:r w:rsidR="00B85239">
        <w:rPr>
          <w:rFonts w:eastAsia="Times New Roman"/>
          <w:lang w:eastAsia="en-AU"/>
        </w:rPr>
        <w:t xml:space="preserve"> </w:t>
      </w:r>
      <w:r w:rsidR="005721AF">
        <w:rPr>
          <w:rFonts w:eastAsia="Times New Roman"/>
          <w:lang w:eastAsia="en-AU"/>
        </w:rPr>
        <w:t xml:space="preserve"> Under the </w:t>
      </w:r>
      <w:r w:rsidR="005721AF" w:rsidRPr="005721AF">
        <w:rPr>
          <w:rFonts w:eastAsia="Times New Roman"/>
          <w:lang w:eastAsia="en-AU"/>
        </w:rPr>
        <w:t xml:space="preserve">Convention for the Protection of Producers of Phonograms </w:t>
      </w:r>
      <w:proofErr w:type="gramStart"/>
      <w:r w:rsidR="005721AF" w:rsidRPr="005721AF">
        <w:rPr>
          <w:rFonts w:eastAsia="Times New Roman"/>
          <w:lang w:eastAsia="en-AU"/>
        </w:rPr>
        <w:t>Against</w:t>
      </w:r>
      <w:proofErr w:type="gramEnd"/>
      <w:r w:rsidR="005721AF" w:rsidRPr="005721AF">
        <w:rPr>
          <w:rFonts w:eastAsia="Times New Roman"/>
          <w:lang w:eastAsia="en-AU"/>
        </w:rPr>
        <w:t xml:space="preserve"> Unauthorized Duplication of Their Phonograms (1971)</w:t>
      </w:r>
      <w:r w:rsidR="005721AF">
        <w:rPr>
          <w:rFonts w:eastAsia="Times New Roman"/>
          <w:lang w:eastAsia="en-AU"/>
        </w:rPr>
        <w:t>, the means of implementation of the Convention is a matter of domestic law</w:t>
      </w:r>
      <w:r w:rsidR="00C86354">
        <w:rPr>
          <w:rFonts w:eastAsia="Times New Roman"/>
          <w:lang w:eastAsia="en-AU"/>
        </w:rPr>
        <w:t>.  C</w:t>
      </w:r>
      <w:r w:rsidR="005721AF">
        <w:rPr>
          <w:rFonts w:eastAsia="Times New Roman"/>
          <w:lang w:eastAsia="en-AU"/>
        </w:rPr>
        <w:t>ontracting parties can choose one or more methods</w:t>
      </w:r>
      <w:r w:rsidR="00C86354">
        <w:rPr>
          <w:rFonts w:eastAsia="Times New Roman"/>
          <w:lang w:eastAsia="en-AU"/>
        </w:rPr>
        <w:t xml:space="preserve"> of implementation</w:t>
      </w:r>
      <w:r w:rsidR="005721AF">
        <w:rPr>
          <w:rFonts w:eastAsia="Times New Roman"/>
          <w:lang w:eastAsia="en-AU"/>
        </w:rPr>
        <w:t xml:space="preserve">, which </w:t>
      </w:r>
      <w:r w:rsidR="00C86354">
        <w:rPr>
          <w:rFonts w:eastAsia="Times New Roman"/>
          <w:lang w:eastAsia="en-AU"/>
        </w:rPr>
        <w:t xml:space="preserve">include </w:t>
      </w:r>
      <w:r w:rsidR="005721AF" w:rsidRPr="005721AF">
        <w:rPr>
          <w:rFonts w:eastAsia="Times New Roman"/>
          <w:lang w:eastAsia="en-AU"/>
        </w:rPr>
        <w:t>protection by means of the grant of a co</w:t>
      </w:r>
      <w:r w:rsidR="006128B7">
        <w:rPr>
          <w:rFonts w:eastAsia="Times New Roman"/>
          <w:lang w:eastAsia="en-AU"/>
        </w:rPr>
        <w:t>pyright or other specific right,</w:t>
      </w:r>
      <w:r w:rsidR="005721AF" w:rsidRPr="005721AF">
        <w:rPr>
          <w:rFonts w:eastAsia="Times New Roman"/>
          <w:lang w:eastAsia="en-AU"/>
        </w:rPr>
        <w:t xml:space="preserve"> protection by means of the law</w:t>
      </w:r>
      <w:r w:rsidR="006128B7">
        <w:rPr>
          <w:rFonts w:eastAsia="Times New Roman"/>
          <w:lang w:eastAsia="en-AU"/>
        </w:rPr>
        <w:t xml:space="preserve"> relating to unfair competition, or</w:t>
      </w:r>
      <w:r w:rsidR="005721AF" w:rsidRPr="005721AF">
        <w:rPr>
          <w:rFonts w:eastAsia="Times New Roman"/>
          <w:lang w:eastAsia="en-AU"/>
        </w:rPr>
        <w:t xml:space="preserve"> protection by means of penal sanctions</w:t>
      </w:r>
      <w:r w:rsidR="00C86354">
        <w:rPr>
          <w:rFonts w:eastAsia="Times New Roman"/>
          <w:lang w:eastAsia="en-AU"/>
        </w:rPr>
        <w:t xml:space="preserve"> (Article 3)</w:t>
      </w:r>
      <w:r w:rsidR="005721AF" w:rsidRPr="005721AF">
        <w:rPr>
          <w:rFonts w:eastAsia="Times New Roman"/>
          <w:lang w:eastAsia="en-AU"/>
        </w:rPr>
        <w:t>.</w:t>
      </w:r>
    </w:p>
    <w:p w14:paraId="3CB83576" w14:textId="4DEAB3E0" w:rsidR="00F858A5" w:rsidRDefault="00F858A5" w:rsidP="002528AB">
      <w:pPr>
        <w:rPr>
          <w:rFonts w:eastAsia="Times New Roman"/>
          <w:lang w:eastAsia="en-AU"/>
        </w:rPr>
      </w:pPr>
    </w:p>
    <w:p w14:paraId="12D7532F" w14:textId="4A20AD21" w:rsidR="002326AB" w:rsidRDefault="002528AB" w:rsidP="001F3B6D">
      <w:pPr>
        <w:ind w:left="4488"/>
        <w:rPr>
          <w:rFonts w:eastAsia="Times New Roman"/>
          <w:i/>
          <w:lang w:eastAsia="en-AU"/>
        </w:rPr>
      </w:pPr>
      <w:r w:rsidRPr="00617098">
        <w:rPr>
          <w:rFonts w:eastAsia="Times New Roman"/>
          <w:i/>
          <w:lang w:eastAsia="en-AU"/>
        </w:rPr>
        <w:fldChar w:fldCharType="begin"/>
      </w:r>
      <w:r w:rsidRPr="00617098">
        <w:rPr>
          <w:rFonts w:eastAsia="Times New Roman"/>
          <w:i/>
          <w:lang w:eastAsia="en-AU"/>
        </w:rPr>
        <w:instrText xml:space="preserve"> AUTONUM  </w:instrText>
      </w:r>
      <w:r w:rsidRPr="00617098">
        <w:rPr>
          <w:rFonts w:eastAsia="Times New Roman"/>
          <w:i/>
          <w:lang w:eastAsia="en-AU"/>
        </w:rPr>
        <w:fldChar w:fldCharType="end"/>
      </w:r>
      <w:r w:rsidRPr="00617098">
        <w:rPr>
          <w:rFonts w:eastAsia="Times New Roman"/>
          <w:i/>
          <w:lang w:eastAsia="en-AU"/>
        </w:rPr>
        <w:tab/>
        <w:t xml:space="preserve">The </w:t>
      </w:r>
      <w:r w:rsidR="00FC5243">
        <w:rPr>
          <w:rFonts w:eastAsia="Times New Roman"/>
          <w:i/>
          <w:lang w:eastAsia="en-AU"/>
        </w:rPr>
        <w:t>IGC</w:t>
      </w:r>
      <w:r w:rsidRPr="00617098">
        <w:rPr>
          <w:rFonts w:eastAsia="Times New Roman"/>
          <w:i/>
          <w:lang w:eastAsia="en-AU"/>
        </w:rPr>
        <w:t xml:space="preserve"> </w:t>
      </w:r>
      <w:proofErr w:type="gramStart"/>
      <w:r w:rsidRPr="00617098">
        <w:rPr>
          <w:rFonts w:eastAsia="Times New Roman"/>
          <w:i/>
          <w:lang w:eastAsia="en-AU"/>
        </w:rPr>
        <w:t>is invited</w:t>
      </w:r>
      <w:proofErr w:type="gramEnd"/>
      <w:r w:rsidRPr="00617098">
        <w:rPr>
          <w:rFonts w:eastAsia="Times New Roman"/>
          <w:i/>
          <w:lang w:eastAsia="en-AU"/>
        </w:rPr>
        <w:t xml:space="preserve"> to take note of this document</w:t>
      </w:r>
      <w:r w:rsidR="00C5105D">
        <w:rPr>
          <w:rFonts w:eastAsia="Times New Roman"/>
          <w:i/>
          <w:lang w:eastAsia="en-AU"/>
        </w:rPr>
        <w:t>,</w:t>
      </w:r>
      <w:r w:rsidR="00763942">
        <w:rPr>
          <w:rFonts w:eastAsia="Times New Roman"/>
          <w:i/>
          <w:lang w:eastAsia="en-AU"/>
        </w:rPr>
        <w:t xml:space="preserve"> and provide comments</w:t>
      </w:r>
      <w:r w:rsidR="00C5105D">
        <w:rPr>
          <w:rFonts w:eastAsia="Times New Roman"/>
          <w:i/>
          <w:lang w:eastAsia="en-AU"/>
        </w:rPr>
        <w:t xml:space="preserve">, as it may wish, towards </w:t>
      </w:r>
      <w:r w:rsidR="00A26A5E">
        <w:rPr>
          <w:rFonts w:eastAsia="Times New Roman"/>
          <w:i/>
          <w:lang w:eastAsia="en-AU"/>
        </w:rPr>
        <w:t xml:space="preserve">the Secretariat </w:t>
      </w:r>
      <w:r w:rsidR="00C5105D">
        <w:rPr>
          <w:rFonts w:eastAsia="Times New Roman"/>
          <w:i/>
          <w:lang w:eastAsia="en-AU"/>
        </w:rPr>
        <w:t>developing a revised version thereof</w:t>
      </w:r>
      <w:r w:rsidRPr="00617098">
        <w:rPr>
          <w:rFonts w:eastAsia="Times New Roman"/>
          <w:i/>
          <w:lang w:eastAsia="en-AU"/>
        </w:rPr>
        <w:t>.</w:t>
      </w:r>
    </w:p>
    <w:p w14:paraId="629E9B76" w14:textId="59C062C7" w:rsidR="004F2436" w:rsidRDefault="004F2436" w:rsidP="001F3B6D">
      <w:pPr>
        <w:ind w:left="4488"/>
        <w:rPr>
          <w:rFonts w:eastAsia="Times New Roman"/>
          <w:i/>
          <w:lang w:eastAsia="en-AU"/>
        </w:rPr>
      </w:pPr>
    </w:p>
    <w:p w14:paraId="3107324C" w14:textId="6758987F" w:rsidR="004F2436" w:rsidRDefault="004F2436" w:rsidP="001F3B6D">
      <w:pPr>
        <w:ind w:left="4488"/>
        <w:rPr>
          <w:rFonts w:eastAsia="Times New Roman"/>
          <w:i/>
          <w:lang w:eastAsia="en-AU"/>
        </w:rPr>
      </w:pPr>
    </w:p>
    <w:p w14:paraId="3B600DF0" w14:textId="1B93991A" w:rsidR="004F2436" w:rsidRPr="004F2436" w:rsidRDefault="004F2436" w:rsidP="001F3B6D">
      <w:pPr>
        <w:ind w:left="4488"/>
      </w:pPr>
      <w:r>
        <w:rPr>
          <w:rFonts w:eastAsia="Times New Roman"/>
          <w:lang w:eastAsia="en-AU"/>
        </w:rPr>
        <w:t>[End of document]</w:t>
      </w:r>
    </w:p>
    <w:sectPr w:rsidR="004F2436" w:rsidRPr="004F2436" w:rsidSect="006358A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C3116" w14:textId="77777777" w:rsidR="00074382" w:rsidRDefault="00074382">
      <w:r>
        <w:separator/>
      </w:r>
    </w:p>
  </w:endnote>
  <w:endnote w:type="continuationSeparator" w:id="0">
    <w:p w14:paraId="6B34AC39" w14:textId="77777777" w:rsidR="00074382" w:rsidRDefault="00074382" w:rsidP="003B38C1">
      <w:r>
        <w:separator/>
      </w:r>
    </w:p>
    <w:p w14:paraId="5EBFEB7C" w14:textId="77777777" w:rsidR="00074382" w:rsidRPr="003B38C1" w:rsidRDefault="00074382" w:rsidP="003B38C1">
      <w:pPr>
        <w:spacing w:after="60"/>
        <w:rPr>
          <w:sz w:val="17"/>
        </w:rPr>
      </w:pPr>
      <w:r>
        <w:rPr>
          <w:sz w:val="17"/>
        </w:rPr>
        <w:t>[Endnote continued from previous page]</w:t>
      </w:r>
    </w:p>
  </w:endnote>
  <w:endnote w:type="continuationNotice" w:id="1">
    <w:p w14:paraId="0BE27AB5" w14:textId="77777777" w:rsidR="00074382" w:rsidRPr="003B38C1" w:rsidRDefault="000743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28842" w14:textId="77777777" w:rsidR="00B24D19" w:rsidRDefault="00B24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FF71" w14:textId="77777777" w:rsidR="00B24D19" w:rsidRDefault="00B24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BDE9" w14:textId="77777777" w:rsidR="00B24D19" w:rsidRDefault="00B2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FF04C" w14:textId="77777777" w:rsidR="00074382" w:rsidRDefault="00074382">
      <w:r>
        <w:separator/>
      </w:r>
    </w:p>
  </w:footnote>
  <w:footnote w:type="continuationSeparator" w:id="0">
    <w:p w14:paraId="7DF7E274" w14:textId="77777777" w:rsidR="00074382" w:rsidRDefault="00074382" w:rsidP="008B60B2">
      <w:r>
        <w:separator/>
      </w:r>
    </w:p>
    <w:p w14:paraId="29B775E7" w14:textId="77777777" w:rsidR="00074382" w:rsidRPr="00ED77FB" w:rsidRDefault="00074382" w:rsidP="008B60B2">
      <w:pPr>
        <w:spacing w:after="60"/>
        <w:rPr>
          <w:sz w:val="17"/>
          <w:szCs w:val="17"/>
        </w:rPr>
      </w:pPr>
      <w:r w:rsidRPr="00ED77FB">
        <w:rPr>
          <w:sz w:val="17"/>
          <w:szCs w:val="17"/>
        </w:rPr>
        <w:t>[Footnote continued from previous page]</w:t>
      </w:r>
    </w:p>
  </w:footnote>
  <w:footnote w:type="continuationNotice" w:id="1">
    <w:p w14:paraId="7FB5733D" w14:textId="77777777" w:rsidR="00074382" w:rsidRPr="00ED77FB" w:rsidRDefault="000743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8A536" w14:textId="77777777" w:rsidR="00B24D19" w:rsidRDefault="00B24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D5A34" w14:textId="77777777" w:rsidR="00D07C78" w:rsidRPr="002326AB" w:rsidRDefault="006358A8" w:rsidP="00477D6B">
    <w:pPr>
      <w:jc w:val="right"/>
      <w:rPr>
        <w:caps/>
      </w:rPr>
    </w:pPr>
    <w:bookmarkStart w:id="6" w:name="Code2"/>
    <w:bookmarkEnd w:id="6"/>
    <w:r>
      <w:rPr>
        <w:caps/>
      </w:rPr>
      <w:t>WIPO/GRTKF/IC/46/10</w:t>
    </w:r>
  </w:p>
  <w:p w14:paraId="637A1FE1" w14:textId="778CD890"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315591">
      <w:rPr>
        <w:noProof/>
      </w:rPr>
      <w:t>5</w:t>
    </w:r>
    <w:r>
      <w:fldChar w:fldCharType="end"/>
    </w:r>
  </w:p>
  <w:p w14:paraId="5F25F445" w14:textId="77777777" w:rsidR="00D07C78" w:rsidRDefault="00D07C78" w:rsidP="00477D6B">
    <w:pPr>
      <w:jc w:val="right"/>
    </w:pPr>
  </w:p>
  <w:p w14:paraId="4E18ECBB"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B0405" w14:textId="77777777" w:rsidR="00B24D19" w:rsidRDefault="00B24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415A48"/>
    <w:multiLevelType w:val="multilevel"/>
    <w:tmpl w:val="1856E66E"/>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8A8"/>
    <w:rsid w:val="00016B15"/>
    <w:rsid w:val="00043CAA"/>
    <w:rsid w:val="00056816"/>
    <w:rsid w:val="00072EC1"/>
    <w:rsid w:val="00074382"/>
    <w:rsid w:val="00075432"/>
    <w:rsid w:val="00092C38"/>
    <w:rsid w:val="000968ED"/>
    <w:rsid w:val="000A3D97"/>
    <w:rsid w:val="000A7B8C"/>
    <w:rsid w:val="000D16BD"/>
    <w:rsid w:val="000F3A5F"/>
    <w:rsid w:val="000F5E56"/>
    <w:rsid w:val="001362EE"/>
    <w:rsid w:val="001647D5"/>
    <w:rsid w:val="001832A6"/>
    <w:rsid w:val="00187A35"/>
    <w:rsid w:val="00193A26"/>
    <w:rsid w:val="001D4107"/>
    <w:rsid w:val="001F3B6D"/>
    <w:rsid w:val="00203D24"/>
    <w:rsid w:val="0021217E"/>
    <w:rsid w:val="00222405"/>
    <w:rsid w:val="002326AB"/>
    <w:rsid w:val="00243430"/>
    <w:rsid w:val="002528AB"/>
    <w:rsid w:val="002634C4"/>
    <w:rsid w:val="0027766A"/>
    <w:rsid w:val="002928D3"/>
    <w:rsid w:val="00294CC0"/>
    <w:rsid w:val="002B456A"/>
    <w:rsid w:val="002F1FE6"/>
    <w:rsid w:val="002F4E68"/>
    <w:rsid w:val="00312F7F"/>
    <w:rsid w:val="00315591"/>
    <w:rsid w:val="0032257D"/>
    <w:rsid w:val="003233F1"/>
    <w:rsid w:val="00361450"/>
    <w:rsid w:val="003673CF"/>
    <w:rsid w:val="00384195"/>
    <w:rsid w:val="003845C1"/>
    <w:rsid w:val="00386FEA"/>
    <w:rsid w:val="003A6F89"/>
    <w:rsid w:val="003B38C1"/>
    <w:rsid w:val="003C34E9"/>
    <w:rsid w:val="003D50BB"/>
    <w:rsid w:val="003E3AE8"/>
    <w:rsid w:val="003E4687"/>
    <w:rsid w:val="00400DFE"/>
    <w:rsid w:val="00405A56"/>
    <w:rsid w:val="00411137"/>
    <w:rsid w:val="00423E3E"/>
    <w:rsid w:val="00427AF4"/>
    <w:rsid w:val="00437DCD"/>
    <w:rsid w:val="004550A9"/>
    <w:rsid w:val="004647DA"/>
    <w:rsid w:val="00466DB4"/>
    <w:rsid w:val="00474062"/>
    <w:rsid w:val="00477D6B"/>
    <w:rsid w:val="00496514"/>
    <w:rsid w:val="004F2436"/>
    <w:rsid w:val="005019FF"/>
    <w:rsid w:val="0053057A"/>
    <w:rsid w:val="00556076"/>
    <w:rsid w:val="00560A29"/>
    <w:rsid w:val="005721AF"/>
    <w:rsid w:val="005B1EFC"/>
    <w:rsid w:val="005C43B8"/>
    <w:rsid w:val="005C6649"/>
    <w:rsid w:val="005C7A06"/>
    <w:rsid w:val="005F0E11"/>
    <w:rsid w:val="0060134E"/>
    <w:rsid w:val="00605827"/>
    <w:rsid w:val="006128B7"/>
    <w:rsid w:val="006358A8"/>
    <w:rsid w:val="0063696A"/>
    <w:rsid w:val="00646050"/>
    <w:rsid w:val="006713CA"/>
    <w:rsid w:val="00676C5C"/>
    <w:rsid w:val="006C61F8"/>
    <w:rsid w:val="006F70E7"/>
    <w:rsid w:val="00720EFD"/>
    <w:rsid w:val="00734DB2"/>
    <w:rsid w:val="00763942"/>
    <w:rsid w:val="0076424F"/>
    <w:rsid w:val="007854AF"/>
    <w:rsid w:val="00793A7C"/>
    <w:rsid w:val="007A398A"/>
    <w:rsid w:val="007C6BC8"/>
    <w:rsid w:val="007D1613"/>
    <w:rsid w:val="007E4C0E"/>
    <w:rsid w:val="007E6E40"/>
    <w:rsid w:val="00814FCC"/>
    <w:rsid w:val="008770FF"/>
    <w:rsid w:val="008A134B"/>
    <w:rsid w:val="008A366D"/>
    <w:rsid w:val="008B2CC1"/>
    <w:rsid w:val="008B60B2"/>
    <w:rsid w:val="0090731E"/>
    <w:rsid w:val="009115A8"/>
    <w:rsid w:val="00916EE2"/>
    <w:rsid w:val="00947569"/>
    <w:rsid w:val="00966A22"/>
    <w:rsid w:val="0096722F"/>
    <w:rsid w:val="00980843"/>
    <w:rsid w:val="00983D3E"/>
    <w:rsid w:val="009B69C7"/>
    <w:rsid w:val="009E2791"/>
    <w:rsid w:val="009E3F6F"/>
    <w:rsid w:val="009F499F"/>
    <w:rsid w:val="00A26A5E"/>
    <w:rsid w:val="00A326B9"/>
    <w:rsid w:val="00A37342"/>
    <w:rsid w:val="00A42DAF"/>
    <w:rsid w:val="00A45BD8"/>
    <w:rsid w:val="00A63AD7"/>
    <w:rsid w:val="00A869B7"/>
    <w:rsid w:val="00A90F0A"/>
    <w:rsid w:val="00AC205C"/>
    <w:rsid w:val="00AF0A6B"/>
    <w:rsid w:val="00B05A69"/>
    <w:rsid w:val="00B24D19"/>
    <w:rsid w:val="00B72745"/>
    <w:rsid w:val="00B75281"/>
    <w:rsid w:val="00B85239"/>
    <w:rsid w:val="00B92F1F"/>
    <w:rsid w:val="00B9734B"/>
    <w:rsid w:val="00BA0E2D"/>
    <w:rsid w:val="00BA30E2"/>
    <w:rsid w:val="00BE0421"/>
    <w:rsid w:val="00BF6739"/>
    <w:rsid w:val="00C02304"/>
    <w:rsid w:val="00C11BFE"/>
    <w:rsid w:val="00C1774B"/>
    <w:rsid w:val="00C32923"/>
    <w:rsid w:val="00C32A99"/>
    <w:rsid w:val="00C44BB1"/>
    <w:rsid w:val="00C5068F"/>
    <w:rsid w:val="00C5105D"/>
    <w:rsid w:val="00C86354"/>
    <w:rsid w:val="00C86D74"/>
    <w:rsid w:val="00CA0CA2"/>
    <w:rsid w:val="00CA6897"/>
    <w:rsid w:val="00CD04F1"/>
    <w:rsid w:val="00CF681A"/>
    <w:rsid w:val="00D07C78"/>
    <w:rsid w:val="00D10BA5"/>
    <w:rsid w:val="00D172EC"/>
    <w:rsid w:val="00D31188"/>
    <w:rsid w:val="00D34F54"/>
    <w:rsid w:val="00D45252"/>
    <w:rsid w:val="00D45BAE"/>
    <w:rsid w:val="00D71B4D"/>
    <w:rsid w:val="00D7427E"/>
    <w:rsid w:val="00D93D55"/>
    <w:rsid w:val="00DB3D13"/>
    <w:rsid w:val="00DD7B7F"/>
    <w:rsid w:val="00E12A7A"/>
    <w:rsid w:val="00E15015"/>
    <w:rsid w:val="00E3194F"/>
    <w:rsid w:val="00E335FE"/>
    <w:rsid w:val="00E81D0A"/>
    <w:rsid w:val="00E826FF"/>
    <w:rsid w:val="00E86B1A"/>
    <w:rsid w:val="00EA7D6E"/>
    <w:rsid w:val="00EB2F76"/>
    <w:rsid w:val="00EC4E49"/>
    <w:rsid w:val="00ED77FB"/>
    <w:rsid w:val="00EE45FA"/>
    <w:rsid w:val="00F043DE"/>
    <w:rsid w:val="00F23806"/>
    <w:rsid w:val="00F5224E"/>
    <w:rsid w:val="00F66152"/>
    <w:rsid w:val="00F858A5"/>
    <w:rsid w:val="00F9165B"/>
    <w:rsid w:val="00FB6303"/>
    <w:rsid w:val="00FC482F"/>
    <w:rsid w:val="00FC524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A16E1A"/>
  <w15:docId w15:val="{ED4B082B-083B-4C3C-B7CA-36FC67ED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e0">
    <w:name w:val="onume"/>
    <w:basedOn w:val="Normal"/>
    <w:qFormat/>
    <w:rsid w:val="002528AB"/>
    <w:rPr>
      <w:rFonts w:eastAsia="Times New Roman"/>
      <w:b/>
      <w:szCs w:val="22"/>
      <w:lang w:eastAsia="en-AU"/>
    </w:rPr>
  </w:style>
  <w:style w:type="paragraph" w:styleId="BalloonText">
    <w:name w:val="Balloon Text"/>
    <w:basedOn w:val="Normal"/>
    <w:link w:val="BalloonTextChar"/>
    <w:semiHidden/>
    <w:unhideWhenUsed/>
    <w:rsid w:val="004550A9"/>
    <w:rPr>
      <w:rFonts w:ascii="Segoe UI" w:hAnsi="Segoe UI" w:cs="Segoe UI"/>
      <w:sz w:val="18"/>
      <w:szCs w:val="18"/>
    </w:rPr>
  </w:style>
  <w:style w:type="character" w:customStyle="1" w:styleId="BalloonTextChar">
    <w:name w:val="Balloon Text Char"/>
    <w:basedOn w:val="DefaultParagraphFont"/>
    <w:link w:val="BalloonText"/>
    <w:semiHidden/>
    <w:rsid w:val="004550A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734DB2"/>
    <w:rPr>
      <w:sz w:val="16"/>
      <w:szCs w:val="16"/>
    </w:rPr>
  </w:style>
  <w:style w:type="paragraph" w:styleId="CommentSubject">
    <w:name w:val="annotation subject"/>
    <w:basedOn w:val="CommentText"/>
    <w:next w:val="CommentText"/>
    <w:link w:val="CommentSubjectChar"/>
    <w:semiHidden/>
    <w:unhideWhenUsed/>
    <w:rsid w:val="00734DB2"/>
    <w:rPr>
      <w:b/>
      <w:bCs/>
      <w:sz w:val="20"/>
    </w:rPr>
  </w:style>
  <w:style w:type="character" w:customStyle="1" w:styleId="CommentTextChar">
    <w:name w:val="Comment Text Char"/>
    <w:basedOn w:val="DefaultParagraphFont"/>
    <w:link w:val="CommentText"/>
    <w:semiHidden/>
    <w:rsid w:val="00734D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34DB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38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5CA8-FAF1-4A8E-AACA-846B14FD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2167</Words>
  <Characters>12243</Characters>
  <Application>Microsoft Office Word</Application>
  <DocSecurity>0</DocSecurity>
  <Lines>238</Lines>
  <Paragraphs>54</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dc:title>
  <dc:creator>JIAO Fei</dc:creator>
  <cp:keywords>FOR OFFICIAL USE ONLY</cp:keywords>
  <cp:lastModifiedBy>MORENO PALESTINI Maria del Pilar</cp:lastModifiedBy>
  <cp:revision>2</cp:revision>
  <cp:lastPrinted>2023-02-13T17:53:00Z</cp:lastPrinted>
  <dcterms:created xsi:type="dcterms:W3CDTF">2023-02-27T09:49:00Z</dcterms:created>
  <dcterms:modified xsi:type="dcterms:W3CDTF">2023-02-27T09:49:00Z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ab027adb-3cbc-418d-a4c3-08e8000e4b1d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