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6664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40E5CAC" wp14:editId="4606105F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1AED6D6" wp14:editId="5B74D72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BB0F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F5ACF7D" w14:textId="77777777"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Pr="00AE6473">
        <w:rPr>
          <w:rFonts w:ascii="Arial Black" w:hAnsi="Arial Black"/>
          <w:caps/>
          <w:sz w:val="15"/>
        </w:rPr>
        <w:t>4</w:t>
      </w:r>
      <w:r w:rsidR="00AC14FD" w:rsidRPr="00AE6473">
        <w:rPr>
          <w:rFonts w:ascii="Arial Black" w:hAnsi="Arial Black"/>
          <w:caps/>
          <w:sz w:val="15"/>
        </w:rPr>
        <w:t>5</w:t>
      </w:r>
      <w:r w:rsidRPr="00AE6473">
        <w:rPr>
          <w:rFonts w:ascii="Arial Black" w:hAnsi="Arial Black"/>
          <w:caps/>
          <w:sz w:val="15"/>
        </w:rPr>
        <w:t>/</w:t>
      </w:r>
      <w:bookmarkStart w:id="0" w:name="Code"/>
      <w:r w:rsidR="00F10663">
        <w:rPr>
          <w:rFonts w:ascii="Arial Black" w:hAnsi="Arial Black"/>
          <w:caps/>
          <w:sz w:val="15"/>
          <w:szCs w:val="15"/>
        </w:rPr>
        <w:t>2</w:t>
      </w:r>
    </w:p>
    <w:bookmarkEnd w:id="0"/>
    <w:p w14:paraId="49D6BAFD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AC14FD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DD047D0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E6473">
        <w:rPr>
          <w:rFonts w:ascii="Arial Black" w:hAnsi="Arial Black"/>
          <w:caps/>
          <w:sz w:val="15"/>
          <w:szCs w:val="15"/>
        </w:rPr>
        <w:t xml:space="preserve"> </w:t>
      </w:r>
      <w:r w:rsidR="003011B3">
        <w:rPr>
          <w:rFonts w:ascii="Arial Black" w:hAnsi="Arial Black"/>
          <w:caps/>
          <w:sz w:val="15"/>
          <w:szCs w:val="15"/>
        </w:rPr>
        <w:t>November 16</w:t>
      </w:r>
      <w:r w:rsidR="00AC14FD">
        <w:rPr>
          <w:rFonts w:ascii="Arial Black" w:hAnsi="Arial Black"/>
          <w:caps/>
          <w:sz w:val="15"/>
          <w:szCs w:val="15"/>
        </w:rPr>
        <w:t>, 2022</w:t>
      </w:r>
    </w:p>
    <w:bookmarkEnd w:id="2"/>
    <w:p w14:paraId="4A5FD07A" w14:textId="77777777" w:rsidR="008B2CC1" w:rsidRPr="003845C1" w:rsidRDefault="00AF0E73" w:rsidP="00CE65D4">
      <w:pPr>
        <w:spacing w:after="60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58CDB0F6" w14:textId="77777777" w:rsidR="008B2CC1" w:rsidRPr="003845C1" w:rsidRDefault="00AF0E73" w:rsidP="008B2CC1">
      <w:pPr>
        <w:rPr>
          <w:b/>
          <w:sz w:val="24"/>
          <w:szCs w:val="24"/>
        </w:rPr>
      </w:pPr>
      <w:r w:rsidRPr="00AF0E73">
        <w:rPr>
          <w:b/>
          <w:sz w:val="24"/>
          <w:szCs w:val="24"/>
        </w:rPr>
        <w:t>Forty-F</w:t>
      </w:r>
      <w:r w:rsidR="00AC14FD">
        <w:rPr>
          <w:b/>
          <w:sz w:val="24"/>
          <w:szCs w:val="24"/>
        </w:rPr>
        <w:t>ifth</w:t>
      </w:r>
      <w:r w:rsidRPr="00AF0E73">
        <w:rPr>
          <w:b/>
          <w:sz w:val="24"/>
          <w:szCs w:val="24"/>
        </w:rPr>
        <w:t xml:space="preserve"> Session</w:t>
      </w:r>
    </w:p>
    <w:p w14:paraId="660AA2A2" w14:textId="77777777" w:rsidR="008B2CC1" w:rsidRPr="009F3BF9" w:rsidRDefault="00AF0E73" w:rsidP="00CE65D4">
      <w:pPr>
        <w:spacing w:after="720"/>
      </w:pPr>
      <w:r w:rsidRPr="00AF0E73">
        <w:rPr>
          <w:b/>
          <w:sz w:val="24"/>
          <w:szCs w:val="24"/>
        </w:rPr>
        <w:t xml:space="preserve">Geneva, </w:t>
      </w:r>
      <w:r w:rsidR="00AC14FD">
        <w:rPr>
          <w:b/>
          <w:sz w:val="24"/>
          <w:szCs w:val="24"/>
        </w:rPr>
        <w:t>Decemb</w:t>
      </w:r>
      <w:r w:rsidRPr="00AF0E73">
        <w:rPr>
          <w:b/>
          <w:sz w:val="24"/>
          <w:szCs w:val="24"/>
        </w:rPr>
        <w:t xml:space="preserve">er </w:t>
      </w:r>
      <w:r w:rsidR="00AC14FD">
        <w:rPr>
          <w:b/>
          <w:sz w:val="24"/>
          <w:szCs w:val="24"/>
        </w:rPr>
        <w:t>5 to 9</w:t>
      </w:r>
      <w:r w:rsidRPr="00AF0E73">
        <w:rPr>
          <w:b/>
          <w:sz w:val="24"/>
          <w:szCs w:val="24"/>
        </w:rPr>
        <w:t>, 2022</w:t>
      </w:r>
    </w:p>
    <w:p w14:paraId="410E15D1" w14:textId="77777777" w:rsidR="00AE6473" w:rsidRPr="003845C1" w:rsidRDefault="00F10663" w:rsidP="00AE6473">
      <w:pPr>
        <w:rPr>
          <w:caps/>
          <w:sz w:val="24"/>
        </w:rPr>
      </w:pPr>
      <w:r w:rsidRPr="004D176F">
        <w:rPr>
          <w:caps/>
          <w:sz w:val="24"/>
        </w:rPr>
        <w:t xml:space="preserve">UPDATE OF THE LIST OF THE NON-GOVERNMENTAL ORGANIZATIONS ADMITTED AS </w:t>
      </w:r>
      <w:r w:rsidRPr="00F10663">
        <w:rPr>
          <w:i/>
          <w:caps/>
          <w:sz w:val="24"/>
        </w:rPr>
        <w:t>Ad Hoc</w:t>
      </w:r>
      <w:r>
        <w:rPr>
          <w:caps/>
          <w:sz w:val="24"/>
        </w:rPr>
        <w:t xml:space="preserve"> </w:t>
      </w:r>
      <w:r w:rsidRPr="004D176F">
        <w:rPr>
          <w:caps/>
          <w:sz w:val="24"/>
        </w:rPr>
        <w:t xml:space="preserve">OBSERVERS </w:t>
      </w:r>
      <w:r>
        <w:rPr>
          <w:caps/>
          <w:sz w:val="24"/>
        </w:rPr>
        <w:t xml:space="preserve">TO THE </w:t>
      </w:r>
      <w:r w:rsidRPr="00F10663">
        <w:rPr>
          <w:caps/>
          <w:sz w:val="24"/>
        </w:rPr>
        <w:t>Intergovernmental Committee on Intellectual Property and Genetic Resources, Traditional Knowledge and Folklore</w:t>
      </w:r>
    </w:p>
    <w:p w14:paraId="5467BB28" w14:textId="77777777" w:rsidR="00AE6473" w:rsidRPr="008B2CC1" w:rsidRDefault="00AE6473" w:rsidP="00AE6473"/>
    <w:p w14:paraId="2A83CB45" w14:textId="77777777" w:rsidR="00AE6473" w:rsidRPr="008B2CC1" w:rsidRDefault="00E72EAB" w:rsidP="00AE6473">
      <w:pPr>
        <w:rPr>
          <w:i/>
        </w:rPr>
      </w:pPr>
      <w:r>
        <w:rPr>
          <w:i/>
        </w:rPr>
        <w:t>P</w:t>
      </w:r>
      <w:r w:rsidR="00AE6473">
        <w:rPr>
          <w:i/>
        </w:rPr>
        <w:t>repared by the Secretariat</w:t>
      </w:r>
    </w:p>
    <w:p w14:paraId="1D19D276" w14:textId="77777777" w:rsidR="00AE6473" w:rsidRDefault="00AE6473" w:rsidP="00AE6473"/>
    <w:p w14:paraId="02ABBBC8" w14:textId="77777777" w:rsidR="00AE6473" w:rsidRDefault="00AE6473" w:rsidP="00AE6473"/>
    <w:p w14:paraId="114FA301" w14:textId="77777777" w:rsidR="00AE6473" w:rsidRDefault="00AE6473" w:rsidP="00AE6473"/>
    <w:p w14:paraId="372D0B73" w14:textId="77777777" w:rsidR="00AE6473" w:rsidRDefault="00AE6473" w:rsidP="00AE6473"/>
    <w:p w14:paraId="561CFA17" w14:textId="77777777" w:rsidR="00F10663" w:rsidRDefault="00F10663" w:rsidP="00EF0DE3">
      <w:pPr>
        <w:pStyle w:val="Heading2"/>
        <w:spacing w:before="0" w:after="0"/>
      </w:pPr>
      <w:r w:rsidRPr="00D758D0">
        <w:t>Introduction</w:t>
      </w:r>
    </w:p>
    <w:p w14:paraId="30B330DA" w14:textId="77777777" w:rsidR="00F10663" w:rsidRPr="00F10663" w:rsidRDefault="00F10663" w:rsidP="00EF0DE3"/>
    <w:bookmarkStart w:id="3" w:name="_GoBack"/>
    <w:p w14:paraId="6565F5A2" w14:textId="29315959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bookmarkEnd w:id="3"/>
      <w:r>
        <w:tab/>
        <w:t xml:space="preserve">This document provides an analysis of the increase in the number of non-governmental organizations (NGOs) admitted as </w:t>
      </w:r>
      <w:r w:rsidR="00AF3489" w:rsidRPr="003011B3">
        <w:rPr>
          <w:i/>
        </w:rPr>
        <w:t>ad hoc</w:t>
      </w:r>
      <w:r w:rsidR="00AF3489">
        <w:t xml:space="preserve"> </w:t>
      </w:r>
      <w:r>
        <w:t xml:space="preserve">observers </w:t>
      </w:r>
      <w:r w:rsidR="00AF3489">
        <w:t xml:space="preserve">to the </w:t>
      </w:r>
      <w:r w:rsidR="00AF3489" w:rsidRPr="00AF3489">
        <w:t>Intergovernmental Committee on Intellectual Property and Genetic Resources, Traditional Knowledge and Folklore</w:t>
      </w:r>
      <w:r w:rsidR="00AF3489">
        <w:t xml:space="preserve"> (the IGC)</w:t>
      </w:r>
      <w:r>
        <w:t xml:space="preserve">.  It </w:t>
      </w:r>
      <w:r w:rsidR="00A46A0D">
        <w:t>show</w:t>
      </w:r>
      <w:r w:rsidR="007B7299">
        <w:t>s</w:t>
      </w:r>
      <w:r>
        <w:t xml:space="preserve"> the increase of such observers </w:t>
      </w:r>
      <w:r w:rsidR="00AF3489">
        <w:t>since the establishment of the IGC</w:t>
      </w:r>
      <w:r>
        <w:t xml:space="preserve"> and explains the challenges associated with this development.  The document concludes by introducing a process to update the list of </w:t>
      </w:r>
      <w:r w:rsidRPr="005204B7">
        <w:t xml:space="preserve">NGO </w:t>
      </w:r>
      <w:r>
        <w:t>o</w:t>
      </w:r>
      <w:r w:rsidRPr="005204B7">
        <w:t>bserver</w:t>
      </w:r>
      <w:r>
        <w:t>s</w:t>
      </w:r>
      <w:r w:rsidR="00AF3489">
        <w:t xml:space="preserve"> </w:t>
      </w:r>
      <w:r w:rsidR="00E72EAB">
        <w:t>to mitigate</w:t>
      </w:r>
      <w:r>
        <w:t xml:space="preserve"> the challenges.</w:t>
      </w:r>
    </w:p>
    <w:p w14:paraId="138D2AE9" w14:textId="77777777" w:rsidR="00EF0DE3" w:rsidRDefault="00EF0DE3" w:rsidP="00EF0DE3"/>
    <w:p w14:paraId="29B3E511" w14:textId="77777777" w:rsidR="00F10663" w:rsidRDefault="00F10663" w:rsidP="00EF0DE3">
      <w:pPr>
        <w:pStyle w:val="Heading2"/>
        <w:spacing w:before="0" w:after="0"/>
      </w:pPr>
      <w:r w:rsidRPr="00D758D0">
        <w:t>Increase in the number of non-governmental organizations admitted as observers</w:t>
      </w:r>
      <w:r w:rsidR="00AB413B">
        <w:t xml:space="preserve"> And their </w:t>
      </w:r>
      <w:r w:rsidR="00AB413B" w:rsidRPr="00F1097F">
        <w:t xml:space="preserve">attendance at </w:t>
      </w:r>
      <w:r w:rsidR="00AB413B">
        <w:t>the IGC</w:t>
      </w:r>
      <w:r w:rsidR="00AB413B" w:rsidRPr="00F1097F">
        <w:t xml:space="preserve"> sessions</w:t>
      </w:r>
    </w:p>
    <w:p w14:paraId="75678E65" w14:textId="77777777" w:rsidR="00F10663" w:rsidRPr="00F10663" w:rsidRDefault="00F10663" w:rsidP="00EF0DE3"/>
    <w:p w14:paraId="20CEB500" w14:textId="77777777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Over the last </w:t>
      </w:r>
      <w:r w:rsidR="00AB413B">
        <w:t>22 years, the IGC</w:t>
      </w:r>
      <w:r>
        <w:t xml:space="preserve"> has experienced a significant increase in the number of NGOs admitted as</w:t>
      </w:r>
      <w:r w:rsidR="00AB413B">
        <w:t xml:space="preserve"> </w:t>
      </w:r>
      <w:r w:rsidR="00AB413B" w:rsidRPr="00AB413B">
        <w:rPr>
          <w:i/>
        </w:rPr>
        <w:t>ad hoc</w:t>
      </w:r>
      <w:r>
        <w:t xml:space="preserve"> observers.  </w:t>
      </w:r>
      <w:r w:rsidR="00AB413B">
        <w:t>T</w:t>
      </w:r>
      <w:r>
        <w:t>he total num</w:t>
      </w:r>
      <w:r w:rsidR="00AB413B">
        <w:t xml:space="preserve">ber of NGO observers grew by </w:t>
      </w:r>
      <w:r w:rsidR="00AE1F6C" w:rsidRPr="00AE1F6C">
        <w:t>417</w:t>
      </w:r>
      <w:r w:rsidR="00AE1F6C">
        <w:t xml:space="preserve"> (from 19 NGOs at IGC 1 to 436 NGOs at IGC 44</w:t>
      </w:r>
      <w:r w:rsidR="003011B3">
        <w:t>)</w:t>
      </w:r>
      <w:r>
        <w:t>.</w:t>
      </w:r>
    </w:p>
    <w:p w14:paraId="350281AA" w14:textId="77777777" w:rsidR="00F10663" w:rsidRDefault="00F10663" w:rsidP="00EF0DE3"/>
    <w:p w14:paraId="3C35273B" w14:textId="77777777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B413B">
        <w:t>However</w:t>
      </w:r>
      <w:r>
        <w:t xml:space="preserve">, the number of NGOs that attended the </w:t>
      </w:r>
      <w:r w:rsidR="00AB413B">
        <w:t>IGC sessions</w:t>
      </w:r>
      <w:r>
        <w:t xml:space="preserve"> as observers has remained rather stable</w:t>
      </w:r>
      <w:r w:rsidR="007935C2">
        <w:t>.  For example, for IGC 35 to IGC</w:t>
      </w:r>
      <w:r w:rsidR="00EF0DE3">
        <w:t xml:space="preserve"> 44</w:t>
      </w:r>
      <w:r w:rsidR="007935C2">
        <w:t xml:space="preserve">, an average of </w:t>
      </w:r>
      <w:r w:rsidR="00F61A95" w:rsidRPr="00F61A95">
        <w:t>23.1</w:t>
      </w:r>
      <w:r>
        <w:t xml:space="preserve"> NGO </w:t>
      </w:r>
      <w:r w:rsidR="007935C2">
        <w:t xml:space="preserve">observers </w:t>
      </w:r>
      <w:r w:rsidR="003011B3">
        <w:t xml:space="preserve">(including both WIPO permanent observers and </w:t>
      </w:r>
      <w:r w:rsidR="003011B3" w:rsidRPr="003011B3">
        <w:rPr>
          <w:i/>
        </w:rPr>
        <w:t>ad hoc</w:t>
      </w:r>
      <w:r w:rsidR="003011B3">
        <w:t xml:space="preserve"> observers to the IGC) </w:t>
      </w:r>
      <w:r w:rsidR="007935C2">
        <w:t xml:space="preserve">participated </w:t>
      </w:r>
      <w:r w:rsidR="00605896">
        <w:t xml:space="preserve">in </w:t>
      </w:r>
      <w:r w:rsidR="007935C2">
        <w:t>each session</w:t>
      </w:r>
      <w:r>
        <w:t>.</w:t>
      </w:r>
    </w:p>
    <w:p w14:paraId="5E2EDF6B" w14:textId="77777777" w:rsidR="00EF0DE3" w:rsidRDefault="00EF0DE3" w:rsidP="00EF0DE3"/>
    <w:p w14:paraId="473DF5AB" w14:textId="77777777" w:rsidR="00F10663" w:rsidRDefault="00F10663" w:rsidP="00EF0DE3">
      <w:pPr>
        <w:pStyle w:val="Heading2"/>
        <w:spacing w:before="0" w:after="0"/>
      </w:pPr>
      <w:r w:rsidRPr="00F1097F">
        <w:t>Challenges</w:t>
      </w:r>
    </w:p>
    <w:p w14:paraId="2F068D3E" w14:textId="77777777" w:rsidR="007935C2" w:rsidRPr="007935C2" w:rsidRDefault="007935C2" w:rsidP="00EF0DE3"/>
    <w:p w14:paraId="2965617C" w14:textId="5927E36B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steep rise in NGO observers </w:t>
      </w:r>
      <w:r w:rsidR="007935C2">
        <w:t>accredited to the IGC</w:t>
      </w:r>
      <w:r>
        <w:t xml:space="preserve"> raises the question </w:t>
      </w:r>
      <w:r w:rsidR="00E72EAB">
        <w:t xml:space="preserve">of </w:t>
      </w:r>
      <w:r>
        <w:t xml:space="preserve">whether the list accurately reflects the actual number of organizations still in existence and/or still interested in participating in the </w:t>
      </w:r>
      <w:r w:rsidR="00605896">
        <w:t xml:space="preserve">negotiations of </w:t>
      </w:r>
      <w:r w:rsidR="007935C2">
        <w:t>the IGC</w:t>
      </w:r>
      <w:r>
        <w:t>.</w:t>
      </w:r>
    </w:p>
    <w:p w14:paraId="3159A358" w14:textId="77777777" w:rsidR="00EF0DE3" w:rsidRDefault="00EF0DE3" w:rsidP="00EF0DE3"/>
    <w:p w14:paraId="56DC43E1" w14:textId="77777777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As noted above, between </w:t>
      </w:r>
      <w:r w:rsidR="00DB41BB">
        <w:t>IGC</w:t>
      </w:r>
      <w:r w:rsidR="00EF0DE3">
        <w:t xml:space="preserve">s 35 to 44, an average of only </w:t>
      </w:r>
      <w:r w:rsidR="00F61A95">
        <w:t>23.1</w:t>
      </w:r>
      <w:r>
        <w:t xml:space="preserve">, or </w:t>
      </w:r>
      <w:r w:rsidR="00F61A95" w:rsidRPr="00F61A95">
        <w:t>5.3</w:t>
      </w:r>
      <w:r>
        <w:t xml:space="preserve"> per cent of the NGOs</w:t>
      </w:r>
      <w:r w:rsidR="00605896">
        <w:t>,</w:t>
      </w:r>
      <w:r>
        <w:t xml:space="preserve"> participated in </w:t>
      </w:r>
      <w:r w:rsidR="00DB41BB">
        <w:t>the IGC.</w:t>
      </w:r>
    </w:p>
    <w:p w14:paraId="5B24F191" w14:textId="77777777" w:rsidR="00EF0DE3" w:rsidRDefault="00EF0DE3" w:rsidP="00EF0DE3"/>
    <w:p w14:paraId="335437EB" w14:textId="03221AA4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>
        <w:t xml:space="preserve">It is therefore possible that a substantial number of NGOs listed </w:t>
      </w:r>
      <w:r w:rsidR="00DB41BB">
        <w:t xml:space="preserve">at </w:t>
      </w:r>
      <w:hyperlink r:id="rId9" w:history="1">
        <w:r w:rsidR="00E72EAB" w:rsidRPr="00FF0E3C">
          <w:rPr>
            <w:rStyle w:val="Hyperlink"/>
          </w:rPr>
          <w:t>https://www.wipo.int/export/sites/www/tk/en/igc/docs/igc_observers.pdf</w:t>
        </w:r>
      </w:hyperlink>
      <w:r w:rsidR="00E72EAB">
        <w:t xml:space="preserve"> </w:t>
      </w:r>
      <w:r>
        <w:t>might</w:t>
      </w:r>
      <w:proofErr w:type="gramEnd"/>
      <w:r>
        <w:t xml:space="preserve"> be defunct or no longer interested in participating in </w:t>
      </w:r>
      <w:r w:rsidR="00DB41BB">
        <w:t>the IGC sessions</w:t>
      </w:r>
      <w:r>
        <w:t>.</w:t>
      </w:r>
      <w:r w:rsidR="00DB41BB">
        <w:t xml:space="preserve"> </w:t>
      </w:r>
      <w:r>
        <w:t xml:space="preserve"> </w:t>
      </w:r>
      <w:r w:rsidR="00DB41BB">
        <w:t>Currently, the IGC</w:t>
      </w:r>
      <w:r>
        <w:t xml:space="preserve"> has no procedure in place to verify, absent notification by the NGOs themselves, whether such organizations are defunct. </w:t>
      </w:r>
      <w:r w:rsidR="00DB41BB">
        <w:t xml:space="preserve"> </w:t>
      </w:r>
      <w:r>
        <w:t xml:space="preserve">In order to establish a more effective way of maintaining an up-to-date list of observers and avoiding inefficiencies, such as undeliverable mail, the </w:t>
      </w:r>
      <w:r w:rsidR="00DB41BB">
        <w:t xml:space="preserve">IGC </w:t>
      </w:r>
      <w:r>
        <w:t>Secreta</w:t>
      </w:r>
      <w:r w:rsidR="00DB41BB">
        <w:t xml:space="preserve">riat will update the list of </w:t>
      </w:r>
      <w:r w:rsidR="00DB41BB" w:rsidRPr="00DB41BB">
        <w:rPr>
          <w:i/>
        </w:rPr>
        <w:t>ad hoc</w:t>
      </w:r>
      <w:r>
        <w:t xml:space="preserve"> observers in accordance with the following process.</w:t>
      </w:r>
    </w:p>
    <w:p w14:paraId="40F20FF5" w14:textId="77777777" w:rsidR="00EF0DE3" w:rsidRPr="00D62DF0" w:rsidRDefault="00EF0DE3" w:rsidP="00EF0DE3"/>
    <w:p w14:paraId="215AFED3" w14:textId="77777777" w:rsidR="00F10663" w:rsidRDefault="00F10663" w:rsidP="00EF0DE3">
      <w:pPr>
        <w:pStyle w:val="Heading2"/>
        <w:spacing w:before="0" w:after="0"/>
      </w:pPr>
      <w:r w:rsidRPr="00F1097F">
        <w:t>Update of the list of non-governmental organization</w:t>
      </w:r>
      <w:r>
        <w:t>s</w:t>
      </w:r>
      <w:r w:rsidRPr="000727D1">
        <w:t xml:space="preserve"> </w:t>
      </w:r>
    </w:p>
    <w:p w14:paraId="3AEEAFCE" w14:textId="77777777" w:rsidR="00DB41BB" w:rsidRPr="00DB41BB" w:rsidRDefault="00DB41BB" w:rsidP="00EF0DE3"/>
    <w:p w14:paraId="71DB52CA" w14:textId="77777777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To identify the NGOs admitted as </w:t>
      </w:r>
      <w:r w:rsidR="00DB41BB" w:rsidRPr="00DB41BB">
        <w:rPr>
          <w:i/>
        </w:rPr>
        <w:t>ad hoc</w:t>
      </w:r>
      <w:r w:rsidR="00DB41BB">
        <w:t xml:space="preserve"> </w:t>
      </w:r>
      <w:r>
        <w:t xml:space="preserve">observers </w:t>
      </w:r>
      <w:r w:rsidR="00DB41BB">
        <w:t>to the IGC</w:t>
      </w:r>
      <w:r>
        <w:t xml:space="preserve"> that are defunct or no longer interested in participating in </w:t>
      </w:r>
      <w:r w:rsidR="00DB41BB">
        <w:t>the IGC sessions</w:t>
      </w:r>
      <w:r>
        <w:t>, the Secretariat will update the current list of observers by:</w:t>
      </w:r>
    </w:p>
    <w:p w14:paraId="0604113D" w14:textId="77777777" w:rsidR="00EF0DE3" w:rsidRDefault="00EF0DE3" w:rsidP="00EF0DE3"/>
    <w:p w14:paraId="6515FC64" w14:textId="77777777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 xml:space="preserve">Distributing a survey, requesting </w:t>
      </w:r>
      <w:r w:rsidR="00953DD1">
        <w:t xml:space="preserve">those </w:t>
      </w:r>
      <w:r w:rsidR="00953DD1" w:rsidRPr="00953DD1">
        <w:rPr>
          <w:i/>
        </w:rPr>
        <w:t>ad hoc</w:t>
      </w:r>
      <w:r w:rsidR="00953DD1">
        <w:t xml:space="preserve"> observers that did not participate in the IGC sessions during the last five years </w:t>
      </w:r>
      <w:r>
        <w:t>to confirm that they remai</w:t>
      </w:r>
      <w:r w:rsidR="00DB41BB">
        <w:t>n interested in the work of the IGC</w:t>
      </w:r>
      <w:r>
        <w:t xml:space="preserve"> and wish to retain their status as </w:t>
      </w:r>
      <w:r w:rsidR="00DB41BB" w:rsidRPr="00DB41BB">
        <w:rPr>
          <w:i/>
        </w:rPr>
        <w:t>ad hoc</w:t>
      </w:r>
      <w:r w:rsidR="00DB41BB">
        <w:t xml:space="preserve"> </w:t>
      </w:r>
      <w:r>
        <w:t xml:space="preserve">observers. </w:t>
      </w:r>
    </w:p>
    <w:p w14:paraId="1780811E" w14:textId="77777777" w:rsidR="00EF0DE3" w:rsidRDefault="00EF0DE3" w:rsidP="00EF0DE3">
      <w:pPr>
        <w:pStyle w:val="ListParagraph"/>
        <w:ind w:left="993"/>
        <w:contextualSpacing w:val="0"/>
      </w:pPr>
    </w:p>
    <w:p w14:paraId="37E607E2" w14:textId="77777777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 xml:space="preserve">Revising the list of observers, following the receipt of the survey responses.  We would also send </w:t>
      </w:r>
      <w:r w:rsidR="00FF276E">
        <w:t>one reminder</w:t>
      </w:r>
      <w:r>
        <w:t xml:space="preserve"> to NGOs who have not responded to the initial survey request.  The </w:t>
      </w:r>
      <w:r w:rsidR="00605896">
        <w:t xml:space="preserve">subsequent </w:t>
      </w:r>
      <w:r>
        <w:t>steps would be as follows:</w:t>
      </w:r>
    </w:p>
    <w:p w14:paraId="0EC9347C" w14:textId="77777777" w:rsidR="00EF0DE3" w:rsidRDefault="00EF0DE3" w:rsidP="00EF0DE3"/>
    <w:p w14:paraId="57EF222E" w14:textId="77777777" w:rsidR="00F10663" w:rsidRPr="00EF0DE3" w:rsidRDefault="00F10663" w:rsidP="00EF0DE3">
      <w:pPr>
        <w:pStyle w:val="ListParagraph"/>
        <w:numPr>
          <w:ilvl w:val="0"/>
          <w:numId w:val="13"/>
        </w:numPr>
        <w:ind w:hanging="447"/>
        <w:contextualSpacing w:val="0"/>
        <w:rPr>
          <w:b/>
        </w:rPr>
      </w:pPr>
      <w:r>
        <w:t xml:space="preserve">Update the contact information of those NGOs admitted as </w:t>
      </w:r>
      <w:r w:rsidR="00FF276E" w:rsidRPr="00FF276E">
        <w:rPr>
          <w:i/>
        </w:rPr>
        <w:t>ad hoc</w:t>
      </w:r>
      <w:r w:rsidR="00FF276E">
        <w:t xml:space="preserve"> </w:t>
      </w:r>
      <w:r>
        <w:t>observers that confirmed their interest in retaining observer status;  and</w:t>
      </w:r>
    </w:p>
    <w:p w14:paraId="0BFF3434" w14:textId="77777777" w:rsidR="00EF0DE3" w:rsidRPr="00D62DF0" w:rsidRDefault="00EF0DE3" w:rsidP="00EF0DE3">
      <w:pPr>
        <w:pStyle w:val="ListParagraph"/>
        <w:ind w:left="1440"/>
        <w:contextualSpacing w:val="0"/>
        <w:rPr>
          <w:b/>
        </w:rPr>
      </w:pPr>
    </w:p>
    <w:p w14:paraId="58825B2C" w14:textId="77777777" w:rsidR="00F10663" w:rsidRPr="00EF0DE3" w:rsidRDefault="00F10663" w:rsidP="00EF0DE3">
      <w:pPr>
        <w:pStyle w:val="ListParagraph"/>
        <w:numPr>
          <w:ilvl w:val="0"/>
          <w:numId w:val="13"/>
        </w:numPr>
        <w:ind w:hanging="447"/>
        <w:contextualSpacing w:val="0"/>
        <w:rPr>
          <w:b/>
        </w:rPr>
      </w:pPr>
      <w:r>
        <w:t xml:space="preserve">Remove those NGOs admitted as observers that did not confirm </w:t>
      </w:r>
      <w:proofErr w:type="gramStart"/>
      <w:r>
        <w:t>their wish to be retained as such, either</w:t>
      </w:r>
      <w:proofErr w:type="gramEnd"/>
      <w:r>
        <w:t xml:space="preserve"> by expressly stating so or not responding to the survey at all.</w:t>
      </w:r>
    </w:p>
    <w:p w14:paraId="1BF08E3D" w14:textId="77777777" w:rsidR="00EF0DE3" w:rsidRPr="00EF0DE3" w:rsidRDefault="00EF0DE3" w:rsidP="00EF0DE3">
      <w:pPr>
        <w:rPr>
          <w:b/>
        </w:rPr>
      </w:pPr>
    </w:p>
    <w:p w14:paraId="768D792C" w14:textId="00DC0E90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 w:rsidRPr="00883ED9">
        <w:t xml:space="preserve">Reporting to </w:t>
      </w:r>
      <w:r w:rsidR="00FF276E">
        <w:t>IGC 47</w:t>
      </w:r>
      <w:r w:rsidRPr="00883ED9">
        <w:t xml:space="preserve"> about the outcome of the </w:t>
      </w:r>
      <w:r>
        <w:t>update</w:t>
      </w:r>
      <w:r w:rsidRPr="00883ED9">
        <w:t>, i.e. the</w:t>
      </w:r>
      <w:r>
        <w:t xml:space="preserve"> results of the survey, as well as any revisions made</w:t>
      </w:r>
      <w:r w:rsidR="00375609">
        <w:t xml:space="preserve"> to the list of </w:t>
      </w:r>
      <w:r w:rsidR="00375609" w:rsidRPr="00375609">
        <w:rPr>
          <w:i/>
        </w:rPr>
        <w:t>ad hoc</w:t>
      </w:r>
      <w:r w:rsidR="00375609">
        <w:t xml:space="preserve"> observers</w:t>
      </w:r>
      <w:r w:rsidR="00FF276E">
        <w:t xml:space="preserve">. </w:t>
      </w:r>
    </w:p>
    <w:p w14:paraId="2C6E83F9" w14:textId="77777777" w:rsidR="00EF0DE3" w:rsidRDefault="00EF0DE3" w:rsidP="00EF0DE3"/>
    <w:p w14:paraId="26C9AC05" w14:textId="77777777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>The p</w:t>
      </w:r>
      <w:r w:rsidR="00953DD1">
        <w:t>rocess set forth under (a) to (c</w:t>
      </w:r>
      <w:r>
        <w:t>) will be repeated every five years, as necessary.</w:t>
      </w:r>
    </w:p>
    <w:p w14:paraId="21D8F703" w14:textId="77777777" w:rsidR="00EF0DE3" w:rsidRDefault="00EF0DE3" w:rsidP="00EF0DE3"/>
    <w:p w14:paraId="1B88F49A" w14:textId="0D0F18D2" w:rsidR="00F10663" w:rsidRDefault="00F10663" w:rsidP="00EF0DE3">
      <w:pPr>
        <w:pStyle w:val="Endofdocument-Annex"/>
        <w:ind w:left="5387"/>
      </w:pPr>
      <w:r w:rsidRPr="00D62DF0">
        <w:rPr>
          <w:i/>
        </w:rPr>
        <w:fldChar w:fldCharType="begin"/>
      </w:r>
      <w:r w:rsidRPr="00D62DF0">
        <w:rPr>
          <w:i/>
        </w:rPr>
        <w:instrText xml:space="preserve"> AUTONUM  </w:instrText>
      </w:r>
      <w:r w:rsidRPr="00D62DF0">
        <w:rPr>
          <w:i/>
        </w:rPr>
        <w:fldChar w:fldCharType="end"/>
      </w:r>
      <w:r w:rsidRPr="00D62DF0">
        <w:rPr>
          <w:i/>
        </w:rPr>
        <w:tab/>
        <w:t xml:space="preserve">The </w:t>
      </w:r>
      <w:r w:rsidR="00FF276E">
        <w:rPr>
          <w:i/>
        </w:rPr>
        <w:t xml:space="preserve">IGC </w:t>
      </w:r>
      <w:proofErr w:type="gramStart"/>
      <w:r w:rsidR="00FF276E">
        <w:rPr>
          <w:i/>
        </w:rPr>
        <w:t>is</w:t>
      </w:r>
      <w:r>
        <w:rPr>
          <w:i/>
        </w:rPr>
        <w:t xml:space="preserve"> invited</w:t>
      </w:r>
      <w:proofErr w:type="gramEnd"/>
      <w:r>
        <w:rPr>
          <w:i/>
        </w:rPr>
        <w:t xml:space="preserve"> to take note of </w:t>
      </w:r>
      <w:r w:rsidR="00FF276E">
        <w:rPr>
          <w:i/>
        </w:rPr>
        <w:t>this document</w:t>
      </w:r>
      <w:r>
        <w:rPr>
          <w:i/>
        </w:rPr>
        <w:t xml:space="preserve"> and to make any comments </w:t>
      </w:r>
      <w:r w:rsidR="002D3427">
        <w:rPr>
          <w:i/>
        </w:rPr>
        <w:t xml:space="preserve">it </w:t>
      </w:r>
      <w:r>
        <w:rPr>
          <w:i/>
        </w:rPr>
        <w:t>wish</w:t>
      </w:r>
      <w:r w:rsidR="002D3427">
        <w:rPr>
          <w:i/>
        </w:rPr>
        <w:t>es</w:t>
      </w:r>
      <w:r>
        <w:rPr>
          <w:i/>
        </w:rPr>
        <w:t xml:space="preserve"> concerning the intended approach</w:t>
      </w:r>
      <w:r>
        <w:t>.</w:t>
      </w:r>
    </w:p>
    <w:p w14:paraId="701C687F" w14:textId="77777777" w:rsidR="00EF0DE3" w:rsidRDefault="00EF0DE3" w:rsidP="00EF0DE3">
      <w:pPr>
        <w:pStyle w:val="Endofdocument-Annex"/>
        <w:ind w:left="5530"/>
      </w:pPr>
    </w:p>
    <w:p w14:paraId="0CE1C4F4" w14:textId="77777777" w:rsidR="00EF0DE3" w:rsidRDefault="00EF0DE3" w:rsidP="00EF0DE3">
      <w:pPr>
        <w:pStyle w:val="Endofdocument-Annex"/>
        <w:ind w:left="5530"/>
      </w:pPr>
    </w:p>
    <w:p w14:paraId="4C4D7F02" w14:textId="77777777"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AC14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989D5" w14:textId="77777777" w:rsidR="00AC14FD" w:rsidRDefault="00AC14FD">
      <w:r>
        <w:separator/>
      </w:r>
    </w:p>
  </w:endnote>
  <w:endnote w:type="continuationSeparator" w:id="0">
    <w:p w14:paraId="3F6CBD94" w14:textId="77777777" w:rsidR="00AC14FD" w:rsidRDefault="00AC14FD" w:rsidP="003B38C1">
      <w:r>
        <w:separator/>
      </w:r>
    </w:p>
    <w:p w14:paraId="49B1A18B" w14:textId="77777777" w:rsidR="00AC14FD" w:rsidRPr="003B38C1" w:rsidRDefault="00AC14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716818D" w14:textId="77777777" w:rsidR="00AC14FD" w:rsidRPr="003B38C1" w:rsidRDefault="00AC14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BEC8" w14:textId="77777777" w:rsidR="00AE1F6C" w:rsidRDefault="00AE1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054DC" w14:textId="77777777" w:rsidR="00AE1F6C" w:rsidRDefault="00AE1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2EE" w14:textId="77777777" w:rsidR="00AE1F6C" w:rsidRDefault="00AE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C1E6E" w14:textId="77777777" w:rsidR="00AC14FD" w:rsidRDefault="00AC14FD">
      <w:r>
        <w:separator/>
      </w:r>
    </w:p>
  </w:footnote>
  <w:footnote w:type="continuationSeparator" w:id="0">
    <w:p w14:paraId="42A962E7" w14:textId="77777777" w:rsidR="00AC14FD" w:rsidRDefault="00AC14FD" w:rsidP="008B60B2">
      <w:r>
        <w:separator/>
      </w:r>
    </w:p>
    <w:p w14:paraId="7743FF06" w14:textId="77777777" w:rsidR="00AC14FD" w:rsidRPr="00ED77FB" w:rsidRDefault="00AC14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5D4F88" w14:textId="77777777" w:rsidR="00AC14FD" w:rsidRPr="00ED77FB" w:rsidRDefault="00AC14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C112" w14:textId="77777777" w:rsidR="00AE1F6C" w:rsidRDefault="00AE1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5869" w14:textId="77777777" w:rsidR="00EC4E49" w:rsidRDefault="00AC14FD" w:rsidP="00477D6B">
    <w:pPr>
      <w:jc w:val="right"/>
    </w:pPr>
    <w:bookmarkStart w:id="4" w:name="Code2"/>
    <w:bookmarkEnd w:id="4"/>
    <w:r>
      <w:t>W</w:t>
    </w:r>
    <w:r w:rsidR="00F10663">
      <w:t>IPO/GRTKF/IC/45/2</w:t>
    </w:r>
  </w:p>
  <w:p w14:paraId="6C379972" w14:textId="5246B694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2E6E">
      <w:rPr>
        <w:noProof/>
      </w:rPr>
      <w:t>2</w:t>
    </w:r>
    <w:r>
      <w:fldChar w:fldCharType="end"/>
    </w:r>
  </w:p>
  <w:p w14:paraId="2C069A6F" w14:textId="77777777" w:rsidR="00EC4E49" w:rsidRDefault="00EC4E49" w:rsidP="00477D6B">
    <w:pPr>
      <w:jc w:val="right"/>
    </w:pPr>
  </w:p>
  <w:p w14:paraId="145F5D1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C721" w14:textId="77777777" w:rsidR="00AE1F6C" w:rsidRDefault="00AE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C054B"/>
    <w:multiLevelType w:val="hybridMultilevel"/>
    <w:tmpl w:val="BADAD44E"/>
    <w:lvl w:ilvl="0" w:tplc="74FEBBDA">
      <w:start w:val="1"/>
      <w:numFmt w:val="lowerRoman"/>
      <w:lvlText w:val="(%1)"/>
      <w:lvlJc w:val="left"/>
      <w:pPr>
        <w:ind w:left="1440" w:hanging="360"/>
      </w:pPr>
      <w:rPr>
        <w:rFonts w:ascii="Arial" w:eastAsia="SimSu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559917AD"/>
    <w:multiLevelType w:val="hybridMultilevel"/>
    <w:tmpl w:val="77DEEA7C"/>
    <w:lvl w:ilvl="0" w:tplc="9C90CB64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44A12"/>
    <w:multiLevelType w:val="hybridMultilevel"/>
    <w:tmpl w:val="1638B716"/>
    <w:lvl w:ilvl="0" w:tplc="5C2C7CDA">
      <w:start w:val="1"/>
      <w:numFmt w:val="lowerLetter"/>
      <w:lvlText w:val="(%1)"/>
      <w:lvlJc w:val="left"/>
      <w:pPr>
        <w:ind w:left="1070" w:hanging="360"/>
      </w:pPr>
      <w:rPr>
        <w:rFonts w:ascii="Arial" w:eastAsia="SimSun" w:hAnsi="Arial" w:cs="Arial"/>
        <w:b w:val="0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75432"/>
    <w:rsid w:val="000968ED"/>
    <w:rsid w:val="000F5E56"/>
    <w:rsid w:val="001024FE"/>
    <w:rsid w:val="001362EE"/>
    <w:rsid w:val="00142868"/>
    <w:rsid w:val="00165EE1"/>
    <w:rsid w:val="001832A6"/>
    <w:rsid w:val="001C6808"/>
    <w:rsid w:val="002121FA"/>
    <w:rsid w:val="002634C4"/>
    <w:rsid w:val="002928D3"/>
    <w:rsid w:val="002D3427"/>
    <w:rsid w:val="002F1FE6"/>
    <w:rsid w:val="002F4E68"/>
    <w:rsid w:val="003011B3"/>
    <w:rsid w:val="00312F7F"/>
    <w:rsid w:val="003228B7"/>
    <w:rsid w:val="003508A3"/>
    <w:rsid w:val="003673CF"/>
    <w:rsid w:val="00375609"/>
    <w:rsid w:val="003845C1"/>
    <w:rsid w:val="00396346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4E2E6E"/>
    <w:rsid w:val="0053057A"/>
    <w:rsid w:val="00560A29"/>
    <w:rsid w:val="005909D1"/>
    <w:rsid w:val="00594D27"/>
    <w:rsid w:val="00601760"/>
    <w:rsid w:val="00605827"/>
    <w:rsid w:val="00605896"/>
    <w:rsid w:val="00646050"/>
    <w:rsid w:val="00657795"/>
    <w:rsid w:val="006713CA"/>
    <w:rsid w:val="00676C5C"/>
    <w:rsid w:val="00695558"/>
    <w:rsid w:val="006D5E0F"/>
    <w:rsid w:val="007058FB"/>
    <w:rsid w:val="007935C2"/>
    <w:rsid w:val="007B6A58"/>
    <w:rsid w:val="007B7299"/>
    <w:rsid w:val="007D1613"/>
    <w:rsid w:val="007D605D"/>
    <w:rsid w:val="00873EE5"/>
    <w:rsid w:val="00897B0D"/>
    <w:rsid w:val="008B2CC1"/>
    <w:rsid w:val="008B4B5E"/>
    <w:rsid w:val="008B60B2"/>
    <w:rsid w:val="0090731E"/>
    <w:rsid w:val="00916EE2"/>
    <w:rsid w:val="00953DD1"/>
    <w:rsid w:val="00966A22"/>
    <w:rsid w:val="0096722F"/>
    <w:rsid w:val="00980843"/>
    <w:rsid w:val="009A6DD0"/>
    <w:rsid w:val="009E2791"/>
    <w:rsid w:val="009E3F6F"/>
    <w:rsid w:val="009F3BF9"/>
    <w:rsid w:val="009F499F"/>
    <w:rsid w:val="00A42DAF"/>
    <w:rsid w:val="00A45BD8"/>
    <w:rsid w:val="00A46A0D"/>
    <w:rsid w:val="00A778BF"/>
    <w:rsid w:val="00A85B8E"/>
    <w:rsid w:val="00AB413B"/>
    <w:rsid w:val="00AC14FD"/>
    <w:rsid w:val="00AC205C"/>
    <w:rsid w:val="00AC421E"/>
    <w:rsid w:val="00AE1F6C"/>
    <w:rsid w:val="00AE6473"/>
    <w:rsid w:val="00AF0E73"/>
    <w:rsid w:val="00AF3489"/>
    <w:rsid w:val="00AF5C73"/>
    <w:rsid w:val="00B05A69"/>
    <w:rsid w:val="00B40598"/>
    <w:rsid w:val="00B50B99"/>
    <w:rsid w:val="00B62CD9"/>
    <w:rsid w:val="00B9734B"/>
    <w:rsid w:val="00C11BFE"/>
    <w:rsid w:val="00C94629"/>
    <w:rsid w:val="00CE65D4"/>
    <w:rsid w:val="00D45252"/>
    <w:rsid w:val="00D7151D"/>
    <w:rsid w:val="00D71B4D"/>
    <w:rsid w:val="00D93D55"/>
    <w:rsid w:val="00DB41BB"/>
    <w:rsid w:val="00E161A2"/>
    <w:rsid w:val="00E335FE"/>
    <w:rsid w:val="00E5021F"/>
    <w:rsid w:val="00E671A6"/>
    <w:rsid w:val="00E72EAB"/>
    <w:rsid w:val="00EC4E49"/>
    <w:rsid w:val="00ED77FB"/>
    <w:rsid w:val="00EF0DE3"/>
    <w:rsid w:val="00F021A6"/>
    <w:rsid w:val="00F10663"/>
    <w:rsid w:val="00F11D94"/>
    <w:rsid w:val="00F61A95"/>
    <w:rsid w:val="00F66152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AEAB7F2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F106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0663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AB41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2E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058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589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589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5896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605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589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E995-8135-4EA3-9247-27E94099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9</TotalTime>
  <Pages>2</Pages>
  <Words>644</Words>
  <Characters>3355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MORENO PALESTINI Maria del Pilar</cp:lastModifiedBy>
  <cp:revision>9</cp:revision>
  <cp:lastPrinted>2011-02-15T11:56:00Z</cp:lastPrinted>
  <dcterms:created xsi:type="dcterms:W3CDTF">2022-11-17T12:52:00Z</dcterms:created>
  <dcterms:modified xsi:type="dcterms:W3CDTF">2022-11-17T14:04:00Z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f3b29c87-6f41-484c-95b0-8b11b42681f0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