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629AF">
            <w:pPr>
              <w:jc w:val="right"/>
              <w:rPr>
                <w:rFonts w:ascii="Arial Black" w:hAnsi="Arial Black"/>
                <w:caps/>
                <w:sz w:val="15"/>
              </w:rPr>
            </w:pPr>
            <w:r w:rsidRPr="000D1DD6">
              <w:rPr>
                <w:rFonts w:ascii="Arial Black" w:hAnsi="Arial Black"/>
                <w:caps/>
                <w:sz w:val="15"/>
              </w:rPr>
              <w:t>WIPO/GRTKF/IC/4</w:t>
            </w:r>
            <w:r w:rsidR="003629AF">
              <w:rPr>
                <w:rFonts w:ascii="Arial Black" w:hAnsi="Arial Black"/>
                <w:caps/>
                <w:sz w:val="15"/>
              </w:rPr>
              <w:t>4</w:t>
            </w:r>
            <w:r w:rsidR="004D08C7">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4D08C7">
              <w:rPr>
                <w:rFonts w:ascii="Arial Black" w:hAnsi="Arial Black"/>
                <w:caps/>
                <w:sz w:val="15"/>
              </w:rPr>
              <w:t xml:space="preserve">  September 7,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629AF">
        <w:rPr>
          <w:b/>
          <w:sz w:val="24"/>
          <w:szCs w:val="24"/>
        </w:rPr>
        <w:t>Fourth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3629AF">
        <w:rPr>
          <w:b/>
          <w:sz w:val="24"/>
          <w:szCs w:val="24"/>
        </w:rPr>
        <w:t>September 12 to 16, 2022</w:t>
      </w:r>
    </w:p>
    <w:p w:rsidR="008B2CC1" w:rsidRPr="008B2CC1" w:rsidRDefault="008B2CC1" w:rsidP="008B2CC1"/>
    <w:p w:rsidR="008B2CC1" w:rsidRPr="008B2CC1" w:rsidRDefault="008B2CC1" w:rsidP="008B2CC1"/>
    <w:p w:rsidR="008B2CC1" w:rsidRPr="008B2CC1" w:rsidRDefault="008B2CC1" w:rsidP="008B2CC1"/>
    <w:p w:rsidR="004D08C7" w:rsidRPr="003845C1" w:rsidRDefault="004D08C7" w:rsidP="004D08C7">
      <w:pPr>
        <w:rPr>
          <w:caps/>
          <w:sz w:val="24"/>
        </w:rPr>
      </w:pPr>
      <w:bookmarkStart w:id="3" w:name="TitleOfDoc"/>
      <w:bookmarkEnd w:id="3"/>
      <w:r>
        <w:rPr>
          <w:caps/>
          <w:sz w:val="24"/>
        </w:rPr>
        <w:t xml:space="preserve">JOINT RECOMMENDATION ON THE USE OF DATABASES FOR THE DEFENSIVE PROTECTION OF GENETIC RESOURCES AND TRADITIONAL KNOWLEDGE ASSOCIATED WITH GENETIC RESOURCES </w:t>
      </w:r>
    </w:p>
    <w:p w:rsidR="004D08C7" w:rsidRPr="008B2CC1" w:rsidRDefault="004D08C7" w:rsidP="004D08C7"/>
    <w:p w:rsidR="004D08C7" w:rsidRPr="008B2CC1" w:rsidRDefault="004D08C7" w:rsidP="004D08C7">
      <w:pPr>
        <w:rPr>
          <w:i/>
        </w:rPr>
      </w:pPr>
      <w:bookmarkStart w:id="4" w:name="Prepared"/>
      <w:bookmarkEnd w:id="4"/>
      <w:r>
        <w:rPr>
          <w:i/>
        </w:rPr>
        <w:t>Document</w:t>
      </w:r>
      <w:r w:rsidRPr="00503452">
        <w:rPr>
          <w:i/>
        </w:rPr>
        <w:t xml:space="preserve"> </w:t>
      </w:r>
      <w:r w:rsidRPr="00A75B31">
        <w:rPr>
          <w:i/>
        </w:rPr>
        <w:t xml:space="preserve">submitted by the Delegations of </w:t>
      </w:r>
      <w:r>
        <w:rPr>
          <w:i/>
        </w:rPr>
        <w:t>Japan,</w:t>
      </w:r>
      <w:r w:rsidRPr="00A75B31">
        <w:rPr>
          <w:i/>
        </w:rPr>
        <w:t xml:space="preserve"> </w:t>
      </w:r>
      <w:r>
        <w:rPr>
          <w:i/>
        </w:rPr>
        <w:t xml:space="preserve">Norway, </w:t>
      </w:r>
      <w:r w:rsidRPr="00A75B31">
        <w:rPr>
          <w:i/>
        </w:rPr>
        <w:t xml:space="preserve">the Republic of Korea </w:t>
      </w:r>
      <w:r>
        <w:rPr>
          <w:i/>
        </w:rPr>
        <w:t>and the </w:t>
      </w:r>
      <w:r w:rsidRPr="00A75B31">
        <w:rPr>
          <w:i/>
        </w:rPr>
        <w:t>United States</w:t>
      </w:r>
      <w:r>
        <w:rPr>
          <w:i/>
        </w:rPr>
        <w:t xml:space="preserve"> of America </w:t>
      </w:r>
    </w:p>
    <w:p w:rsidR="004D08C7" w:rsidRDefault="004D08C7" w:rsidP="004D08C7"/>
    <w:p w:rsidR="004D08C7" w:rsidRDefault="004D08C7" w:rsidP="004D08C7"/>
    <w:p w:rsidR="004D08C7" w:rsidRDefault="004D08C7" w:rsidP="004D08C7"/>
    <w:p w:rsidR="004D08C7" w:rsidRDefault="004D08C7" w:rsidP="004D08C7"/>
    <w:p w:rsidR="004D08C7" w:rsidRDefault="004D08C7" w:rsidP="004D08C7">
      <w:pPr>
        <w:pStyle w:val="ONUME"/>
        <w:numPr>
          <w:ilvl w:val="0"/>
          <w:numId w:val="7"/>
        </w:numPr>
        <w:spacing w:after="0"/>
        <w:ind w:left="0" w:firstLine="0"/>
      </w:pPr>
      <w:r>
        <w:t>On September 5, 2022,</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International Organizations in Geneva</w:t>
      </w:r>
      <w:r w:rsidRPr="00A87AFF">
        <w:t xml:space="preserve">, on behalf of the Delegations of Japan, </w:t>
      </w:r>
      <w:r>
        <w:t xml:space="preserve">Norway, </w:t>
      </w:r>
      <w:r w:rsidRPr="00A87AFF">
        <w:t xml:space="preserve">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contained in document WIPO/GRTKF/IC/43/10, for discussion by </w:t>
      </w:r>
      <w:r w:rsidRPr="00A87AFF">
        <w:t xml:space="preserve">the </w:t>
      </w:r>
      <w:r>
        <w:t>Forty-Fourth</w:t>
      </w:r>
      <w:r w:rsidRPr="00A87AFF">
        <w:t xml:space="preserve"> Session of the Intergovernmental Committee on Intellectual Property and Genetic Resources, Traditional Knowledge and Folklore (IGC)</w:t>
      </w:r>
      <w:r>
        <w:t>.</w:t>
      </w:r>
      <w:r w:rsidRPr="00A87AFF">
        <w:t xml:space="preserve">  </w:t>
      </w:r>
    </w:p>
    <w:p w:rsidR="004D08C7" w:rsidRPr="00A87AFF" w:rsidRDefault="004D08C7" w:rsidP="004D08C7">
      <w:pPr>
        <w:pStyle w:val="ONUME"/>
        <w:numPr>
          <w:ilvl w:val="0"/>
          <w:numId w:val="0"/>
        </w:numPr>
        <w:spacing w:after="0"/>
      </w:pPr>
    </w:p>
    <w:p w:rsidR="004D08C7" w:rsidRDefault="004D08C7" w:rsidP="004D08C7">
      <w:pPr>
        <w:pStyle w:val="ONUME"/>
        <w:numPr>
          <w:ilvl w:val="0"/>
          <w:numId w:val="7"/>
        </w:numPr>
        <w:spacing w:after="0"/>
        <w:ind w:left="0" w:firstLine="0"/>
      </w:pPr>
      <w:r w:rsidRPr="00A65621">
        <w:t xml:space="preserve">Pursuant to the request above, the </w:t>
      </w:r>
      <w:r>
        <w:t>A</w:t>
      </w:r>
      <w:r w:rsidRPr="00A65621">
        <w:t xml:space="preserve">nnex to this document contains the </w:t>
      </w:r>
      <w:r>
        <w:t xml:space="preserve">proposal </w:t>
      </w:r>
      <w:r>
        <w:br/>
        <w:t xml:space="preserve">referred to. </w:t>
      </w:r>
    </w:p>
    <w:p w:rsidR="004D08C7" w:rsidRDefault="004D08C7" w:rsidP="004D08C7"/>
    <w:p w:rsidR="004D08C7" w:rsidRPr="00F64B6C" w:rsidRDefault="004D08C7" w:rsidP="004D08C7">
      <w:pPr>
        <w:pStyle w:val="ListParagraph"/>
        <w:numPr>
          <w:ilvl w:val="0"/>
          <w:numId w:val="7"/>
        </w:numPr>
        <w:ind w:left="5533" w:firstLine="0"/>
        <w:rPr>
          <w:i/>
        </w:rPr>
      </w:pPr>
      <w:r w:rsidRPr="00F64B6C">
        <w:rPr>
          <w:i/>
        </w:rPr>
        <w:t>The Committee is invited to take note of and consider the proposal in the Annex to this document.</w:t>
      </w:r>
      <w:r w:rsidRPr="00F64B6C">
        <w:rPr>
          <w:i/>
        </w:rPr>
        <w:br/>
      </w:r>
    </w:p>
    <w:p w:rsidR="004D08C7" w:rsidRDefault="004D08C7" w:rsidP="004D08C7">
      <w:pPr>
        <w:ind w:left="5533"/>
        <w:sectPr w:rsidR="004D08C7" w:rsidSect="000F2AD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665105">
        <w:t>[Annex follows]</w:t>
      </w:r>
    </w:p>
    <w:p w:rsidR="004D08C7" w:rsidRPr="003D18F0" w:rsidRDefault="004D08C7" w:rsidP="004D08C7">
      <w:pPr>
        <w:rPr>
          <w:szCs w:val="22"/>
          <w:lang w:val="en-GB"/>
        </w:rPr>
      </w:pPr>
      <w:r w:rsidRPr="003D18F0">
        <w:rPr>
          <w:szCs w:val="22"/>
          <w:lang w:val="en-GB"/>
        </w:rPr>
        <w:lastRenderedPageBreak/>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rsidR="004D08C7" w:rsidRDefault="004D08C7" w:rsidP="004D08C7">
      <w:pPr>
        <w:widowControl w:val="0"/>
      </w:pPr>
    </w:p>
    <w:p w:rsidR="004D08C7" w:rsidRDefault="004D08C7" w:rsidP="004D08C7">
      <w:pPr>
        <w:widowControl w:val="0"/>
      </w:pPr>
    </w:p>
    <w:p w:rsidR="004D08C7" w:rsidRDefault="004D08C7" w:rsidP="004D08C7">
      <w:pPr>
        <w:widowControl w:val="0"/>
      </w:pPr>
      <w:r>
        <w:t>The Intergovernmental Committee on Intellectual Property and Genetic Resources, Traditional Knowledge and Folklore and the General Assembly of the World Intellectual Property Organization,</w:t>
      </w:r>
    </w:p>
    <w:p w:rsidR="004D08C7" w:rsidRDefault="004D08C7" w:rsidP="004D08C7">
      <w:pPr>
        <w:widowControl w:val="0"/>
      </w:pPr>
    </w:p>
    <w:p w:rsidR="004D08C7" w:rsidRDefault="004D08C7" w:rsidP="004D08C7">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r>
        <w:t>;</w:t>
      </w:r>
    </w:p>
    <w:p w:rsidR="004D08C7" w:rsidRDefault="004D08C7" w:rsidP="004D08C7">
      <w:pPr>
        <w:widowControl w:val="0"/>
      </w:pPr>
    </w:p>
    <w:p w:rsidR="004D08C7" w:rsidRDefault="004D08C7" w:rsidP="004D08C7">
      <w:pPr>
        <w:widowControl w:val="0"/>
      </w:pPr>
      <w:r>
        <w:rPr>
          <w:i/>
        </w:rPr>
        <w:t>Acknowledging</w:t>
      </w:r>
      <w:r>
        <w:t xml:space="preserve"> the important contribution of the patent system to scientific research and development, innovation and economic development; </w:t>
      </w:r>
    </w:p>
    <w:p w:rsidR="004D08C7" w:rsidRDefault="004D08C7" w:rsidP="004D08C7">
      <w:pPr>
        <w:widowControl w:val="0"/>
      </w:pPr>
    </w:p>
    <w:p w:rsidR="004D08C7" w:rsidRDefault="004D08C7" w:rsidP="004D08C7">
      <w:pPr>
        <w:widowControl w:val="0"/>
      </w:pPr>
      <w:r w:rsidRPr="00767D40">
        <w:rPr>
          <w:i/>
        </w:rPr>
        <w:t>Recognizing</w:t>
      </w:r>
      <w:r>
        <w:t xml:space="preserve"> the complementarity between the patent system and the Convention on Biological Diversity;</w:t>
      </w:r>
    </w:p>
    <w:p w:rsidR="004D08C7" w:rsidRDefault="004D08C7" w:rsidP="004D08C7">
      <w:pPr>
        <w:widowControl w:val="0"/>
      </w:pPr>
    </w:p>
    <w:p w:rsidR="004D08C7" w:rsidRDefault="004D08C7" w:rsidP="004D08C7">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r>
        <w:t>;</w:t>
      </w:r>
    </w:p>
    <w:p w:rsidR="004D08C7" w:rsidRDefault="004D08C7" w:rsidP="004D08C7">
      <w:pPr>
        <w:widowControl w:val="0"/>
      </w:pPr>
    </w:p>
    <w:p w:rsidR="004D08C7" w:rsidRDefault="004D08C7" w:rsidP="004D08C7">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rsidR="004D08C7" w:rsidRDefault="004D08C7" w:rsidP="004D08C7">
      <w:pPr>
        <w:widowControl w:val="0"/>
      </w:pPr>
    </w:p>
    <w:p w:rsidR="004D08C7" w:rsidRDefault="004D08C7" w:rsidP="004D08C7">
      <w:pPr>
        <w:widowControl w:val="0"/>
      </w:pPr>
    </w:p>
    <w:p w:rsidR="004D08C7" w:rsidRDefault="004D08C7" w:rsidP="004D08C7">
      <w:pPr>
        <w:widowControl w:val="0"/>
        <w:numPr>
          <w:ilvl w:val="0"/>
          <w:numId w:val="8"/>
        </w:numPr>
        <w:tabs>
          <w:tab w:val="clear" w:pos="720"/>
          <w:tab w:val="num" w:pos="440"/>
        </w:tabs>
      </w:pPr>
      <w:r>
        <w:t>INTRODUCTION</w:t>
      </w:r>
    </w:p>
    <w:p w:rsidR="004D08C7" w:rsidRDefault="004D08C7" w:rsidP="004D08C7"/>
    <w:p w:rsidR="004D08C7" w:rsidRDefault="004D08C7" w:rsidP="004D08C7">
      <w:pPr>
        <w:widowControl w:val="0"/>
        <w:numPr>
          <w:ilvl w:val="0"/>
          <w:numId w:val="9"/>
        </w:numPr>
        <w:ind w:left="0" w:firstLine="0"/>
        <w:rPr>
          <w:rFonts w:cs="Courier New"/>
          <w:szCs w:val="26"/>
        </w:rPr>
      </w:pPr>
      <w:r w:rsidRPr="004D2B84">
        <w:rPr>
          <w:rFonts w:cs="Courier New"/>
          <w:szCs w:val="26"/>
        </w:rPr>
        <w:t xml:space="preserve">The erroneous granting of patents has been </w:t>
      </w:r>
      <w:r>
        <w:rPr>
          <w:rFonts w:cs="Courier New"/>
          <w:szCs w:val="26"/>
        </w:rPr>
        <w:t xml:space="preserve">identified as an important issue in discussions </w:t>
      </w:r>
      <w:r>
        <w:rPr>
          <w:rFonts w:cs="Courier New" w:hint="eastAsia"/>
          <w:szCs w:val="26"/>
          <w:lang w:eastAsia="ja-JP"/>
        </w:rPr>
        <w:t>in the WIPO and the WTO</w:t>
      </w:r>
      <w:r>
        <w:rPr>
          <w:rFonts w:cs="Courier New"/>
          <w:szCs w:val="26"/>
        </w:rPr>
        <w:t>.</w:t>
      </w:r>
    </w:p>
    <w:p w:rsidR="004D08C7" w:rsidRPr="004D2B84" w:rsidRDefault="004D08C7" w:rsidP="004D08C7">
      <w:pPr>
        <w:widowControl w:val="0"/>
        <w:rPr>
          <w:rFonts w:cs="Courier New"/>
          <w:szCs w:val="26"/>
        </w:rPr>
      </w:pPr>
    </w:p>
    <w:p w:rsidR="004D08C7" w:rsidRDefault="004D08C7" w:rsidP="004D08C7">
      <w:pPr>
        <w:widowControl w:val="0"/>
        <w:numPr>
          <w:ilvl w:val="0"/>
          <w:numId w:val="9"/>
        </w:numPr>
        <w:ind w:left="0" w:firstLine="0"/>
        <w:rPr>
          <w:rFonts w:cs="Courier New"/>
          <w:szCs w:val="26"/>
        </w:rPr>
      </w:pPr>
      <w:r>
        <w:rPr>
          <w:rFonts w:cs="Courier New"/>
          <w:szCs w:val="26"/>
        </w:rPr>
        <w:t>The erroneous granting of patents can be effectively addressed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rsidR="004D08C7" w:rsidRDefault="004D08C7" w:rsidP="004D08C7">
      <w:pPr>
        <w:widowControl w:val="0"/>
        <w:rPr>
          <w:rFonts w:cs="Courier New"/>
          <w:szCs w:val="26"/>
        </w:rPr>
      </w:pPr>
    </w:p>
    <w:p w:rsidR="004D08C7" w:rsidRDefault="004D08C7" w:rsidP="004D08C7">
      <w:pPr>
        <w:widowControl w:val="0"/>
        <w:numPr>
          <w:ilvl w:val="0"/>
          <w:numId w:val="9"/>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rsidR="004D08C7" w:rsidRDefault="004D08C7" w:rsidP="004D08C7">
      <w:pPr>
        <w:rPr>
          <w:rFonts w:cs="Courier New"/>
          <w:szCs w:val="26"/>
        </w:rPr>
      </w:pPr>
    </w:p>
    <w:p w:rsidR="004D08C7" w:rsidRPr="00D82CA8" w:rsidRDefault="004D08C7" w:rsidP="004D08C7">
      <w:pPr>
        <w:rPr>
          <w:rFonts w:cs="Courier New"/>
          <w:szCs w:val="26"/>
        </w:rPr>
      </w:pPr>
    </w:p>
    <w:p w:rsidR="004D08C7" w:rsidRDefault="004D08C7" w:rsidP="004D08C7">
      <w:pPr>
        <w:widowControl w:val="0"/>
        <w:numPr>
          <w:ilvl w:val="0"/>
          <w:numId w:val="8"/>
        </w:numPr>
        <w:tabs>
          <w:tab w:val="clear" w:pos="720"/>
          <w:tab w:val="num" w:pos="440"/>
        </w:tabs>
        <w:rPr>
          <w:rFonts w:cs="Courier New"/>
          <w:szCs w:val="26"/>
        </w:rPr>
      </w:pPr>
      <w:r>
        <w:rPr>
          <w:rFonts w:cs="Courier New"/>
          <w:szCs w:val="26"/>
        </w:rPr>
        <w:t>STRUCTURE OF THE ONE-CLICK DATABASE SEARCH SYSTEM</w:t>
      </w:r>
    </w:p>
    <w:p w:rsidR="004D08C7" w:rsidRDefault="004D08C7" w:rsidP="004D08C7">
      <w:pPr>
        <w:rPr>
          <w:rFonts w:cs="Courier New"/>
          <w:szCs w:val="26"/>
        </w:rPr>
      </w:pPr>
    </w:p>
    <w:p w:rsidR="004D08C7" w:rsidRDefault="004D08C7" w:rsidP="004D08C7">
      <w:pPr>
        <w:widowControl w:val="0"/>
        <w:numPr>
          <w:ilvl w:val="0"/>
          <w:numId w:val="9"/>
        </w:numPr>
        <w:ind w:left="0" w:firstLine="0"/>
      </w:pPr>
      <w:r>
        <w:t>As described in Figure 1 below, searchable databases under the proposed system should be in the possession of, and maintained by, each participating WIPO member state.  The database will be composed of a WIPO portal site as well as databases of WIPO member states, which are linked to this portal site.</w:t>
      </w:r>
    </w:p>
    <w:p w:rsidR="004D08C7" w:rsidRDefault="004D08C7" w:rsidP="004D08C7">
      <w:pPr>
        <w:widowControl w:val="0"/>
      </w:pPr>
    </w:p>
    <w:p w:rsidR="004D08C7" w:rsidRPr="00161C33" w:rsidRDefault="004D08C7" w:rsidP="004D08C7">
      <w:pPr>
        <w:widowControl w:val="0"/>
        <w:numPr>
          <w:ilvl w:val="0"/>
          <w:numId w:val="9"/>
        </w:numPr>
        <w:ind w:left="0" w:firstLine="0"/>
      </w:pPr>
      <w:r>
        <w:lastRenderedPageBreak/>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r>
        <w:rPr>
          <w:rFonts w:cs="Courier New"/>
          <w:szCs w:val="26"/>
        </w:rPr>
        <w:t xml:space="preserve">With regards to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have been referenced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rsidR="004D08C7" w:rsidRPr="00253DD2" w:rsidRDefault="004D08C7" w:rsidP="004D08C7"/>
    <w:p w:rsidR="004D08C7" w:rsidRPr="00384CC6" w:rsidRDefault="004D08C7" w:rsidP="004D08C7">
      <w:pPr>
        <w:widowControl w:val="0"/>
        <w:numPr>
          <w:ilvl w:val="0"/>
          <w:numId w:val="9"/>
        </w:numPr>
        <w:ind w:left="0" w:firstLine="0"/>
      </w:pPr>
      <w:r>
        <w:rPr>
          <w:rFonts w:cs="Courier New"/>
          <w:szCs w:val="26"/>
        </w:rPr>
        <w:t xml:space="preserve">A simple text search function should be provided in the databases of each participating WIPO member state.  For countries that are not able to develop such search programs, technical assistance can be provided.  For example, technical assistance in the form of a common program for conducting searches can be provided by </w:t>
      </w:r>
      <w:r>
        <w:rPr>
          <w:rFonts w:cs="Courier New" w:hint="eastAsia"/>
          <w:szCs w:val="26"/>
          <w:lang w:eastAsia="ja-JP"/>
        </w:rPr>
        <w:t xml:space="preserve">the </w:t>
      </w:r>
      <w:r>
        <w:rPr>
          <w:rFonts w:cs="Courier New"/>
          <w:szCs w:val="26"/>
        </w:rPr>
        <w:t>WIPO.</w:t>
      </w:r>
    </w:p>
    <w:p w:rsidR="004D08C7" w:rsidRDefault="004D08C7" w:rsidP="004D08C7"/>
    <w:p w:rsidR="004D08C7" w:rsidRDefault="004D08C7" w:rsidP="004D08C7">
      <w:pPr>
        <w:widowControl w:val="0"/>
        <w:numPr>
          <w:ilvl w:val="0"/>
          <w:numId w:val="9"/>
        </w:numPr>
        <w:ind w:left="0" w:firstLine="0"/>
      </w:pPr>
      <w:r>
        <w:t xml:space="preserve">The WIPO portal site will be equipped with two basic functions:  (i) a function which enables an examiner to directly access the databases of the participating WIPO member states and </w:t>
      </w:r>
      <w:r>
        <w:br/>
        <w:t xml:space="preserve">(ii) a function which enables an examiner to retrieve data from the accessed databases.  </w:t>
      </w:r>
    </w:p>
    <w:p w:rsidR="004D08C7" w:rsidRPr="00BB29A2" w:rsidRDefault="004D08C7" w:rsidP="004D08C7">
      <w:pPr>
        <w:widowControl w:val="0"/>
      </w:pPr>
    </w:p>
    <w:p w:rsidR="004D08C7" w:rsidRDefault="004D08C7" w:rsidP="004D08C7">
      <w:pPr>
        <w:widowControl w:val="0"/>
        <w:numPr>
          <w:ilvl w:val="0"/>
          <w:numId w:val="9"/>
        </w:numPr>
        <w:ind w:left="0" w:firstLine="0"/>
      </w:pPr>
      <w:r>
        <w:t>Simply by accessing the WIPO portal site and entering a search formula, an examiner can instantaneously obtain search results derived from the databases of all participating WIPO member states.  (see Figure 2)  This search result can be used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rsidR="004D08C7" w:rsidRDefault="004D08C7" w:rsidP="004D08C7"/>
    <w:p w:rsidR="004D08C7" w:rsidRDefault="004D08C7" w:rsidP="004D08C7">
      <w:pPr>
        <w:widowControl w:val="0"/>
        <w:numPr>
          <w:ilvl w:val="0"/>
          <w:numId w:val="9"/>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rsidR="004D08C7" w:rsidRDefault="004D08C7" w:rsidP="004D08C7"/>
    <w:p w:rsidR="004D08C7" w:rsidRPr="003925FD" w:rsidRDefault="004D08C7" w:rsidP="004D08C7"/>
    <w:p w:rsidR="004D08C7" w:rsidRDefault="004D08C7" w:rsidP="004D08C7">
      <w:pPr>
        <w:tabs>
          <w:tab w:val="left" w:pos="440"/>
        </w:tabs>
      </w:pPr>
      <w:r>
        <w:t xml:space="preserve">III. </w:t>
      </w:r>
      <w:r>
        <w:tab/>
        <w:t>PREVENTION OF THIRD PARTY ACCESS</w:t>
      </w:r>
    </w:p>
    <w:p w:rsidR="004D08C7" w:rsidRDefault="004D08C7" w:rsidP="004D08C7"/>
    <w:p w:rsidR="004D08C7" w:rsidRPr="00AC458B" w:rsidRDefault="004D08C7" w:rsidP="004D08C7">
      <w:pPr>
        <w:widowControl w:val="0"/>
        <w:numPr>
          <w:ilvl w:val="0"/>
          <w:numId w:val="9"/>
        </w:numPr>
        <w:ind w:left="0" w:firstLine="0"/>
      </w:pPr>
      <w:r>
        <w:t xml:space="preserve">To prevent third party access, the WIPO portal site will be made accessible only from registered IP (Internet Protocol) addresses.  </w:t>
      </w:r>
      <w:r w:rsidRPr="00AC458B">
        <w:rPr>
          <w:rFonts w:cs="Courier New"/>
          <w:szCs w:val="26"/>
        </w:rPr>
        <w:t>Specifically, an IP (</w:t>
      </w:r>
      <w:r>
        <w:t>Internet Protocol) A</w:t>
      </w:r>
      <w:r w:rsidRPr="00AC458B">
        <w:rPr>
          <w:rFonts w:cs="Courier New"/>
          <w:szCs w:val="26"/>
        </w:rPr>
        <w:t xml:space="preserve">ddress Authentication System (IPAAS) will be incorporated into the WIPO portal site.  Then, access will be provided only to registered IP </w:t>
      </w:r>
      <w:r>
        <w:t>(Internet Protocol)</w:t>
      </w:r>
      <w:r w:rsidRPr="00AC458B">
        <w:rPr>
          <w:rFonts w:cs="Courier New"/>
          <w:szCs w:val="26"/>
        </w:rPr>
        <w:t xml:space="preserve"> addresses.  (See Figure 1.)</w:t>
      </w:r>
    </w:p>
    <w:p w:rsidR="004D08C7" w:rsidRDefault="004D08C7" w:rsidP="004D08C7"/>
    <w:p w:rsidR="004D08C7" w:rsidRPr="006B56D9" w:rsidRDefault="004D08C7" w:rsidP="004D08C7">
      <w:pPr>
        <w:widowControl w:val="0"/>
        <w:numPr>
          <w:ilvl w:val="0"/>
          <w:numId w:val="9"/>
        </w:numPr>
        <w:ind w:left="0" w:firstLine="0"/>
      </w:pPr>
      <w:r>
        <w:rPr>
          <w:rFonts w:cs="Courier New"/>
          <w:szCs w:val="26"/>
        </w:rPr>
        <w:lastRenderedPageBreak/>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rsidR="004D08C7" w:rsidRPr="006B56D9" w:rsidRDefault="004D08C7" w:rsidP="004D08C7">
      <w:pPr>
        <w:widowControl w:val="0"/>
      </w:pPr>
    </w:p>
    <w:p w:rsidR="004D08C7" w:rsidRDefault="004D08C7" w:rsidP="004D08C7">
      <w:pPr>
        <w:widowControl w:val="0"/>
        <w:numPr>
          <w:ilvl w:val="0"/>
          <w:numId w:val="9"/>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public access to the WIPO portal site should not be entirely excluded before a careful consideration is given to this issue.</w:t>
      </w:r>
      <w:r>
        <w:rPr>
          <w:rFonts w:eastAsia="MS Mincho"/>
          <w:lang w:eastAsia="ja-JP"/>
        </w:rPr>
        <w:t xml:space="preserve"> </w:t>
      </w:r>
    </w:p>
    <w:p w:rsidR="004D08C7" w:rsidRPr="00563DC6" w:rsidRDefault="004D08C7" w:rsidP="004D08C7">
      <w:pPr>
        <w:keepNext/>
        <w:tabs>
          <w:tab w:val="left" w:pos="440"/>
        </w:tabs>
      </w:pPr>
    </w:p>
    <w:p w:rsidR="004D08C7" w:rsidRDefault="004D08C7" w:rsidP="004D08C7">
      <w:pPr>
        <w:keepNext/>
        <w:tabs>
          <w:tab w:val="left" w:pos="440"/>
        </w:tabs>
      </w:pPr>
    </w:p>
    <w:p w:rsidR="004D08C7" w:rsidRDefault="004D08C7" w:rsidP="004D08C7">
      <w:pPr>
        <w:keepNext/>
        <w:tabs>
          <w:tab w:val="left" w:pos="440"/>
        </w:tabs>
      </w:pPr>
      <w:r>
        <w:t xml:space="preserve">IV. </w:t>
      </w:r>
      <w:r>
        <w:tab/>
        <w:t>REGISTRATION OF CITED/REFERENCE INFORMATION</w:t>
      </w:r>
    </w:p>
    <w:p w:rsidR="004D08C7" w:rsidRDefault="004D08C7" w:rsidP="004D08C7">
      <w:pPr>
        <w:keepNext/>
      </w:pPr>
    </w:p>
    <w:p w:rsidR="004D08C7" w:rsidRDefault="004D08C7" w:rsidP="004D08C7">
      <w:pPr>
        <w:widowControl w:val="0"/>
        <w:numPr>
          <w:ilvl w:val="0"/>
          <w:numId w:val="9"/>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can be linked.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might be allowed through the examining authority or other competent authority to have access to such data on the relevant patent applications.</w:t>
      </w:r>
    </w:p>
    <w:p w:rsidR="004D08C7" w:rsidRDefault="004D08C7" w:rsidP="004D08C7"/>
    <w:p w:rsidR="004D08C7" w:rsidRPr="004A42A0" w:rsidRDefault="004D08C7" w:rsidP="004D08C7">
      <w:pPr>
        <w:widowControl w:val="0"/>
        <w:numPr>
          <w:ilvl w:val="0"/>
          <w:numId w:val="9"/>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rsidR="004D08C7" w:rsidRDefault="004D08C7" w:rsidP="004D08C7">
      <w:pPr>
        <w:widowControl w:val="0"/>
        <w:rPr>
          <w:rFonts w:eastAsia="MS Mincho" w:cs="Courier New"/>
          <w:szCs w:val="26"/>
          <w:lang w:eastAsia="ja-JP"/>
        </w:rPr>
      </w:pPr>
    </w:p>
    <w:p w:rsidR="004D08C7" w:rsidRDefault="004D08C7" w:rsidP="004D08C7">
      <w:pPr>
        <w:widowControl w:val="0"/>
        <w:rPr>
          <w:rFonts w:eastAsia="MS Mincho" w:cs="Courier New"/>
          <w:szCs w:val="26"/>
          <w:lang w:eastAsia="ja-JP"/>
        </w:rPr>
      </w:pPr>
    </w:p>
    <w:p w:rsidR="004D08C7" w:rsidRDefault="004D08C7" w:rsidP="004D08C7">
      <w:pPr>
        <w:widowControl w:val="0"/>
        <w:rPr>
          <w:rFonts w:eastAsia="MS Mincho" w:cs="Courier New"/>
          <w:szCs w:val="26"/>
          <w:lang w:eastAsia="ja-JP"/>
        </w:rPr>
      </w:pPr>
      <w:r>
        <w:rPr>
          <w:rFonts w:cs="Courier New"/>
          <w:szCs w:val="26"/>
        </w:rPr>
        <w:t xml:space="preserve">V. </w:t>
      </w:r>
      <w:r>
        <w:rPr>
          <w:rFonts w:cs="Courier New"/>
          <w:szCs w:val="26"/>
        </w:rPr>
        <w:tab/>
        <w:t>APPLICATION</w:t>
      </w:r>
    </w:p>
    <w:p w:rsidR="004D08C7" w:rsidRPr="004A42A0" w:rsidRDefault="004D08C7" w:rsidP="004D08C7">
      <w:pPr>
        <w:widowControl w:val="0"/>
        <w:rPr>
          <w:rFonts w:eastAsia="MS Mincho"/>
          <w:lang w:eastAsia="ja-JP"/>
        </w:rPr>
      </w:pPr>
    </w:p>
    <w:p w:rsidR="004D08C7" w:rsidRPr="004A42A0" w:rsidRDefault="004D08C7" w:rsidP="004D08C7">
      <w:pPr>
        <w:widowControl w:val="0"/>
        <w:numPr>
          <w:ilvl w:val="0"/>
          <w:numId w:val="9"/>
        </w:numPr>
        <w:ind w:left="0" w:firstLine="0"/>
      </w:pPr>
      <w:r>
        <w:t>T</w:t>
      </w:r>
      <w:r w:rsidRPr="007F7DEE">
        <w:t xml:space="preserve">he </w:t>
      </w:r>
      <w:r>
        <w:t>establishment, improvement and use of databases will be subject to the availability of resources.</w:t>
      </w:r>
    </w:p>
    <w:p w:rsidR="004D08C7" w:rsidRPr="004A42A0" w:rsidRDefault="004D08C7" w:rsidP="004D08C7">
      <w:pPr>
        <w:widowControl w:val="0"/>
      </w:pPr>
    </w:p>
    <w:p w:rsidR="004D08C7" w:rsidRDefault="004D08C7" w:rsidP="004D08C7">
      <w:pPr>
        <w:widowControl w:val="0"/>
        <w:numPr>
          <w:ilvl w:val="0"/>
          <w:numId w:val="9"/>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rsidR="004D08C7" w:rsidRDefault="004D08C7" w:rsidP="004D08C7">
      <w:pPr>
        <w:widowControl w:val="0"/>
        <w:sectPr w:rsidR="004D08C7" w:rsidSect="004D08C7">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p>
    <w:p w:rsidR="004D08C7" w:rsidRDefault="004D08C7" w:rsidP="004D08C7">
      <w:pPr>
        <w:widowControl w:val="0"/>
        <w:rPr>
          <w:rFonts w:eastAsia="MS Mincho"/>
          <w:lang w:eastAsia="ja-JP"/>
        </w:rPr>
      </w:pPr>
      <w:r>
        <w:rPr>
          <w:rFonts w:eastAsia="MS Mincho" w:hint="eastAsia"/>
          <w:lang w:eastAsia="ja-JP"/>
        </w:rPr>
        <w:lastRenderedPageBreak/>
        <w:t>VI.</w:t>
      </w:r>
      <w:r>
        <w:rPr>
          <w:rFonts w:eastAsia="MS Mincho" w:hint="eastAsia"/>
          <w:lang w:eastAsia="ja-JP"/>
        </w:rPr>
        <w:tab/>
        <w:t>FUTURE WORK</w:t>
      </w:r>
      <w:r w:rsidDel="006348F1">
        <w:rPr>
          <w:rFonts w:eastAsia="MS Mincho" w:hint="eastAsia"/>
          <w:lang w:eastAsia="ja-JP"/>
        </w:rPr>
        <w:t xml:space="preserve"> </w:t>
      </w:r>
    </w:p>
    <w:p w:rsidR="004D08C7" w:rsidRPr="006B56D9" w:rsidRDefault="004D08C7" w:rsidP="004D08C7">
      <w:pPr>
        <w:widowControl w:val="0"/>
        <w:rPr>
          <w:rFonts w:eastAsia="MS Mincho"/>
          <w:lang w:eastAsia="ja-JP"/>
        </w:rPr>
      </w:pPr>
    </w:p>
    <w:p w:rsidR="004D08C7" w:rsidRPr="009951CA" w:rsidRDefault="004D08C7" w:rsidP="004D08C7">
      <w:pPr>
        <w:widowControl w:val="0"/>
        <w:numPr>
          <w:ilvl w:val="0"/>
          <w:numId w:val="9"/>
        </w:numPr>
        <w:ind w:left="0" w:firstLine="0"/>
      </w:pPr>
      <w:r>
        <w:rPr>
          <w:rFonts w:eastAsia="MS Mincho" w:hint="eastAsia"/>
          <w:lang w:eastAsia="ja-JP"/>
        </w:rPr>
        <w:t>Member states are invited to consider and share their views and experiences on the following key issues:</w:t>
      </w:r>
    </w:p>
    <w:p w:rsidR="004D08C7" w:rsidRPr="006348F1" w:rsidRDefault="004D08C7" w:rsidP="004D08C7">
      <w:pPr>
        <w:widowControl w:val="0"/>
      </w:pPr>
    </w:p>
    <w:p w:rsidR="004D08C7" w:rsidRPr="006348F1" w:rsidRDefault="004D08C7" w:rsidP="004D08C7">
      <w:pPr>
        <w:widowControl w:val="0"/>
        <w:numPr>
          <w:ilvl w:val="0"/>
          <w:numId w:val="10"/>
        </w:numPr>
      </w:pPr>
      <w:r w:rsidRPr="00472B34">
        <w:rPr>
          <w:rFonts w:eastAsia="MS Mincho"/>
          <w:lang w:eastAsia="ja-JP"/>
        </w:rPr>
        <w:t>Structured data</w:t>
      </w:r>
      <w:r w:rsidRPr="00472B34">
        <w:rPr>
          <w:rFonts w:eastAsia="MS Mincho" w:hint="eastAsia"/>
          <w:lang w:eastAsia="ja-JP"/>
        </w:rPr>
        <w:t xml:space="preserve"> to be stored in databases (e.g. genetic resources and </w:t>
      </w:r>
      <w:r w:rsidRPr="00472B34">
        <w:rPr>
          <w:rFonts w:eastAsia="MS Mincho"/>
          <w:lang w:eastAsia="ja-JP"/>
        </w:rPr>
        <w:t xml:space="preserve">non-secret </w:t>
      </w:r>
      <w:r w:rsidRPr="00472B34">
        <w:rPr>
          <w:rFonts w:eastAsia="MS Mincho" w:hint="eastAsia"/>
          <w:lang w:eastAsia="ja-JP"/>
        </w:rPr>
        <w:t>traditional knowledge associated with genetic resources) with a view to conducting effective prior art search,</w:t>
      </w:r>
    </w:p>
    <w:p w:rsidR="004D08C7" w:rsidRPr="000B3804" w:rsidRDefault="004D08C7" w:rsidP="004D08C7">
      <w:pPr>
        <w:widowControl w:val="0"/>
        <w:numPr>
          <w:ilvl w:val="0"/>
          <w:numId w:val="10"/>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rsidR="004D08C7" w:rsidRPr="001B13F7" w:rsidRDefault="004D08C7" w:rsidP="004D08C7">
      <w:pPr>
        <w:widowControl w:val="0"/>
        <w:numPr>
          <w:ilvl w:val="0"/>
          <w:numId w:val="10"/>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rsidR="004D08C7" w:rsidRPr="000B3804" w:rsidRDefault="004D08C7" w:rsidP="004D08C7">
      <w:pPr>
        <w:widowControl w:val="0"/>
        <w:numPr>
          <w:ilvl w:val="0"/>
          <w:numId w:val="10"/>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rsidR="004D08C7" w:rsidRPr="000B3804" w:rsidRDefault="004D08C7" w:rsidP="004D08C7">
      <w:pPr>
        <w:widowControl w:val="0"/>
        <w:numPr>
          <w:ilvl w:val="0"/>
          <w:numId w:val="10"/>
        </w:numPr>
      </w:pPr>
      <w:r w:rsidRPr="000B3804">
        <w:t>The process</w:t>
      </w:r>
      <w:r>
        <w:t xml:space="preserve"> used to populate a national </w:t>
      </w:r>
      <w:r w:rsidRPr="000B3804">
        <w:t>database</w:t>
      </w:r>
      <w:r>
        <w:t xml:space="preserve"> (e.g. consulting with indigenous stakeholders)</w:t>
      </w:r>
      <w:r w:rsidRPr="000B3804">
        <w:t xml:space="preserve">. </w:t>
      </w:r>
    </w:p>
    <w:p w:rsidR="004D08C7" w:rsidRPr="000B3804" w:rsidRDefault="004D08C7" w:rsidP="004D08C7">
      <w:pPr>
        <w:widowControl w:val="0"/>
      </w:pPr>
    </w:p>
    <w:p w:rsidR="004D08C7" w:rsidRPr="009951CA" w:rsidRDefault="004D08C7" w:rsidP="004D08C7">
      <w:pPr>
        <w:widowControl w:val="0"/>
        <w:numPr>
          <w:ilvl w:val="0"/>
          <w:numId w:val="9"/>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rsidR="004D08C7" w:rsidRPr="00216C4B" w:rsidRDefault="004D08C7" w:rsidP="004D08C7">
      <w:pPr>
        <w:widowControl w:val="0"/>
      </w:pPr>
    </w:p>
    <w:p w:rsidR="004D08C7" w:rsidRPr="00216C4B" w:rsidRDefault="004D08C7" w:rsidP="004D08C7">
      <w:pPr>
        <w:widowControl w:val="0"/>
        <w:numPr>
          <w:ilvl w:val="0"/>
          <w:numId w:val="11"/>
        </w:numPr>
      </w:pPr>
      <w:r>
        <w:rPr>
          <w:rFonts w:eastAsia="MS Mincho" w:hint="eastAsia"/>
          <w:lang w:eastAsia="ja-JP"/>
        </w:rPr>
        <w:t xml:space="preserve">Study of technical requirement(s) for an effective connection between the WIPO portal site and databases of member states, </w:t>
      </w:r>
    </w:p>
    <w:p w:rsidR="004D08C7" w:rsidRPr="00216C4B" w:rsidRDefault="004D08C7" w:rsidP="004D08C7">
      <w:pPr>
        <w:widowControl w:val="0"/>
        <w:numPr>
          <w:ilvl w:val="0"/>
          <w:numId w:val="11"/>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rsidR="004D08C7" w:rsidRPr="00A43949" w:rsidRDefault="004D08C7" w:rsidP="004D08C7">
      <w:pPr>
        <w:widowControl w:val="0"/>
        <w:numPr>
          <w:ilvl w:val="0"/>
          <w:numId w:val="11"/>
        </w:numPr>
      </w:pPr>
      <w:r>
        <w:rPr>
          <w:rFonts w:ascii="Times New Roman" w:eastAsia="Times New Roman" w:hAnsi="Times New Roman" w:cs="Times New Roman"/>
          <w:noProof/>
          <w:sz w:val="24"/>
          <w:szCs w:val="24"/>
          <w:lang w:eastAsia="en-US"/>
        </w:rPr>
        <w:drawing>
          <wp:anchor distT="0" distB="0" distL="114300" distR="114300" simplePos="0" relativeHeight="251661312" behindDoc="0" locked="0" layoutInCell="1" allowOverlap="1" wp14:anchorId="3F934F8E" wp14:editId="115FD4F4">
            <wp:simplePos x="0" y="0"/>
            <wp:positionH relativeFrom="margin">
              <wp:posOffset>101600</wp:posOffset>
            </wp:positionH>
            <wp:positionV relativeFrom="margin">
              <wp:posOffset>4470400</wp:posOffset>
            </wp:positionV>
            <wp:extent cx="5556250" cy="48844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6250" cy="4884420"/>
                    </a:xfrm>
                    <a:prstGeom prst="rect">
                      <a:avLst/>
                    </a:prstGeom>
                    <a:noFill/>
                  </pic:spPr>
                </pic:pic>
              </a:graphicData>
            </a:graphic>
          </wp:anchor>
        </w:drawing>
      </w:r>
      <w:r>
        <w:rPr>
          <w:rFonts w:eastAsia="MS Mincho" w:hint="eastAsia"/>
          <w:lang w:eastAsia="ja-JP"/>
        </w:rPr>
        <w:t>Consideration of technical assistance to member states on the development of database.</w:t>
      </w:r>
    </w:p>
    <w:p w:rsidR="004D08C7" w:rsidRDefault="004D08C7" w:rsidP="004D08C7">
      <w:pPr>
        <w:rPr>
          <w:rFonts w:ascii="Times New Roman" w:eastAsia="Times New Roman" w:hAnsi="Times New Roman" w:cs="Times New Roman"/>
          <w:sz w:val="24"/>
          <w:szCs w:val="24"/>
          <w:lang w:eastAsia="de-CH"/>
        </w:rPr>
      </w:pPr>
      <w:r>
        <w:rPr>
          <w:rFonts w:ascii="Times New Roman" w:eastAsia="Times New Roman" w:hAnsi="Times New Roman" w:cs="Times New Roman" w:hint="eastAsia"/>
          <w:noProof/>
          <w:sz w:val="24"/>
          <w:szCs w:val="24"/>
          <w:lang w:eastAsia="en-US"/>
        </w:rPr>
        <mc:AlternateContent>
          <mc:Choice Requires="wps">
            <w:drawing>
              <wp:anchor distT="0" distB="0" distL="114300" distR="114300" simplePos="0" relativeHeight="251659264" behindDoc="0" locked="0" layoutInCell="1" allowOverlap="1" wp14:anchorId="24794A5E" wp14:editId="5C26B4B0">
                <wp:simplePos x="0" y="0"/>
                <wp:positionH relativeFrom="column">
                  <wp:posOffset>1113155</wp:posOffset>
                </wp:positionH>
                <wp:positionV relativeFrom="paragraph">
                  <wp:posOffset>259334</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4D08C7" w:rsidRPr="005838A8" w:rsidRDefault="004D08C7" w:rsidP="004D08C7">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94A5E" id="_x0000_t202" coordsize="21600,21600" o:spt="202" path="m,l,21600r21600,l21600,xe">
                <v:stroke joinstyle="miter"/>
                <v:path gradientshapeok="t" o:connecttype="rect"/>
              </v:shapetype>
              <v:shape id="Text Box 5" o:spid="_x0000_s1026" type="#_x0000_t202" style="position:absolute;margin-left:87.65pt;margin-top:20.4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JwIAAFA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">
                <v:textbox>
                  <w:txbxContent>
                    <w:p w:rsidR="004D08C7" w:rsidRPr="005838A8" w:rsidRDefault="004D08C7" w:rsidP="004D08C7">
                      <w:pPr>
                        <w:rPr>
                          <w:szCs w:val="22"/>
                        </w:rPr>
                      </w:pPr>
                      <w:r w:rsidRPr="005838A8">
                        <w:rPr>
                          <w:szCs w:val="22"/>
                        </w:rPr>
                        <w:t xml:space="preserve">Figure 1:  Overview of One-Click Database Search System for individual Databases of WIPO Member States   </w:t>
                      </w:r>
                    </w:p>
                  </w:txbxContent>
                </v:textbox>
              </v:shape>
            </w:pict>
          </mc:Fallback>
        </mc:AlternateContent>
      </w:r>
    </w:p>
    <w:p w:rsidR="004D08C7" w:rsidRPr="0009083F" w:rsidRDefault="004D08C7" w:rsidP="004D08C7">
      <w:pPr>
        <w:rPr>
          <w:rFonts w:ascii="Times New Roman" w:eastAsia="Times New Roman" w:hAnsi="Times New Roman" w:cs="Times New Roman"/>
          <w:sz w:val="24"/>
          <w:szCs w:val="24"/>
          <w:lang w:eastAsia="de-CH"/>
        </w:rPr>
      </w:pPr>
    </w:p>
    <w:p w:rsidR="004D08C7" w:rsidRPr="0009083F" w:rsidRDefault="004D08C7" w:rsidP="004D08C7">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53EEBB26" wp14:editId="088E7A46">
                <wp:simplePos x="0" y="0"/>
                <wp:positionH relativeFrom="column">
                  <wp:posOffset>65405</wp:posOffset>
                </wp:positionH>
                <wp:positionV relativeFrom="paragraph">
                  <wp:posOffset>-1270</wp:posOffset>
                </wp:positionV>
                <wp:extent cx="2475230" cy="342900"/>
                <wp:effectExtent l="13335" t="8255" r="698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4D08C7" w:rsidRPr="005838A8" w:rsidRDefault="004D08C7" w:rsidP="004D08C7">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BB26" id="Text Box 2" o:spid="_x0000_s1027" type="#_x0000_t202" style="position:absolute;margin-left:5.15pt;margin-top:-.1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">
                <v:textbox>
                  <w:txbxContent>
                    <w:p w:rsidR="004D08C7" w:rsidRPr="005838A8" w:rsidRDefault="004D08C7" w:rsidP="004D08C7">
                      <w:pPr>
                        <w:rPr>
                          <w:szCs w:val="22"/>
                        </w:rPr>
                      </w:pPr>
                      <w:r w:rsidRPr="005838A8">
                        <w:rPr>
                          <w:szCs w:val="22"/>
                        </w:rPr>
                        <w:t>Figure 2:  Image of a retrieval screen</w:t>
                      </w:r>
                    </w:p>
                  </w:txbxContent>
                </v:textbox>
                <w10:wrap type="square"/>
              </v:shape>
            </w:pict>
          </mc:Fallback>
        </mc:AlternateContent>
      </w:r>
    </w:p>
    <w:p w:rsidR="004D08C7" w:rsidRPr="0009083F" w:rsidRDefault="004D08C7" w:rsidP="004D08C7">
      <w:pPr>
        <w:rPr>
          <w:rFonts w:ascii="Times New Roman" w:eastAsia="Times New Roman" w:hAnsi="Times New Roman" w:cs="Times New Roman"/>
          <w:sz w:val="24"/>
          <w:szCs w:val="24"/>
          <w:lang w:eastAsia="de-CH"/>
        </w:rPr>
      </w:pPr>
    </w:p>
    <w:p w:rsidR="004D08C7" w:rsidRPr="0009083F" w:rsidRDefault="004D08C7" w:rsidP="004D08C7">
      <w:pPr>
        <w:rPr>
          <w:rFonts w:ascii="Times New Roman" w:eastAsia="Times New Roman" w:hAnsi="Times New Roman" w:cs="Times New Roman"/>
          <w:sz w:val="24"/>
          <w:szCs w:val="24"/>
          <w:lang w:eastAsia="de-CH"/>
        </w:rPr>
      </w:pPr>
    </w:p>
    <w:p w:rsidR="004D08C7" w:rsidRPr="0009083F" w:rsidRDefault="004D08C7" w:rsidP="004D08C7">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w:drawing>
          <wp:inline distT="0" distB="0" distL="0" distR="0" wp14:anchorId="5CF57E42" wp14:editId="50F997F8">
            <wp:extent cx="6101715" cy="1900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4D08C7" w:rsidRPr="00F55FB2" w:rsidRDefault="004D08C7" w:rsidP="004D08C7">
      <w:pPr>
        <w:rPr>
          <w:szCs w:val="22"/>
        </w:rPr>
      </w:pPr>
    </w:p>
    <w:p w:rsidR="004D08C7" w:rsidRPr="00277EAC" w:rsidRDefault="004D08C7" w:rsidP="004D08C7">
      <w:pPr>
        <w:rPr>
          <w:szCs w:val="22"/>
          <w:lang w:val="en-GB"/>
        </w:rPr>
      </w:pPr>
    </w:p>
    <w:p w:rsidR="002928D3" w:rsidRDefault="004D08C7" w:rsidP="0085349C">
      <w:pPr>
        <w:tabs>
          <w:tab w:val="right" w:pos="9355"/>
        </w:tabs>
        <w:ind w:left="5500"/>
      </w:pPr>
      <w:r w:rsidRPr="00F673DB">
        <w:t xml:space="preserve">[End of </w:t>
      </w:r>
      <w:r>
        <w:t xml:space="preserve">Annex and of </w:t>
      </w:r>
      <w:r w:rsidRPr="00F673DB">
        <w:t>document]</w:t>
      </w:r>
      <w:r w:rsidR="0085349C">
        <w:tab/>
      </w:r>
      <w:bookmarkStart w:id="5" w:name="_GoBack"/>
      <w:bookmarkEnd w:id="5"/>
    </w:p>
    <w:p w:rsidR="002928D3" w:rsidRDefault="002928D3"/>
    <w:sectPr w:rsidR="002928D3" w:rsidSect="000F2AD2">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3B38C1" w:rsidRDefault="00BC7DD2" w:rsidP="003B38C1">
      <w:pPr>
        <w:spacing w:after="60"/>
        <w:rPr>
          <w:sz w:val="17"/>
        </w:rPr>
      </w:pPr>
      <w:r>
        <w:rPr>
          <w:sz w:val="17"/>
        </w:rPr>
        <w:t>[Endnote continued from previous page]</w:t>
      </w:r>
    </w:p>
  </w:endnote>
  <w:endnote w:type="continuationNotice" w:id="1">
    <w:p w:rsidR="00BC7DD2" w:rsidRPr="003B38C1" w:rsidRDefault="00BC7D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9C" w:rsidRDefault="00853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9C" w:rsidRDefault="00853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9C" w:rsidRDefault="008534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C7" w:rsidRDefault="004D08C7"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C7" w:rsidRDefault="004D08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C7" w:rsidRDefault="004D08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ED77FB" w:rsidRDefault="00BC7DD2" w:rsidP="008B60B2">
      <w:pPr>
        <w:spacing w:after="60"/>
        <w:rPr>
          <w:sz w:val="17"/>
          <w:szCs w:val="17"/>
        </w:rPr>
      </w:pPr>
      <w:r w:rsidRPr="00ED77FB">
        <w:rPr>
          <w:sz w:val="17"/>
          <w:szCs w:val="17"/>
        </w:rPr>
        <w:t>[Footnote continued from previous page]</w:t>
      </w:r>
    </w:p>
  </w:footnote>
  <w:footnote w:type="continuationNotice" w:id="1">
    <w:p w:rsidR="00BC7DD2" w:rsidRPr="00ED77FB" w:rsidRDefault="00BC7DD2" w:rsidP="008B60B2">
      <w:pPr>
        <w:spacing w:before="60"/>
        <w:jc w:val="right"/>
        <w:rPr>
          <w:sz w:val="17"/>
          <w:szCs w:val="17"/>
        </w:rPr>
      </w:pPr>
      <w:r w:rsidRPr="00ED77FB">
        <w:rPr>
          <w:sz w:val="17"/>
          <w:szCs w:val="17"/>
        </w:rPr>
        <w:t>[Footnote continued on next page]</w:t>
      </w:r>
    </w:p>
  </w:footnote>
  <w:footnote w:id="2">
    <w:p w:rsidR="004D08C7" w:rsidRDefault="004D08C7" w:rsidP="004D08C7">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public which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C7" w:rsidRDefault="004D08C7" w:rsidP="000F2AD2">
    <w:pPr>
      <w:jc w:val="right"/>
    </w:pPr>
  </w:p>
  <w:p w:rsidR="004D08C7" w:rsidRDefault="004D08C7" w:rsidP="000F2AD2">
    <w:pPr>
      <w:jc w:val="right"/>
    </w:pPr>
    <w:r>
      <w:t xml:space="preserve">page </w:t>
    </w:r>
    <w:r>
      <w:fldChar w:fldCharType="begin"/>
    </w:r>
    <w:r>
      <w:instrText xml:space="preserve"> PAGE  \* MERGEFORMAT </w:instrText>
    </w:r>
    <w:r>
      <w:fldChar w:fldCharType="separate"/>
    </w:r>
    <w:r>
      <w:rPr>
        <w:noProof/>
      </w:rPr>
      <w:t>4</w:t>
    </w:r>
    <w:r>
      <w:fldChar w:fldCharType="end"/>
    </w:r>
  </w:p>
  <w:p w:rsidR="004D08C7" w:rsidRDefault="004D08C7" w:rsidP="000F2AD2">
    <w:pPr>
      <w:jc w:val="right"/>
    </w:pPr>
  </w:p>
  <w:p w:rsidR="004D08C7" w:rsidRDefault="004D08C7"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C7" w:rsidRDefault="004D08C7" w:rsidP="0079563D">
    <w:pPr>
      <w:pStyle w:val="Header"/>
      <w:jc w:val="right"/>
    </w:pPr>
    <w:r>
      <w:t>WIPO/GRTKF/IC/41/10</w:t>
    </w:r>
  </w:p>
  <w:p w:rsidR="004D08C7" w:rsidRDefault="004D08C7" w:rsidP="0079563D">
    <w:pPr>
      <w:pStyle w:val="Header"/>
      <w:tabs>
        <w:tab w:val="clear" w:pos="9072"/>
        <w:tab w:val="right" w:pos="9355"/>
      </w:tabs>
      <w:jc w:val="right"/>
    </w:pPr>
    <w:r>
      <w:t>Annex, page 2</w:t>
    </w:r>
  </w:p>
  <w:p w:rsidR="004D08C7" w:rsidRDefault="004D08C7" w:rsidP="0079563D">
    <w:pPr>
      <w:pStyle w:val="Header"/>
      <w:tabs>
        <w:tab w:val="clear" w:pos="9072"/>
        <w:tab w:val="right" w:pos="9355"/>
      </w:tabs>
      <w:jc w:val="right"/>
    </w:pPr>
  </w:p>
  <w:p w:rsidR="004D08C7" w:rsidRPr="0079563D" w:rsidRDefault="004D08C7" w:rsidP="00472B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9C" w:rsidRDefault="008534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981547"/>
      <w:docPartObj>
        <w:docPartGallery w:val="Page Numbers (Top of Page)"/>
        <w:docPartUnique/>
      </w:docPartObj>
    </w:sdtPr>
    <w:sdtEndPr>
      <w:rPr>
        <w:noProof/>
      </w:rPr>
    </w:sdtEndPr>
    <w:sdtContent>
      <w:p w:rsidR="004D08C7" w:rsidRDefault="004D08C7" w:rsidP="00472B34">
        <w:pPr>
          <w:pStyle w:val="Header"/>
          <w:jc w:val="right"/>
        </w:pPr>
        <w:r>
          <w:t>WIPO/GRTKF/IC/41/10</w:t>
        </w:r>
      </w:p>
      <w:p w:rsidR="004D08C7" w:rsidRDefault="004D08C7" w:rsidP="00472B34">
        <w:pPr>
          <w:pStyle w:val="Header"/>
          <w:jc w:val="right"/>
        </w:pPr>
        <w:r>
          <w:t>Annex, page 3</w:t>
        </w:r>
      </w:p>
    </w:sdtContent>
  </w:sdt>
  <w:p w:rsidR="004D08C7" w:rsidRDefault="004D08C7" w:rsidP="000F2AD2">
    <w:pPr>
      <w:jc w:val="right"/>
    </w:pPr>
  </w:p>
  <w:p w:rsidR="004D08C7" w:rsidRDefault="004D08C7"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C7" w:rsidRDefault="004D08C7" w:rsidP="0079563D">
    <w:pPr>
      <w:pStyle w:val="Header"/>
      <w:jc w:val="right"/>
    </w:pPr>
    <w:r>
      <w:t>WIPO/GRTKF/IC/44/11</w:t>
    </w:r>
  </w:p>
  <w:p w:rsidR="004D08C7" w:rsidRDefault="004D08C7" w:rsidP="0079563D">
    <w:pPr>
      <w:pStyle w:val="Header"/>
      <w:tabs>
        <w:tab w:val="clear" w:pos="9072"/>
        <w:tab w:val="right" w:pos="9355"/>
      </w:tabs>
      <w:jc w:val="right"/>
    </w:pPr>
    <w:r>
      <w:t xml:space="preserve">Annex, page </w:t>
    </w:r>
    <w:r>
      <w:fldChar w:fldCharType="begin"/>
    </w:r>
    <w:r>
      <w:instrText xml:space="preserve"> PAGE   \* MERGEFORMAT </w:instrText>
    </w:r>
    <w:r>
      <w:fldChar w:fldCharType="separate"/>
    </w:r>
    <w:r w:rsidR="0085349C">
      <w:rPr>
        <w:noProof/>
      </w:rPr>
      <w:t>3</w:t>
    </w:r>
    <w:r>
      <w:rPr>
        <w:noProof/>
      </w:rPr>
      <w:fldChar w:fldCharType="end"/>
    </w:r>
  </w:p>
  <w:p w:rsidR="004D08C7" w:rsidRDefault="004D08C7" w:rsidP="0079563D">
    <w:pPr>
      <w:pStyle w:val="Header"/>
      <w:tabs>
        <w:tab w:val="clear" w:pos="9072"/>
        <w:tab w:val="right" w:pos="9355"/>
      </w:tabs>
      <w:jc w:val="right"/>
    </w:pPr>
  </w:p>
  <w:p w:rsidR="004D08C7" w:rsidRPr="0079563D" w:rsidRDefault="004D08C7" w:rsidP="00472B3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86264"/>
      <w:docPartObj>
        <w:docPartGallery w:val="Page Numbers (Top of Page)"/>
        <w:docPartUnique/>
      </w:docPartObj>
    </w:sdtPr>
    <w:sdtEndPr>
      <w:rPr>
        <w:noProof/>
      </w:rPr>
    </w:sdtEndPr>
    <w:sdtContent>
      <w:p w:rsidR="004D08C7" w:rsidRDefault="004D08C7" w:rsidP="00472B34">
        <w:pPr>
          <w:pStyle w:val="Header"/>
          <w:jc w:val="right"/>
        </w:pPr>
        <w:r>
          <w:t>WIPO/GRTKF/IC/44/11</w:t>
        </w:r>
      </w:p>
      <w:p w:rsidR="004D08C7" w:rsidRDefault="004D08C7" w:rsidP="00472B34">
        <w:pPr>
          <w:pStyle w:val="Header"/>
          <w:jc w:val="right"/>
        </w:pPr>
        <w:r>
          <w:t>ANNEX</w:t>
        </w:r>
      </w:p>
      <w:p w:rsidR="004D08C7" w:rsidRDefault="0085349C" w:rsidP="00472B34">
        <w:pPr>
          <w:pStyle w:val="Header"/>
          <w:jc w:val="right"/>
        </w:pPr>
      </w:p>
    </w:sdtContent>
  </w:sdt>
  <w:p w:rsidR="004D08C7" w:rsidRDefault="004D08C7" w:rsidP="00F64B6C">
    <w:pPr>
      <w:pStyle w:val="Header"/>
      <w:tabs>
        <w:tab w:val="clear" w:pos="9072"/>
        <w:tab w:val="right" w:pos="9355"/>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 xml:space="preserve">page </w:t>
    </w:r>
    <w:r>
      <w:fldChar w:fldCharType="begin"/>
    </w:r>
    <w:r>
      <w:instrText xml:space="preserve"> PAGE  \* MERGEFORMAT </w:instrText>
    </w:r>
    <w:r>
      <w:fldChar w:fldCharType="separate"/>
    </w:r>
    <w:r>
      <w:rPr>
        <w:noProof/>
      </w:rPr>
      <w:t>2</w:t>
    </w:r>
    <w:r>
      <w:fldChar w:fldCharType="end"/>
    </w:r>
  </w:p>
  <w:p w:rsidR="000F2AD2" w:rsidRDefault="000F2AD2" w:rsidP="000F2AD2">
    <w:pPr>
      <w:jc w:val="right"/>
    </w:pPr>
  </w:p>
  <w:p w:rsidR="000F2AD2" w:rsidRDefault="000F2AD2" w:rsidP="000F2AD2">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F" w:rsidRDefault="0053586F" w:rsidP="0053586F">
    <w:pPr>
      <w:pStyle w:val="Header"/>
      <w:jc w:val="right"/>
    </w:pPr>
    <w:bookmarkStart w:id="6" w:name="Code2"/>
    <w:bookmarkEnd w:id="6"/>
    <w:r>
      <w:t>WIPO/GRTKF/IC/44/11</w:t>
    </w:r>
  </w:p>
  <w:p w:rsidR="0053586F" w:rsidRDefault="0053586F" w:rsidP="0053586F">
    <w:pPr>
      <w:pStyle w:val="Header"/>
      <w:tabs>
        <w:tab w:val="clear" w:pos="9072"/>
        <w:tab w:val="right" w:pos="9355"/>
      </w:tabs>
      <w:jc w:val="right"/>
    </w:pPr>
    <w:r>
      <w:t xml:space="preserve">Annex, page </w:t>
    </w:r>
    <w:r>
      <w:fldChar w:fldCharType="begin"/>
    </w:r>
    <w:r>
      <w:instrText xml:space="preserve"> PAGE   \* MERGEFORMAT </w:instrText>
    </w:r>
    <w:r>
      <w:fldChar w:fldCharType="separate"/>
    </w:r>
    <w:r w:rsidR="0085349C">
      <w:rPr>
        <w:noProof/>
      </w:rPr>
      <w:t>5</w:t>
    </w:r>
    <w:r>
      <w:rPr>
        <w:noProof/>
      </w:rPr>
      <w:fldChar w:fldCharType="end"/>
    </w:r>
  </w:p>
  <w:p w:rsidR="00EC4E49" w:rsidRDefault="00EC4E49" w:rsidP="00477D6B">
    <w:pPr>
      <w:jc w:val="right"/>
    </w:pPr>
  </w:p>
  <w:p w:rsidR="008A134B" w:rsidRDefault="008A134B"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F" w:rsidRDefault="0053586F" w:rsidP="0053586F">
    <w:pPr>
      <w:pStyle w:val="Header"/>
      <w:jc w:val="right"/>
    </w:pPr>
    <w:r>
      <w:t>WIPO/GRTKF/IC/44/11</w:t>
    </w:r>
  </w:p>
  <w:p w:rsidR="0053586F" w:rsidRDefault="0053586F" w:rsidP="0053586F">
    <w:pPr>
      <w:pStyle w:val="Header"/>
      <w:tabs>
        <w:tab w:val="clear" w:pos="9072"/>
        <w:tab w:val="right" w:pos="9355"/>
      </w:tabs>
      <w:jc w:val="right"/>
    </w:pPr>
    <w:r>
      <w:t xml:space="preserve">Annex, page </w:t>
    </w:r>
    <w:r>
      <w:fldChar w:fldCharType="begin"/>
    </w:r>
    <w:r>
      <w:instrText xml:space="preserve"> PAGE   \* MERGEFORMAT </w:instrText>
    </w:r>
    <w:r>
      <w:fldChar w:fldCharType="separate"/>
    </w:r>
    <w:r w:rsidR="0085349C">
      <w:rPr>
        <w:noProof/>
      </w:rPr>
      <w:t>4</w:t>
    </w:r>
    <w:r>
      <w:rPr>
        <w:noProof/>
      </w:rPr>
      <w:fldChar w:fldCharType="end"/>
    </w:r>
  </w:p>
  <w:p w:rsidR="00AE5229" w:rsidRDefault="00AE5229">
    <w:pPr>
      <w:pStyle w:val="Header"/>
    </w:pPr>
  </w:p>
  <w:p w:rsidR="0053586F" w:rsidRDefault="00535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A52EA1"/>
    <w:multiLevelType w:val="hybridMultilevel"/>
    <w:tmpl w:val="3DFC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10"/>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62EE"/>
    <w:rsid w:val="001647D5"/>
    <w:rsid w:val="001832A6"/>
    <w:rsid w:val="0021217E"/>
    <w:rsid w:val="002634C4"/>
    <w:rsid w:val="002928D3"/>
    <w:rsid w:val="002F1FE6"/>
    <w:rsid w:val="002F4E68"/>
    <w:rsid w:val="00312F7F"/>
    <w:rsid w:val="00361450"/>
    <w:rsid w:val="003629AF"/>
    <w:rsid w:val="003673CF"/>
    <w:rsid w:val="003845C1"/>
    <w:rsid w:val="003A6F89"/>
    <w:rsid w:val="003B38C1"/>
    <w:rsid w:val="00423E3E"/>
    <w:rsid w:val="00427AF4"/>
    <w:rsid w:val="004647DA"/>
    <w:rsid w:val="00474062"/>
    <w:rsid w:val="00477D6B"/>
    <w:rsid w:val="004D08C7"/>
    <w:rsid w:val="005019FF"/>
    <w:rsid w:val="0053057A"/>
    <w:rsid w:val="0053586F"/>
    <w:rsid w:val="00560A29"/>
    <w:rsid w:val="005C6649"/>
    <w:rsid w:val="00605827"/>
    <w:rsid w:val="00646050"/>
    <w:rsid w:val="006713CA"/>
    <w:rsid w:val="00676C5C"/>
    <w:rsid w:val="007D1613"/>
    <w:rsid w:val="007E4C0E"/>
    <w:rsid w:val="0085349C"/>
    <w:rsid w:val="008A134B"/>
    <w:rsid w:val="008B2CC1"/>
    <w:rsid w:val="008B60B2"/>
    <w:rsid w:val="0090731E"/>
    <w:rsid w:val="00916EE2"/>
    <w:rsid w:val="00966A22"/>
    <w:rsid w:val="0096722F"/>
    <w:rsid w:val="00980843"/>
    <w:rsid w:val="009B499B"/>
    <w:rsid w:val="009E2791"/>
    <w:rsid w:val="009E3F6F"/>
    <w:rsid w:val="009F499F"/>
    <w:rsid w:val="00A37342"/>
    <w:rsid w:val="00A42DAF"/>
    <w:rsid w:val="00A45BD8"/>
    <w:rsid w:val="00A869B7"/>
    <w:rsid w:val="00AC205C"/>
    <w:rsid w:val="00AE5229"/>
    <w:rsid w:val="00AF0A6B"/>
    <w:rsid w:val="00B05A69"/>
    <w:rsid w:val="00B4759F"/>
    <w:rsid w:val="00B9734B"/>
    <w:rsid w:val="00BA30E2"/>
    <w:rsid w:val="00BC7DD2"/>
    <w:rsid w:val="00C11BFE"/>
    <w:rsid w:val="00C5068F"/>
    <w:rsid w:val="00C86D74"/>
    <w:rsid w:val="00CD04F1"/>
    <w:rsid w:val="00CE356E"/>
    <w:rsid w:val="00D45252"/>
    <w:rsid w:val="00D71B4D"/>
    <w:rsid w:val="00D93D55"/>
    <w:rsid w:val="00DD3F47"/>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4D08C7"/>
    <w:pPr>
      <w:ind w:left="720"/>
      <w:contextualSpacing/>
    </w:pPr>
  </w:style>
  <w:style w:type="character" w:styleId="FootnoteReference">
    <w:name w:val="footnote reference"/>
    <w:rsid w:val="004D08C7"/>
    <w:rPr>
      <w:rFonts w:cs="Times New Roman"/>
      <w:vertAlign w:val="superscript"/>
    </w:rPr>
  </w:style>
  <w:style w:type="character" w:customStyle="1" w:styleId="FootnoteTextChar">
    <w:name w:val="Footnote Text Char"/>
    <w:link w:val="FootnoteText"/>
    <w:semiHidden/>
    <w:locked/>
    <w:rsid w:val="004D08C7"/>
    <w:rPr>
      <w:rFonts w:ascii="Arial" w:eastAsia="SimSun" w:hAnsi="Arial" w:cs="Arial"/>
      <w:sz w:val="18"/>
      <w:lang w:val="en-US" w:eastAsia="zh-CN"/>
    </w:rPr>
  </w:style>
  <w:style w:type="character" w:customStyle="1" w:styleId="HeaderChar">
    <w:name w:val="Header Char"/>
    <w:basedOn w:val="DefaultParagraphFont"/>
    <w:link w:val="Header"/>
    <w:uiPriority w:val="99"/>
    <w:rsid w:val="004D08C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9</TotalTime>
  <Pages>6</Pages>
  <Words>1835</Words>
  <Characters>10589</Characters>
  <Application>Microsoft Office Word</Application>
  <DocSecurity>0</DocSecurity>
  <Lines>237</Lines>
  <Paragraphs>53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10</cp:revision>
  <cp:lastPrinted>2011-02-15T11:56:00Z</cp:lastPrinted>
  <dcterms:created xsi:type="dcterms:W3CDTF">2021-05-11T15:33:00Z</dcterms:created>
  <dcterms:modified xsi:type="dcterms:W3CDTF">2022-09-07T13:41:00Z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a6e3a4eb-b058-4ef0-bdac-0592197ab263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