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0.xml" ContentType="application/vnd.openxmlformats-officedocument.wordprocessingml.header+xml"/>
  <Override PartName="/word/footer6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3.xml" ContentType="application/vnd.openxmlformats-officedocument.wordprocessingml.header+xml"/>
  <Override PartName="/word/footer7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6.xml" ContentType="application/vnd.openxmlformats-officedocument.wordprocessingml.header+xml"/>
  <Override PartName="/word/footer7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9.xml" ContentType="application/vnd.openxmlformats-officedocument.wordprocessingml.header+xml"/>
  <Override PartName="/word/footer76.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5A0DD7">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5A0DD7">
              <w:rPr>
                <w:rFonts w:ascii="Arial Black" w:hAnsi="Arial Black"/>
                <w:caps/>
                <w:sz w:val="15"/>
              </w:rPr>
              <w:t xml:space="preserve">  December 16,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5A0DD7" w:rsidRPr="003845C1" w:rsidRDefault="005A0DD7" w:rsidP="005A0DD7">
      <w:pPr>
        <w:outlineLvl w:val="0"/>
        <w:rPr>
          <w:caps/>
          <w:sz w:val="24"/>
        </w:rPr>
      </w:pPr>
      <w:bookmarkStart w:id="3" w:name="TitleOfDoc"/>
      <w:bookmarkEnd w:id="3"/>
      <w:r w:rsidRPr="0039305F">
        <w:rPr>
          <w:caps/>
          <w:sz w:val="24"/>
        </w:rPr>
        <w:t>CHAIR’S TEXT OF A DRAFT INTERNATIONAL LEGAL INSTRUMENT RELATING TO INTELLECTUAL PROPERTY, GENETIC RESOURCES AND TRADITIONAL KNOWLEDGE ASSOCIATED WITH GENETIC RESOURCES</w:t>
      </w:r>
    </w:p>
    <w:p w:rsidR="005A0DD7" w:rsidRPr="008B2CC1" w:rsidRDefault="005A0DD7" w:rsidP="005A0DD7"/>
    <w:p w:rsidR="005A0DD7" w:rsidRPr="008B2CC1" w:rsidRDefault="005A0DD7" w:rsidP="005A0DD7">
      <w:pPr>
        <w:outlineLvl w:val="0"/>
        <w:rPr>
          <w:i/>
        </w:rPr>
      </w:pPr>
      <w:bookmarkStart w:id="4" w:name="Prepared"/>
      <w:bookmarkEnd w:id="4"/>
      <w:r>
        <w:rPr>
          <w:i/>
        </w:rPr>
        <w:t xml:space="preserve">Document prepared by the </w:t>
      </w:r>
      <w:r w:rsidRPr="001D55CB">
        <w:rPr>
          <w:i/>
        </w:rPr>
        <w:t>Chair for the 2018-2019 Biennium</w:t>
      </w:r>
    </w:p>
    <w:p w:rsidR="005A0DD7" w:rsidRDefault="005A0DD7" w:rsidP="005A0DD7"/>
    <w:p w:rsidR="005A0DD7" w:rsidRDefault="005A0DD7" w:rsidP="005A0DD7"/>
    <w:p w:rsidR="005A0DD7" w:rsidRDefault="005A0DD7" w:rsidP="005A0DD7"/>
    <w:p w:rsidR="005A0DD7" w:rsidRDefault="005A0DD7" w:rsidP="005A0DD7"/>
    <w:p w:rsidR="005A0DD7" w:rsidRDefault="005A0DD7" w:rsidP="005A0DD7">
      <w:pPr>
        <w:pStyle w:val="ListParagraph"/>
        <w:numPr>
          <w:ilvl w:val="0"/>
          <w:numId w:val="7"/>
        </w:numPr>
        <w:spacing w:after="0" w:line="240" w:lineRule="auto"/>
        <w:ind w:left="0" w:firstLine="0"/>
        <w:rPr>
          <w:rFonts w:ascii="Arial" w:hAnsi="Arial" w:cs="Arial"/>
        </w:rPr>
      </w:pPr>
      <w:r w:rsidRPr="00BD1E3E">
        <w:rPr>
          <w:rFonts w:ascii="Arial" w:hAnsi="Arial" w:cs="Arial"/>
        </w:rPr>
        <w:t xml:space="preserve">In April 2019, the Chair of the </w:t>
      </w:r>
      <w:r>
        <w:rPr>
          <w:rFonts w:ascii="Arial" w:hAnsi="Arial" w:cs="Arial"/>
        </w:rPr>
        <w:t xml:space="preserve">WIPO </w:t>
      </w:r>
      <w:r w:rsidRPr="00BD1E3E">
        <w:rPr>
          <w:rFonts w:ascii="Arial" w:hAnsi="Arial" w:cs="Arial"/>
        </w:rPr>
        <w:t>I</w:t>
      </w:r>
      <w:r>
        <w:rPr>
          <w:rFonts w:ascii="Arial" w:hAnsi="Arial" w:cs="Arial"/>
        </w:rPr>
        <w:t xml:space="preserve">ntergovernmental </w:t>
      </w:r>
      <w:r w:rsidRPr="00BD1E3E">
        <w:rPr>
          <w:rFonts w:ascii="Arial" w:hAnsi="Arial" w:cs="Arial"/>
        </w:rPr>
        <w:t>C</w:t>
      </w:r>
      <w:r>
        <w:rPr>
          <w:rFonts w:ascii="Arial" w:hAnsi="Arial" w:cs="Arial"/>
        </w:rPr>
        <w:t>ommittee on Intellectual Property and Genetic Resources, Traditional Knowledge and Folklore (“the Committe”) for the 2018-2019 biennium</w:t>
      </w:r>
      <w:r w:rsidRPr="00BD1E3E">
        <w:rPr>
          <w:rFonts w:ascii="Arial" w:hAnsi="Arial" w:cs="Arial"/>
        </w:rPr>
        <w:t xml:space="preserve">, Mr. Ian Goss, </w:t>
      </w:r>
      <w:r>
        <w:rPr>
          <w:rFonts w:ascii="Arial" w:hAnsi="Arial" w:cs="Arial"/>
        </w:rPr>
        <w:t>prepared, under his own authority, a text of a</w:t>
      </w:r>
      <w:r w:rsidRPr="0073461A">
        <w:rPr>
          <w:rFonts w:ascii="Arial" w:eastAsia="SimSun" w:hAnsi="Arial" w:cs="Arial"/>
          <w:szCs w:val="20"/>
          <w:lang w:val="en-US" w:eastAsia="zh-CN"/>
        </w:rPr>
        <w:t xml:space="preserve"> </w:t>
      </w:r>
      <w:r w:rsidRPr="00082001">
        <w:rPr>
          <w:rFonts w:ascii="Arial" w:hAnsi="Arial" w:cs="Arial"/>
          <w:i/>
          <w:lang w:val="en-US"/>
        </w:rPr>
        <w:t>Draft International Legal Instrument Relating to Intellectual Property, Genetic Resources and Traditional Knowledge Associated with Genetic Resources</w:t>
      </w:r>
      <w:r w:rsidRPr="00BD1E3E">
        <w:rPr>
          <w:rFonts w:ascii="Arial" w:hAnsi="Arial" w:cs="Arial"/>
        </w:rPr>
        <w:t xml:space="preserve"> </w:t>
      </w:r>
      <w:r>
        <w:rPr>
          <w:rFonts w:ascii="Arial" w:hAnsi="Arial" w:cs="Arial"/>
        </w:rPr>
        <w:t>for the consideration of the Committee</w:t>
      </w:r>
      <w:r w:rsidRPr="00BD1E3E">
        <w:rPr>
          <w:rFonts w:ascii="Arial" w:hAnsi="Arial" w:cs="Arial"/>
        </w:rPr>
        <w:t>.</w:t>
      </w:r>
      <w:r>
        <w:rPr>
          <w:rFonts w:ascii="Arial" w:hAnsi="Arial" w:cs="Arial"/>
        </w:rPr>
        <w:t xml:space="preserve"> </w:t>
      </w:r>
    </w:p>
    <w:p w:rsidR="005A0DD7" w:rsidRDefault="005A0DD7" w:rsidP="005A0DD7">
      <w:pPr>
        <w:pStyle w:val="ListParagraph"/>
        <w:spacing w:after="0" w:line="240" w:lineRule="auto"/>
        <w:ind w:left="0"/>
        <w:rPr>
          <w:rFonts w:ascii="Arial" w:hAnsi="Arial" w:cs="Arial"/>
        </w:rPr>
      </w:pPr>
    </w:p>
    <w:p w:rsidR="005A0DD7" w:rsidRPr="00D272F9" w:rsidRDefault="005A0DD7" w:rsidP="005A0DD7">
      <w:pPr>
        <w:pStyle w:val="ListParagraph"/>
        <w:numPr>
          <w:ilvl w:val="0"/>
          <w:numId w:val="7"/>
        </w:numPr>
        <w:spacing w:after="0" w:line="240" w:lineRule="auto"/>
        <w:ind w:left="0" w:firstLine="0"/>
        <w:rPr>
          <w:rFonts w:ascii="Arial" w:hAnsi="Arial" w:cs="Arial"/>
        </w:rPr>
      </w:pPr>
      <w:r>
        <w:rPr>
          <w:rFonts w:ascii="Arial" w:hAnsi="Arial" w:cs="Arial"/>
        </w:rPr>
        <w:t>At its Fortieth Session, the Committee</w:t>
      </w:r>
      <w:r w:rsidRPr="009F1C4B">
        <w:rPr>
          <w:rFonts w:ascii="Arial" w:hAnsi="Arial" w:cs="Arial"/>
        </w:rPr>
        <w:t xml:space="preserve"> decided to include it as a working document of the Committee as a Chair’s Text.  </w:t>
      </w:r>
      <w:r>
        <w:rPr>
          <w:rFonts w:ascii="Arial" w:hAnsi="Arial" w:cs="Arial"/>
        </w:rPr>
        <w:t xml:space="preserve">Pursuant to that decision, the </w:t>
      </w:r>
      <w:r>
        <w:rPr>
          <w:rFonts w:ascii="Arial" w:hAnsi="Arial" w:cs="Arial"/>
          <w:lang w:val="en-US"/>
        </w:rPr>
        <w:t xml:space="preserve">Chair’s Text of a </w:t>
      </w:r>
      <w:r w:rsidRPr="00D07158">
        <w:rPr>
          <w:rFonts w:ascii="Arial" w:hAnsi="Arial" w:cs="Arial"/>
          <w:i/>
          <w:lang w:val="en-US"/>
        </w:rPr>
        <w:t>Draft International Legal Instrument Relating to Intellectual Property, Genetic Resources and Traditional Knowledge Associated with Genetic Resources</w:t>
      </w:r>
      <w:r w:rsidRPr="005A0D57">
        <w:rPr>
          <w:rFonts w:ascii="Arial" w:hAnsi="Arial" w:cs="Arial"/>
          <w:lang w:val="en-US"/>
        </w:rPr>
        <w:t>, as at April 2019,</w:t>
      </w:r>
      <w:r>
        <w:rPr>
          <w:rFonts w:ascii="Arial" w:hAnsi="Arial" w:cs="Arial"/>
          <w:i/>
          <w:lang w:val="en-US"/>
        </w:rPr>
        <w:t xml:space="preserve"> </w:t>
      </w:r>
      <w:r>
        <w:rPr>
          <w:rFonts w:ascii="Arial" w:hAnsi="Arial" w:cs="Arial"/>
          <w:lang w:val="en-US"/>
        </w:rPr>
        <w:t>is annexed to the present document.</w:t>
      </w:r>
    </w:p>
    <w:p w:rsidR="005A0DD7" w:rsidRPr="009F1C4B" w:rsidRDefault="005A0DD7" w:rsidP="005A0DD7">
      <w:pPr>
        <w:pStyle w:val="ListParagraph"/>
        <w:spacing w:after="0" w:line="240" w:lineRule="auto"/>
        <w:ind w:left="0"/>
        <w:rPr>
          <w:rFonts w:ascii="Arial" w:hAnsi="Arial" w:cs="Arial"/>
        </w:rPr>
      </w:pPr>
    </w:p>
    <w:p w:rsidR="005A0DD7" w:rsidRPr="00D272F9" w:rsidRDefault="005A0DD7" w:rsidP="005A0DD7">
      <w:pPr>
        <w:pStyle w:val="ListParagraph"/>
        <w:numPr>
          <w:ilvl w:val="0"/>
          <w:numId w:val="7"/>
        </w:numPr>
        <w:spacing w:after="0" w:line="240" w:lineRule="auto"/>
        <w:ind w:left="5580" w:firstLine="0"/>
        <w:rPr>
          <w:rFonts w:ascii="Arial" w:hAnsi="Arial" w:cs="Arial"/>
        </w:rPr>
      </w:pPr>
      <w:r>
        <w:rPr>
          <w:rFonts w:ascii="Arial" w:hAnsi="Arial" w:cs="Arial"/>
          <w:i/>
        </w:rPr>
        <w:t>The Comittee is invited to review and comment on the document contained in the Annex.</w:t>
      </w:r>
    </w:p>
    <w:p w:rsidR="005A0DD7" w:rsidRDefault="005A0DD7" w:rsidP="005A0DD7">
      <w:pPr>
        <w:pStyle w:val="ListParagraph"/>
        <w:spacing w:after="0" w:line="240" w:lineRule="auto"/>
        <w:ind w:left="5580"/>
        <w:rPr>
          <w:rFonts w:ascii="Arial" w:hAnsi="Arial" w:cs="Arial"/>
        </w:rPr>
      </w:pPr>
    </w:p>
    <w:p w:rsidR="005A0DD7" w:rsidRDefault="005A0DD7" w:rsidP="005A0DD7">
      <w:pPr>
        <w:pStyle w:val="ListParagraph"/>
        <w:spacing w:line="240" w:lineRule="auto"/>
        <w:ind w:left="5580"/>
        <w:rPr>
          <w:rFonts w:ascii="Arial" w:hAnsi="Arial" w:cs="Arial"/>
        </w:rPr>
      </w:pPr>
      <w:r>
        <w:rPr>
          <w:rFonts w:ascii="Arial" w:hAnsi="Arial" w:cs="Arial"/>
        </w:rPr>
        <w:t>[Annex follows]</w:t>
      </w:r>
    </w:p>
    <w:p w:rsidR="005A0DD7" w:rsidRDefault="005A0DD7" w:rsidP="005A0DD7">
      <w:r>
        <w:br w:type="page"/>
      </w:r>
    </w:p>
    <w:p w:rsidR="005A0DD7" w:rsidRDefault="005A0DD7" w:rsidP="005A0DD7">
      <w:pPr>
        <w:sectPr w:rsidR="005A0DD7" w:rsidSect="000F2AD2">
          <w:headerReference w:type="even" r:id="rId8"/>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pPr>
    </w:p>
    <w:p w:rsidR="005A0DD7" w:rsidRPr="009F285E" w:rsidRDefault="005A0DD7" w:rsidP="005A0DD7">
      <w:pPr>
        <w:ind w:left="-360"/>
        <w:jc w:val="center"/>
        <w:outlineLvl w:val="0"/>
        <w:rPr>
          <w:b/>
          <w:szCs w:val="22"/>
        </w:rPr>
      </w:pPr>
      <w:r w:rsidRPr="009F285E">
        <w:rPr>
          <w:b/>
          <w:szCs w:val="22"/>
        </w:rPr>
        <w:lastRenderedPageBreak/>
        <w:t xml:space="preserve">Draft </w:t>
      </w:r>
    </w:p>
    <w:p w:rsidR="005A0DD7" w:rsidRPr="009F285E" w:rsidRDefault="005A0DD7" w:rsidP="005A0DD7">
      <w:pPr>
        <w:ind w:left="-360"/>
        <w:jc w:val="center"/>
        <w:outlineLvl w:val="0"/>
        <w:rPr>
          <w:b/>
          <w:szCs w:val="22"/>
        </w:rPr>
      </w:pPr>
      <w:r w:rsidRPr="009F285E">
        <w:rPr>
          <w:b/>
          <w:szCs w:val="22"/>
        </w:rPr>
        <w:t xml:space="preserve">International Legal Instrument Relating to Intellectual Property, Genetic Resources and Traditional Knowledge Associated with Genetic Resources </w:t>
      </w:r>
    </w:p>
    <w:p w:rsidR="005A0DD7" w:rsidRPr="009F285E" w:rsidRDefault="005A0DD7" w:rsidP="005A0DD7">
      <w:pPr>
        <w:ind w:left="-360"/>
        <w:jc w:val="center"/>
        <w:rPr>
          <w:b/>
          <w:szCs w:val="22"/>
        </w:rPr>
      </w:pPr>
    </w:p>
    <w:p w:rsidR="005A0DD7" w:rsidRPr="009F285E" w:rsidRDefault="005A0DD7" w:rsidP="005A0DD7">
      <w:pPr>
        <w:ind w:left="-360"/>
        <w:jc w:val="center"/>
        <w:outlineLvl w:val="0"/>
        <w:rPr>
          <w:b/>
          <w:szCs w:val="22"/>
        </w:rPr>
      </w:pPr>
      <w:r w:rsidRPr="009F285E">
        <w:rPr>
          <w:b/>
          <w:szCs w:val="22"/>
        </w:rPr>
        <w:t xml:space="preserve">Prepared by Mr. Ian Goss </w:t>
      </w:r>
    </w:p>
    <w:p w:rsidR="005A0DD7" w:rsidRPr="009F285E" w:rsidRDefault="005A0DD7" w:rsidP="005A0DD7">
      <w:pPr>
        <w:ind w:left="-360"/>
        <w:jc w:val="center"/>
        <w:outlineLvl w:val="0"/>
        <w:rPr>
          <w:b/>
          <w:szCs w:val="22"/>
        </w:rPr>
      </w:pPr>
      <w:r w:rsidRPr="009F285E">
        <w:rPr>
          <w:b/>
          <w:szCs w:val="22"/>
        </w:rPr>
        <w:t>Chair, WIPO Intergovernmental Committee on Intellectual Property and Genetic Resources, Traditional Knowledge and Folklore</w:t>
      </w:r>
    </w:p>
    <w:p w:rsidR="005A0DD7" w:rsidRPr="009F285E" w:rsidRDefault="005A0DD7" w:rsidP="005A0DD7">
      <w:pPr>
        <w:ind w:left="-360"/>
        <w:jc w:val="center"/>
        <w:outlineLvl w:val="0"/>
        <w:rPr>
          <w:b/>
          <w:szCs w:val="22"/>
        </w:rPr>
      </w:pPr>
    </w:p>
    <w:p w:rsidR="005A0DD7" w:rsidRPr="009F285E" w:rsidRDefault="005A0DD7" w:rsidP="005A0DD7">
      <w:pPr>
        <w:ind w:left="-360"/>
        <w:jc w:val="center"/>
        <w:outlineLvl w:val="0"/>
        <w:rPr>
          <w:b/>
          <w:szCs w:val="22"/>
        </w:rPr>
      </w:pPr>
      <w:r>
        <w:rPr>
          <w:b/>
          <w:szCs w:val="22"/>
        </w:rPr>
        <w:t>April 30, 2019</w:t>
      </w:r>
    </w:p>
    <w:p w:rsidR="005A0DD7" w:rsidRPr="009F285E" w:rsidRDefault="005A0DD7" w:rsidP="005A0DD7">
      <w:pPr>
        <w:ind w:left="-360"/>
        <w:jc w:val="center"/>
        <w:rPr>
          <w:b/>
        </w:rPr>
      </w:pPr>
    </w:p>
    <w:p w:rsidR="005A0DD7" w:rsidRPr="009F285E" w:rsidRDefault="005A0DD7" w:rsidP="005A0DD7">
      <w:pPr>
        <w:rPr>
          <w:b/>
        </w:rPr>
      </w:pPr>
    </w:p>
    <w:p w:rsidR="005A0DD7" w:rsidRPr="009F285E" w:rsidRDefault="005A0DD7" w:rsidP="005A0DD7"/>
    <w:p w:rsidR="005A0DD7" w:rsidRPr="009F285E" w:rsidRDefault="005A0DD7" w:rsidP="005A0DD7">
      <w:pPr>
        <w:rPr>
          <w:b/>
          <w:i/>
          <w:szCs w:val="22"/>
        </w:rPr>
      </w:pPr>
      <w:r w:rsidRPr="009F285E">
        <w:rPr>
          <w:b/>
          <w:i/>
          <w:szCs w:val="22"/>
        </w:rPr>
        <w:t>Introductory remarks</w:t>
      </w:r>
      <w:r w:rsidRPr="009F285E">
        <w:rPr>
          <w:rStyle w:val="FootnoteReference"/>
          <w:b/>
          <w:i/>
          <w:szCs w:val="22"/>
        </w:rPr>
        <w:footnoteReference w:id="2"/>
      </w:r>
    </w:p>
    <w:p w:rsidR="005A0DD7" w:rsidRPr="009F285E" w:rsidRDefault="005A0DD7" w:rsidP="005A0DD7">
      <w:pPr>
        <w:rPr>
          <w:szCs w:val="22"/>
        </w:rPr>
      </w:pPr>
    </w:p>
    <w:p w:rsidR="005A0DD7" w:rsidRPr="009F285E" w:rsidRDefault="005A0DD7" w:rsidP="005A0DD7">
      <w:pPr>
        <w:rPr>
          <w:szCs w:val="22"/>
        </w:rPr>
      </w:pPr>
      <w:r w:rsidRPr="009F285E">
        <w:rPr>
          <w:szCs w:val="22"/>
        </w:rPr>
        <w:t>1.</w:t>
      </w:r>
      <w:r w:rsidRPr="009F285E">
        <w:rPr>
          <w:szCs w:val="22"/>
        </w:rPr>
        <w:tab/>
        <w:t>To date, the negotiations being conducted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9F285E">
        <w:rPr>
          <w:rStyle w:val="FootnoteReference"/>
          <w:i/>
          <w:szCs w:val="22"/>
        </w:rPr>
        <w:footnoteReference w:id="3"/>
      </w:r>
      <w:r w:rsidRPr="009F285E">
        <w:rPr>
          <w:szCs w:val="22"/>
        </w:rPr>
        <w:t xml:space="preserve"> have been unable to reach a conclusion. </w:t>
      </w:r>
    </w:p>
    <w:p w:rsidR="005A0DD7" w:rsidRPr="009F285E" w:rsidRDefault="005A0DD7" w:rsidP="005A0DD7">
      <w:pPr>
        <w:rPr>
          <w:szCs w:val="22"/>
        </w:rPr>
      </w:pPr>
    </w:p>
    <w:p w:rsidR="005A0DD7" w:rsidRPr="009F285E" w:rsidRDefault="005A0DD7" w:rsidP="005A0DD7">
      <w:pPr>
        <w:rPr>
          <w:szCs w:val="22"/>
        </w:rPr>
      </w:pPr>
      <w:r w:rsidRPr="009F285E">
        <w:rPr>
          <w:szCs w:val="22"/>
        </w:rPr>
        <w:t>2.</w:t>
      </w:r>
      <w:r w:rsidRPr="009F285E">
        <w:rPr>
          <w:szCs w:val="22"/>
        </w:rPr>
        <w:tab/>
        <w:t>The IGC’s inability so far to find a consensus position is reflected in the different policy interests contained in the alternate objectives within the IGC’s current draft text on GRs and Associated TK</w:t>
      </w:r>
      <w:r w:rsidRPr="009F285E">
        <w:rPr>
          <w:rStyle w:val="FootnoteReference"/>
          <w:szCs w:val="22"/>
        </w:rPr>
        <w:footnoteReference w:id="4"/>
      </w:r>
      <w:r w:rsidRPr="009F285E">
        <w:rPr>
          <w:szCs w:val="22"/>
        </w:rPr>
        <w:t xml:space="preserve">.  There is, in my view, scope for bridging these different perspectives and room for balancing the rights and interests of users and the rights and interests of providers and knowledge holders. </w:t>
      </w:r>
      <w:r>
        <w:rPr>
          <w:szCs w:val="22"/>
        </w:rPr>
        <w:t xml:space="preserve"> </w:t>
      </w:r>
      <w:r w:rsidRPr="009F285E">
        <w:rPr>
          <w:szCs w:val="22"/>
        </w:rPr>
        <w:t xml:space="preserve">In addition, a </w:t>
      </w:r>
      <w:r w:rsidRPr="009F285E">
        <w:rPr>
          <w:b/>
          <w:szCs w:val="22"/>
        </w:rPr>
        <w:t>clearer understanding of the modalities of an international disclosure requirement would enable policymakers to make informed decisions regarding the costs, risks and benefits of a disclosure requirement.</w:t>
      </w:r>
    </w:p>
    <w:p w:rsidR="005A0DD7" w:rsidRPr="009F285E" w:rsidRDefault="005A0DD7" w:rsidP="005A0DD7">
      <w:pPr>
        <w:rPr>
          <w:szCs w:val="22"/>
        </w:rPr>
      </w:pPr>
    </w:p>
    <w:p w:rsidR="005A0DD7" w:rsidRPr="009F285E" w:rsidRDefault="005A0DD7" w:rsidP="005A0DD7">
      <w:pPr>
        <w:rPr>
          <w:szCs w:val="22"/>
        </w:rPr>
      </w:pPr>
      <w:r w:rsidRPr="009F285E">
        <w:rPr>
          <w:szCs w:val="22"/>
        </w:rPr>
        <w:t>3.</w:t>
      </w:r>
      <w:r w:rsidRPr="009F285E">
        <w:rPr>
          <w:szCs w:val="22"/>
        </w:rPr>
        <w:tab/>
        <w:t xml:space="preserve">From this perspective, I have prepared this draft text of an international legal instrument on intellectual property and GRs and Associated TK </w:t>
      </w:r>
      <w:r>
        <w:rPr>
          <w:szCs w:val="22"/>
        </w:rPr>
        <w:t>for consideration by the IGC.</w:t>
      </w:r>
    </w:p>
    <w:p w:rsidR="005A0DD7" w:rsidRPr="009F285E" w:rsidRDefault="005A0DD7" w:rsidP="005A0DD7">
      <w:pPr>
        <w:rPr>
          <w:szCs w:val="22"/>
        </w:rPr>
      </w:pPr>
    </w:p>
    <w:p w:rsidR="005A0DD7" w:rsidRPr="009F285E" w:rsidRDefault="005A0DD7" w:rsidP="005A0DD7">
      <w:pPr>
        <w:rPr>
          <w:szCs w:val="22"/>
        </w:rPr>
      </w:pPr>
      <w:r w:rsidRPr="009F285E">
        <w:rPr>
          <w:szCs w:val="22"/>
        </w:rPr>
        <w:t>4.</w:t>
      </w:r>
      <w:r w:rsidRPr="009F285E">
        <w:rPr>
          <w:szCs w:val="22"/>
        </w:rPr>
        <w:tab/>
        <w:t>I have prepared this draft text solely under my own authority as a contribution to the negotiations being conducted by the IGC.</w:t>
      </w:r>
    </w:p>
    <w:p w:rsidR="005A0DD7" w:rsidRPr="009F285E" w:rsidRDefault="005A0DD7" w:rsidP="005A0DD7">
      <w:pPr>
        <w:rPr>
          <w:szCs w:val="22"/>
        </w:rPr>
      </w:pPr>
    </w:p>
    <w:p w:rsidR="005A0DD7" w:rsidRPr="009F285E" w:rsidRDefault="005A0DD7" w:rsidP="005A0DD7">
      <w:pPr>
        <w:rPr>
          <w:szCs w:val="22"/>
        </w:rPr>
      </w:pPr>
      <w:r w:rsidRPr="009F285E">
        <w:rPr>
          <w:szCs w:val="22"/>
        </w:rPr>
        <w:t>5.</w:t>
      </w:r>
      <w:r w:rsidRPr="009F285E">
        <w:rPr>
          <w:szCs w:val="22"/>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Pr>
          <w:szCs w:val="22"/>
        </w:rPr>
        <w:t>greement will not be achieved.</w:t>
      </w:r>
    </w:p>
    <w:p w:rsidR="005A0DD7" w:rsidRDefault="005A0DD7" w:rsidP="005A0DD7">
      <w:pPr>
        <w:rPr>
          <w:szCs w:val="22"/>
        </w:rPr>
      </w:pPr>
    </w:p>
    <w:p w:rsidR="005A0DD7" w:rsidRPr="009F285E" w:rsidRDefault="005A0DD7" w:rsidP="005A0DD7">
      <w:pPr>
        <w:rPr>
          <w:szCs w:val="22"/>
        </w:rPr>
      </w:pPr>
      <w:r w:rsidRPr="009F285E">
        <w:rPr>
          <w:szCs w:val="22"/>
        </w:rPr>
        <w:t>6.</w:t>
      </w:r>
      <w:r w:rsidRPr="009F285E">
        <w:rPr>
          <w:szCs w:val="22"/>
        </w:rPr>
        <w:tab/>
        <w:t>In developing this text, I have given careful consideration to the existing documentation of the IGC</w:t>
      </w:r>
      <w:r w:rsidRPr="009F285E">
        <w:rPr>
          <w:rStyle w:val="FootnoteReference"/>
          <w:szCs w:val="22"/>
        </w:rPr>
        <w:footnoteReference w:id="5"/>
      </w:r>
      <w:r w:rsidRPr="009F285E">
        <w:rPr>
          <w:szCs w:val="22"/>
        </w:rPr>
        <w:t xml:space="preserve"> and the WIPO Secretariat’s publication </w:t>
      </w:r>
      <w:r w:rsidRPr="009F285E">
        <w:rPr>
          <w:i/>
          <w:szCs w:val="22"/>
        </w:rPr>
        <w:t>Key Questions on Patent Disclosure Requirements for Genetic Resources and Traditional Knowledge</w:t>
      </w:r>
      <w:r w:rsidRPr="009F285E">
        <w:rPr>
          <w:szCs w:val="22"/>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currently considering the introduction of such regimes.  These regimes vary significantly in terms of scope, content, relationship with access and benefit-sharing regimes, and sanctions.  </w:t>
      </w:r>
      <w:r w:rsidRPr="009F285E">
        <w:rPr>
          <w:szCs w:val="22"/>
        </w:rPr>
        <w:lastRenderedPageBreak/>
        <w:t xml:space="preserve">In my view, these differences create inherent risks to users in terms of legal certainty, accessibility to GRs and Associated TK, and transactional costs/burdens with potential negative impacts on innovation. </w:t>
      </w:r>
      <w:r>
        <w:rPr>
          <w:szCs w:val="22"/>
        </w:rPr>
        <w:t xml:space="preserve"> </w:t>
      </w:r>
      <w:r w:rsidRPr="009F285E">
        <w:rPr>
          <w:szCs w:val="22"/>
        </w:rPr>
        <w:t xml:space="preserve">In addition, a global and mandatory disclosure regime would enhance transparency in relation to the use of GRs and Associated TK within the patent system, improving the efficacy and quality of the patent system. </w:t>
      </w:r>
      <w:r>
        <w:rPr>
          <w:szCs w:val="22"/>
        </w:rPr>
        <w:t xml:space="preserve"> </w:t>
      </w:r>
      <w:r w:rsidRPr="009F285E">
        <w:rPr>
          <w:szCs w:val="22"/>
        </w:rPr>
        <w:t xml:space="preserve">This would, in my view, also facilitate benefit-sharing and the prevention of the granting of erroneous patents and the misappropriation of GRs and Associated TK. </w:t>
      </w:r>
    </w:p>
    <w:p w:rsidR="005A0DD7" w:rsidRPr="009F285E" w:rsidRDefault="005A0DD7" w:rsidP="005A0DD7">
      <w:pPr>
        <w:rPr>
          <w:szCs w:val="22"/>
        </w:rPr>
      </w:pPr>
    </w:p>
    <w:p w:rsidR="005A0DD7" w:rsidRPr="009F285E" w:rsidRDefault="005A0DD7" w:rsidP="005A0DD7">
      <w:pPr>
        <w:rPr>
          <w:szCs w:val="22"/>
        </w:rPr>
      </w:pPr>
      <w:r w:rsidRPr="009F285E">
        <w:rPr>
          <w:szCs w:val="22"/>
        </w:rPr>
        <w:t>7.</w:t>
      </w:r>
      <w:r w:rsidRPr="009F285E">
        <w:rPr>
          <w:szCs w:val="22"/>
        </w:rPr>
        <w:tab/>
        <w:t xml:space="preserve">I invite Member States to consider this draft text in the context of the IGC’s work on GRs and Associated TK.  I look forward to receiving feedback on the draft from Member States and stakeholders. </w:t>
      </w:r>
    </w:p>
    <w:p w:rsidR="005A0DD7" w:rsidRPr="009F285E" w:rsidRDefault="005A0DD7" w:rsidP="005A0DD7">
      <w:pPr>
        <w:rPr>
          <w:szCs w:val="22"/>
        </w:rPr>
      </w:pPr>
    </w:p>
    <w:p w:rsidR="005A0DD7" w:rsidRPr="009F285E" w:rsidRDefault="005A0DD7" w:rsidP="005A0DD7">
      <w:pPr>
        <w:rPr>
          <w:szCs w:val="22"/>
        </w:rPr>
      </w:pPr>
      <w:r w:rsidRPr="009F285E">
        <w:rPr>
          <w:szCs w:val="22"/>
        </w:rPr>
        <w:t>8.</w:t>
      </w:r>
      <w:r w:rsidRPr="009F285E">
        <w:rPr>
          <w:szCs w:val="22"/>
        </w:rPr>
        <w:tab/>
        <w:t xml:space="preserve">The text of the draft legal instrument follows below.  Several but not all of the articles are accompanied by explanatory notes.  These notes do not form part of the text, and are simply meant to provide further background and explanation.  In the event of any inconsistency between the text of an article and the note accompanying it, the text of the article takes precedence. </w:t>
      </w:r>
    </w:p>
    <w:p w:rsidR="005A0DD7" w:rsidRPr="009F285E" w:rsidRDefault="005A0DD7" w:rsidP="005A0DD7">
      <w:pPr>
        <w:rPr>
          <w:szCs w:val="22"/>
        </w:rPr>
      </w:pPr>
    </w:p>
    <w:p w:rsidR="005A0DD7" w:rsidRPr="009F285E" w:rsidRDefault="005A0DD7" w:rsidP="005A0DD7">
      <w:pPr>
        <w:rPr>
          <w:szCs w:val="22"/>
        </w:rPr>
      </w:pPr>
    </w:p>
    <w:p w:rsidR="005A0DD7" w:rsidRPr="009F285E" w:rsidRDefault="005A0DD7" w:rsidP="005A0DD7">
      <w:pPr>
        <w:rPr>
          <w:szCs w:val="22"/>
        </w:rPr>
      </w:pPr>
    </w:p>
    <w:p w:rsidR="005A0DD7" w:rsidRPr="009F285E" w:rsidRDefault="005A0DD7" w:rsidP="005A0DD7">
      <w:pPr>
        <w:rPr>
          <w:szCs w:val="22"/>
        </w:rPr>
      </w:pPr>
    </w:p>
    <w:p w:rsidR="005A0DD7" w:rsidRPr="009F285E" w:rsidRDefault="005A0DD7" w:rsidP="005A0DD7">
      <w:pPr>
        <w:rPr>
          <w:szCs w:val="22"/>
        </w:rPr>
        <w:sectPr w:rsidR="005A0DD7" w:rsidRPr="009F285E" w:rsidSect="003D1AC9">
          <w:headerReference w:type="default" r:id="rId11"/>
          <w:headerReference w:type="first" r:id="rId12"/>
          <w:endnotePr>
            <w:numFmt w:val="decimal"/>
          </w:endnotePr>
          <w:pgSz w:w="11907" w:h="16840" w:code="9"/>
          <w:pgMar w:top="567" w:right="1134" w:bottom="630" w:left="1418" w:header="510" w:footer="1021" w:gutter="0"/>
          <w:pgNumType w:start="1"/>
          <w:cols w:space="720"/>
          <w:titlePg/>
          <w:docGrid w:linePitch="326"/>
        </w:sectPr>
      </w:pPr>
    </w:p>
    <w:p w:rsidR="005A0DD7" w:rsidRPr="009F285E" w:rsidRDefault="005A0DD7" w:rsidP="005A0D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lastRenderedPageBreak/>
        <w:t xml:space="preserve">IGC CHAIR’S DRAFT </w:t>
      </w:r>
    </w:p>
    <w:p w:rsidR="005A0DD7" w:rsidRPr="009F285E" w:rsidRDefault="005A0DD7" w:rsidP="005A0D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5A0DD7" w:rsidRPr="009F285E" w:rsidRDefault="005A0DD7" w:rsidP="005A0D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INTERNATIONAL LEGAL INSTRUMENT RELATING TO INTELLECTUAL PROPERTY, GENETIC RESOURCES AND TRADITIONAL KNOWLEDGE ASSOCIATED WITH GENETIC RESOURCES</w:t>
      </w:r>
    </w:p>
    <w:p w:rsidR="005A0DD7" w:rsidRPr="009F285E" w:rsidRDefault="005A0DD7" w:rsidP="005A0D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5A0DD7" w:rsidRPr="009F285E" w:rsidRDefault="005A0DD7" w:rsidP="005A0DD7">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Pr>
          <w:b/>
          <w:szCs w:val="22"/>
        </w:rPr>
        <w:t>April 30, 2019</w:t>
      </w:r>
      <w:r w:rsidRPr="009F285E">
        <w:rPr>
          <w:b/>
          <w:szCs w:val="22"/>
        </w:rPr>
        <w:br/>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rPr>
      </w:pPr>
      <w:r w:rsidRPr="009F285E">
        <w:rPr>
          <w:rFonts w:ascii="Arial" w:hAnsi="Arial" w:cs="Arial"/>
          <w:sz w:val="22"/>
          <w:szCs w:val="22"/>
        </w:rPr>
        <w:t>The Parties to this instrument</w:t>
      </w:r>
      <w:r w:rsidRPr="009F285E">
        <w:rPr>
          <w:rFonts w:ascii="Arial" w:hAnsi="Arial" w:cs="Arial"/>
          <w:sz w:val="20"/>
          <w:szCs w:val="20"/>
        </w:rPr>
        <w:t xml:space="preserve">, </w:t>
      </w:r>
      <w:r w:rsidRPr="009F285E">
        <w:rPr>
          <w:rFonts w:ascii="Arial" w:hAnsi="Arial" w:cs="Arial"/>
          <w:sz w:val="20"/>
          <w:szCs w:val="20"/>
        </w:rPr>
        <w:br/>
      </w:r>
    </w:p>
    <w:p w:rsidR="005A0DD7" w:rsidRPr="009F285E" w:rsidRDefault="005A0DD7" w:rsidP="005A0DD7">
      <w:pPr>
        <w:rPr>
          <w:szCs w:val="22"/>
        </w:rPr>
      </w:pPr>
      <w:r w:rsidRPr="009F285E">
        <w:rPr>
          <w:i/>
          <w:szCs w:val="22"/>
        </w:rPr>
        <w:t xml:space="preserve">Desiring </w:t>
      </w:r>
      <w:r w:rsidRPr="009F285E">
        <w:rPr>
          <w:szCs w:val="22"/>
        </w:rPr>
        <w:t>the promotion of</w:t>
      </w:r>
      <w:r w:rsidRPr="009F285E">
        <w:rPr>
          <w:i/>
          <w:szCs w:val="22"/>
        </w:rPr>
        <w:t xml:space="preserve"> </w:t>
      </w:r>
      <w:r w:rsidRPr="009F285E">
        <w:rPr>
          <w:szCs w:val="22"/>
        </w:rPr>
        <w:t>the efficacy, transparency and quality of the patent system in relation to genetic resources (GRs) and traditional knowledge associated with genetic resources (Associated TK),</w:t>
      </w:r>
      <w:r w:rsidRPr="009F285E">
        <w:rPr>
          <w:szCs w:val="22"/>
        </w:rPr>
        <w:br/>
      </w:r>
    </w:p>
    <w:p w:rsidR="005A0DD7" w:rsidRPr="009F285E" w:rsidRDefault="005A0DD7" w:rsidP="005A0DD7">
      <w:pPr>
        <w:contextualSpacing/>
        <w:rPr>
          <w:i/>
          <w:szCs w:val="22"/>
        </w:rPr>
      </w:pPr>
      <w:r w:rsidRPr="009F285E">
        <w:rPr>
          <w:i/>
          <w:szCs w:val="22"/>
        </w:rPr>
        <w:t>Emphasizing</w:t>
      </w:r>
      <w:r w:rsidRPr="009F285E">
        <w:rPr>
          <w:szCs w:val="22"/>
        </w:rPr>
        <w:t xml:space="preserve"> the importance of patent offices having access to appropriate information on GRs and Associated TK to prevent patents from being granted erroneously for inventions that are not novel or inventive with regard to GRs and Associated TK,</w:t>
      </w:r>
      <w:r w:rsidRPr="009F285E">
        <w:rPr>
          <w:szCs w:val="22"/>
        </w:rPr>
        <w:br/>
      </w:r>
    </w:p>
    <w:p w:rsidR="005A0DD7" w:rsidRPr="009F285E" w:rsidRDefault="005A0DD7" w:rsidP="005A0DD7">
      <w:pPr>
        <w:rPr>
          <w:szCs w:val="22"/>
        </w:rPr>
      </w:pPr>
      <w:r w:rsidRPr="009F285E">
        <w:rPr>
          <w:i/>
          <w:szCs w:val="22"/>
        </w:rPr>
        <w:t>Recognizing</w:t>
      </w:r>
      <w:r w:rsidRPr="009F285E">
        <w:rPr>
          <w:szCs w:val="22"/>
        </w:rPr>
        <w:t xml:space="preserve"> the potential role of the patent system in contributing to the protection of GRs and Associated TK,</w:t>
      </w:r>
    </w:p>
    <w:p w:rsidR="005A0DD7" w:rsidRPr="009F285E" w:rsidRDefault="005A0DD7" w:rsidP="005A0DD7">
      <w:pPr>
        <w:rPr>
          <w:szCs w:val="22"/>
        </w:rPr>
      </w:pPr>
    </w:p>
    <w:p w:rsidR="005A0DD7" w:rsidRPr="009F285E" w:rsidRDefault="005A0DD7" w:rsidP="005A0DD7">
      <w:pPr>
        <w:rPr>
          <w:szCs w:val="22"/>
        </w:rPr>
      </w:pPr>
      <w:r w:rsidRPr="009F285E">
        <w:rPr>
          <w:i/>
          <w:szCs w:val="22"/>
        </w:rPr>
        <w:t>Recognizing</w:t>
      </w:r>
      <w:r w:rsidRPr="009F285E">
        <w:rPr>
          <w:szCs w:val="22"/>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9F285E">
        <w:rPr>
          <w:szCs w:val="22"/>
        </w:rPr>
        <w:br/>
      </w:r>
    </w:p>
    <w:p w:rsidR="005A0DD7" w:rsidRPr="009F285E" w:rsidRDefault="005A0DD7" w:rsidP="005A0DD7">
      <w:pPr>
        <w:rPr>
          <w:szCs w:val="22"/>
        </w:rPr>
      </w:pPr>
      <w:r w:rsidRPr="009F285E">
        <w:rPr>
          <w:i/>
          <w:szCs w:val="22"/>
        </w:rPr>
        <w:t xml:space="preserve">Recognizing </w:t>
      </w:r>
      <w:r w:rsidRPr="009F285E">
        <w:rPr>
          <w:szCs w:val="22"/>
        </w:rPr>
        <w:t>that this instrument and other international instruments related to GRs and Associated TK should be mutually supportive,</w:t>
      </w:r>
    </w:p>
    <w:p w:rsidR="005A0DD7" w:rsidRPr="009F285E" w:rsidRDefault="005A0DD7" w:rsidP="005A0DD7">
      <w:pPr>
        <w:rPr>
          <w:szCs w:val="22"/>
        </w:rPr>
      </w:pPr>
    </w:p>
    <w:p w:rsidR="005A0DD7" w:rsidRPr="009F285E" w:rsidRDefault="005A0DD7" w:rsidP="005A0DD7">
      <w:pPr>
        <w:rPr>
          <w:szCs w:val="22"/>
        </w:rPr>
      </w:pPr>
      <w:r w:rsidRPr="009F285E">
        <w:rPr>
          <w:i/>
          <w:szCs w:val="22"/>
        </w:rPr>
        <w:t>Recognizing and reaffirming</w:t>
      </w:r>
      <w:r w:rsidRPr="009F285E">
        <w:rPr>
          <w:szCs w:val="22"/>
        </w:rPr>
        <w:t xml:space="preserve"> the role that the intellectual property (IP) system plays in promoting innovation, transfer and dissemination of knowledge and economic development, to the mutual advantage of providers and users of GRs and Associated TK,</w:t>
      </w:r>
    </w:p>
    <w:p w:rsidR="005A0DD7" w:rsidRPr="009F285E" w:rsidRDefault="005A0DD7" w:rsidP="005A0DD7">
      <w:pPr>
        <w:rPr>
          <w:szCs w:val="22"/>
        </w:rPr>
      </w:pPr>
    </w:p>
    <w:p w:rsidR="005A0DD7" w:rsidRPr="009F285E" w:rsidRDefault="005A0DD7" w:rsidP="005A0DD7">
      <w:pPr>
        <w:rPr>
          <w:szCs w:val="22"/>
        </w:rPr>
      </w:pPr>
      <w:r w:rsidRPr="009F285E">
        <w:rPr>
          <w:i/>
          <w:szCs w:val="22"/>
        </w:rPr>
        <w:t>Acknowledging</w:t>
      </w:r>
      <w:r w:rsidRPr="009F285E">
        <w:rPr>
          <w:szCs w:val="22"/>
        </w:rPr>
        <w:t xml:space="preserve"> the UN Declaration on the Rights of Indigenous Peoples (UNDRIP),</w:t>
      </w:r>
    </w:p>
    <w:p w:rsidR="005A0DD7" w:rsidRPr="009F285E" w:rsidRDefault="005A0DD7" w:rsidP="005A0DD7">
      <w:pPr>
        <w:rPr>
          <w:szCs w:val="22"/>
        </w:rPr>
      </w:pPr>
    </w:p>
    <w:p w:rsidR="005A0DD7" w:rsidRPr="009F285E" w:rsidRDefault="005A0DD7" w:rsidP="005A0DD7">
      <w:pPr>
        <w:rPr>
          <w:szCs w:val="22"/>
        </w:rPr>
      </w:pPr>
      <w:r w:rsidRPr="009F285E">
        <w:rPr>
          <w:szCs w:val="22"/>
        </w:rPr>
        <w:t>Have agreed as follows:</w:t>
      </w:r>
    </w:p>
    <w:p w:rsidR="005A0DD7" w:rsidRPr="009F285E" w:rsidRDefault="005A0DD7" w:rsidP="005A0DD7"/>
    <w:p w:rsidR="005A0DD7" w:rsidRPr="009F285E" w:rsidRDefault="005A0DD7" w:rsidP="005A0DD7">
      <w:pPr>
        <w:jc w:val="center"/>
        <w:rPr>
          <w:b/>
        </w:rPr>
      </w:pPr>
    </w:p>
    <w:p w:rsidR="005A0DD7" w:rsidRPr="009F285E" w:rsidRDefault="005A0DD7" w:rsidP="005A0DD7">
      <w:pPr>
        <w:jc w:val="center"/>
        <w:rPr>
          <w:b/>
        </w:rPr>
        <w:sectPr w:rsidR="005A0DD7" w:rsidRPr="009F285E" w:rsidSect="003D1AC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630" w:left="1418" w:header="510" w:footer="1021" w:gutter="0"/>
          <w:pgNumType w:start="3"/>
          <w:cols w:space="720"/>
          <w:titlePg/>
          <w:docGrid w:linePitch="299"/>
        </w:sectPr>
      </w:pPr>
    </w:p>
    <w:p w:rsidR="005A0DD7" w:rsidRPr="009F285E" w:rsidRDefault="005A0DD7" w:rsidP="005A0DD7">
      <w:pPr>
        <w:jc w:val="center"/>
        <w:rPr>
          <w:b/>
          <w:szCs w:val="22"/>
        </w:rPr>
      </w:pPr>
      <w:r w:rsidRPr="009F285E">
        <w:rPr>
          <w:b/>
          <w:szCs w:val="22"/>
        </w:rPr>
        <w:lastRenderedPageBreak/>
        <w:t>ARTICLE 1</w:t>
      </w:r>
    </w:p>
    <w:p w:rsidR="005A0DD7" w:rsidRPr="009F285E" w:rsidRDefault="005A0DD7" w:rsidP="005A0DD7">
      <w:pPr>
        <w:jc w:val="center"/>
        <w:rPr>
          <w:b/>
          <w:szCs w:val="22"/>
        </w:rPr>
      </w:pPr>
      <w:r w:rsidRPr="009F285E">
        <w:rPr>
          <w:b/>
          <w:szCs w:val="22"/>
        </w:rPr>
        <w:t>OBJECTIVES</w:t>
      </w:r>
    </w:p>
    <w:p w:rsidR="005A0DD7" w:rsidRPr="009F285E" w:rsidRDefault="005A0DD7" w:rsidP="005A0DD7">
      <w:pPr>
        <w:pStyle w:val="ListParagraph"/>
        <w:spacing w:after="0" w:line="240" w:lineRule="auto"/>
        <w:rPr>
          <w:rFonts w:ascii="Arial" w:eastAsia="SimSun" w:hAnsi="Arial" w:cs="Arial"/>
          <w:lang w:val="en-AU" w:eastAsia="zh-CN"/>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The objectives of this instrument are to:</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numPr>
          <w:ilvl w:val="0"/>
          <w:numId w:val="14"/>
        </w:numPr>
        <w:spacing w:before="0" w:beforeAutospacing="0" w:after="0" w:afterAutospacing="0"/>
        <w:rPr>
          <w:rFonts w:ascii="Arial" w:hAnsi="Arial" w:cs="Arial"/>
          <w:sz w:val="22"/>
          <w:szCs w:val="22"/>
        </w:rPr>
      </w:pPr>
      <w:r w:rsidRPr="009F285E">
        <w:rPr>
          <w:rFonts w:ascii="Arial" w:hAnsi="Arial" w:cs="Arial"/>
          <w:sz w:val="22"/>
          <w:szCs w:val="22"/>
        </w:rPr>
        <w:t xml:space="preserve">enhance the efficacy, transparency and quality of the patent system with regard to GRs and Associated TK, and </w:t>
      </w:r>
    </w:p>
    <w:p w:rsidR="005A0DD7" w:rsidRPr="009F285E" w:rsidRDefault="005A0DD7" w:rsidP="005A0DD7">
      <w:pPr>
        <w:pStyle w:val="NormalWeb"/>
        <w:spacing w:before="0" w:beforeAutospacing="0" w:after="0" w:afterAutospacing="0"/>
        <w:ind w:left="1170"/>
        <w:rPr>
          <w:rFonts w:ascii="Arial" w:hAnsi="Arial" w:cs="Arial"/>
          <w:sz w:val="22"/>
          <w:szCs w:val="22"/>
        </w:rPr>
      </w:pPr>
    </w:p>
    <w:p w:rsidR="005A0DD7" w:rsidRPr="009F285E" w:rsidRDefault="005A0DD7" w:rsidP="005A0DD7">
      <w:pPr>
        <w:pStyle w:val="NormalWeb"/>
        <w:spacing w:before="0" w:beforeAutospacing="0" w:after="0" w:afterAutospacing="0"/>
        <w:ind w:left="1170" w:hanging="63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 xml:space="preserve">prevent patents from being granted erroneously for inventions that are not novel or inventive with regard to GRs and Associated TK. </w:t>
      </w:r>
      <w:r w:rsidRPr="009F285E">
        <w:rPr>
          <w:rFonts w:ascii="Arial" w:hAnsi="Arial" w:cs="Arial"/>
          <w:sz w:val="22"/>
          <w:szCs w:val="22"/>
        </w:rPr>
        <w:br/>
      </w:r>
    </w:p>
    <w:p w:rsidR="005A0DD7" w:rsidRPr="009F285E" w:rsidRDefault="005A0DD7" w:rsidP="005A0DD7">
      <w:pPr>
        <w:rPr>
          <w:szCs w:val="22"/>
          <w:u w:val="single"/>
        </w:rPr>
      </w:pPr>
    </w:p>
    <w:p w:rsidR="005A0DD7" w:rsidRPr="009F285E" w:rsidRDefault="005A0DD7" w:rsidP="005A0DD7">
      <w:pPr>
        <w:rPr>
          <w:szCs w:val="22"/>
          <w:u w:val="single"/>
        </w:rPr>
      </w:pPr>
      <w:r w:rsidRPr="009F285E">
        <w:rPr>
          <w:szCs w:val="22"/>
          <w:u w:val="single"/>
        </w:rPr>
        <w:br w:type="page"/>
      </w:r>
    </w:p>
    <w:p w:rsidR="005A0DD7" w:rsidRPr="009F285E" w:rsidRDefault="005A0DD7" w:rsidP="005A0DD7">
      <w:pPr>
        <w:rPr>
          <w:szCs w:val="22"/>
          <w:u w:val="single"/>
        </w:rPr>
      </w:pPr>
      <w:r w:rsidRPr="009F285E">
        <w:rPr>
          <w:szCs w:val="22"/>
          <w:u w:val="single"/>
        </w:rPr>
        <w:lastRenderedPageBreak/>
        <w:t>Notes on Article 1</w:t>
      </w:r>
    </w:p>
    <w:p w:rsidR="005A0DD7" w:rsidRPr="009F285E" w:rsidRDefault="005A0DD7" w:rsidP="005A0DD7">
      <w:pPr>
        <w:rPr>
          <w:szCs w:val="22"/>
        </w:rPr>
      </w:pPr>
    </w:p>
    <w:p w:rsidR="005A0DD7" w:rsidRPr="009F285E" w:rsidRDefault="005A0DD7" w:rsidP="005A0DD7">
      <w:pPr>
        <w:rPr>
          <w:szCs w:val="22"/>
        </w:rPr>
      </w:pPr>
      <w:r w:rsidRPr="009F285E">
        <w:rPr>
          <w:szCs w:val="22"/>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9F285E">
        <w:rPr>
          <w:rStyle w:val="Emphasis"/>
          <w:szCs w:val="22"/>
        </w:rPr>
        <w:t xml:space="preserve">Pandemic Influenza Preparedness Framework, </w:t>
      </w:r>
      <w:r w:rsidRPr="009F285E">
        <w:rPr>
          <w:szCs w:val="22"/>
        </w:rPr>
        <w:t>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easily implementable and not result in overly burdensome transaction costs.</w:t>
      </w:r>
    </w:p>
    <w:p w:rsidR="005A0DD7" w:rsidRDefault="005A0DD7" w:rsidP="005A0DD7">
      <w:pPr>
        <w:rPr>
          <w:szCs w:val="22"/>
        </w:rPr>
      </w:pPr>
    </w:p>
    <w:p w:rsidR="005A0DD7" w:rsidRPr="009F285E" w:rsidRDefault="005A0DD7" w:rsidP="005A0DD7">
      <w:pPr>
        <w:rPr>
          <w:szCs w:val="22"/>
        </w:rPr>
      </w:pPr>
    </w:p>
    <w:p w:rsidR="005A0DD7" w:rsidRPr="009F285E" w:rsidRDefault="005A0DD7" w:rsidP="005A0DD7">
      <w:pPr>
        <w:jc w:val="center"/>
        <w:rPr>
          <w:b/>
        </w:rPr>
        <w:sectPr w:rsidR="005A0DD7" w:rsidRPr="009F285E" w:rsidSect="003D1AC9">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2</w:t>
      </w:r>
    </w:p>
    <w:p w:rsidR="005A0DD7" w:rsidRPr="009F285E" w:rsidRDefault="005A0DD7" w:rsidP="005A0DD7">
      <w:pPr>
        <w:jc w:val="center"/>
        <w:rPr>
          <w:b/>
          <w:szCs w:val="22"/>
        </w:rPr>
      </w:pPr>
      <w:r w:rsidRPr="009F285E">
        <w:rPr>
          <w:b/>
          <w:szCs w:val="22"/>
        </w:rPr>
        <w:t>LIST OF TERMS</w:t>
      </w:r>
    </w:p>
    <w:p w:rsidR="005A0DD7" w:rsidRPr="009F285E" w:rsidRDefault="005A0DD7" w:rsidP="005A0DD7">
      <w:pPr>
        <w:jc w:val="center"/>
        <w:rPr>
          <w:b/>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 xml:space="preserve">The terms defined below shall apply to this instrument, unless expressly stated otherwise: </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“Applicant”</w:t>
      </w:r>
      <w:r w:rsidRPr="009F285E">
        <w:rPr>
          <w:rFonts w:ascii="Arial" w:hAnsi="Arial" w:cs="Arial"/>
          <w:i/>
          <w:iCs/>
          <w:sz w:val="22"/>
          <w:szCs w:val="22"/>
        </w:rPr>
        <w:t xml:space="preserve"> </w:t>
      </w:r>
      <w:r w:rsidRPr="009F285E">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i/>
          <w:iCs/>
          <w:sz w:val="22"/>
          <w:szCs w:val="22"/>
        </w:rPr>
      </w:pPr>
      <w:r w:rsidRPr="009F285E">
        <w:rPr>
          <w:rFonts w:ascii="Arial" w:hAnsi="Arial" w:cs="Arial"/>
          <w:b/>
          <w:i/>
          <w:iCs/>
          <w:sz w:val="22"/>
          <w:szCs w:val="22"/>
        </w:rPr>
        <w:t>“Application”</w:t>
      </w:r>
      <w:r w:rsidRPr="009F285E">
        <w:rPr>
          <w:rFonts w:ascii="Arial" w:hAnsi="Arial" w:cs="Arial"/>
          <w:i/>
          <w:iCs/>
          <w:sz w:val="22"/>
          <w:szCs w:val="22"/>
        </w:rPr>
        <w:t xml:space="preserve"> </w:t>
      </w:r>
      <w:r w:rsidRPr="009F285E">
        <w:rPr>
          <w:rFonts w:ascii="Arial" w:hAnsi="Arial" w:cs="Arial"/>
          <w:iCs/>
          <w:sz w:val="22"/>
          <w:szCs w:val="22"/>
        </w:rPr>
        <w:t>means an application for granting of a patent</w:t>
      </w:r>
      <w:r w:rsidRPr="009F285E">
        <w:rPr>
          <w:rFonts w:ascii="Arial" w:hAnsi="Arial" w:cs="Arial"/>
          <w:i/>
          <w:iCs/>
          <w:sz w:val="22"/>
          <w:szCs w:val="22"/>
        </w:rPr>
        <w:t xml:space="preserve">. </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“Contracting Party</w:t>
      </w:r>
      <w:r w:rsidRPr="009F285E">
        <w:rPr>
          <w:rFonts w:ascii="Arial" w:hAnsi="Arial" w:cs="Arial"/>
          <w:b/>
          <w:iCs/>
          <w:sz w:val="22"/>
          <w:szCs w:val="22"/>
        </w:rPr>
        <w:t>”</w:t>
      </w:r>
      <w:r w:rsidRPr="009F285E">
        <w:rPr>
          <w:rFonts w:ascii="Arial" w:hAnsi="Arial" w:cs="Arial"/>
          <w:iCs/>
          <w:sz w:val="22"/>
          <w:szCs w:val="22"/>
        </w:rPr>
        <w:t xml:space="preserve"> means any State or intergovernmental organization party to this instrument. </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rPr>
          <w:szCs w:val="22"/>
        </w:rPr>
      </w:pPr>
      <w:r w:rsidRPr="009F285E">
        <w:rPr>
          <w:b/>
          <w:i/>
          <w:szCs w:val="22"/>
        </w:rPr>
        <w:t>“Country of origin of genetic resources”</w:t>
      </w:r>
      <w:r w:rsidRPr="009F285E">
        <w:rPr>
          <w:szCs w:val="22"/>
        </w:rPr>
        <w:t xml:space="preserve"> means the country which possesses those genetic resources in </w:t>
      </w:r>
      <w:r w:rsidRPr="009F285E">
        <w:rPr>
          <w:i/>
          <w:szCs w:val="22"/>
        </w:rPr>
        <w:t>in situ</w:t>
      </w:r>
      <w:r w:rsidRPr="009F285E">
        <w:rPr>
          <w:szCs w:val="22"/>
        </w:rPr>
        <w:t xml:space="preserve"> conditions.</w:t>
      </w:r>
    </w:p>
    <w:p w:rsidR="005A0DD7" w:rsidRPr="009F285E" w:rsidRDefault="005A0DD7" w:rsidP="005A0DD7">
      <w:pPr>
        <w:keepLines/>
        <w:rPr>
          <w:b/>
          <w:i/>
          <w:iCs/>
          <w:szCs w:val="22"/>
        </w:rPr>
      </w:pPr>
    </w:p>
    <w:p w:rsidR="005A0DD7" w:rsidRPr="009F285E" w:rsidRDefault="005A0DD7" w:rsidP="005A0DD7">
      <w:pPr>
        <w:keepLines/>
        <w:rPr>
          <w:szCs w:val="22"/>
        </w:rPr>
      </w:pPr>
      <w:r w:rsidRPr="009F285E">
        <w:rPr>
          <w:b/>
          <w:i/>
          <w:szCs w:val="22"/>
        </w:rPr>
        <w:t>“[Materially/Directly] based on”</w:t>
      </w:r>
      <w:r w:rsidRPr="009F285E">
        <w:rPr>
          <w:szCs w:val="22"/>
        </w:rPr>
        <w:t xml:space="preserve"> means that the GRs and/or Associated TK must</w:t>
      </w:r>
      <w:r w:rsidRPr="009F285E">
        <w:rPr>
          <w:i/>
          <w:szCs w:val="22"/>
        </w:rPr>
        <w:t xml:space="preserve"> have been necessary or material to the development of the claimed invention</w:t>
      </w:r>
      <w:r w:rsidRPr="009F285E">
        <w:rPr>
          <w:szCs w:val="22"/>
        </w:rPr>
        <w:t xml:space="preserve">, and that </w:t>
      </w:r>
      <w:r w:rsidRPr="009F285E">
        <w:rPr>
          <w:i/>
          <w:szCs w:val="22"/>
        </w:rPr>
        <w:t>the claimed invention must depend on the specific properties of the GRs and/or Associated TK.</w:t>
      </w:r>
      <w:r w:rsidRPr="009F285E">
        <w:rPr>
          <w:szCs w:val="22"/>
        </w:rPr>
        <w:t xml:space="preserve">  </w:t>
      </w:r>
    </w:p>
    <w:p w:rsidR="005A0DD7" w:rsidRPr="009F285E" w:rsidRDefault="005A0DD7" w:rsidP="005A0DD7">
      <w:pPr>
        <w:keepLines/>
        <w:rPr>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b/>
          <w:i/>
          <w:iCs/>
          <w:sz w:val="22"/>
          <w:szCs w:val="22"/>
        </w:rPr>
        <w:t>"Genetic material"</w:t>
      </w:r>
      <w:r w:rsidRPr="009F285E">
        <w:rPr>
          <w:rFonts w:ascii="Arial" w:hAnsi="Arial" w:cs="Arial"/>
          <w:i/>
          <w:iCs/>
          <w:sz w:val="22"/>
          <w:szCs w:val="22"/>
        </w:rPr>
        <w:t xml:space="preserve"> </w:t>
      </w:r>
      <w:r w:rsidRPr="009F285E">
        <w:rPr>
          <w:rFonts w:ascii="Arial" w:hAnsi="Arial" w:cs="Arial"/>
          <w:sz w:val="22"/>
          <w:szCs w:val="22"/>
        </w:rPr>
        <w:t xml:space="preserve">means any material of plant, animal, microbial or other origin containing functional units of heredity. </w:t>
      </w:r>
    </w:p>
    <w:p w:rsidR="005A0DD7" w:rsidRPr="009F285E" w:rsidRDefault="005A0DD7" w:rsidP="005A0DD7">
      <w:pPr>
        <w:pStyle w:val="NormalWeb"/>
        <w:spacing w:before="0" w:beforeAutospacing="0" w:after="0" w:afterAutospacing="0"/>
        <w:rPr>
          <w:rFonts w:ascii="Arial" w:hAnsi="Arial" w:cs="Arial"/>
        </w:rPr>
      </w:pPr>
    </w:p>
    <w:p w:rsidR="005A0DD7" w:rsidRPr="009F285E" w:rsidRDefault="005A0DD7" w:rsidP="005A0DD7">
      <w:pPr>
        <w:keepLines/>
        <w:rPr>
          <w:szCs w:val="22"/>
        </w:rPr>
      </w:pPr>
      <w:r w:rsidRPr="009F285E">
        <w:rPr>
          <w:b/>
          <w:i/>
          <w:szCs w:val="22"/>
        </w:rPr>
        <w:t>“Genetic resources</w:t>
      </w:r>
      <w:r w:rsidRPr="009F285E">
        <w:rPr>
          <w:rStyle w:val="FootnoteReference"/>
          <w:b/>
          <w:i/>
          <w:szCs w:val="22"/>
        </w:rPr>
        <w:footnoteReference w:id="6"/>
      </w:r>
      <w:r w:rsidRPr="009F285E">
        <w:rPr>
          <w:b/>
          <w:i/>
          <w:szCs w:val="22"/>
        </w:rPr>
        <w:t>”</w:t>
      </w:r>
      <w:r w:rsidRPr="009F285E">
        <w:rPr>
          <w:szCs w:val="22"/>
        </w:rPr>
        <w:t xml:space="preserve"> (GRs) are genetic material of actual or potential value. </w:t>
      </w:r>
    </w:p>
    <w:p w:rsidR="005A0DD7" w:rsidRPr="009F285E" w:rsidRDefault="005A0DD7" w:rsidP="005A0DD7">
      <w:pPr>
        <w:keepLines/>
        <w:rPr>
          <w:szCs w:val="22"/>
        </w:rPr>
      </w:pPr>
    </w:p>
    <w:p w:rsidR="005A0DD7" w:rsidRPr="009F285E" w:rsidRDefault="005A0DD7" w:rsidP="005A0DD7">
      <w:pPr>
        <w:keepLines/>
        <w:rPr>
          <w:szCs w:val="22"/>
        </w:rPr>
      </w:pPr>
      <w:r w:rsidRPr="009F285E">
        <w:rPr>
          <w:b/>
          <w:i/>
          <w:szCs w:val="22"/>
        </w:rPr>
        <w:t>“In situ conditions”</w:t>
      </w:r>
      <w:r w:rsidRPr="009F285E">
        <w:rPr>
          <w:szCs w:val="22"/>
        </w:rPr>
        <w:t xml:space="preserve"> means conditions where GRs exist within ecosystems and natural habitats, and, in the case of domesticated or cultivated species, in the surroundings where they have developed their distinctive properties.</w:t>
      </w:r>
    </w:p>
    <w:p w:rsidR="005A0DD7" w:rsidRPr="009F285E" w:rsidRDefault="005A0DD7" w:rsidP="005A0DD7">
      <w:pPr>
        <w:keepLines/>
        <w:rPr>
          <w:szCs w:val="22"/>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“Office”</w:t>
      </w:r>
      <w:r w:rsidRPr="009F285E">
        <w:rPr>
          <w:rFonts w:ascii="Arial" w:hAnsi="Arial" w:cs="Arial"/>
          <w:iCs/>
          <w:sz w:val="22"/>
          <w:szCs w:val="22"/>
        </w:rPr>
        <w:t xml:space="preserve"> means the authority of a Contracting Party entrusted with the granting of patents. </w:t>
      </w:r>
    </w:p>
    <w:p w:rsidR="005A0DD7" w:rsidRPr="009F285E" w:rsidRDefault="005A0DD7" w:rsidP="005A0DD7">
      <w:pPr>
        <w:pStyle w:val="NormalWeb"/>
        <w:spacing w:before="0" w:beforeAutospacing="0" w:after="0" w:afterAutospacing="0"/>
        <w:rPr>
          <w:rFonts w:ascii="Arial" w:hAnsi="Arial" w:cs="Arial"/>
          <w:iCs/>
          <w:sz w:val="22"/>
          <w:szCs w:val="22"/>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“PCT”</w:t>
      </w:r>
      <w:r w:rsidRPr="009F285E">
        <w:rPr>
          <w:rFonts w:ascii="Arial" w:hAnsi="Arial" w:cs="Arial"/>
          <w:iCs/>
          <w:sz w:val="22"/>
          <w:szCs w:val="22"/>
        </w:rPr>
        <w:t xml:space="preserve"> refers to the Patent Cooperation Treaty, 1970.</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rPr>
          <w:szCs w:val="22"/>
        </w:rPr>
      </w:pPr>
      <w:r w:rsidRPr="009F285E">
        <w:rPr>
          <w:b/>
          <w:i/>
          <w:szCs w:val="22"/>
        </w:rPr>
        <w:t>“Source of Genetic Resources”</w:t>
      </w:r>
      <w:r w:rsidRPr="009F285E">
        <w:rPr>
          <w:szCs w:val="22"/>
        </w:rPr>
        <w:t xml:space="preserve"> refers to any source from which the applicant has obtained the GRs, such as a research centre, gene bank, the Multilateral System of the International Treaty on Plant Genetic Resources for Food and Agriculture (ITPGRFA), or any other </w:t>
      </w:r>
      <w:r w:rsidRPr="009F285E">
        <w:rPr>
          <w:i/>
          <w:szCs w:val="22"/>
        </w:rPr>
        <w:t>ex situ</w:t>
      </w:r>
      <w:r w:rsidRPr="009F285E">
        <w:rPr>
          <w:szCs w:val="22"/>
        </w:rPr>
        <w:t xml:space="preserve"> collection or depository of GRs.</w:t>
      </w:r>
    </w:p>
    <w:p w:rsidR="005A0DD7" w:rsidRPr="009F285E" w:rsidRDefault="005A0DD7" w:rsidP="005A0DD7">
      <w:pPr>
        <w:rPr>
          <w:b/>
          <w:szCs w:val="22"/>
        </w:rPr>
      </w:pPr>
    </w:p>
    <w:p w:rsidR="005A0DD7" w:rsidRPr="009F285E" w:rsidRDefault="005A0DD7" w:rsidP="005A0DD7">
      <w:pPr>
        <w:rPr>
          <w:b/>
          <w:i/>
          <w:szCs w:val="22"/>
        </w:rPr>
      </w:pPr>
      <w:r w:rsidRPr="009F285E">
        <w:rPr>
          <w:b/>
          <w:i/>
          <w:szCs w:val="22"/>
        </w:rPr>
        <w:t>“Source of Traditional Knowledge Associated with Genetic Resources”</w:t>
      </w:r>
      <w:r w:rsidRPr="009F285E">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9F285E">
        <w:rPr>
          <w:rStyle w:val="FootnoteReference"/>
          <w:szCs w:val="22"/>
        </w:rPr>
        <w:t xml:space="preserve"> </w:t>
      </w:r>
    </w:p>
    <w:p w:rsidR="005A0DD7" w:rsidRPr="009F285E" w:rsidRDefault="005A0DD7" w:rsidP="005A0DD7">
      <w:pPr>
        <w:tabs>
          <w:tab w:val="num" w:pos="993"/>
        </w:tabs>
        <w:autoSpaceDE w:val="0"/>
        <w:autoSpaceDN w:val="0"/>
        <w:adjustRightInd w:val="0"/>
        <w:rPr>
          <w:szCs w:val="22"/>
        </w:rPr>
        <w:sectPr w:rsidR="005A0DD7" w:rsidRPr="009F285E" w:rsidSect="003D1AC9">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rPr>
          <w:b/>
          <w:i/>
          <w:szCs w:val="22"/>
        </w:rPr>
      </w:pPr>
      <w:r w:rsidRPr="009F285E">
        <w:rPr>
          <w:szCs w:val="22"/>
          <w:u w:val="single"/>
        </w:rPr>
        <w:lastRenderedPageBreak/>
        <w:t>Notes on Article 2</w:t>
      </w:r>
    </w:p>
    <w:p w:rsidR="005A0DD7" w:rsidRPr="009F285E" w:rsidRDefault="005A0DD7" w:rsidP="005A0DD7">
      <w:pPr>
        <w:ind w:left="360"/>
        <w:rPr>
          <w:szCs w:val="22"/>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definitions of </w:t>
      </w:r>
      <w:r w:rsidRPr="009F285E">
        <w:rPr>
          <w:rFonts w:ascii="Arial" w:hAnsi="Arial" w:cs="Arial"/>
          <w:i/>
          <w:lang w:val="en-AU"/>
        </w:rPr>
        <w:t>genetic resources</w:t>
      </w:r>
      <w:r w:rsidRPr="009F285E">
        <w:rPr>
          <w:rFonts w:ascii="Arial" w:hAnsi="Arial" w:cs="Arial"/>
          <w:lang w:val="en-AU"/>
        </w:rPr>
        <w:t xml:space="preserve">, </w:t>
      </w:r>
      <w:r w:rsidRPr="009F285E">
        <w:rPr>
          <w:rFonts w:ascii="Arial" w:hAnsi="Arial" w:cs="Arial"/>
          <w:i/>
          <w:lang w:val="en-AU"/>
        </w:rPr>
        <w:t>genetic material</w:t>
      </w:r>
      <w:r w:rsidRPr="009F285E">
        <w:rPr>
          <w:rFonts w:ascii="Arial" w:hAnsi="Arial" w:cs="Arial"/>
          <w:lang w:val="en-AU"/>
        </w:rPr>
        <w:t xml:space="preserve">, </w:t>
      </w:r>
      <w:r w:rsidRPr="009F285E">
        <w:rPr>
          <w:rFonts w:ascii="Arial" w:hAnsi="Arial" w:cs="Arial"/>
          <w:i/>
          <w:lang w:val="en-AU"/>
        </w:rPr>
        <w:t>country of origin</w:t>
      </w:r>
      <w:r w:rsidRPr="009F285E">
        <w:rPr>
          <w:rFonts w:ascii="Arial" w:hAnsi="Arial" w:cs="Arial"/>
          <w:lang w:val="en-AU"/>
        </w:rPr>
        <w:t xml:space="preserve"> and </w:t>
      </w:r>
      <w:r w:rsidRPr="009F285E">
        <w:rPr>
          <w:rFonts w:ascii="Arial" w:hAnsi="Arial" w:cs="Arial"/>
          <w:i/>
          <w:lang w:val="en-AU"/>
        </w:rPr>
        <w:t>in situ</w:t>
      </w:r>
      <w:r w:rsidRPr="009F285E">
        <w:rPr>
          <w:rFonts w:ascii="Arial" w:hAnsi="Arial" w:cs="Arial"/>
          <w:lang w:val="en-AU"/>
        </w:rPr>
        <w:t xml:space="preserve"> </w:t>
      </w:r>
      <w:r w:rsidRPr="009F285E">
        <w:rPr>
          <w:rFonts w:ascii="Arial" w:hAnsi="Arial" w:cs="Arial"/>
          <w:i/>
          <w:lang w:val="en-AU"/>
        </w:rPr>
        <w:t>conditions</w:t>
      </w:r>
      <w:r w:rsidRPr="009F285E">
        <w:rPr>
          <w:rFonts w:ascii="Arial" w:hAnsi="Arial" w:cs="Arial"/>
          <w:lang w:val="en-AU"/>
        </w:rPr>
        <w:t xml:space="preserve"> detailed in the list of terms have been taken directly from existing multilateral agreements relati</w:t>
      </w:r>
      <w:r>
        <w:rPr>
          <w:rFonts w:ascii="Arial" w:hAnsi="Arial" w:cs="Arial"/>
          <w:lang w:val="en-AU"/>
        </w:rPr>
        <w:t>ng to the GRs, notably the CBD.</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following definitions have not previously been defined at the multilateral level: </w:t>
      </w:r>
      <w:r w:rsidRPr="009F285E">
        <w:rPr>
          <w:rFonts w:ascii="Arial" w:hAnsi="Arial" w:cs="Arial"/>
          <w:i/>
          <w:lang w:val="en-AU"/>
        </w:rPr>
        <w:t>materially/directly based on</w:t>
      </w:r>
      <w:r w:rsidRPr="009F285E">
        <w:rPr>
          <w:rFonts w:ascii="Arial" w:hAnsi="Arial" w:cs="Arial"/>
          <w:lang w:val="en-AU"/>
        </w:rPr>
        <w:t xml:space="preserve">, </w:t>
      </w:r>
      <w:r w:rsidRPr="009F285E">
        <w:rPr>
          <w:rFonts w:ascii="Arial" w:hAnsi="Arial" w:cs="Arial"/>
          <w:i/>
          <w:lang w:val="en-AU"/>
        </w:rPr>
        <w:t>source of genetic resources</w:t>
      </w:r>
      <w:r w:rsidRPr="009F285E">
        <w:rPr>
          <w:rFonts w:ascii="Arial" w:hAnsi="Arial" w:cs="Arial"/>
          <w:lang w:val="en-AU"/>
        </w:rPr>
        <w:t xml:space="preserve">, and </w:t>
      </w:r>
      <w:r w:rsidRPr="009F285E">
        <w:rPr>
          <w:rFonts w:ascii="Arial" w:hAnsi="Arial" w:cs="Arial"/>
          <w:i/>
          <w:lang w:val="en-AU"/>
        </w:rPr>
        <w:t>source of traditional knowledge associated with genetic resources.</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term “</w:t>
      </w:r>
      <w:r w:rsidRPr="009F285E">
        <w:rPr>
          <w:rFonts w:ascii="Arial" w:hAnsi="Arial" w:cs="Arial"/>
          <w:i/>
          <w:lang w:val="en-AU"/>
        </w:rPr>
        <w:t>materially/directly based on”</w:t>
      </w:r>
      <w:r w:rsidRPr="009F285E">
        <w:rPr>
          <w:rFonts w:ascii="Arial" w:hAnsi="Arial" w:cs="Arial"/>
          <w:lang w:val="en-AU"/>
        </w:rPr>
        <w:t xml:space="preserve"> specifies the relationship between the claimed invention and the GRs and Associated TK which activates the obligation to disclose (referred to in the IGC</w:t>
      </w:r>
      <w:r>
        <w:rPr>
          <w:rFonts w:ascii="Arial" w:hAnsi="Arial" w:cs="Arial"/>
          <w:lang w:val="en-AU"/>
        </w:rPr>
        <w:t xml:space="preserve"> discussions as the “trigger”).</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Currently there is a significant divergence in triggers at the national and regional levels e.g. </w:t>
      </w:r>
      <w:r w:rsidRPr="009F285E">
        <w:rPr>
          <w:rFonts w:ascii="Arial" w:hAnsi="Arial" w:cs="Arial"/>
          <w:i/>
          <w:lang w:val="en-AU"/>
        </w:rPr>
        <w:t>directly based on</w:t>
      </w:r>
      <w:r w:rsidRPr="009F285E">
        <w:rPr>
          <w:rFonts w:ascii="Arial" w:hAnsi="Arial" w:cs="Arial"/>
          <w:lang w:val="en-AU"/>
        </w:rPr>
        <w:t xml:space="preserve">, </w:t>
      </w:r>
      <w:r w:rsidRPr="009F285E">
        <w:rPr>
          <w:rFonts w:ascii="Arial" w:hAnsi="Arial" w:cs="Arial"/>
          <w:i/>
          <w:lang w:val="en-AU"/>
        </w:rPr>
        <w:t>based on, based on or derived from, is the basis of</w:t>
      </w:r>
      <w:r w:rsidRPr="009F285E">
        <w:rPr>
          <w:rFonts w:ascii="Arial" w:hAnsi="Arial" w:cs="Arial"/>
          <w:lang w:val="en-AU"/>
        </w:rPr>
        <w:t xml:space="preserve">, </w:t>
      </w:r>
      <w:r w:rsidRPr="009F285E">
        <w:rPr>
          <w:rFonts w:ascii="Arial" w:hAnsi="Arial" w:cs="Arial"/>
          <w:i/>
          <w:lang w:val="en-AU"/>
        </w:rPr>
        <w:t>used in an invention, invention concerns, relates to or makes use</w:t>
      </w:r>
      <w:r w:rsidRPr="009F285E">
        <w:rPr>
          <w:rFonts w:ascii="Arial" w:hAnsi="Arial" w:cs="Arial"/>
          <w:b/>
          <w:i/>
          <w:lang w:val="en-AU"/>
        </w:rPr>
        <w:t xml:space="preserve">, </w:t>
      </w:r>
      <w:r w:rsidRPr="009F285E">
        <w:rPr>
          <w:rStyle w:val="Strong"/>
          <w:rFonts w:ascii="Arial" w:hAnsi="Arial" w:cs="Arial"/>
          <w:i/>
          <w:bdr w:val="none" w:sz="0" w:space="0" w:color="auto" w:frame="1"/>
          <w:lang w:val="en-AU"/>
        </w:rPr>
        <w:t>an invention-creation accomplished by relying on genetic resources.</w:t>
      </w:r>
      <w:r w:rsidRPr="009F285E">
        <w:rPr>
          <w:rStyle w:val="Strong"/>
          <w:rFonts w:ascii="Arial" w:hAnsi="Arial" w:cs="Arial"/>
          <w:bdr w:val="none" w:sz="0" w:space="0" w:color="auto" w:frame="1"/>
          <w:lang w:val="en-AU"/>
        </w:rPr>
        <w:t xml:space="preserve">  </w:t>
      </w:r>
      <w:r w:rsidRPr="009F285E">
        <w:rPr>
          <w:rFonts w:ascii="Arial" w:hAnsi="Arial" w:cs="Arial"/>
          <w:lang w:val="en-AU"/>
        </w:rPr>
        <w:t>There is also significant ambiguity regarding the meaning of these terms.  In order to maximise legal certainty, two amplifying adverbs (</w:t>
      </w:r>
      <w:r w:rsidRPr="009F285E">
        <w:rPr>
          <w:rFonts w:ascii="Arial" w:hAnsi="Arial" w:cs="Arial"/>
          <w:i/>
          <w:lang w:val="en-AU"/>
        </w:rPr>
        <w:t>materially/directly</w:t>
      </w:r>
      <w:r w:rsidRPr="009F285E">
        <w:rPr>
          <w:rFonts w:ascii="Arial" w:hAnsi="Arial" w:cs="Arial"/>
          <w:lang w:val="en-AU"/>
        </w:rPr>
        <w:t>) have been proposed, in addition to the trigger concept “</w:t>
      </w:r>
      <w:r w:rsidRPr="009F285E">
        <w:rPr>
          <w:rFonts w:ascii="Arial" w:hAnsi="Arial" w:cs="Arial"/>
          <w:i/>
          <w:lang w:val="en-AU"/>
        </w:rPr>
        <w:t>based on”</w:t>
      </w:r>
      <w:r w:rsidRPr="009F285E">
        <w:rPr>
          <w:rFonts w:ascii="Arial" w:hAnsi="Arial" w:cs="Arial"/>
          <w:lang w:val="en-AU"/>
        </w:rPr>
        <w:t xml:space="preserve">, for consideration by Member States, reflecting discussions held during IGC 36 in June 2018.  The alternate term </w:t>
      </w:r>
      <w:r w:rsidRPr="009F285E">
        <w:rPr>
          <w:rFonts w:ascii="Arial" w:hAnsi="Arial" w:cs="Arial"/>
          <w:i/>
          <w:lang w:val="en-AU"/>
        </w:rPr>
        <w:t xml:space="preserve">“materially” </w:t>
      </w:r>
      <w:r w:rsidRPr="009F285E">
        <w:rPr>
          <w:rFonts w:ascii="Arial" w:hAnsi="Arial" w:cs="Arial"/>
          <w:lang w:val="en-AU"/>
        </w:rPr>
        <w:t>has been included as the term “</w:t>
      </w:r>
      <w:r w:rsidRPr="009F285E">
        <w:rPr>
          <w:rFonts w:ascii="Arial" w:hAnsi="Arial" w:cs="Arial"/>
          <w:i/>
          <w:lang w:val="en-AU"/>
        </w:rPr>
        <w:t xml:space="preserve">directly” </w:t>
      </w:r>
      <w:r w:rsidRPr="009F285E">
        <w:rPr>
          <w:rFonts w:ascii="Arial" w:hAnsi="Arial" w:cs="Arial"/>
          <w:lang w:val="en-AU"/>
        </w:rPr>
        <w:t>has been contentious within the IGC’s deliberations.  However, by defining the term in the list of terms it is hoped that this concern has been addressed.  An alternative to the inclusion of amplifying adverbs (“</w:t>
      </w:r>
      <w:r w:rsidRPr="009F285E">
        <w:rPr>
          <w:rFonts w:ascii="Arial" w:hAnsi="Arial" w:cs="Arial"/>
          <w:i/>
          <w:lang w:val="en-AU"/>
        </w:rPr>
        <w:t>materially/directly”</w:t>
      </w:r>
      <w:r w:rsidRPr="009F285E">
        <w:rPr>
          <w:rFonts w:ascii="Arial" w:hAnsi="Arial" w:cs="Arial"/>
          <w:lang w:val="en-AU"/>
        </w:rPr>
        <w:t>) in the trigger language is to simply retain the trigger concept “</w:t>
      </w:r>
      <w:r w:rsidRPr="009F285E">
        <w:rPr>
          <w:rFonts w:ascii="Arial" w:hAnsi="Arial" w:cs="Arial"/>
          <w:i/>
          <w:lang w:val="en-AU"/>
        </w:rPr>
        <w:t>based on”</w:t>
      </w:r>
      <w:r w:rsidRPr="009F285E">
        <w:rPr>
          <w:rFonts w:ascii="Arial" w:hAnsi="Arial" w:cs="Arial"/>
          <w:lang w:val="en-AU"/>
        </w:rPr>
        <w:t xml:space="preserve"> and use a definition of “</w:t>
      </w:r>
      <w:r w:rsidRPr="009F285E">
        <w:rPr>
          <w:rFonts w:ascii="Arial" w:hAnsi="Arial" w:cs="Arial"/>
          <w:i/>
          <w:lang w:val="en-AU"/>
        </w:rPr>
        <w:t>based on”</w:t>
      </w:r>
      <w:r w:rsidRPr="009F285E">
        <w:rPr>
          <w:rFonts w:ascii="Arial" w:hAnsi="Arial" w:cs="Arial"/>
          <w:lang w:val="en-AU"/>
        </w:rPr>
        <w:t xml:space="preserve"> to clarify the scope of the trigger.</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A contentious issue related to the concept of “</w:t>
      </w:r>
      <w:r w:rsidRPr="009F285E">
        <w:rPr>
          <w:rFonts w:ascii="Arial" w:hAnsi="Arial" w:cs="Arial"/>
          <w:i/>
          <w:lang w:val="en-AU"/>
        </w:rPr>
        <w:t>directly based on”</w:t>
      </w:r>
      <w:r w:rsidRPr="009F285E">
        <w:rPr>
          <w:rFonts w:ascii="Arial" w:hAnsi="Arial" w:cs="Arial"/>
          <w:lang w:val="en-AU"/>
        </w:rPr>
        <w:t>, which is included in the proposal of the EU first tabled in 2005</w:t>
      </w:r>
      <w:r w:rsidRPr="009F285E">
        <w:rPr>
          <w:rStyle w:val="FootnoteReference"/>
          <w:rFonts w:eastAsia="SimSun"/>
          <w:lang w:val="en-AU"/>
        </w:rPr>
        <w:footnoteReference w:id="7"/>
      </w:r>
      <w:r w:rsidRPr="009F285E">
        <w:rPr>
          <w:rFonts w:ascii="Arial" w:hAnsi="Arial" w:cs="Arial"/>
          <w:lang w:val="en-AU"/>
        </w:rPr>
        <w:t>, is the requirement for the inventor to have physically accessed the GRs.  This touches on different views within the IGC as to whether or not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9F285E">
        <w:rPr>
          <w:rFonts w:ascii="Arial" w:hAnsi="Arial" w:cs="Arial"/>
          <w:i/>
          <w:lang w:val="en-AU"/>
        </w:rPr>
        <w:t>must make immediate use</w:t>
      </w:r>
      <w:r w:rsidRPr="009F285E">
        <w:rPr>
          <w:rFonts w:ascii="Arial" w:hAnsi="Arial" w:cs="Arial"/>
          <w:lang w:val="en-AU"/>
        </w:rPr>
        <w:t>”.  In my view, respectfully, there is a lack of clarity in relation to the meaning of this term.  To address this issue, the terms “</w:t>
      </w:r>
      <w:r w:rsidRPr="009F285E">
        <w:rPr>
          <w:rFonts w:ascii="Arial" w:hAnsi="Arial" w:cs="Arial"/>
          <w:i/>
          <w:lang w:val="en-AU"/>
        </w:rPr>
        <w:t>necessary</w:t>
      </w:r>
      <w:r w:rsidRPr="009F285E">
        <w:rPr>
          <w:rFonts w:ascii="Arial" w:hAnsi="Arial" w:cs="Arial"/>
          <w:lang w:val="en-AU"/>
        </w:rPr>
        <w:t xml:space="preserve">” and </w:t>
      </w:r>
      <w:r w:rsidRPr="009F285E">
        <w:rPr>
          <w:rFonts w:ascii="Arial" w:hAnsi="Arial" w:cs="Arial"/>
          <w:i/>
          <w:lang w:val="en-AU"/>
        </w:rPr>
        <w:t xml:space="preserve">“material to” </w:t>
      </w:r>
      <w:r w:rsidRPr="009F285E">
        <w:rPr>
          <w:rFonts w:ascii="Arial" w:hAnsi="Arial" w:cs="Arial"/>
          <w:lang w:val="en-AU"/>
        </w:rPr>
        <w:t xml:space="preserve">have been included to reduce ambiguity.  In addition, the phrase </w:t>
      </w:r>
      <w:r w:rsidRPr="009F285E">
        <w:rPr>
          <w:rFonts w:ascii="Arial" w:hAnsi="Arial" w:cs="Arial"/>
          <w:i/>
          <w:lang w:val="en-AU"/>
        </w:rPr>
        <w:t xml:space="preserve">“the claimed invention must depend on the specific properties of the GRs and Associated TK” </w:t>
      </w:r>
      <w:r w:rsidRPr="009F285E">
        <w:rPr>
          <w:rFonts w:ascii="Arial" w:hAnsi="Arial" w:cs="Arial"/>
          <w:lang w:val="en-AU"/>
        </w:rPr>
        <w:t xml:space="preserve">is included in the definition. </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i/>
          <w:lang w:val="en-AU"/>
        </w:rPr>
        <w:t>“Source”</w:t>
      </w:r>
      <w:r w:rsidRPr="009F285E">
        <w:rPr>
          <w:rFonts w:ascii="Arial" w:hAnsi="Arial" w:cs="Arial"/>
          <w:lang w:val="en-AU"/>
        </w:rPr>
        <w:t xml:space="preserve"> should be understood from its common meaning </w:t>
      </w:r>
      <w:r w:rsidRPr="009F285E">
        <w:rPr>
          <w:rFonts w:ascii="Arial" w:hAnsi="Arial" w:cs="Arial"/>
          <w:i/>
          <w:lang w:val="en-AU"/>
        </w:rPr>
        <w:t>“from which something originates or can be obtained”</w:t>
      </w:r>
      <w:r w:rsidRPr="009F285E">
        <w:rPr>
          <w:rStyle w:val="FootnoteReference"/>
          <w:rFonts w:eastAsia="SimSun"/>
          <w:i/>
          <w:lang w:val="en-AU"/>
        </w:rPr>
        <w:footnoteReference w:id="8"/>
      </w:r>
      <w:r w:rsidRPr="009F285E">
        <w:rPr>
          <w:rFonts w:ascii="Arial" w:hAnsi="Arial" w:cs="Arial"/>
          <w:i/>
          <w:lang w:val="en-AU"/>
        </w:rPr>
        <w:t>.</w:t>
      </w:r>
      <w:r w:rsidRPr="009F285E">
        <w:rPr>
          <w:rFonts w:ascii="Arial" w:hAnsi="Arial" w:cs="Arial"/>
          <w:lang w:val="en-AU"/>
        </w:rPr>
        <w:t xml:space="preserve">  The two definitions relating to GRs and Associated TK simply provide a non-exhaustive list of from where GRs or Associated TK may have been sourced. </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definition for</w:t>
      </w:r>
      <w:r w:rsidRPr="009F285E">
        <w:rPr>
          <w:rFonts w:ascii="Arial" w:hAnsi="Arial" w:cs="Arial"/>
          <w:i/>
          <w:lang w:val="en-AU"/>
        </w:rPr>
        <w:t xml:space="preserve"> traditional knowledge</w:t>
      </w:r>
      <w:r w:rsidRPr="009F285E">
        <w:rPr>
          <w:rFonts w:ascii="Arial" w:hAnsi="Arial" w:cs="Arial"/>
          <w:lang w:val="en-AU"/>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at this time and leave it to national interpretation.</w:t>
      </w:r>
    </w:p>
    <w:p w:rsidR="005A0DD7" w:rsidRPr="009F285E" w:rsidRDefault="005A0DD7" w:rsidP="005A0DD7">
      <w:pPr>
        <w:pStyle w:val="ListParagraph"/>
        <w:keepLines/>
        <w:spacing w:after="0" w:line="240" w:lineRule="auto"/>
        <w:ind w:left="0"/>
        <w:rPr>
          <w:rFonts w:ascii="Arial" w:hAnsi="Arial" w:cs="Arial"/>
          <w:lang w:val="en-AU"/>
        </w:rPr>
      </w:pPr>
    </w:p>
    <w:p w:rsidR="005A0DD7" w:rsidRPr="009F285E" w:rsidRDefault="005A0DD7" w:rsidP="005A0DD7">
      <w:pPr>
        <w:keepLines/>
        <w:rPr>
          <w:szCs w:val="22"/>
        </w:rPr>
        <w:sectPr w:rsidR="005A0DD7" w:rsidRPr="009F285E" w:rsidSect="003D1AC9">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3</w:t>
      </w:r>
    </w:p>
    <w:p w:rsidR="005A0DD7" w:rsidRPr="009F285E" w:rsidRDefault="005A0DD7" w:rsidP="005A0DD7">
      <w:pPr>
        <w:keepLines/>
        <w:jc w:val="center"/>
        <w:rPr>
          <w:b/>
          <w:szCs w:val="22"/>
        </w:rPr>
      </w:pPr>
      <w:r w:rsidRPr="009F285E">
        <w:rPr>
          <w:b/>
          <w:szCs w:val="22"/>
        </w:rPr>
        <w:t xml:space="preserve">DISCLOSURE REQUIREMENT </w:t>
      </w:r>
    </w:p>
    <w:p w:rsidR="005A0DD7" w:rsidRPr="009F285E" w:rsidRDefault="005A0DD7" w:rsidP="005A0DD7">
      <w:pPr>
        <w:keepLines/>
        <w:rPr>
          <w:szCs w:val="22"/>
        </w:rPr>
      </w:pPr>
    </w:p>
    <w:p w:rsidR="005A0DD7" w:rsidRPr="009F285E" w:rsidRDefault="005A0DD7" w:rsidP="005A0DD7">
      <w:pPr>
        <w:keepLines/>
        <w:rPr>
          <w:szCs w:val="22"/>
        </w:rPr>
      </w:pPr>
      <w:r w:rsidRPr="009F285E">
        <w:rPr>
          <w:szCs w:val="22"/>
        </w:rPr>
        <w:t>3.1</w:t>
      </w:r>
      <w:r w:rsidRPr="009F285E">
        <w:rPr>
          <w:szCs w:val="22"/>
        </w:rPr>
        <w:tab/>
        <w:t>Where the claimed invention in a patent application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based on GRs, each Contracting Party shall require applicants to disclose:</w:t>
      </w:r>
    </w:p>
    <w:p w:rsidR="005A0DD7" w:rsidRPr="009F285E" w:rsidRDefault="005A0DD7" w:rsidP="005A0DD7">
      <w:pPr>
        <w:keepLines/>
        <w:rPr>
          <w:szCs w:val="22"/>
        </w:rPr>
      </w:pPr>
    </w:p>
    <w:p w:rsidR="005A0DD7" w:rsidRPr="009F285E" w:rsidRDefault="005A0DD7" w:rsidP="005A0DD7">
      <w:pPr>
        <w:pStyle w:val="NormalWeb"/>
        <w:numPr>
          <w:ilvl w:val="0"/>
          <w:numId w:val="13"/>
        </w:numPr>
        <w:spacing w:before="0" w:beforeAutospacing="0" w:after="0" w:afterAutospacing="0"/>
        <w:rPr>
          <w:rFonts w:ascii="Arial" w:hAnsi="Arial" w:cs="Arial"/>
          <w:sz w:val="22"/>
          <w:szCs w:val="22"/>
        </w:rPr>
      </w:pPr>
      <w:r w:rsidRPr="009F285E">
        <w:rPr>
          <w:rFonts w:ascii="Arial" w:hAnsi="Arial" w:cs="Arial"/>
          <w:sz w:val="22"/>
          <w:szCs w:val="22"/>
        </w:rPr>
        <w:t>the country of origin of the GRs, or,</w:t>
      </w:r>
    </w:p>
    <w:p w:rsidR="005A0DD7" w:rsidRPr="009F285E" w:rsidRDefault="005A0DD7" w:rsidP="005A0DD7">
      <w:pPr>
        <w:pStyle w:val="NormalWeb"/>
        <w:spacing w:before="0" w:beforeAutospacing="0" w:after="0" w:afterAutospacing="0"/>
        <w:ind w:left="1140"/>
        <w:rPr>
          <w:rFonts w:ascii="Arial" w:hAnsi="Arial" w:cs="Arial"/>
          <w:sz w:val="22"/>
          <w:szCs w:val="22"/>
        </w:rPr>
      </w:pPr>
    </w:p>
    <w:p w:rsidR="005A0DD7" w:rsidRPr="009F285E" w:rsidRDefault="005A0DD7" w:rsidP="005A0DD7">
      <w:pPr>
        <w:pStyle w:val="NormalWeb"/>
        <w:spacing w:before="0" w:beforeAutospacing="0" w:after="0" w:afterAutospacing="0"/>
        <w:ind w:left="1170" w:hanging="72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in cases where the information in sub paragraph (a) is not known to the applicant, or where sub paragraph (a) does not apply, the source of the GRs.</w:t>
      </w:r>
    </w:p>
    <w:p w:rsidR="005A0DD7" w:rsidRPr="009F285E" w:rsidRDefault="005A0DD7" w:rsidP="005A0DD7">
      <w:pPr>
        <w:pStyle w:val="NormalWeb"/>
        <w:spacing w:before="0" w:beforeAutospacing="0" w:after="0" w:afterAutospacing="0"/>
        <w:ind w:left="450"/>
        <w:rPr>
          <w:rFonts w:ascii="Arial" w:hAnsi="Arial" w:cs="Arial"/>
          <w:sz w:val="22"/>
          <w:szCs w:val="22"/>
        </w:rPr>
      </w:pPr>
    </w:p>
    <w:p w:rsidR="005A0DD7" w:rsidRPr="009F285E" w:rsidRDefault="005A0DD7" w:rsidP="005A0DD7">
      <w:pPr>
        <w:rPr>
          <w:szCs w:val="22"/>
        </w:rPr>
      </w:pPr>
      <w:r w:rsidRPr="009F285E">
        <w:rPr>
          <w:szCs w:val="22"/>
        </w:rPr>
        <w:t>3.2</w:t>
      </w:r>
      <w:r w:rsidRPr="009F285E">
        <w:rPr>
          <w:szCs w:val="22"/>
        </w:rPr>
        <w:tab/>
        <w:t>Where the claimed invention in a patent application is [</w:t>
      </w:r>
      <w:r w:rsidRPr="009F285E">
        <w:rPr>
          <w:i/>
          <w:szCs w:val="22"/>
        </w:rPr>
        <w:t>materially/directly</w:t>
      </w:r>
      <w:r w:rsidRPr="009F285E">
        <w:rPr>
          <w:szCs w:val="22"/>
        </w:rPr>
        <w:t>] based on Associated TK, each Contracting Party shall require applicants to disclose:</w:t>
      </w:r>
    </w:p>
    <w:p w:rsidR="005A0DD7" w:rsidRPr="009F285E" w:rsidRDefault="005A0DD7" w:rsidP="005A0DD7">
      <w:pPr>
        <w:rPr>
          <w:szCs w:val="22"/>
        </w:rPr>
      </w:pPr>
    </w:p>
    <w:p w:rsidR="005A0DD7" w:rsidRPr="009F285E" w:rsidRDefault="005A0DD7" w:rsidP="005A0DD7">
      <w:pPr>
        <w:ind w:left="450"/>
        <w:rPr>
          <w:szCs w:val="22"/>
        </w:rPr>
      </w:pPr>
      <w:r w:rsidRPr="009F285E">
        <w:rPr>
          <w:szCs w:val="22"/>
        </w:rPr>
        <w:t>(a)</w:t>
      </w:r>
      <w:r w:rsidRPr="009F285E">
        <w:rPr>
          <w:szCs w:val="22"/>
        </w:rPr>
        <w:tab/>
        <w:t>the indigenous peoples or local community that provided the Associated TK, or,</w:t>
      </w:r>
    </w:p>
    <w:p w:rsidR="005A0DD7" w:rsidRPr="009F285E" w:rsidRDefault="005A0DD7" w:rsidP="005A0DD7">
      <w:pPr>
        <w:ind w:left="450"/>
        <w:rPr>
          <w:szCs w:val="22"/>
        </w:rPr>
      </w:pPr>
    </w:p>
    <w:p w:rsidR="005A0DD7" w:rsidRPr="009F285E" w:rsidRDefault="005A0DD7" w:rsidP="005A0DD7">
      <w:pPr>
        <w:ind w:left="1170" w:hanging="720"/>
        <w:rPr>
          <w:szCs w:val="22"/>
        </w:rPr>
      </w:pPr>
      <w:r w:rsidRPr="009F285E">
        <w:rPr>
          <w:szCs w:val="22"/>
        </w:rPr>
        <w:t>(b)</w:t>
      </w:r>
      <w:r w:rsidRPr="009F285E">
        <w:rPr>
          <w:szCs w:val="22"/>
        </w:rPr>
        <w:tab/>
        <w:t>in cases where the information in sub paragraph (a) is not known to the applicant, or where sub paragraph (a) does not apply, the source of the Associated TK.</w:t>
      </w:r>
    </w:p>
    <w:p w:rsidR="005A0DD7" w:rsidRPr="009F285E" w:rsidRDefault="005A0DD7" w:rsidP="005A0DD7">
      <w:pPr>
        <w:contextualSpacing/>
        <w:rPr>
          <w:szCs w:val="22"/>
        </w:rPr>
      </w:pPr>
    </w:p>
    <w:p w:rsidR="005A0DD7" w:rsidRPr="009F285E" w:rsidRDefault="005A0DD7" w:rsidP="005A0DD7">
      <w:pPr>
        <w:rPr>
          <w:szCs w:val="22"/>
        </w:rPr>
      </w:pPr>
      <w:r w:rsidRPr="009F285E">
        <w:rPr>
          <w:szCs w:val="22"/>
        </w:rPr>
        <w:t>3.3</w:t>
      </w:r>
      <w:r w:rsidRPr="009F285E">
        <w:rPr>
          <w:szCs w:val="22"/>
        </w:rPr>
        <w:tab/>
        <w:t>In cases where none of the information in paragraphs 3.1 and/or 3.2 is known to the applicant, each Contracting Party shall require the applicant to make a declaration to that effect.</w:t>
      </w:r>
    </w:p>
    <w:p w:rsidR="005A0DD7" w:rsidRPr="009F285E" w:rsidRDefault="005A0DD7" w:rsidP="005A0DD7">
      <w:pPr>
        <w:rPr>
          <w:szCs w:val="22"/>
        </w:rPr>
      </w:pPr>
    </w:p>
    <w:p w:rsidR="005A0DD7" w:rsidRPr="009F285E" w:rsidRDefault="005A0DD7" w:rsidP="005A0DD7">
      <w:pPr>
        <w:rPr>
          <w:szCs w:val="22"/>
        </w:rPr>
      </w:pPr>
      <w:r w:rsidRPr="009F285E">
        <w:rPr>
          <w:szCs w:val="22"/>
        </w:rPr>
        <w:t xml:space="preserve">3.4 </w:t>
      </w:r>
      <w:r w:rsidRPr="009F285E">
        <w:rPr>
          <w:szCs w:val="22"/>
        </w:rPr>
        <w:tab/>
        <w:t>Offices shall</w:t>
      </w:r>
      <w:r w:rsidRPr="009F285E">
        <w:rPr>
          <w:i/>
          <w:szCs w:val="22"/>
        </w:rPr>
        <w:t xml:space="preserve"> </w:t>
      </w:r>
      <w:r w:rsidRPr="009F285E">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5A0DD7" w:rsidRPr="009F285E" w:rsidRDefault="005A0DD7" w:rsidP="005A0DD7">
      <w:pPr>
        <w:rPr>
          <w:szCs w:val="22"/>
        </w:rPr>
      </w:pPr>
    </w:p>
    <w:p w:rsidR="005A0DD7" w:rsidRPr="009F285E" w:rsidRDefault="005A0DD7" w:rsidP="005A0DD7">
      <w:pPr>
        <w:rPr>
          <w:szCs w:val="22"/>
        </w:rPr>
      </w:pPr>
      <w:r w:rsidRPr="009F285E">
        <w:rPr>
          <w:szCs w:val="22"/>
        </w:rPr>
        <w:t>3.5</w:t>
      </w:r>
      <w:r w:rsidRPr="009F285E">
        <w:rPr>
          <w:szCs w:val="22"/>
        </w:rPr>
        <w:tab/>
        <w:t>Contracting Parties shall not place an obligation on Offices to verify the authenticity of the disclosure.</w:t>
      </w:r>
    </w:p>
    <w:p w:rsidR="005A0DD7" w:rsidRPr="009F285E" w:rsidRDefault="005A0DD7" w:rsidP="005A0DD7">
      <w:pPr>
        <w:rPr>
          <w:szCs w:val="22"/>
        </w:rPr>
      </w:pPr>
    </w:p>
    <w:p w:rsidR="005A0DD7" w:rsidRPr="009F285E" w:rsidRDefault="005A0DD7" w:rsidP="005A0DD7">
      <w:pPr>
        <w:rPr>
          <w:szCs w:val="22"/>
        </w:rPr>
      </w:pPr>
      <w:r w:rsidRPr="009F285E">
        <w:rPr>
          <w:szCs w:val="22"/>
        </w:rPr>
        <w:t>3.6</w:t>
      </w:r>
      <w:r w:rsidRPr="009F285E">
        <w:rPr>
          <w:szCs w:val="22"/>
        </w:rPr>
        <w:tab/>
        <w:t>Each Contracting Party shall make the information disclosed available in accordance with patent procedures, without prejudice to the protection of confidential information.</w:t>
      </w:r>
      <w:r w:rsidRPr="009F285E" w:rsidDel="002C70BD">
        <w:rPr>
          <w:rStyle w:val="FootnoteReference"/>
          <w:szCs w:val="22"/>
        </w:rPr>
        <w:t xml:space="preserve"> </w:t>
      </w:r>
    </w:p>
    <w:p w:rsidR="005A0DD7" w:rsidRPr="009F285E" w:rsidRDefault="005A0DD7" w:rsidP="005A0DD7">
      <w:pPr>
        <w:rPr>
          <w:szCs w:val="22"/>
        </w:rPr>
        <w:sectPr w:rsidR="005A0DD7" w:rsidRPr="009F285E" w:rsidSect="003D1AC9">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rPr>
          <w:szCs w:val="22"/>
          <w:u w:val="single"/>
        </w:rPr>
      </w:pPr>
      <w:r w:rsidRPr="009F285E">
        <w:rPr>
          <w:szCs w:val="22"/>
          <w:u w:val="single"/>
        </w:rPr>
        <w:lastRenderedPageBreak/>
        <w:t>Notes on Article 3</w:t>
      </w:r>
    </w:p>
    <w:p w:rsidR="005A0DD7" w:rsidRPr="009F285E" w:rsidRDefault="005A0DD7" w:rsidP="005A0DD7">
      <w:pPr>
        <w:pStyle w:val="ListParagraph"/>
        <w:spacing w:after="0" w:line="240" w:lineRule="auto"/>
        <w:ind w:left="360"/>
        <w:rPr>
          <w:rFonts w:ascii="Arial" w:eastAsia="SimSun" w:hAnsi="Arial" w:cs="Arial"/>
          <w:u w:val="single"/>
          <w:lang w:val="en-AU" w:eastAsia="zh-CN"/>
        </w:rPr>
      </w:pPr>
    </w:p>
    <w:p w:rsidR="005A0DD7" w:rsidRPr="009F285E" w:rsidRDefault="005A0DD7" w:rsidP="005A0DD7">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rsidR="005A0DD7" w:rsidRPr="009F285E" w:rsidRDefault="005A0DD7" w:rsidP="005A0DD7">
      <w:pPr>
        <w:pStyle w:val="ListParagraph"/>
        <w:spacing w:after="0" w:line="240" w:lineRule="auto"/>
        <w:ind w:left="0"/>
        <w:rPr>
          <w:rFonts w:ascii="Arial" w:eastAsia="SimSun" w:hAnsi="Arial" w:cs="Arial"/>
          <w:lang w:val="en-AU" w:eastAsia="zh-CN"/>
        </w:rPr>
      </w:pPr>
    </w:p>
    <w:p w:rsidR="005A0DD7" w:rsidRPr="009F285E" w:rsidRDefault="005A0DD7" w:rsidP="005A0DD7">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r w:rsidRPr="009F285E">
        <w:rPr>
          <w:rFonts w:ascii="Arial" w:hAnsi="Arial" w:cs="Arial"/>
          <w:sz w:val="22"/>
          <w:szCs w:val="22"/>
        </w:rPr>
        <w:t>;  and,</w:t>
      </w:r>
    </w:p>
    <w:p w:rsidR="005A0DD7" w:rsidRPr="009F285E" w:rsidRDefault="005A0DD7" w:rsidP="005A0DD7">
      <w:pPr>
        <w:pStyle w:val="NormalWeb"/>
        <w:spacing w:before="0" w:beforeAutospacing="0" w:after="0" w:afterAutospacing="0"/>
        <w:ind w:left="1010"/>
        <w:rPr>
          <w:rFonts w:ascii="Arial" w:hAnsi="Arial" w:cs="Arial"/>
          <w:sz w:val="22"/>
          <w:szCs w:val="22"/>
        </w:rPr>
      </w:pPr>
    </w:p>
    <w:p w:rsidR="005A0DD7" w:rsidRPr="009F285E" w:rsidRDefault="005A0DD7" w:rsidP="005A0DD7">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information which needs to be disclosed, referred to in the IGC discussions as the </w:t>
      </w:r>
      <w:r w:rsidRPr="009F285E">
        <w:rPr>
          <w:rFonts w:ascii="Arial" w:hAnsi="Arial" w:cs="Arial"/>
          <w:i/>
          <w:sz w:val="22"/>
          <w:szCs w:val="22"/>
        </w:rPr>
        <w:t>“content”.</w:t>
      </w:r>
    </w:p>
    <w:p w:rsidR="005A0DD7" w:rsidRPr="009F285E" w:rsidRDefault="005A0DD7" w:rsidP="005A0DD7">
      <w:pPr>
        <w:rPr>
          <w:szCs w:val="22"/>
        </w:rPr>
      </w:pPr>
    </w:p>
    <w:p w:rsidR="005A0DD7" w:rsidRPr="009F285E" w:rsidRDefault="005A0DD7" w:rsidP="005A0DD7">
      <w:pPr>
        <w:rPr>
          <w:szCs w:val="22"/>
        </w:rPr>
      </w:pPr>
      <w:r w:rsidRPr="009F285E">
        <w:rPr>
          <w:szCs w:val="22"/>
        </w:rPr>
        <w:t>2.</w:t>
      </w:r>
      <w:r w:rsidRPr="009F285E">
        <w:rPr>
          <w:szCs w:val="22"/>
        </w:rPr>
        <w:tab/>
        <w:t>The trigger and the content should be workable in practice and reflect the various circumstances where GRs and Associated TK can be sourced.  This means that any disclosure requirement should not lead to obligations for patent applicants which cannot be fulfilled or which can only be fulfilled with unreasonable time and effort and which would, therefore, hinder innovation based on GRs and Associated TK.</w:t>
      </w:r>
    </w:p>
    <w:p w:rsidR="005A0DD7" w:rsidRPr="009F285E" w:rsidRDefault="005A0DD7" w:rsidP="005A0DD7">
      <w:pPr>
        <w:rPr>
          <w:szCs w:val="22"/>
        </w:rPr>
      </w:pPr>
    </w:p>
    <w:p w:rsidR="005A0DD7" w:rsidRPr="009F285E" w:rsidRDefault="005A0DD7" w:rsidP="005A0DD7">
      <w:pPr>
        <w:rPr>
          <w:i/>
          <w:szCs w:val="22"/>
        </w:rPr>
      </w:pPr>
      <w:r w:rsidRPr="009F285E">
        <w:rPr>
          <w:i/>
          <w:szCs w:val="22"/>
        </w:rPr>
        <w:t>Trigger</w:t>
      </w:r>
    </w:p>
    <w:p w:rsidR="005A0DD7" w:rsidRPr="009F285E" w:rsidRDefault="005A0DD7" w:rsidP="005A0DD7">
      <w:pPr>
        <w:rPr>
          <w:b/>
          <w:i/>
          <w:szCs w:val="22"/>
        </w:rPr>
      </w:pPr>
    </w:p>
    <w:p w:rsidR="005A0DD7" w:rsidRPr="009F285E" w:rsidRDefault="005A0DD7" w:rsidP="005A0DD7">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rsidR="005A0DD7" w:rsidRPr="009F285E" w:rsidRDefault="005A0DD7" w:rsidP="005A0DD7">
      <w:pPr>
        <w:rPr>
          <w:szCs w:val="22"/>
          <w:u w:val="single"/>
        </w:rPr>
      </w:pPr>
    </w:p>
    <w:p w:rsidR="005A0DD7" w:rsidRPr="009F285E" w:rsidRDefault="005A0DD7" w:rsidP="005A0DD7">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indicates that there must be a causal link between the invention and the GRs.  In practical terms, this means that only those GRs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rsidR="005A0DD7" w:rsidRPr="009F285E" w:rsidRDefault="005A0DD7" w:rsidP="005A0DD7">
      <w:pPr>
        <w:rPr>
          <w:szCs w:val="22"/>
        </w:rPr>
      </w:pPr>
    </w:p>
    <w:p w:rsidR="005A0DD7" w:rsidRPr="009F285E" w:rsidRDefault="005A0DD7" w:rsidP="005A0DD7">
      <w:pPr>
        <w:rPr>
          <w:szCs w:val="22"/>
        </w:rPr>
      </w:pPr>
      <w:r w:rsidRPr="009F285E">
        <w:rPr>
          <w:szCs w:val="22"/>
        </w:rPr>
        <w:t>5.</w:t>
      </w:r>
      <w:r w:rsidRPr="009F285E">
        <w:rPr>
          <w:szCs w:val="22"/>
        </w:rPr>
        <w:tab/>
        <w:t xml:space="preserve">In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rsidR="005A0DD7" w:rsidRPr="009F285E" w:rsidRDefault="005A0DD7" w:rsidP="005A0DD7">
      <w:pPr>
        <w:rPr>
          <w:b/>
          <w:i/>
          <w:szCs w:val="22"/>
        </w:rPr>
      </w:pPr>
    </w:p>
    <w:p w:rsidR="005A0DD7" w:rsidRPr="009F285E" w:rsidRDefault="005A0DD7" w:rsidP="005A0DD7">
      <w:pPr>
        <w:rPr>
          <w:i/>
          <w:szCs w:val="22"/>
        </w:rPr>
      </w:pPr>
      <w:r w:rsidRPr="009F285E">
        <w:rPr>
          <w:i/>
          <w:szCs w:val="22"/>
        </w:rPr>
        <w:t>Content of Disclosure</w:t>
      </w:r>
    </w:p>
    <w:p w:rsidR="005A0DD7" w:rsidRPr="009F285E" w:rsidRDefault="005A0DD7" w:rsidP="005A0DD7">
      <w:pPr>
        <w:rPr>
          <w:szCs w:val="22"/>
        </w:rPr>
      </w:pPr>
    </w:p>
    <w:p w:rsidR="005A0DD7" w:rsidRPr="009F285E" w:rsidRDefault="005A0DD7" w:rsidP="005A0DD7">
      <w:pPr>
        <w:rPr>
          <w:szCs w:val="22"/>
        </w:rPr>
      </w:pPr>
      <w:r w:rsidRPr="009F285E">
        <w:rPr>
          <w:szCs w:val="22"/>
        </w:rPr>
        <w:t>6.</w:t>
      </w:r>
      <w:r w:rsidRPr="009F285E">
        <w:rPr>
          <w:szCs w:val="22"/>
        </w:rPr>
        <w:tab/>
        <w:t>Depending on the specific circumstances, Article 3 requires different information to be disclosed in patent applications:</w:t>
      </w:r>
    </w:p>
    <w:p w:rsidR="005A0DD7" w:rsidRPr="009F285E" w:rsidRDefault="005A0DD7" w:rsidP="005A0DD7">
      <w:pPr>
        <w:rPr>
          <w:szCs w:val="22"/>
        </w:rPr>
      </w:pPr>
    </w:p>
    <w:p w:rsidR="005A0DD7" w:rsidRPr="009F285E" w:rsidRDefault="005A0DD7" w:rsidP="005A0DD7">
      <w:pPr>
        <w:pStyle w:val="ListParagraph"/>
        <w:numPr>
          <w:ilvl w:val="0"/>
          <w:numId w:val="11"/>
        </w:numPr>
        <w:spacing w:after="0" w:line="240" w:lineRule="auto"/>
        <w:ind w:left="900" w:hanging="540"/>
        <w:rPr>
          <w:rFonts w:ascii="Arial" w:hAnsi="Arial" w:cs="Arial"/>
        </w:rPr>
      </w:pPr>
      <w:r w:rsidRPr="009F285E">
        <w:rPr>
          <w:rFonts w:ascii="Arial" w:hAnsi="Arial" w:cs="Arial"/>
        </w:rPr>
        <w:t>Paragraphs 3.1 and 3.2 detail the information which should be disclosed, if applicable and if known to the patent applicant.</w:t>
      </w:r>
    </w:p>
    <w:p w:rsidR="005A0DD7" w:rsidRPr="009F285E" w:rsidRDefault="005A0DD7" w:rsidP="005A0DD7">
      <w:pPr>
        <w:pStyle w:val="ListParagraph"/>
        <w:spacing w:after="0" w:line="240" w:lineRule="auto"/>
        <w:ind w:left="357"/>
        <w:rPr>
          <w:rFonts w:ascii="Arial" w:hAnsi="Arial" w:cs="Arial"/>
          <w:u w:val="single"/>
          <w:lang w:val="en-AU"/>
        </w:rPr>
      </w:pPr>
    </w:p>
    <w:p w:rsidR="005A0DD7" w:rsidRPr="009F285E" w:rsidRDefault="005A0DD7" w:rsidP="005A0DD7">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which possesses the GRs in </w:t>
      </w:r>
    </w:p>
    <w:p w:rsidR="005A0DD7" w:rsidRPr="009F285E" w:rsidRDefault="005A0DD7" w:rsidP="005A0DD7">
      <w:pPr>
        <w:ind w:left="900"/>
        <w:rPr>
          <w:szCs w:val="22"/>
        </w:rPr>
      </w:pPr>
      <w:r w:rsidRPr="009F285E">
        <w:rPr>
          <w:i/>
          <w:szCs w:val="22"/>
        </w:rPr>
        <w:t>in situ</w:t>
      </w:r>
      <w:r w:rsidRPr="009F285E">
        <w:rPr>
          <w:szCs w:val="22"/>
        </w:rPr>
        <w:t xml:space="preserve"> conditions.  However, many GRs are found </w:t>
      </w:r>
      <w:r w:rsidRPr="009F285E">
        <w:rPr>
          <w:i/>
          <w:szCs w:val="22"/>
        </w:rPr>
        <w:t>in situ</w:t>
      </w:r>
      <w:r w:rsidRPr="009F285E">
        <w:rPr>
          <w:szCs w:val="22"/>
        </w:rPr>
        <w:t xml:space="preserve"> in more than one country.  Therefore, there often exists more than one country of origin for a specific GR. </w:t>
      </w:r>
      <w:r w:rsidRPr="009F285E">
        <w:rPr>
          <w:szCs w:val="22"/>
        </w:rPr>
        <w:lastRenderedPageBreak/>
        <w:t xml:space="preserve">However, according to Article 3.1 (a), what should be disclosed is the specific “country of origin of </w:t>
      </w:r>
      <w:r w:rsidRPr="009F285E">
        <w:rPr>
          <w:szCs w:val="22"/>
          <w:u w:val="single"/>
        </w:rPr>
        <w:t>the</w:t>
      </w:r>
      <w:r w:rsidRPr="009F285E">
        <w:rPr>
          <w:szCs w:val="22"/>
        </w:rPr>
        <w:t xml:space="preserve"> GR” (underlining added), i.e.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rsidR="005A0DD7" w:rsidRPr="009F285E" w:rsidRDefault="005A0DD7" w:rsidP="005A0DD7">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was accessed or learned.  </w:t>
      </w:r>
      <w:r w:rsidRPr="009F285E">
        <w:rPr>
          <w:szCs w:val="22"/>
        </w:rPr>
        <w:br/>
      </w:r>
    </w:p>
    <w:p w:rsidR="005A0DD7" w:rsidRPr="009F285E" w:rsidRDefault="005A0DD7" w:rsidP="005A0DD7">
      <w:pPr>
        <w:pStyle w:val="ListParagraph"/>
        <w:numPr>
          <w:ilvl w:val="0"/>
          <w:numId w:val="11"/>
        </w:numPr>
        <w:spacing w:after="0" w:line="240" w:lineRule="auto"/>
        <w:ind w:left="907" w:hanging="540"/>
        <w:rPr>
          <w:rFonts w:ascii="Arial" w:hAnsi="Arial" w:cs="Arial"/>
        </w:rPr>
      </w:pPr>
      <w:r w:rsidRPr="009F285E">
        <w:rPr>
          <w:rFonts w:ascii="Arial" w:eastAsia="SimSun" w:hAnsi="Arial" w:cs="Arial"/>
          <w:lang w:eastAsia="zh-CN"/>
        </w:rPr>
        <w:t xml:space="preserve">Sub paragraphs 3.1(b) and/or 3.2(b) apply in those cases where the information in sub paragraph 3.1(a) and/or 3.2(a) is not available or these sub-paragraphs do </w:t>
      </w:r>
      <w:r w:rsidRPr="009F285E">
        <w:rPr>
          <w:rFonts w:ascii="Arial" w:hAnsi="Arial" w:cs="Arial"/>
        </w:rPr>
        <w:t xml:space="preserve">not apply, and thus it is not possible for the patent applicant to disclose this information.  For example, GRs in areas beyond national jurisdiction such as the high seas. </w:t>
      </w:r>
    </w:p>
    <w:p w:rsidR="005A0DD7" w:rsidRPr="009F285E" w:rsidRDefault="005A0DD7" w:rsidP="005A0DD7">
      <w:pPr>
        <w:ind w:left="907"/>
        <w:rPr>
          <w:i/>
          <w:szCs w:val="22"/>
        </w:rPr>
      </w:pPr>
    </w:p>
    <w:p w:rsidR="005A0DD7" w:rsidRPr="009F285E" w:rsidRDefault="005A0DD7" w:rsidP="005A0DD7">
      <w:pPr>
        <w:ind w:left="907"/>
        <w:rPr>
          <w:szCs w:val="22"/>
        </w:rPr>
      </w:pPr>
      <w:r w:rsidRPr="009F285E">
        <w:rPr>
          <w:i/>
          <w:szCs w:val="22"/>
        </w:rPr>
        <w:t>In the context of GRs,</w:t>
      </w:r>
      <w:r w:rsidRPr="009F285E">
        <w:rPr>
          <w:szCs w:val="22"/>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rsidR="005A0DD7" w:rsidRPr="009F285E" w:rsidRDefault="005A0DD7" w:rsidP="005A0DD7">
      <w:pPr>
        <w:ind w:left="907"/>
        <w:rPr>
          <w:szCs w:val="22"/>
        </w:rPr>
      </w:pPr>
      <w:r w:rsidRPr="009F285E">
        <w:rPr>
          <w:i/>
          <w:szCs w:val="22"/>
        </w:rPr>
        <w:t>In the context of Associated TK,</w:t>
      </w:r>
      <w:r w:rsidRPr="009F285E">
        <w:rPr>
          <w:szCs w:val="22"/>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9F285E">
        <w:rPr>
          <w:szCs w:val="22"/>
        </w:rPr>
        <w:br/>
      </w:r>
    </w:p>
    <w:p w:rsidR="005A0DD7" w:rsidRPr="009F285E" w:rsidRDefault="005A0DD7" w:rsidP="005A0DD7">
      <w:pPr>
        <w:pStyle w:val="ListParagraph"/>
        <w:numPr>
          <w:ilvl w:val="0"/>
          <w:numId w:val="11"/>
        </w:numPr>
        <w:spacing w:after="0" w:line="240" w:lineRule="auto"/>
        <w:ind w:left="990" w:hanging="630"/>
        <w:rPr>
          <w:rFonts w:ascii="Arial" w:hAnsi="Arial" w:cs="Arial"/>
        </w:rPr>
      </w:pPr>
      <w:r w:rsidRPr="009F285E">
        <w:rPr>
          <w:rFonts w:ascii="Arial" w:hAnsi="Arial" w:cs="Arial"/>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rFonts w:ascii="Arial" w:hAnsi="Arial" w:cs="Arial"/>
          <w:i/>
        </w:rPr>
        <w:t>force majeure</w:t>
      </w:r>
      <w:r w:rsidRPr="009F285E">
        <w:rPr>
          <w:rFonts w:ascii="Arial" w:hAnsi="Arial" w:cs="Arial"/>
        </w:rPr>
        <w:t xml:space="preserve">. </w:t>
      </w:r>
      <w:r w:rsidRPr="009F285E">
        <w:rPr>
          <w:rFonts w:ascii="Arial" w:hAnsi="Arial" w:cs="Arial"/>
        </w:rPr>
        <w:br/>
      </w:r>
    </w:p>
    <w:p w:rsidR="005A0DD7" w:rsidRPr="009F285E" w:rsidRDefault="005A0DD7" w:rsidP="005A0DD7">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is directed at minimising the disclosure regime’s transactional cost/burden on patent offices and ensuring it does not create unreasonable processing delays for patent applicants.  It also recognises that patent offices do not have the inherent expertise to carry out such actions. </w:t>
      </w:r>
    </w:p>
    <w:p w:rsidR="005A0DD7" w:rsidRPr="009F285E" w:rsidRDefault="005A0DD7" w:rsidP="005A0DD7">
      <w:pPr>
        <w:rPr>
          <w:szCs w:val="22"/>
        </w:rPr>
      </w:pPr>
    </w:p>
    <w:p w:rsidR="005A0DD7" w:rsidRPr="009F285E" w:rsidRDefault="005A0DD7" w:rsidP="005A0DD7">
      <w:pPr>
        <w:rPr>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taking into account that other international instruments refer to but do not necessarily define TK, and noting the objectives of this instrument and ongoing developments in this area, this subject matter has been retained. </w:t>
      </w:r>
    </w:p>
    <w:p w:rsidR="005A0DD7" w:rsidRPr="009F285E" w:rsidRDefault="005A0DD7" w:rsidP="005A0DD7"/>
    <w:p w:rsidR="005A0DD7" w:rsidRPr="009F285E" w:rsidRDefault="005A0DD7" w:rsidP="005A0DD7">
      <w:pPr>
        <w:rPr>
          <w:szCs w:val="22"/>
        </w:rPr>
        <w:sectPr w:rsidR="005A0DD7" w:rsidRPr="009F285E" w:rsidSect="003D1AC9">
          <w:headerReference w:type="even" r:id="rId43"/>
          <w:headerReference w:type="default" r:id="rId44"/>
          <w:footerReference w:type="even" r:id="rId45"/>
          <w:footerReference w:type="default" r:id="rId46"/>
          <w:headerReference w:type="first" r:id="rId47"/>
          <w:footerReference w:type="first" r:id="rId48"/>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4</w:t>
      </w:r>
    </w:p>
    <w:p w:rsidR="005A0DD7" w:rsidRPr="009F285E" w:rsidRDefault="005A0DD7" w:rsidP="005A0DD7">
      <w:pPr>
        <w:jc w:val="center"/>
        <w:rPr>
          <w:b/>
          <w:szCs w:val="22"/>
        </w:rPr>
      </w:pPr>
      <w:r w:rsidRPr="009F285E">
        <w:rPr>
          <w:b/>
          <w:szCs w:val="22"/>
        </w:rPr>
        <w:t>EXCEPTIONS AND LIMITATIONS</w:t>
      </w:r>
    </w:p>
    <w:p w:rsidR="005A0DD7" w:rsidRPr="009F285E" w:rsidRDefault="005A0DD7" w:rsidP="005A0DD7">
      <w:pPr>
        <w:rPr>
          <w:szCs w:val="22"/>
        </w:rPr>
      </w:pPr>
    </w:p>
    <w:p w:rsidR="005A0DD7" w:rsidRPr="009F285E" w:rsidRDefault="005A0DD7" w:rsidP="005A0DD7">
      <w:pPr>
        <w:rPr>
          <w:szCs w:val="22"/>
        </w:rPr>
      </w:pPr>
      <w:r w:rsidRPr="009F285E">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5A0DD7" w:rsidRPr="009F285E" w:rsidRDefault="005A0DD7" w:rsidP="005A0DD7">
      <w:pPr>
        <w:keepLines/>
        <w:rPr>
          <w:rFonts w:eastAsia="Calibri"/>
          <w:szCs w:val="22"/>
        </w:rPr>
      </w:pPr>
    </w:p>
    <w:p w:rsidR="005A0DD7" w:rsidRPr="009F285E" w:rsidRDefault="005A0DD7" w:rsidP="005A0DD7">
      <w:pPr>
        <w:keepLines/>
        <w:rPr>
          <w:rFonts w:eastAsia="Calibri"/>
          <w:szCs w:val="22"/>
        </w:rPr>
        <w:sectPr w:rsidR="005A0DD7" w:rsidRPr="009F285E" w:rsidSect="003D1AC9">
          <w:headerReference w:type="even" r:id="rId49"/>
          <w:headerReference w:type="default" r:id="rId50"/>
          <w:footerReference w:type="even" r:id="rId51"/>
          <w:footerReference w:type="default" r:id="rId52"/>
          <w:headerReference w:type="first" r:id="rId53"/>
          <w:footerReference w:type="first" r:id="rId54"/>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5</w:t>
      </w:r>
    </w:p>
    <w:p w:rsidR="005A0DD7" w:rsidRPr="009F285E" w:rsidRDefault="005A0DD7" w:rsidP="005A0DD7">
      <w:pPr>
        <w:keepLines/>
        <w:jc w:val="center"/>
        <w:rPr>
          <w:b/>
          <w:szCs w:val="22"/>
        </w:rPr>
      </w:pPr>
      <w:r w:rsidRPr="009F285E">
        <w:rPr>
          <w:b/>
          <w:szCs w:val="22"/>
        </w:rPr>
        <w:t>NON-RETROACTIVITY</w:t>
      </w:r>
    </w:p>
    <w:p w:rsidR="005A0DD7" w:rsidRPr="009F285E" w:rsidRDefault="005A0DD7" w:rsidP="005A0DD7">
      <w:pPr>
        <w:rPr>
          <w:szCs w:val="22"/>
        </w:rPr>
      </w:pPr>
    </w:p>
    <w:p w:rsidR="005A0DD7" w:rsidRPr="009F285E" w:rsidRDefault="005A0DD7" w:rsidP="005A0DD7">
      <w:pPr>
        <w:rPr>
          <w:szCs w:val="22"/>
        </w:rPr>
      </w:pPr>
      <w:r w:rsidRPr="009F285E">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rsidR="005A0DD7" w:rsidRPr="009F285E" w:rsidRDefault="005A0DD7" w:rsidP="005A0DD7">
      <w:pPr>
        <w:jc w:val="both"/>
        <w:rPr>
          <w:szCs w:val="22"/>
        </w:rPr>
        <w:sectPr w:rsidR="005A0DD7" w:rsidRPr="009F285E" w:rsidSect="003D1AC9">
          <w:headerReference w:type="even" r:id="rId55"/>
          <w:headerReference w:type="default" r:id="rId56"/>
          <w:footerReference w:type="even" r:id="rId57"/>
          <w:footerReference w:type="default" r:id="rId58"/>
          <w:headerReference w:type="first" r:id="rId59"/>
          <w:footerReference w:type="first" r:id="rId60"/>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rPr>
          <w:szCs w:val="22"/>
        </w:rPr>
      </w:pPr>
      <w:r w:rsidRPr="009F285E">
        <w:rPr>
          <w:szCs w:val="22"/>
          <w:u w:val="single"/>
        </w:rPr>
        <w:lastRenderedPageBreak/>
        <w:t>Notes on Article 5</w:t>
      </w:r>
      <w:r w:rsidRPr="009F285E">
        <w:rPr>
          <w:szCs w:val="22"/>
          <w:u w:val="single"/>
        </w:rPr>
        <w:br/>
      </w:r>
    </w:p>
    <w:p w:rsidR="005A0DD7" w:rsidRPr="009F285E" w:rsidRDefault="005A0DD7" w:rsidP="005A0DD7">
      <w:pPr>
        <w:rPr>
          <w:szCs w:val="22"/>
        </w:rPr>
      </w:pPr>
      <w:r w:rsidRPr="009F285E">
        <w:rPr>
          <w:szCs w:val="22"/>
        </w:rPr>
        <w:t>This article recognises that in order to maintain legal certainty within the patent system a non-retroactivity clause is required.  However, it also recognises that a number of mandatory disclosure regimes already exist at the national and regional level.</w:t>
      </w:r>
    </w:p>
    <w:p w:rsidR="005A0DD7" w:rsidRPr="009F285E" w:rsidRDefault="005A0DD7" w:rsidP="005A0DD7">
      <w:pPr>
        <w:jc w:val="both"/>
        <w:rPr>
          <w:b/>
          <w:i/>
          <w:szCs w:val="22"/>
        </w:rPr>
      </w:pPr>
    </w:p>
    <w:p w:rsidR="005A0DD7" w:rsidRPr="009F285E" w:rsidRDefault="005A0DD7" w:rsidP="005A0DD7">
      <w:pPr>
        <w:jc w:val="center"/>
        <w:rPr>
          <w:b/>
        </w:rPr>
        <w:sectPr w:rsidR="005A0DD7" w:rsidRPr="009F285E" w:rsidSect="003D1AC9">
          <w:headerReference w:type="even" r:id="rId61"/>
          <w:headerReference w:type="default" r:id="rId62"/>
          <w:footerReference w:type="even" r:id="rId63"/>
          <w:footerReference w:type="default" r:id="rId64"/>
          <w:headerReference w:type="first" r:id="rId65"/>
          <w:footerReference w:type="first" r:id="rId66"/>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6</w:t>
      </w:r>
    </w:p>
    <w:p w:rsidR="005A0DD7" w:rsidRPr="009F285E" w:rsidRDefault="005A0DD7" w:rsidP="005A0DD7">
      <w:pPr>
        <w:jc w:val="center"/>
        <w:rPr>
          <w:b/>
          <w:szCs w:val="22"/>
        </w:rPr>
      </w:pPr>
      <w:r w:rsidRPr="009F285E">
        <w:rPr>
          <w:b/>
          <w:szCs w:val="22"/>
        </w:rPr>
        <w:t>SANCTIONS AND REMEDIES</w:t>
      </w:r>
    </w:p>
    <w:p w:rsidR="005A0DD7" w:rsidRPr="009F285E" w:rsidRDefault="005A0DD7" w:rsidP="005A0DD7">
      <w:pPr>
        <w:keepLines/>
      </w:pPr>
    </w:p>
    <w:p w:rsidR="005A0DD7" w:rsidRPr="009F285E" w:rsidRDefault="005A0DD7" w:rsidP="005A0DD7">
      <w:pPr>
        <w:keepLines/>
        <w:rPr>
          <w:szCs w:val="22"/>
        </w:rPr>
      </w:pPr>
      <w:r w:rsidRPr="009F285E">
        <w:rPr>
          <w:szCs w:val="22"/>
        </w:rPr>
        <w:t>6.1</w:t>
      </w:r>
      <w:r w:rsidRPr="009F285E">
        <w:rPr>
          <w:szCs w:val="22"/>
        </w:rPr>
        <w:tab/>
        <w:t>Each Contracting Party shall put in place appropriate, effective and proportionate legal, administrative, and/or policy measures to address an applicant’s failure to provide the information required in Article 3 of this instrument.</w:t>
      </w:r>
    </w:p>
    <w:p w:rsidR="005A0DD7" w:rsidRPr="009F285E" w:rsidRDefault="005A0DD7" w:rsidP="005A0DD7">
      <w:pPr>
        <w:keepLines/>
        <w:rPr>
          <w:szCs w:val="22"/>
        </w:rPr>
      </w:pPr>
    </w:p>
    <w:p w:rsidR="005A0DD7" w:rsidRPr="009F285E" w:rsidRDefault="005A0DD7" w:rsidP="005A0DD7">
      <w:pPr>
        <w:pStyle w:val="CommentText"/>
        <w:rPr>
          <w:sz w:val="22"/>
          <w:szCs w:val="22"/>
        </w:rPr>
      </w:pPr>
      <w:r w:rsidRPr="009F285E">
        <w:rPr>
          <w:sz w:val="22"/>
          <w:szCs w:val="22"/>
        </w:rPr>
        <w:t>6.2</w:t>
      </w:r>
      <w:r w:rsidRPr="009F285E">
        <w:rPr>
          <w:sz w:val="22"/>
          <w:szCs w:val="22"/>
        </w:rPr>
        <w:tab/>
        <w:t xml:space="preserve">Each Contracting Party shall provide an applicant an opportunity to rectify a failure to include the minimum information detailed in Article 3 before implementing sanctions or directing remedies.  </w:t>
      </w:r>
    </w:p>
    <w:p w:rsidR="005A0DD7" w:rsidRPr="009F285E" w:rsidRDefault="005A0DD7" w:rsidP="005A0DD7">
      <w:pPr>
        <w:keepLines/>
        <w:rPr>
          <w:szCs w:val="22"/>
        </w:rPr>
      </w:pPr>
    </w:p>
    <w:p w:rsidR="005A0DD7" w:rsidRPr="009F285E" w:rsidRDefault="005A0DD7" w:rsidP="005A0DD7">
      <w:pPr>
        <w:rPr>
          <w:szCs w:val="22"/>
        </w:rPr>
      </w:pPr>
      <w:r w:rsidRPr="009F285E">
        <w:rPr>
          <w:szCs w:val="22"/>
        </w:rPr>
        <w:t>6.3</w:t>
      </w:r>
      <w:r w:rsidRPr="009F285E">
        <w:rPr>
          <w:szCs w:val="22"/>
        </w:rPr>
        <w:tab/>
        <w:t>Subject to Article 6.4, no Contracting Party shall revoke or render unenforceable a patent solely on the basis of an applicant’s failure to disclose the information specified in Article 3 of this instrument.</w:t>
      </w:r>
    </w:p>
    <w:p w:rsidR="005A0DD7" w:rsidRPr="009F285E" w:rsidRDefault="005A0DD7" w:rsidP="005A0DD7">
      <w:pPr>
        <w:rPr>
          <w:szCs w:val="22"/>
        </w:rPr>
      </w:pPr>
    </w:p>
    <w:p w:rsidR="005A0DD7" w:rsidRPr="009F285E" w:rsidRDefault="005A0DD7" w:rsidP="005A0DD7">
      <w:pPr>
        <w:keepLines/>
        <w:rPr>
          <w:szCs w:val="22"/>
        </w:rPr>
      </w:pPr>
      <w:r w:rsidRPr="009F285E">
        <w:rPr>
          <w:szCs w:val="22"/>
        </w:rPr>
        <w:t>6.4</w:t>
      </w:r>
      <w:r w:rsidRPr="009F285E">
        <w:rPr>
          <w:szCs w:val="22"/>
        </w:rPr>
        <w:tab/>
        <w:t>Each Contracting Party may provide for post grant sanctions or remedies where there has been fraudulent intent in regard to the disclosure requirement in Article 3 of this instrument, in accordance with its national law.</w:t>
      </w:r>
    </w:p>
    <w:p w:rsidR="005A0DD7" w:rsidRPr="009F285E" w:rsidRDefault="005A0DD7" w:rsidP="005A0DD7">
      <w:pPr>
        <w:rPr>
          <w:szCs w:val="22"/>
        </w:rPr>
      </w:pPr>
    </w:p>
    <w:p w:rsidR="005A0DD7" w:rsidRPr="009F285E" w:rsidRDefault="005A0DD7" w:rsidP="005A0DD7">
      <w:pPr>
        <w:rPr>
          <w:szCs w:val="22"/>
        </w:rPr>
      </w:pPr>
      <w:r w:rsidRPr="009F285E">
        <w:rPr>
          <w:szCs w:val="22"/>
        </w:rPr>
        <w:t>6.5</w:t>
      </w:r>
      <w:r w:rsidRPr="009F285E">
        <w:rPr>
          <w:szCs w:val="22"/>
        </w:rPr>
        <w:tab/>
        <w:t>Without prejudice to non-compliance as a result of a fraudulent intention as addressed under Article 6.4, Contracting Parties shall put in place adequate dispute mechanisms that allow all parties concerned to reach timely and mutually satisfactory solutions, in accordance with national law.</w:t>
      </w:r>
    </w:p>
    <w:p w:rsidR="005A0DD7" w:rsidRPr="009F285E" w:rsidRDefault="005A0DD7" w:rsidP="005A0DD7">
      <w:pPr>
        <w:rPr>
          <w:szCs w:val="22"/>
        </w:rPr>
        <w:sectPr w:rsidR="005A0DD7" w:rsidRPr="009F285E" w:rsidSect="003D1AC9">
          <w:headerReference w:type="even" r:id="rId67"/>
          <w:headerReference w:type="default" r:id="rId68"/>
          <w:footerReference w:type="even" r:id="rId69"/>
          <w:footerReference w:type="default" r:id="rId70"/>
          <w:headerReference w:type="first" r:id="rId71"/>
          <w:footerReference w:type="first" r:id="rId72"/>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rPr>
          <w:szCs w:val="22"/>
          <w:u w:val="single"/>
        </w:rPr>
      </w:pPr>
      <w:r w:rsidRPr="009F285E">
        <w:rPr>
          <w:szCs w:val="22"/>
          <w:u w:val="single"/>
        </w:rPr>
        <w:lastRenderedPageBreak/>
        <w:t>Notes on Article 6</w:t>
      </w:r>
    </w:p>
    <w:p w:rsidR="005A0DD7" w:rsidRPr="009F285E" w:rsidRDefault="005A0DD7" w:rsidP="005A0DD7">
      <w:pPr>
        <w:rPr>
          <w:szCs w:val="22"/>
          <w:u w:val="single"/>
        </w:rPr>
      </w:pPr>
    </w:p>
    <w:p w:rsidR="005A0DD7" w:rsidRPr="009F285E" w:rsidRDefault="005A0DD7" w:rsidP="005A0DD7">
      <w:pPr>
        <w:rPr>
          <w:szCs w:val="22"/>
        </w:rPr>
      </w:pPr>
      <w:r w:rsidRPr="009F285E">
        <w:rPr>
          <w:szCs w:val="22"/>
        </w:rPr>
        <w:t>1.</w:t>
      </w:r>
      <w:r w:rsidRPr="009F285E">
        <w:rPr>
          <w:szCs w:val="22"/>
        </w:rPr>
        <w:tab/>
        <w:t>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withdrawing/lapsing the application if the applicant fails or refuses to provide the minimum information required in Article 3 within a time period as determined at the national level.  These measures could also include post-grant sanctions, such as fines for wilfully failing to disclose the required information or intentionally providing incorrect information as well as the publication of judicial rulings.</w:t>
      </w:r>
    </w:p>
    <w:p w:rsidR="005A0DD7" w:rsidRPr="009F285E" w:rsidRDefault="005A0DD7" w:rsidP="005A0DD7">
      <w:pPr>
        <w:rPr>
          <w:szCs w:val="22"/>
        </w:rPr>
      </w:pPr>
    </w:p>
    <w:p w:rsidR="005A0DD7" w:rsidRPr="009F285E" w:rsidRDefault="005A0DD7" w:rsidP="005A0DD7">
      <w:pPr>
        <w:rPr>
          <w:szCs w:val="22"/>
        </w:rPr>
      </w:pPr>
      <w:r w:rsidRPr="009F285E">
        <w:rPr>
          <w:szCs w:val="22"/>
        </w:rPr>
        <w:t>2.</w:t>
      </w:r>
      <w:r w:rsidRPr="009F285E">
        <w:rPr>
          <w:szCs w:val="22"/>
        </w:rPr>
        <w:tab/>
        <w:t>Paragraph 6.2 provides for an initial opportunity for an applicant who unintentionally failed to provide the minimum information detailed in Article 3 to address the disclosure requirement.  The time period to correct the failure would be determined based on national patent laws.  See also Article 3, Paragraph 4.</w:t>
      </w:r>
    </w:p>
    <w:p w:rsidR="005A0DD7" w:rsidRPr="009F285E" w:rsidRDefault="005A0DD7" w:rsidP="005A0DD7">
      <w:pPr>
        <w:rPr>
          <w:szCs w:val="22"/>
        </w:rPr>
      </w:pPr>
    </w:p>
    <w:p w:rsidR="005A0DD7" w:rsidRPr="009F285E" w:rsidRDefault="005A0DD7" w:rsidP="005A0DD7">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rsidR="005A0DD7" w:rsidRPr="009F285E" w:rsidRDefault="005A0DD7" w:rsidP="005A0DD7">
      <w:pPr>
        <w:rPr>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5A0DD7" w:rsidRPr="009F285E" w:rsidRDefault="005A0DD7" w:rsidP="005A0DD7">
      <w:pPr>
        <w:pStyle w:val="NormalWeb"/>
        <w:spacing w:before="0" w:beforeAutospacing="0" w:after="0" w:afterAutospacing="0"/>
        <w:rPr>
          <w:rFonts w:ascii="Arial" w:hAnsi="Arial" w:cs="Arial"/>
        </w:rPr>
      </w:pPr>
    </w:p>
    <w:p w:rsidR="005A0DD7" w:rsidRPr="009F285E" w:rsidRDefault="005A0DD7" w:rsidP="005A0DD7">
      <w:pPr>
        <w:rPr>
          <w:szCs w:val="22"/>
        </w:rPr>
      </w:pPr>
    </w:p>
    <w:p w:rsidR="005A0DD7" w:rsidRPr="009F285E" w:rsidRDefault="005A0DD7" w:rsidP="005A0DD7">
      <w:pPr>
        <w:rPr>
          <w:szCs w:val="22"/>
          <w:u w:val="single"/>
        </w:rPr>
      </w:pPr>
    </w:p>
    <w:p w:rsidR="005A0DD7" w:rsidRPr="009F285E" w:rsidRDefault="005A0DD7" w:rsidP="005A0DD7">
      <w:pPr>
        <w:rPr>
          <w:szCs w:val="22"/>
        </w:rPr>
        <w:sectPr w:rsidR="005A0DD7" w:rsidRPr="009F285E" w:rsidSect="003D1AC9">
          <w:headerReference w:type="even" r:id="rId73"/>
          <w:headerReference w:type="default" r:id="rId74"/>
          <w:footerReference w:type="even" r:id="rId75"/>
          <w:footerReference w:type="default" r:id="rId76"/>
          <w:headerReference w:type="first" r:id="rId77"/>
          <w:footerReference w:type="first" r:id="rId78"/>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7</w:t>
      </w:r>
    </w:p>
    <w:p w:rsidR="005A0DD7" w:rsidRPr="009F285E" w:rsidRDefault="005A0DD7" w:rsidP="005A0DD7">
      <w:pPr>
        <w:keepLines/>
        <w:jc w:val="center"/>
        <w:rPr>
          <w:b/>
          <w:szCs w:val="22"/>
        </w:rPr>
      </w:pPr>
      <w:r w:rsidRPr="009F285E">
        <w:rPr>
          <w:b/>
          <w:szCs w:val="22"/>
        </w:rPr>
        <w:t>INFORMATION SYSTEMS</w:t>
      </w:r>
    </w:p>
    <w:p w:rsidR="005A0DD7" w:rsidRPr="009F285E" w:rsidRDefault="005A0DD7" w:rsidP="005A0DD7">
      <w:pPr>
        <w:keepLines/>
      </w:pPr>
    </w:p>
    <w:p w:rsidR="005A0DD7" w:rsidRPr="009F285E" w:rsidRDefault="005A0DD7" w:rsidP="005A0DD7">
      <w:pPr>
        <w:keepLines/>
        <w:rPr>
          <w:szCs w:val="22"/>
        </w:rPr>
      </w:pPr>
      <w:r w:rsidRPr="009F285E">
        <w:rPr>
          <w:szCs w:val="22"/>
        </w:rPr>
        <w:t>7.1</w:t>
      </w:r>
      <w:r w:rsidRPr="009F285E">
        <w:rPr>
          <w:szCs w:val="22"/>
        </w:rPr>
        <w:tab/>
        <w:t xml:space="preserve">Contracting Parties may establish information systems (such as databases) of GRs and Associated TK, in consultation with relevant stakeholders, taking into account their national circumstances. </w:t>
      </w:r>
    </w:p>
    <w:p w:rsidR="005A0DD7" w:rsidRPr="009F285E" w:rsidRDefault="005A0DD7" w:rsidP="005A0DD7">
      <w:pPr>
        <w:keepLines/>
        <w:rPr>
          <w:szCs w:val="22"/>
        </w:rPr>
      </w:pPr>
    </w:p>
    <w:p w:rsidR="005A0DD7" w:rsidRPr="009F285E" w:rsidRDefault="005A0DD7" w:rsidP="005A0DD7">
      <w:pPr>
        <w:keepLines/>
        <w:rPr>
          <w:szCs w:val="22"/>
        </w:rPr>
      </w:pPr>
      <w:r w:rsidRPr="009F285E">
        <w:rPr>
          <w:szCs w:val="22"/>
        </w:rPr>
        <w:t>7.2</w:t>
      </w:r>
      <w:r w:rsidRPr="009F285E">
        <w:rPr>
          <w:szCs w:val="22"/>
        </w:rPr>
        <w:tab/>
        <w:t>The information systems, with appropriate safeguards, should be accessible to Offices for the purposes of search and examination of patent applications.</w:t>
      </w:r>
    </w:p>
    <w:p w:rsidR="005A0DD7" w:rsidRPr="009F285E" w:rsidRDefault="005A0DD7" w:rsidP="005A0DD7">
      <w:pPr>
        <w:keepLines/>
        <w:ind w:left="360"/>
        <w:rPr>
          <w:szCs w:val="22"/>
        </w:rPr>
      </w:pPr>
    </w:p>
    <w:p w:rsidR="005A0DD7" w:rsidRPr="009F285E" w:rsidRDefault="005A0DD7" w:rsidP="005A0DD7">
      <w:pPr>
        <w:keepLines/>
        <w:rPr>
          <w:szCs w:val="22"/>
        </w:rPr>
      </w:pPr>
      <w:r w:rsidRPr="009F285E">
        <w:rPr>
          <w:szCs w:val="22"/>
        </w:rPr>
        <w:t>7.3.</w:t>
      </w:r>
      <w:r w:rsidRPr="009F285E">
        <w:rPr>
          <w:szCs w:val="22"/>
        </w:rPr>
        <w:tab/>
        <w:t>In regard to such information systems, the Assembly of the Contracting Parties may establish one or more technical working groups to:</w:t>
      </w:r>
    </w:p>
    <w:p w:rsidR="005A0DD7" w:rsidRPr="009F285E" w:rsidRDefault="005A0DD7" w:rsidP="005A0DD7">
      <w:pPr>
        <w:keepLines/>
        <w:rPr>
          <w:szCs w:val="22"/>
        </w:rPr>
      </w:pPr>
    </w:p>
    <w:p w:rsidR="005A0DD7" w:rsidRPr="009F285E" w:rsidRDefault="005A0DD7" w:rsidP="005A0DD7">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minimum interoperability standards and structures of </w:t>
      </w:r>
      <w:r w:rsidRPr="009F285E">
        <w:rPr>
          <w:rFonts w:ascii="Arial" w:hAnsi="Arial" w:cs="Arial"/>
        </w:rPr>
        <w:t>information systems</w:t>
      </w:r>
      <w:r w:rsidRPr="009F285E">
        <w:rPr>
          <w:rFonts w:ascii="Arial" w:hAnsi="Arial" w:cs="Arial"/>
          <w:lang w:val="en-AU"/>
        </w:rPr>
        <w:t xml:space="preserve"> content;</w:t>
      </w:r>
    </w:p>
    <w:p w:rsidR="005A0DD7" w:rsidRPr="009F285E" w:rsidRDefault="005A0DD7" w:rsidP="005A0DD7">
      <w:pPr>
        <w:pStyle w:val="ListParagraph"/>
        <w:keepLines/>
        <w:spacing w:after="0" w:line="240" w:lineRule="auto"/>
        <w:ind w:left="1080"/>
        <w:rPr>
          <w:rFonts w:ascii="Arial" w:hAnsi="Arial" w:cs="Arial"/>
          <w:lang w:val="en-AU"/>
        </w:rPr>
      </w:pPr>
    </w:p>
    <w:p w:rsidR="005A0DD7" w:rsidRPr="009F285E" w:rsidRDefault="005A0DD7" w:rsidP="005A0DD7">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Develop guidelines relating to safeguards;</w:t>
      </w:r>
    </w:p>
    <w:p w:rsidR="005A0DD7" w:rsidRPr="009F285E" w:rsidRDefault="005A0DD7" w:rsidP="005A0DD7">
      <w:pPr>
        <w:pStyle w:val="ListParagraph"/>
        <w:keepLines/>
        <w:spacing w:after="0" w:line="240" w:lineRule="auto"/>
        <w:ind w:left="1080"/>
        <w:rPr>
          <w:rFonts w:ascii="Arial" w:hAnsi="Arial" w:cs="Arial"/>
          <w:lang w:val="en-AU"/>
        </w:rPr>
      </w:pPr>
    </w:p>
    <w:p w:rsidR="005A0DD7" w:rsidRPr="009F285E" w:rsidRDefault="005A0DD7" w:rsidP="005A0DD7">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principles and modalities related to the sharing of relevant information related to </w:t>
      </w:r>
      <w:r w:rsidRPr="009F285E">
        <w:rPr>
          <w:rFonts w:ascii="Arial" w:hAnsi="Arial" w:cs="Arial"/>
        </w:rPr>
        <w:t>GRs and Associated TK</w:t>
      </w:r>
      <w:r w:rsidRPr="009F285E">
        <w:rPr>
          <w:rFonts w:ascii="Arial" w:hAnsi="Arial" w:cs="Arial"/>
          <w:lang w:val="en-AU"/>
        </w:rPr>
        <w:t xml:space="preserve">, especially periodicals, digital libraries and databases of information related to </w:t>
      </w:r>
      <w:r w:rsidRPr="009F285E">
        <w:rPr>
          <w:rFonts w:ascii="Arial" w:hAnsi="Arial" w:cs="Arial"/>
        </w:rPr>
        <w:t>GRs and Associated TK</w:t>
      </w:r>
      <w:r w:rsidRPr="009F285E">
        <w:rPr>
          <w:rFonts w:ascii="Arial" w:hAnsi="Arial" w:cs="Arial"/>
          <w:lang w:val="en-AU"/>
        </w:rPr>
        <w:t>, and how WIPO Members should cooperate in the sharing of such information;</w:t>
      </w:r>
    </w:p>
    <w:p w:rsidR="005A0DD7" w:rsidRPr="009F285E" w:rsidRDefault="005A0DD7" w:rsidP="005A0DD7">
      <w:pPr>
        <w:pStyle w:val="ListParagraph"/>
        <w:keepLines/>
        <w:spacing w:after="0" w:line="240" w:lineRule="auto"/>
        <w:ind w:left="1080"/>
        <w:rPr>
          <w:rFonts w:ascii="Arial" w:hAnsi="Arial" w:cs="Arial"/>
          <w:lang w:val="en-AU"/>
        </w:rPr>
      </w:pPr>
    </w:p>
    <w:p w:rsidR="005A0DD7" w:rsidRPr="009F285E" w:rsidRDefault="005A0DD7" w:rsidP="005A0DD7">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9F285E">
        <w:rPr>
          <w:rFonts w:ascii="Arial" w:hAnsi="Arial" w:cs="Arial"/>
        </w:rPr>
        <w:t>information systems</w:t>
      </w:r>
      <w:r w:rsidRPr="009F285E">
        <w:rPr>
          <w:rFonts w:ascii="Arial" w:hAnsi="Arial" w:cs="Arial"/>
          <w:lang w:val="en-AU"/>
        </w:rPr>
        <w:t xml:space="preserve">, subject to appropriate safeguards;  and, </w:t>
      </w:r>
    </w:p>
    <w:p w:rsidR="005A0DD7" w:rsidRPr="009F285E" w:rsidRDefault="005A0DD7" w:rsidP="005A0DD7">
      <w:pPr>
        <w:pStyle w:val="ListParagraph"/>
        <w:keepLines/>
        <w:spacing w:after="0" w:line="240" w:lineRule="auto"/>
        <w:ind w:left="1080"/>
        <w:rPr>
          <w:rFonts w:ascii="Arial" w:hAnsi="Arial" w:cs="Arial"/>
          <w:lang w:val="en-AU"/>
        </w:rPr>
      </w:pPr>
    </w:p>
    <w:p w:rsidR="005A0DD7" w:rsidRPr="009F285E" w:rsidRDefault="005A0DD7" w:rsidP="005A0DD7">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Address any other related issue. </w:t>
      </w:r>
      <w:r w:rsidRPr="009F285E">
        <w:rPr>
          <w:rFonts w:ascii="Arial" w:hAnsi="Arial" w:cs="Arial"/>
          <w:lang w:val="en-AU"/>
        </w:rPr>
        <w:br/>
      </w:r>
    </w:p>
    <w:p w:rsidR="005A0DD7" w:rsidRPr="009F285E" w:rsidRDefault="005A0DD7" w:rsidP="005A0DD7">
      <w:pPr>
        <w:jc w:val="center"/>
        <w:rPr>
          <w:b/>
          <w:sz w:val="28"/>
          <w:szCs w:val="28"/>
        </w:rPr>
        <w:sectPr w:rsidR="005A0DD7" w:rsidRPr="009F285E" w:rsidSect="003D1AC9">
          <w:headerReference w:type="even" r:id="rId79"/>
          <w:headerReference w:type="default" r:id="rId80"/>
          <w:footerReference w:type="even" r:id="rId81"/>
          <w:footerReference w:type="default" r:id="rId82"/>
          <w:headerReference w:type="first" r:id="rId83"/>
          <w:footerReference w:type="first" r:id="rId84"/>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jc w:val="center"/>
        <w:rPr>
          <w:b/>
          <w:szCs w:val="22"/>
        </w:rPr>
      </w:pPr>
      <w:r w:rsidRPr="009F285E">
        <w:rPr>
          <w:b/>
          <w:szCs w:val="22"/>
        </w:rPr>
        <w:lastRenderedPageBreak/>
        <w:t>ARTICLE 8</w:t>
      </w:r>
    </w:p>
    <w:p w:rsidR="005A0DD7" w:rsidRPr="009F285E" w:rsidRDefault="005A0DD7" w:rsidP="005A0DD7">
      <w:pPr>
        <w:keepLines/>
        <w:jc w:val="center"/>
        <w:rPr>
          <w:b/>
          <w:szCs w:val="22"/>
        </w:rPr>
      </w:pPr>
      <w:r w:rsidRPr="009F285E">
        <w:rPr>
          <w:b/>
          <w:szCs w:val="22"/>
        </w:rPr>
        <w:t>RELATIONSHIP WITH OTHER INTERNATIONAL AGREEMENTS</w:t>
      </w:r>
    </w:p>
    <w:p w:rsidR="005A0DD7" w:rsidRPr="009F285E" w:rsidRDefault="005A0DD7" w:rsidP="005A0DD7">
      <w:pPr>
        <w:keepLines/>
        <w:rPr>
          <w:b/>
        </w:rPr>
      </w:pPr>
    </w:p>
    <w:p w:rsidR="005A0DD7" w:rsidRPr="009F285E" w:rsidRDefault="005A0DD7" w:rsidP="005A0DD7">
      <w:pPr>
        <w:keepLines/>
        <w:rPr>
          <w:szCs w:val="22"/>
        </w:rPr>
      </w:pPr>
      <w:r w:rsidRPr="009F285E">
        <w:rPr>
          <w:szCs w:val="22"/>
        </w:rPr>
        <w:t>This instrument shall be implemented in a mutually supportive manner with other international agreements relevant to this instrument</w:t>
      </w:r>
      <w:r w:rsidRPr="009F285E">
        <w:rPr>
          <w:rStyle w:val="FootnoteReference"/>
          <w:szCs w:val="22"/>
        </w:rPr>
        <w:footnoteReference w:id="9"/>
      </w:r>
      <w:r w:rsidRPr="009F285E">
        <w:rPr>
          <w:szCs w:val="22"/>
        </w:rPr>
        <w:t>.</w:t>
      </w:r>
    </w:p>
    <w:p w:rsidR="005A0DD7" w:rsidRDefault="005A0DD7" w:rsidP="005A0DD7">
      <w:pPr>
        <w:keepLines/>
        <w:rPr>
          <w:szCs w:val="22"/>
        </w:rPr>
      </w:pPr>
    </w:p>
    <w:p w:rsidR="005A0DD7" w:rsidRPr="009F285E" w:rsidRDefault="005A0DD7" w:rsidP="005A0DD7">
      <w:pPr>
        <w:keepLines/>
        <w:rPr>
          <w:szCs w:val="22"/>
        </w:rPr>
        <w:sectPr w:rsidR="005A0DD7" w:rsidRPr="009F285E" w:rsidSect="003D1AC9">
          <w:headerReference w:type="even" r:id="rId85"/>
          <w:headerReference w:type="default" r:id="rId86"/>
          <w:footerReference w:type="even" r:id="rId87"/>
          <w:footerReference w:type="default" r:id="rId88"/>
          <w:headerReference w:type="first" r:id="rId89"/>
          <w:footerReference w:type="first" r:id="rId90"/>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9</w:t>
      </w:r>
    </w:p>
    <w:p w:rsidR="005A0DD7" w:rsidRPr="009F285E" w:rsidRDefault="005A0DD7" w:rsidP="005A0DD7">
      <w:pPr>
        <w:keepLines/>
        <w:jc w:val="center"/>
        <w:rPr>
          <w:b/>
        </w:rPr>
      </w:pPr>
      <w:r w:rsidRPr="009F285E">
        <w:rPr>
          <w:b/>
          <w:szCs w:val="22"/>
        </w:rPr>
        <w:t xml:space="preserve">REVIEW </w:t>
      </w:r>
    </w:p>
    <w:p w:rsidR="005A0DD7" w:rsidRPr="009F285E" w:rsidRDefault="005A0DD7" w:rsidP="005A0DD7">
      <w:pPr>
        <w:keepLines/>
        <w:jc w:val="center"/>
        <w:rPr>
          <w:b/>
        </w:rPr>
      </w:pPr>
    </w:p>
    <w:p w:rsidR="005A0DD7" w:rsidRPr="009F285E" w:rsidRDefault="005A0DD7" w:rsidP="005A0DD7">
      <w:pPr>
        <w:keepLines/>
        <w:rPr>
          <w:rFonts w:eastAsia="Calibri"/>
          <w:szCs w:val="22"/>
        </w:rPr>
      </w:pPr>
      <w:r w:rsidRPr="009F285E">
        <w:rPr>
          <w:rFonts w:eastAsia="Calibri"/>
          <w:szCs w:val="22"/>
        </w:rPr>
        <w:t xml:space="preserve">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 </w:t>
      </w:r>
    </w:p>
    <w:p w:rsidR="005A0DD7" w:rsidRPr="009F285E" w:rsidRDefault="005A0DD7" w:rsidP="005A0DD7">
      <w:pPr>
        <w:keepLines/>
        <w:rPr>
          <w:rFonts w:eastAsia="Calibri"/>
          <w:szCs w:val="22"/>
        </w:rPr>
      </w:pPr>
    </w:p>
    <w:p w:rsidR="005A0DD7" w:rsidRPr="009F285E" w:rsidRDefault="005A0DD7" w:rsidP="005A0DD7">
      <w:pPr>
        <w:keepLines/>
        <w:rPr>
          <w:rFonts w:eastAsia="Calibri"/>
          <w:szCs w:val="22"/>
        </w:rPr>
        <w:sectPr w:rsidR="005A0DD7" w:rsidRPr="009F285E" w:rsidSect="003D1AC9">
          <w:headerReference w:type="even" r:id="rId91"/>
          <w:headerReference w:type="default" r:id="rId92"/>
          <w:footerReference w:type="even" r:id="rId93"/>
          <w:footerReference w:type="default" r:id="rId94"/>
          <w:headerReference w:type="first" r:id="rId95"/>
          <w:footerReference w:type="first" r:id="rId96"/>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rPr>
          <w:rFonts w:eastAsia="Calibri"/>
          <w:szCs w:val="22"/>
          <w:u w:val="single"/>
        </w:rPr>
      </w:pPr>
      <w:r w:rsidRPr="009F285E">
        <w:rPr>
          <w:rFonts w:eastAsia="Calibri"/>
          <w:szCs w:val="22"/>
          <w:u w:val="single"/>
        </w:rPr>
        <w:lastRenderedPageBreak/>
        <w:t>Notes on Article 9</w:t>
      </w:r>
    </w:p>
    <w:p w:rsidR="005A0DD7" w:rsidRPr="009F285E" w:rsidRDefault="005A0DD7" w:rsidP="005A0DD7">
      <w:pPr>
        <w:keepLines/>
        <w:rPr>
          <w:rFonts w:eastAsia="Calibri"/>
          <w:szCs w:val="22"/>
          <w:u w:val="single"/>
        </w:rPr>
      </w:pPr>
    </w:p>
    <w:p w:rsidR="005A0DD7" w:rsidRPr="009F285E" w:rsidRDefault="005A0DD7" w:rsidP="005A0DD7">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recognised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5A0DD7" w:rsidRPr="009F285E" w:rsidRDefault="005A0DD7" w:rsidP="005A0DD7">
      <w:pPr>
        <w:keepLines/>
        <w:rPr>
          <w:rFonts w:eastAsia="Calibri"/>
          <w:szCs w:val="22"/>
        </w:rPr>
      </w:pPr>
    </w:p>
    <w:p w:rsidR="005A0DD7" w:rsidRPr="009F285E" w:rsidRDefault="005A0DD7" w:rsidP="005A0DD7">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time-frame. </w:t>
      </w:r>
    </w:p>
    <w:p w:rsidR="005A0DD7" w:rsidRPr="009F285E" w:rsidRDefault="005A0DD7" w:rsidP="005A0DD7">
      <w:pPr>
        <w:keepLines/>
        <w:rPr>
          <w:rFonts w:eastAsia="Calibri"/>
          <w:szCs w:val="22"/>
        </w:rPr>
      </w:pPr>
    </w:p>
    <w:p w:rsidR="005A0DD7" w:rsidRPr="009F285E" w:rsidRDefault="005A0DD7" w:rsidP="005A0DD7">
      <w:pPr>
        <w:keepLines/>
        <w:rPr>
          <w:rFonts w:eastAsia="Calibri"/>
          <w:szCs w:val="22"/>
        </w:rPr>
      </w:pPr>
    </w:p>
    <w:p w:rsidR="005A0DD7" w:rsidRPr="009F285E" w:rsidRDefault="005A0DD7" w:rsidP="005A0DD7">
      <w:pPr>
        <w:keepLines/>
        <w:jc w:val="center"/>
        <w:rPr>
          <w:b/>
        </w:rPr>
      </w:pPr>
    </w:p>
    <w:p w:rsidR="005A0DD7" w:rsidRPr="009F285E" w:rsidRDefault="005A0DD7" w:rsidP="005A0DD7">
      <w:pPr>
        <w:rPr>
          <w:b/>
          <w:sz w:val="28"/>
          <w:szCs w:val="28"/>
        </w:rPr>
        <w:sectPr w:rsidR="005A0DD7" w:rsidRPr="009F285E" w:rsidSect="003D1AC9">
          <w:headerReference w:type="even" r:id="rId97"/>
          <w:headerReference w:type="default" r:id="rId98"/>
          <w:footerReference w:type="even" r:id="rId99"/>
          <w:footerReference w:type="default" r:id="rId100"/>
          <w:headerReference w:type="first" r:id="rId101"/>
          <w:footerReference w:type="first" r:id="rId102"/>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10</w:t>
      </w:r>
      <w:r w:rsidRPr="009F285E">
        <w:rPr>
          <w:rStyle w:val="FootnoteReference"/>
          <w:b/>
          <w:szCs w:val="22"/>
        </w:rPr>
        <w:footnoteReference w:id="10"/>
      </w:r>
    </w:p>
    <w:p w:rsidR="005A0DD7" w:rsidRPr="009F285E" w:rsidRDefault="005A0DD7" w:rsidP="005A0DD7">
      <w:pPr>
        <w:keepLines/>
        <w:jc w:val="center"/>
        <w:rPr>
          <w:b/>
          <w:szCs w:val="22"/>
        </w:rPr>
      </w:pPr>
      <w:r w:rsidRPr="009F285E">
        <w:rPr>
          <w:b/>
          <w:szCs w:val="22"/>
        </w:rPr>
        <w:t>GENERAL PRINCIPLES ON IMPLEMENTATION</w:t>
      </w:r>
    </w:p>
    <w:p w:rsidR="005A0DD7" w:rsidRPr="009F285E" w:rsidRDefault="005A0DD7" w:rsidP="005A0DD7">
      <w:pPr>
        <w:keepLines/>
        <w:jc w:val="center"/>
        <w:rPr>
          <w:szCs w:val="22"/>
        </w:rPr>
      </w:pPr>
    </w:p>
    <w:p w:rsidR="005A0DD7" w:rsidRPr="009F285E" w:rsidRDefault="005A0DD7" w:rsidP="005A0DD7">
      <w:pPr>
        <w:keepLines/>
        <w:ind w:left="360"/>
        <w:rPr>
          <w:szCs w:val="22"/>
        </w:rPr>
      </w:pPr>
      <w:r w:rsidRPr="009F285E">
        <w:rPr>
          <w:szCs w:val="22"/>
        </w:rPr>
        <w:t>10.1</w:t>
      </w:r>
      <w:r w:rsidRPr="009F285E">
        <w:rPr>
          <w:szCs w:val="22"/>
        </w:rPr>
        <w:tab/>
        <w:t>Contracting Parties undertake to adopt the measures necessary to ensure the application of this instrument.</w:t>
      </w:r>
    </w:p>
    <w:p w:rsidR="005A0DD7" w:rsidRPr="009F285E" w:rsidRDefault="005A0DD7" w:rsidP="005A0DD7">
      <w:pPr>
        <w:pStyle w:val="ListParagraph"/>
        <w:keepLines/>
        <w:spacing w:after="0" w:line="240" w:lineRule="auto"/>
        <w:ind w:left="0"/>
        <w:rPr>
          <w:rFonts w:ascii="Arial" w:hAnsi="Arial" w:cs="Arial"/>
        </w:rPr>
      </w:pPr>
    </w:p>
    <w:p w:rsidR="005A0DD7" w:rsidRPr="009F285E" w:rsidRDefault="005A0DD7" w:rsidP="005A0DD7">
      <w:pPr>
        <w:keepLines/>
        <w:ind w:left="360"/>
        <w:rPr>
          <w:szCs w:val="22"/>
        </w:rPr>
      </w:pPr>
      <w:r w:rsidRPr="009F285E">
        <w:rPr>
          <w:szCs w:val="22"/>
        </w:rPr>
        <w:t>10.2</w:t>
      </w:r>
      <w:r w:rsidRPr="009F285E">
        <w:rPr>
          <w:szCs w:val="22"/>
        </w:rPr>
        <w:tab/>
        <w:t xml:space="preserve">Nothing shall prevent Contracting Parties from determining the appropriate method of implementing the provisions of this instrument within their own legal systems and practices.] </w:t>
      </w:r>
    </w:p>
    <w:p w:rsidR="005A0DD7" w:rsidRPr="009F285E" w:rsidRDefault="005A0DD7" w:rsidP="005A0DD7">
      <w:pPr>
        <w:keepLines/>
        <w:rPr>
          <w:szCs w:val="22"/>
        </w:rPr>
      </w:pPr>
    </w:p>
    <w:p w:rsidR="005A0DD7" w:rsidRPr="009F285E" w:rsidRDefault="005A0DD7" w:rsidP="005A0DD7">
      <w:pPr>
        <w:keepLines/>
        <w:rPr>
          <w:szCs w:val="22"/>
        </w:rPr>
        <w:sectPr w:rsidR="005A0DD7" w:rsidRPr="009F285E" w:rsidSect="003D1AC9">
          <w:headerReference w:type="even" r:id="rId103"/>
          <w:headerReference w:type="default" r:id="rId104"/>
          <w:footerReference w:type="even" r:id="rId105"/>
          <w:footerReference w:type="default" r:id="rId106"/>
          <w:headerReference w:type="first" r:id="rId107"/>
          <w:footerReference w:type="first" r:id="rId108"/>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11</w:t>
      </w:r>
    </w:p>
    <w:p w:rsidR="005A0DD7" w:rsidRPr="009F285E" w:rsidRDefault="005A0DD7" w:rsidP="005A0DD7">
      <w:pPr>
        <w:keepLines/>
        <w:jc w:val="center"/>
        <w:rPr>
          <w:b/>
          <w:szCs w:val="22"/>
        </w:rPr>
      </w:pPr>
      <w:r w:rsidRPr="009F285E">
        <w:rPr>
          <w:b/>
          <w:szCs w:val="22"/>
        </w:rPr>
        <w:t>ASSEMBLY</w:t>
      </w:r>
    </w:p>
    <w:p w:rsidR="005A0DD7" w:rsidRPr="009F285E" w:rsidRDefault="005A0DD7" w:rsidP="005A0DD7">
      <w:pPr>
        <w:keepLines/>
        <w:rPr>
          <w:szCs w:val="22"/>
        </w:rPr>
      </w:pPr>
    </w:p>
    <w:p w:rsidR="005A0DD7" w:rsidRPr="009F285E" w:rsidRDefault="005A0DD7" w:rsidP="005A0DD7">
      <w:pPr>
        <w:keepLines/>
        <w:rPr>
          <w:szCs w:val="22"/>
        </w:rPr>
      </w:pPr>
      <w:r w:rsidRPr="009F285E">
        <w:rPr>
          <w:szCs w:val="22"/>
        </w:rPr>
        <w:t>11.1</w:t>
      </w:r>
      <w:r w:rsidRPr="009F285E">
        <w:rPr>
          <w:szCs w:val="22"/>
        </w:rPr>
        <w:tab/>
        <w:t xml:space="preserve">The Contracting Parties shall have an Assembly: </w:t>
      </w:r>
    </w:p>
    <w:p w:rsidR="005A0DD7" w:rsidRPr="009F285E" w:rsidRDefault="005A0DD7" w:rsidP="005A0DD7">
      <w:pPr>
        <w:keepLines/>
        <w:rPr>
          <w:szCs w:val="22"/>
        </w:rPr>
      </w:pPr>
    </w:p>
    <w:p w:rsidR="005A0DD7" w:rsidRPr="009F285E" w:rsidRDefault="005A0DD7" w:rsidP="005A0DD7">
      <w:pPr>
        <w:pStyle w:val="ListParagraph"/>
        <w:keepLines/>
        <w:numPr>
          <w:ilvl w:val="0"/>
          <w:numId w:val="12"/>
        </w:numPr>
        <w:spacing w:after="0" w:line="240" w:lineRule="auto"/>
        <w:ind w:left="993" w:hanging="547"/>
        <w:rPr>
          <w:rFonts w:ascii="Arial" w:hAnsi="Arial" w:cs="Arial"/>
        </w:rPr>
      </w:pPr>
      <w:r w:rsidRPr="009F285E">
        <w:rPr>
          <w:rFonts w:ascii="Arial" w:hAnsi="Arial" w:cs="Arial"/>
        </w:rPr>
        <w:t>Each Contracting Party shall be represented in the Assembly by one delegate who may be assisted by alternate delegates, advisors and experts.</w:t>
      </w:r>
    </w:p>
    <w:p w:rsidR="005A0DD7" w:rsidRPr="009F285E" w:rsidRDefault="005A0DD7" w:rsidP="005A0DD7">
      <w:pPr>
        <w:pStyle w:val="ListParagraph"/>
        <w:keepLines/>
        <w:spacing w:after="0" w:line="240" w:lineRule="auto"/>
        <w:ind w:left="993"/>
        <w:rPr>
          <w:rFonts w:ascii="Arial" w:hAnsi="Arial" w:cs="Arial"/>
        </w:rPr>
      </w:pPr>
    </w:p>
    <w:p w:rsidR="005A0DD7" w:rsidRPr="009F285E" w:rsidRDefault="005A0DD7" w:rsidP="005A0DD7">
      <w:pPr>
        <w:pStyle w:val="ListParagraph"/>
        <w:keepLines/>
        <w:numPr>
          <w:ilvl w:val="0"/>
          <w:numId w:val="12"/>
        </w:numPr>
        <w:spacing w:after="0" w:line="240" w:lineRule="auto"/>
        <w:ind w:left="993" w:hanging="547"/>
        <w:rPr>
          <w:rFonts w:ascii="Arial" w:hAnsi="Arial" w:cs="Arial"/>
        </w:rPr>
      </w:pPr>
      <w:r w:rsidRPr="009F285E">
        <w:rPr>
          <w:rFonts w:ascii="Arial" w:hAnsi="Arial" w:cs="Arial"/>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5A0DD7" w:rsidRPr="009F285E" w:rsidRDefault="005A0DD7" w:rsidP="005A0DD7">
      <w:pPr>
        <w:pStyle w:val="ListParagraph"/>
        <w:keepLines/>
        <w:spacing w:after="0" w:line="240" w:lineRule="auto"/>
        <w:ind w:left="993"/>
        <w:rPr>
          <w:rFonts w:ascii="Arial" w:hAnsi="Arial" w:cs="Arial"/>
        </w:rPr>
      </w:pPr>
    </w:p>
    <w:p w:rsidR="005A0DD7" w:rsidRPr="009F285E" w:rsidRDefault="005A0DD7" w:rsidP="005A0DD7">
      <w:pPr>
        <w:pStyle w:val="ListParagraph"/>
        <w:keepLines/>
        <w:numPr>
          <w:ilvl w:val="0"/>
          <w:numId w:val="12"/>
        </w:numPr>
        <w:spacing w:after="0" w:line="240" w:lineRule="auto"/>
        <w:ind w:left="993" w:hanging="547"/>
        <w:rPr>
          <w:rFonts w:ascii="Arial" w:hAnsi="Arial" w:cs="Arial"/>
        </w:rPr>
      </w:pPr>
      <w:r w:rsidRPr="009F285E">
        <w:rPr>
          <w:rFonts w:ascii="Arial" w:hAnsi="Arial" w:cs="Arial"/>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5A0DD7" w:rsidRPr="009F285E" w:rsidRDefault="005A0DD7" w:rsidP="005A0DD7">
      <w:pPr>
        <w:pStyle w:val="ListParagraph"/>
        <w:keepLines/>
        <w:spacing w:after="0" w:line="240" w:lineRule="auto"/>
        <w:ind w:left="993"/>
        <w:rPr>
          <w:rFonts w:ascii="Arial" w:hAnsi="Arial" w:cs="Arial"/>
        </w:rPr>
      </w:pPr>
    </w:p>
    <w:p w:rsidR="005A0DD7" w:rsidRPr="009F285E" w:rsidRDefault="005A0DD7" w:rsidP="005A0DD7">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The Assembly shall perform the function allocated to it under Article 13 in respect of the admission of certain intergovernmental organizations to become party to this instrument.</w:t>
      </w:r>
    </w:p>
    <w:p w:rsidR="005A0DD7" w:rsidRPr="009F285E" w:rsidRDefault="005A0DD7" w:rsidP="005A0DD7">
      <w:pPr>
        <w:pStyle w:val="NormalWeb"/>
        <w:spacing w:before="0" w:beforeAutospacing="0" w:after="0" w:afterAutospacing="0"/>
        <w:ind w:left="993"/>
        <w:rPr>
          <w:rFonts w:ascii="Arial" w:hAnsi="Arial" w:cs="Arial"/>
          <w:sz w:val="22"/>
          <w:szCs w:val="22"/>
        </w:rPr>
      </w:pPr>
    </w:p>
    <w:p w:rsidR="005A0DD7" w:rsidRPr="009F285E" w:rsidRDefault="005A0DD7" w:rsidP="005A0DD7">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States which are party to this instrument.  No such intergovernmental organization shall participate in the vote if any one of its Member States exercises its right to vote and </w:t>
      </w:r>
      <w:r w:rsidRPr="009F285E">
        <w:rPr>
          <w:rFonts w:ascii="Arial" w:hAnsi="Arial" w:cs="Arial"/>
          <w:i/>
          <w:sz w:val="22"/>
          <w:szCs w:val="22"/>
        </w:rPr>
        <w:t>vice versa</w:t>
      </w:r>
      <w:r w:rsidRPr="009F285E">
        <w:rPr>
          <w:rFonts w:ascii="Arial" w:hAnsi="Arial" w:cs="Arial"/>
          <w:sz w:val="22"/>
          <w:szCs w:val="22"/>
        </w:rPr>
        <w:t>.</w:t>
      </w:r>
    </w:p>
    <w:p w:rsidR="005A0DD7" w:rsidRPr="009F285E" w:rsidRDefault="005A0DD7" w:rsidP="005A0DD7">
      <w:pPr>
        <w:pStyle w:val="NormalWeb"/>
        <w:spacing w:before="0" w:beforeAutospacing="0" w:after="0" w:afterAutospacing="0"/>
        <w:ind w:left="993"/>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11.2</w:t>
      </w:r>
      <w:r w:rsidRPr="009F285E">
        <w:rPr>
          <w:rFonts w:ascii="Arial" w:hAnsi="Arial" w:cs="Arial"/>
          <w:sz w:val="22"/>
          <w:szCs w:val="22"/>
        </w:rPr>
        <w:tab/>
        <w:t>The Assembly shall meet upon convocation by the Director General of WIPO and, in the absence of exceptional circumstances, during the same period and at the same place as the General Assembly of WIPO.</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Style w:val="apple-converted-space"/>
          <w:rFonts w:ascii="Arial" w:hAnsi="Arial" w:cs="Arial"/>
          <w:sz w:val="22"/>
          <w:szCs w:val="22"/>
        </w:rPr>
      </w:pPr>
      <w:r w:rsidRPr="009F285E">
        <w:rPr>
          <w:rFonts w:ascii="Arial" w:hAnsi="Arial" w:cs="Arial"/>
          <w:sz w:val="22"/>
          <w:szCs w:val="22"/>
        </w:rPr>
        <w:t>11.3</w:t>
      </w:r>
      <w:r w:rsidRPr="009F285E">
        <w:rPr>
          <w:rFonts w:ascii="Arial" w:hAnsi="Arial" w:cs="Arial"/>
          <w:sz w:val="22"/>
          <w:szCs w:val="22"/>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sidRPr="009F285E">
        <w:rPr>
          <w:rStyle w:val="apple-converted-space"/>
          <w:rFonts w:ascii="Arial" w:hAnsi="Arial" w:cs="Arial"/>
          <w:sz w:val="22"/>
          <w:szCs w:val="22"/>
        </w:rPr>
        <w:t> </w:t>
      </w:r>
    </w:p>
    <w:p w:rsidR="005A0DD7" w:rsidRPr="009F285E" w:rsidRDefault="005A0DD7" w:rsidP="005A0DD7">
      <w:pPr>
        <w:pStyle w:val="NormalWeb"/>
        <w:spacing w:before="0" w:beforeAutospacing="0" w:after="0" w:afterAutospacing="0"/>
        <w:rPr>
          <w:rFonts w:ascii="Arial" w:hAnsi="Arial" w:cs="Arial"/>
          <w:sz w:val="22"/>
          <w:szCs w:val="22"/>
        </w:rPr>
        <w:sectPr w:rsidR="005A0DD7" w:rsidRPr="009F285E" w:rsidSect="003D1AC9">
          <w:headerReference w:type="even" r:id="rId109"/>
          <w:headerReference w:type="default" r:id="rId110"/>
          <w:footerReference w:type="even" r:id="rId111"/>
          <w:footerReference w:type="default" r:id="rId112"/>
          <w:headerReference w:type="first" r:id="rId113"/>
          <w:footerReference w:type="first" r:id="rId114"/>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pStyle w:val="Heading2"/>
        <w:spacing w:before="0" w:after="0"/>
        <w:jc w:val="center"/>
        <w:rPr>
          <w:b/>
          <w:szCs w:val="22"/>
        </w:rPr>
      </w:pPr>
      <w:r w:rsidRPr="009F285E">
        <w:rPr>
          <w:b/>
          <w:szCs w:val="22"/>
        </w:rPr>
        <w:lastRenderedPageBreak/>
        <w:t>[Article 12</w:t>
      </w:r>
      <w:r w:rsidRPr="009F285E">
        <w:rPr>
          <w:b/>
          <w:szCs w:val="22"/>
        </w:rPr>
        <w:br/>
        <w:t>International Bureau</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The Secretariat of WIPO shall perform the administrative tasks concerning this instrument.]</w:t>
      </w:r>
    </w:p>
    <w:p w:rsidR="005A0DD7" w:rsidRPr="009F285E" w:rsidRDefault="005A0DD7" w:rsidP="005A0DD7">
      <w:pPr>
        <w:keepLines/>
        <w:jc w:val="center"/>
        <w:rPr>
          <w:b/>
        </w:rPr>
      </w:pPr>
    </w:p>
    <w:p w:rsidR="005A0DD7" w:rsidRPr="009F285E" w:rsidRDefault="005A0DD7" w:rsidP="005A0DD7">
      <w:pPr>
        <w:keepLines/>
        <w:jc w:val="center"/>
        <w:rPr>
          <w:b/>
        </w:rPr>
        <w:sectPr w:rsidR="005A0DD7" w:rsidRPr="009F285E" w:rsidSect="003D1AC9">
          <w:headerReference w:type="even" r:id="rId115"/>
          <w:headerReference w:type="default" r:id="rId116"/>
          <w:footerReference w:type="even" r:id="rId117"/>
          <w:footerReference w:type="default" r:id="rId118"/>
          <w:headerReference w:type="first" r:id="rId119"/>
          <w:footerReference w:type="first" r:id="rId120"/>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13</w:t>
      </w:r>
    </w:p>
    <w:p w:rsidR="005A0DD7" w:rsidRPr="009F285E" w:rsidRDefault="005A0DD7" w:rsidP="005A0DD7">
      <w:pPr>
        <w:keepLines/>
        <w:jc w:val="center"/>
        <w:rPr>
          <w:b/>
        </w:rPr>
      </w:pPr>
      <w:r w:rsidRPr="009F285E">
        <w:rPr>
          <w:b/>
          <w:szCs w:val="22"/>
        </w:rPr>
        <w:t>ELIGIBILITY TO BECOME A PARTY</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13.1</w:t>
      </w:r>
      <w:r w:rsidRPr="009F285E">
        <w:rPr>
          <w:rFonts w:ascii="Arial" w:hAnsi="Arial" w:cs="Arial"/>
          <w:sz w:val="22"/>
          <w:szCs w:val="22"/>
        </w:rPr>
        <w:tab/>
        <w:t>Any Member State of WIPO may become party to this instrument.</w:t>
      </w:r>
    </w:p>
    <w:p w:rsidR="005A0DD7" w:rsidRPr="009F285E" w:rsidRDefault="005A0DD7" w:rsidP="005A0DD7">
      <w:pPr>
        <w:pStyle w:val="NormalWeb"/>
        <w:spacing w:before="0" w:beforeAutospacing="0" w:after="0" w:afterAutospacing="0"/>
        <w:rPr>
          <w:rFonts w:ascii="Arial" w:hAnsi="Arial" w:cs="Arial"/>
          <w:sz w:val="22"/>
          <w:szCs w:val="22"/>
        </w:rPr>
      </w:pPr>
    </w:p>
    <w:p w:rsidR="005A0DD7" w:rsidRPr="009F285E" w:rsidRDefault="005A0DD7" w:rsidP="005A0DD7">
      <w:pPr>
        <w:pStyle w:val="NormalWeb"/>
        <w:spacing w:before="0" w:beforeAutospacing="0" w:after="0" w:afterAutospacing="0"/>
        <w:rPr>
          <w:rFonts w:ascii="Arial" w:hAnsi="Arial" w:cs="Arial"/>
          <w:sz w:val="22"/>
          <w:szCs w:val="22"/>
        </w:rPr>
      </w:pPr>
      <w:r w:rsidRPr="009F285E">
        <w:rPr>
          <w:rFonts w:ascii="Arial" w:hAnsi="Arial" w:cs="Arial"/>
          <w:sz w:val="22"/>
          <w:szCs w:val="22"/>
        </w:rPr>
        <w:t>13.2</w:t>
      </w:r>
      <w:r w:rsidRPr="009F285E">
        <w:rPr>
          <w:rFonts w:ascii="Arial" w:hAnsi="Arial" w:cs="Arial"/>
          <w:sz w:val="22"/>
          <w:szCs w:val="22"/>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rsidR="005A0DD7" w:rsidRPr="009F285E" w:rsidRDefault="005A0DD7" w:rsidP="005A0DD7">
      <w:pPr>
        <w:keepLines/>
        <w:jc w:val="center"/>
        <w:rPr>
          <w:b/>
        </w:rPr>
      </w:pPr>
    </w:p>
    <w:p w:rsidR="005A0DD7" w:rsidRPr="009F285E" w:rsidRDefault="005A0DD7" w:rsidP="005A0DD7">
      <w:pPr>
        <w:keepLines/>
        <w:jc w:val="center"/>
        <w:rPr>
          <w:b/>
        </w:rPr>
        <w:sectPr w:rsidR="005A0DD7" w:rsidRPr="009F285E" w:rsidSect="003D1AC9">
          <w:headerReference w:type="even" r:id="rId121"/>
          <w:headerReference w:type="default" r:id="rId122"/>
          <w:footerReference w:type="even" r:id="rId123"/>
          <w:footerReference w:type="default" r:id="rId124"/>
          <w:headerReference w:type="first" r:id="rId125"/>
          <w:footerReference w:type="first" r:id="rId126"/>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14</w:t>
      </w:r>
    </w:p>
    <w:p w:rsidR="005A0DD7" w:rsidRPr="009F285E" w:rsidRDefault="005A0DD7" w:rsidP="005A0DD7">
      <w:pPr>
        <w:keepLines/>
        <w:jc w:val="center"/>
        <w:rPr>
          <w:b/>
          <w:szCs w:val="22"/>
        </w:rPr>
      </w:pPr>
      <w:r w:rsidRPr="009F285E">
        <w:rPr>
          <w:b/>
          <w:szCs w:val="22"/>
        </w:rPr>
        <w:t xml:space="preserve">REVISIONS </w:t>
      </w:r>
    </w:p>
    <w:p w:rsidR="005A0DD7" w:rsidRPr="009F285E" w:rsidRDefault="005A0DD7" w:rsidP="005A0DD7">
      <w:pPr>
        <w:pStyle w:val="NormalWeb"/>
        <w:spacing w:before="0" w:beforeAutospacing="0" w:after="0" w:afterAutospacing="0"/>
        <w:rPr>
          <w:rFonts w:ascii="Arial" w:hAnsi="Arial" w:cs="Arial"/>
          <w:iCs/>
          <w:sz w:val="22"/>
          <w:szCs w:val="22"/>
        </w:rPr>
      </w:pPr>
    </w:p>
    <w:p w:rsidR="005A0DD7" w:rsidRPr="009F285E" w:rsidRDefault="005A0DD7" w:rsidP="005A0DD7">
      <w:pPr>
        <w:pStyle w:val="NormalWeb"/>
        <w:spacing w:before="0" w:beforeAutospacing="0" w:after="0" w:afterAutospacing="0"/>
        <w:rPr>
          <w:rFonts w:ascii="Arial" w:hAnsi="Arial" w:cs="Arial"/>
        </w:rPr>
      </w:pPr>
      <w:r w:rsidRPr="009F285E">
        <w:rPr>
          <w:rFonts w:ascii="Arial" w:hAnsi="Arial" w:cs="Arial"/>
          <w:iCs/>
          <w:sz w:val="22"/>
          <w:szCs w:val="22"/>
        </w:rPr>
        <w:t xml:space="preserve">This instrument may only be revised by a diplomatic conference.  The convocation of any diplomatic conference shall be decided by the Assembly of Contracting Parties to this instrument.] </w:t>
      </w:r>
    </w:p>
    <w:p w:rsidR="005A0DD7" w:rsidRPr="009F285E" w:rsidRDefault="005A0DD7" w:rsidP="005A0DD7">
      <w:pPr>
        <w:rPr>
          <w:b/>
        </w:rPr>
        <w:sectPr w:rsidR="005A0DD7" w:rsidRPr="009F285E" w:rsidSect="003D1AC9">
          <w:headerReference w:type="even" r:id="rId127"/>
          <w:headerReference w:type="default" r:id="rId128"/>
          <w:footerReference w:type="even" r:id="rId129"/>
          <w:footerReference w:type="default" r:id="rId130"/>
          <w:headerReference w:type="first" r:id="rId131"/>
          <w:footerReference w:type="first" r:id="rId132"/>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15</w:t>
      </w:r>
    </w:p>
    <w:p w:rsidR="005A0DD7" w:rsidRPr="009F285E" w:rsidRDefault="005A0DD7" w:rsidP="005A0DD7">
      <w:pPr>
        <w:keepLines/>
        <w:jc w:val="center"/>
        <w:rPr>
          <w:b/>
          <w:szCs w:val="22"/>
        </w:rPr>
      </w:pPr>
      <w:r w:rsidRPr="009F285E">
        <w:rPr>
          <w:b/>
          <w:szCs w:val="22"/>
        </w:rPr>
        <w:t>SIGNATURE</w:t>
      </w:r>
    </w:p>
    <w:p w:rsidR="005A0DD7" w:rsidRPr="00011B8D" w:rsidRDefault="005A0DD7" w:rsidP="005A0DD7">
      <w:pPr>
        <w:keepLines/>
        <w:rPr>
          <w:szCs w:val="22"/>
        </w:rPr>
      </w:pPr>
    </w:p>
    <w:p w:rsidR="005A0DD7" w:rsidRPr="009F285E" w:rsidRDefault="005A0DD7" w:rsidP="005A0DD7">
      <w:pPr>
        <w:keepLines/>
        <w:rPr>
          <w:szCs w:val="22"/>
        </w:rPr>
      </w:pPr>
      <w:r w:rsidRPr="009F285E">
        <w:rPr>
          <w:szCs w:val="22"/>
        </w:rPr>
        <w:t>This instrument shall be open for signature at the Diplomatic Conference in ………, and thereafter at the headquarters of WIPO by any eligible party for one year after its adoption.]</w:t>
      </w:r>
    </w:p>
    <w:p w:rsidR="005A0DD7" w:rsidRPr="009F285E" w:rsidRDefault="005A0DD7" w:rsidP="005A0DD7">
      <w:pPr>
        <w:rPr>
          <w:szCs w:val="22"/>
          <w:shd w:val="clear" w:color="auto" w:fill="FAFAFA"/>
        </w:rPr>
      </w:pPr>
    </w:p>
    <w:p w:rsidR="005A0DD7" w:rsidRPr="009F285E" w:rsidRDefault="005A0DD7" w:rsidP="005A0DD7">
      <w:pPr>
        <w:rPr>
          <w:szCs w:val="22"/>
          <w:shd w:val="clear" w:color="auto" w:fill="FAFAFA"/>
        </w:rPr>
      </w:pPr>
    </w:p>
    <w:p w:rsidR="005A0DD7" w:rsidRPr="009F285E" w:rsidRDefault="005A0DD7" w:rsidP="005A0DD7">
      <w:pPr>
        <w:rPr>
          <w:szCs w:val="22"/>
          <w:shd w:val="clear" w:color="auto" w:fill="FAFAFA"/>
        </w:rPr>
      </w:pPr>
    </w:p>
    <w:p w:rsidR="005A0DD7" w:rsidRPr="009F285E" w:rsidRDefault="005A0DD7" w:rsidP="005A0DD7">
      <w:pPr>
        <w:keepLines/>
        <w:jc w:val="center"/>
        <w:rPr>
          <w:b/>
        </w:rPr>
        <w:sectPr w:rsidR="005A0DD7" w:rsidRPr="009F285E" w:rsidSect="003D1AC9">
          <w:headerReference w:type="even" r:id="rId133"/>
          <w:headerReference w:type="default" r:id="rId134"/>
          <w:footerReference w:type="even" r:id="rId135"/>
          <w:footerReference w:type="default" r:id="rId136"/>
          <w:headerReference w:type="first" r:id="rId137"/>
          <w:footerReference w:type="first" r:id="rId138"/>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16</w:t>
      </w:r>
    </w:p>
    <w:p w:rsidR="005A0DD7" w:rsidRPr="009F285E" w:rsidRDefault="005A0DD7" w:rsidP="005A0DD7">
      <w:pPr>
        <w:keepLines/>
        <w:jc w:val="center"/>
        <w:rPr>
          <w:b/>
          <w:szCs w:val="22"/>
        </w:rPr>
      </w:pPr>
      <w:r w:rsidRPr="009F285E">
        <w:rPr>
          <w:b/>
          <w:szCs w:val="22"/>
        </w:rPr>
        <w:t>ENTRY INTO FORCE</w:t>
      </w:r>
    </w:p>
    <w:p w:rsidR="005A0DD7" w:rsidRPr="00011B8D" w:rsidRDefault="005A0DD7" w:rsidP="005A0DD7">
      <w:pPr>
        <w:keepLines/>
        <w:rPr>
          <w:szCs w:val="22"/>
        </w:rPr>
      </w:pPr>
    </w:p>
    <w:p w:rsidR="005A0DD7" w:rsidRPr="009F285E" w:rsidRDefault="005A0DD7" w:rsidP="005A0DD7">
      <w:pPr>
        <w:keepLines/>
        <w:rPr>
          <w:szCs w:val="22"/>
        </w:rPr>
      </w:pPr>
      <w:r w:rsidRPr="009F285E">
        <w:rPr>
          <w:szCs w:val="22"/>
        </w:rPr>
        <w:t>This instrument shall enter into force three months after 20 eligible parties referred to in Article 13 have deposited their instruments of ratification or accession.]</w:t>
      </w:r>
    </w:p>
    <w:p w:rsidR="005A0DD7" w:rsidRPr="009F285E" w:rsidRDefault="005A0DD7" w:rsidP="005A0DD7">
      <w:pPr>
        <w:keepLines/>
        <w:rPr>
          <w:b/>
          <w:szCs w:val="22"/>
        </w:rPr>
      </w:pPr>
    </w:p>
    <w:p w:rsidR="005A0DD7" w:rsidRPr="009F285E" w:rsidRDefault="005A0DD7" w:rsidP="005A0DD7">
      <w:pPr>
        <w:rPr>
          <w:szCs w:val="22"/>
          <w:shd w:val="clear" w:color="auto" w:fill="FAFAFA"/>
        </w:rPr>
      </w:pPr>
    </w:p>
    <w:p w:rsidR="005A0DD7" w:rsidRPr="009F285E" w:rsidRDefault="005A0DD7" w:rsidP="005A0DD7">
      <w:pPr>
        <w:keepLines/>
        <w:jc w:val="center"/>
        <w:rPr>
          <w:b/>
        </w:rPr>
        <w:sectPr w:rsidR="005A0DD7" w:rsidRPr="009F285E" w:rsidSect="003D1AC9">
          <w:headerReference w:type="even" r:id="rId139"/>
          <w:headerReference w:type="default" r:id="rId140"/>
          <w:footerReference w:type="even" r:id="rId141"/>
          <w:footerReference w:type="default" r:id="rId142"/>
          <w:headerReference w:type="first" r:id="rId143"/>
          <w:footerReference w:type="first" r:id="rId144"/>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17</w:t>
      </w:r>
    </w:p>
    <w:p w:rsidR="005A0DD7" w:rsidRPr="009F285E" w:rsidRDefault="005A0DD7" w:rsidP="005A0DD7">
      <w:pPr>
        <w:keepLines/>
        <w:jc w:val="center"/>
        <w:rPr>
          <w:b/>
          <w:szCs w:val="22"/>
        </w:rPr>
      </w:pPr>
      <w:r w:rsidRPr="009F285E">
        <w:rPr>
          <w:b/>
          <w:szCs w:val="22"/>
        </w:rPr>
        <w:t>DENUNCIATION</w:t>
      </w:r>
    </w:p>
    <w:p w:rsidR="005A0DD7" w:rsidRPr="00011B8D" w:rsidRDefault="005A0DD7" w:rsidP="005A0DD7">
      <w:pPr>
        <w:keepLines/>
        <w:rPr>
          <w:szCs w:val="22"/>
        </w:rPr>
      </w:pPr>
    </w:p>
    <w:p w:rsidR="005A0DD7" w:rsidRPr="009F285E" w:rsidRDefault="005A0DD7" w:rsidP="005A0DD7">
      <w:pPr>
        <w:keepLines/>
        <w:rPr>
          <w:szCs w:val="22"/>
        </w:rPr>
      </w:pPr>
      <w:r w:rsidRPr="009F285E">
        <w:rPr>
          <w:szCs w:val="22"/>
        </w:rPr>
        <w:t>This instrument may be denounced by any Contracting Party by notification addressed to the Director General of WIPO.  Any denunciation shall take effect one year from the date on which the Director General of WIPO received the notification.]</w:t>
      </w:r>
    </w:p>
    <w:p w:rsidR="005A0DD7" w:rsidRPr="009F285E" w:rsidRDefault="005A0DD7" w:rsidP="005A0DD7">
      <w:pPr>
        <w:rPr>
          <w:szCs w:val="22"/>
          <w:shd w:val="clear" w:color="auto" w:fill="FAFAFA"/>
        </w:rPr>
      </w:pPr>
    </w:p>
    <w:p w:rsidR="005A0DD7" w:rsidRPr="009F285E" w:rsidRDefault="005A0DD7" w:rsidP="005A0DD7">
      <w:pPr>
        <w:rPr>
          <w:szCs w:val="22"/>
        </w:rPr>
      </w:pPr>
    </w:p>
    <w:p w:rsidR="005A0DD7" w:rsidRPr="009F285E" w:rsidRDefault="005A0DD7" w:rsidP="005A0DD7">
      <w:pPr>
        <w:keepLines/>
        <w:jc w:val="center"/>
        <w:rPr>
          <w:b/>
        </w:rPr>
        <w:sectPr w:rsidR="005A0DD7" w:rsidRPr="009F285E" w:rsidSect="003D1AC9">
          <w:headerReference w:type="even" r:id="rId145"/>
          <w:headerReference w:type="default" r:id="rId146"/>
          <w:footerReference w:type="even" r:id="rId147"/>
          <w:footerReference w:type="default" r:id="rId148"/>
          <w:headerReference w:type="first" r:id="rId149"/>
          <w:footerReference w:type="first" r:id="rId150"/>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18</w:t>
      </w:r>
    </w:p>
    <w:p w:rsidR="005A0DD7" w:rsidRPr="009F285E" w:rsidRDefault="005A0DD7" w:rsidP="005A0DD7">
      <w:pPr>
        <w:keepLines/>
        <w:jc w:val="center"/>
        <w:rPr>
          <w:b/>
          <w:szCs w:val="22"/>
        </w:rPr>
      </w:pPr>
      <w:r w:rsidRPr="009F285E">
        <w:rPr>
          <w:b/>
          <w:szCs w:val="22"/>
        </w:rPr>
        <w:t>RESERVATIONS</w:t>
      </w:r>
    </w:p>
    <w:p w:rsidR="005A0DD7" w:rsidRPr="00213249" w:rsidRDefault="005A0DD7" w:rsidP="005A0DD7">
      <w:pPr>
        <w:keepLines/>
        <w:rPr>
          <w:szCs w:val="22"/>
        </w:rPr>
      </w:pPr>
    </w:p>
    <w:p w:rsidR="005A0DD7" w:rsidRPr="009F285E" w:rsidRDefault="005A0DD7" w:rsidP="005A0DD7">
      <w:pPr>
        <w:keepLines/>
        <w:rPr>
          <w:szCs w:val="22"/>
        </w:rPr>
      </w:pPr>
      <w:r w:rsidRPr="009F285E">
        <w:rPr>
          <w:szCs w:val="22"/>
        </w:rPr>
        <w:t>No reservations to this instrument shall be permitted.]</w:t>
      </w:r>
    </w:p>
    <w:p w:rsidR="005A0DD7" w:rsidRPr="009F285E" w:rsidRDefault="005A0DD7" w:rsidP="005A0DD7">
      <w:pPr>
        <w:keepLines/>
        <w:rPr>
          <w:szCs w:val="22"/>
        </w:rPr>
      </w:pPr>
    </w:p>
    <w:p w:rsidR="005A0DD7" w:rsidRPr="009F285E" w:rsidRDefault="005A0DD7" w:rsidP="005A0DD7">
      <w:pPr>
        <w:keepLines/>
        <w:rPr>
          <w:szCs w:val="22"/>
        </w:rPr>
        <w:sectPr w:rsidR="005A0DD7" w:rsidRPr="009F285E" w:rsidSect="003D1AC9">
          <w:headerReference w:type="even" r:id="rId151"/>
          <w:headerReference w:type="default" r:id="rId152"/>
          <w:footerReference w:type="even" r:id="rId153"/>
          <w:footerReference w:type="default" r:id="rId154"/>
          <w:headerReference w:type="first" r:id="rId155"/>
          <w:footerReference w:type="first" r:id="rId156"/>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19</w:t>
      </w:r>
    </w:p>
    <w:p w:rsidR="005A0DD7" w:rsidRPr="009F285E" w:rsidRDefault="005A0DD7" w:rsidP="005A0DD7">
      <w:pPr>
        <w:keepLines/>
        <w:jc w:val="center"/>
        <w:rPr>
          <w:b/>
          <w:szCs w:val="22"/>
        </w:rPr>
      </w:pPr>
      <w:r w:rsidRPr="009F285E">
        <w:rPr>
          <w:b/>
          <w:szCs w:val="22"/>
        </w:rPr>
        <w:t>AUTHORITATIVE TEXT</w:t>
      </w:r>
    </w:p>
    <w:p w:rsidR="005A0DD7" w:rsidRPr="009F285E" w:rsidRDefault="005A0DD7" w:rsidP="005A0DD7">
      <w:pPr>
        <w:keepLines/>
        <w:jc w:val="center"/>
        <w:rPr>
          <w:b/>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19.1</w:t>
      </w:r>
      <w:r w:rsidRPr="009F285E">
        <w:rPr>
          <w:rFonts w:ascii="Arial" w:hAnsi="Arial" w:cs="Arial"/>
          <w:iCs/>
          <w:sz w:val="22"/>
          <w:szCs w:val="22"/>
        </w:rPr>
        <w:tab/>
        <w:t xml:space="preserve">This instrument shall be signed in a single original in the English, Arabic, Chinese, French, Russian and Spanish languages, all texts being equally authentic. </w:t>
      </w:r>
    </w:p>
    <w:p w:rsidR="005A0DD7" w:rsidRPr="009F285E" w:rsidRDefault="005A0DD7" w:rsidP="005A0DD7">
      <w:pPr>
        <w:pStyle w:val="NormalWeb"/>
        <w:spacing w:before="0" w:beforeAutospacing="0" w:after="0" w:afterAutospacing="0"/>
        <w:rPr>
          <w:rFonts w:ascii="Arial" w:hAnsi="Arial" w:cs="Arial"/>
          <w:iCs/>
          <w:sz w:val="22"/>
          <w:szCs w:val="22"/>
        </w:rPr>
      </w:pPr>
    </w:p>
    <w:p w:rsidR="005A0DD7" w:rsidRPr="009F285E" w:rsidRDefault="005A0DD7" w:rsidP="005A0DD7">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19.2</w:t>
      </w:r>
      <w:r w:rsidRPr="009F285E">
        <w:rPr>
          <w:rFonts w:ascii="Arial" w:hAnsi="Arial" w:cs="Arial"/>
          <w:iCs/>
          <w:sz w:val="22"/>
          <w:szCs w:val="22"/>
        </w:rPr>
        <w:tab/>
        <w:t>An official text in any language other than those referred to in paragraph 19.1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p>
    <w:p w:rsidR="005A0DD7" w:rsidRPr="009F285E" w:rsidRDefault="005A0DD7" w:rsidP="005A0DD7">
      <w:pPr>
        <w:pStyle w:val="NormalWeb"/>
        <w:spacing w:before="0" w:beforeAutospacing="0" w:after="0" w:afterAutospacing="0"/>
        <w:rPr>
          <w:rFonts w:ascii="Arial" w:hAnsi="Arial" w:cs="Arial"/>
          <w:iCs/>
          <w:sz w:val="22"/>
          <w:szCs w:val="22"/>
        </w:rPr>
      </w:pPr>
    </w:p>
    <w:p w:rsidR="005A0DD7" w:rsidRPr="009F285E" w:rsidRDefault="005A0DD7" w:rsidP="005A0DD7">
      <w:pPr>
        <w:keepLines/>
        <w:rPr>
          <w:szCs w:val="22"/>
        </w:rPr>
        <w:sectPr w:rsidR="005A0DD7" w:rsidRPr="009F285E" w:rsidSect="003D1AC9">
          <w:headerReference w:type="even" r:id="rId157"/>
          <w:headerReference w:type="default" r:id="rId158"/>
          <w:footerReference w:type="even" r:id="rId159"/>
          <w:footerReference w:type="default" r:id="rId160"/>
          <w:headerReference w:type="first" r:id="rId161"/>
          <w:footerReference w:type="first" r:id="rId162"/>
          <w:endnotePr>
            <w:numFmt w:val="decimal"/>
          </w:endnotePr>
          <w:pgSz w:w="11907" w:h="16840" w:code="9"/>
          <w:pgMar w:top="567" w:right="1134" w:bottom="630" w:left="1418" w:header="510" w:footer="1021" w:gutter="0"/>
          <w:cols w:space="720"/>
          <w:titlePg/>
          <w:docGrid w:linePitch="299"/>
        </w:sectPr>
      </w:pPr>
    </w:p>
    <w:p w:rsidR="005A0DD7" w:rsidRPr="009F285E" w:rsidRDefault="005A0DD7" w:rsidP="005A0DD7">
      <w:pPr>
        <w:keepLines/>
        <w:jc w:val="center"/>
        <w:rPr>
          <w:b/>
          <w:szCs w:val="22"/>
        </w:rPr>
      </w:pPr>
      <w:r w:rsidRPr="009F285E">
        <w:rPr>
          <w:b/>
          <w:szCs w:val="22"/>
        </w:rPr>
        <w:lastRenderedPageBreak/>
        <w:t>[ARTICLE 20</w:t>
      </w:r>
    </w:p>
    <w:p w:rsidR="005A0DD7" w:rsidRPr="009F285E" w:rsidRDefault="005A0DD7" w:rsidP="005A0DD7">
      <w:pPr>
        <w:keepLines/>
        <w:jc w:val="center"/>
        <w:rPr>
          <w:b/>
          <w:szCs w:val="22"/>
        </w:rPr>
      </w:pPr>
      <w:r w:rsidRPr="009F285E">
        <w:rPr>
          <w:b/>
          <w:szCs w:val="22"/>
        </w:rPr>
        <w:t>DEPOSITARY</w:t>
      </w:r>
    </w:p>
    <w:p w:rsidR="005A0DD7" w:rsidRPr="009F285E" w:rsidRDefault="005A0DD7" w:rsidP="005A0DD7">
      <w:pPr>
        <w:keepLines/>
        <w:jc w:val="center"/>
        <w:rPr>
          <w:b/>
        </w:rPr>
      </w:pPr>
    </w:p>
    <w:p w:rsidR="005A0DD7" w:rsidRPr="009F285E" w:rsidRDefault="005A0DD7" w:rsidP="005A0DD7">
      <w:pPr>
        <w:keepLines/>
        <w:rPr>
          <w:sz w:val="20"/>
          <w:szCs w:val="22"/>
        </w:rPr>
      </w:pPr>
      <w:r w:rsidRPr="009F285E">
        <w:rPr>
          <w:szCs w:val="22"/>
        </w:rPr>
        <w:t>The Director General of WIPO is the depositary of this instrument.]</w:t>
      </w:r>
    </w:p>
    <w:p w:rsidR="005A0DD7" w:rsidRPr="009F285E" w:rsidRDefault="005A0DD7" w:rsidP="005A0DD7">
      <w:pPr>
        <w:keepLines/>
      </w:pPr>
    </w:p>
    <w:p w:rsidR="005A0DD7" w:rsidRPr="009F285E" w:rsidRDefault="005A0DD7" w:rsidP="005A0DD7">
      <w:pPr>
        <w:keepLines/>
      </w:pPr>
    </w:p>
    <w:p w:rsidR="005A0DD7" w:rsidRPr="009F285E" w:rsidRDefault="005A0DD7" w:rsidP="005A0DD7">
      <w:pPr>
        <w:keepLines/>
      </w:pPr>
      <w:r w:rsidRPr="009F285E">
        <w:t>Done at ……</w:t>
      </w:r>
    </w:p>
    <w:p w:rsidR="005A0DD7" w:rsidRPr="009F285E" w:rsidRDefault="005A0DD7" w:rsidP="005A0DD7">
      <w:pPr>
        <w:keepLines/>
      </w:pPr>
    </w:p>
    <w:p w:rsidR="002928D3" w:rsidRDefault="005A0DD7" w:rsidP="00787607">
      <w:pPr>
        <w:ind w:left="5760"/>
      </w:pPr>
      <w:r w:rsidRPr="009F285E">
        <w:rPr>
          <w:szCs w:val="22"/>
        </w:rPr>
        <w:t>[End of</w:t>
      </w:r>
      <w:r>
        <w:rPr>
          <w:szCs w:val="22"/>
        </w:rPr>
        <w:t xml:space="preserve"> Annex and of document]</w:t>
      </w:r>
      <w:bookmarkStart w:id="5" w:name="_GoBack"/>
      <w:bookmarkEnd w:id="5"/>
    </w:p>
    <w:sectPr w:rsidR="002928D3" w:rsidSect="000F2AD2">
      <w:headerReference w:type="even" r:id="rId163"/>
      <w:headerReference w:type="default" r:id="rId164"/>
      <w:footerReference w:type="even" r:id="rId165"/>
      <w:footerReference w:type="default" r:id="rId166"/>
      <w:headerReference w:type="first" r:id="rId1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2B" w:rsidRDefault="00EB182B">
      <w:r>
        <w:separator/>
      </w:r>
    </w:p>
  </w:endnote>
  <w:endnote w:type="continuationSeparator" w:id="0">
    <w:p w:rsidR="00EB182B" w:rsidRDefault="00EB182B" w:rsidP="003B38C1">
      <w:r>
        <w:separator/>
      </w:r>
    </w:p>
    <w:p w:rsidR="00EB182B" w:rsidRPr="003B38C1" w:rsidRDefault="00EB182B" w:rsidP="003B38C1">
      <w:pPr>
        <w:spacing w:after="60"/>
        <w:rPr>
          <w:sz w:val="17"/>
        </w:rPr>
      </w:pPr>
      <w:r>
        <w:rPr>
          <w:sz w:val="17"/>
        </w:rPr>
        <w:t>[Endnote continued from previous page]</w:t>
      </w:r>
    </w:p>
  </w:endnote>
  <w:endnote w:type="continuationNotice" w:id="1">
    <w:p w:rsidR="00EB182B" w:rsidRPr="003B38C1" w:rsidRDefault="00EB18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r>
      <w:rPr>
        <w:noProof/>
        <w:lang w:eastAsia="en-US"/>
      </w:rPr>
      <mc:AlternateContent>
        <mc:Choice Requires="wps">
          <w:drawing>
            <wp:anchor distT="558800" distB="0" distL="114300" distR="114300" simplePos="0" relativeHeight="251663360" behindDoc="0" locked="0" layoutInCell="0" allowOverlap="1" wp14:anchorId="213E4D4C" wp14:editId="6E28209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0DD7" w:rsidRDefault="005A0DD7"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3E4D4C" id="_x0000_t202" coordsize="21600,21600" o:spt="202" path="m,l,21600r21600,l21600,xe">
              <v:stroke joinstyle="miter"/>
              <v:path gradientshapeok="t" o:connecttype="rect"/>
            </v:shapetype>
            <v:shape id="TITUSO1footer" o:spid="_x0000_s1026"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rsidR="005A0DD7" w:rsidRDefault="005A0DD7" w:rsidP="000F2AD2">
                    <w:pPr>
                      <w:jc w:val="center"/>
                    </w:pPr>
                    <w:r w:rsidRPr="000F2AD2">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4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w5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6RXegPFKwptAHlGSazmiwovXzLr7pnB4cBNHHh3h59SApILnUXJFsz3P+17PHKC&#10;Xkr2OGw5td92zAhK5I3Cbp4maYphXViko8kQF+bYszn2qF19BUhDErILpsc72ZulgfoR34W5vxVd&#10;THG8O6euN69c+wTgu8LFfB5AOI+auaVaad73tyd93Twyo7u+c0jnLfRjybIP7ddivVwK5jsHZRV6&#10;0xPdstoNCs5yEKV7d/xjcbw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fIw5qgIAAGU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ii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w2Gv9AaKVxTaAPKMkljNFxVevmTWPTCDw4GbOPDuHj+lBCQXOouSLZjvf9r3eOQE&#10;vZQccNhyar/tmBGUyDuF3TxN0hTDurBIR5MhLsypZ3PqUbv6BpCGJGQXTI93sjdLA/UTvgtzfyu6&#10;mOJ4d05db9649gnAd4WL+TyAcB41c0u10rzvb0/6unliRnd955DOr9CPJcs+tF+L9XIpmO8clFXo&#10;TU90y2o3KDjLQZTu3fGPxek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lDooqsCAABlBQAADgAAAAAAAAAAAAAA&#10;AAAuAgAAZHJzL2Uyb0RvYy54bWxQSwECLQAUAAYACAAAACEAzfLzKNoAAAAIAQAADwAAAAAAAAAA&#10;AAAAAAAFBQAAZHJzL2Rvd25yZXYueG1sUEsFBgAAAAAEAAQA8wAAAAwGA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3D1A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2B" w:rsidRDefault="00EB182B">
      <w:r>
        <w:separator/>
      </w:r>
    </w:p>
  </w:footnote>
  <w:footnote w:type="continuationSeparator" w:id="0">
    <w:p w:rsidR="00EB182B" w:rsidRDefault="00EB182B" w:rsidP="008B60B2">
      <w:r>
        <w:separator/>
      </w:r>
    </w:p>
    <w:p w:rsidR="00EB182B" w:rsidRPr="00ED77FB" w:rsidRDefault="00EB182B" w:rsidP="008B60B2">
      <w:pPr>
        <w:spacing w:after="60"/>
        <w:rPr>
          <w:sz w:val="17"/>
          <w:szCs w:val="17"/>
        </w:rPr>
      </w:pPr>
      <w:r w:rsidRPr="00ED77FB">
        <w:rPr>
          <w:sz w:val="17"/>
          <w:szCs w:val="17"/>
        </w:rPr>
        <w:t>[Footnote continued from previous page]</w:t>
      </w:r>
    </w:p>
  </w:footnote>
  <w:footnote w:type="continuationNotice" w:id="1">
    <w:p w:rsidR="00EB182B" w:rsidRPr="00ED77FB" w:rsidRDefault="00EB182B" w:rsidP="008B60B2">
      <w:pPr>
        <w:spacing w:before="60"/>
        <w:jc w:val="right"/>
        <w:rPr>
          <w:sz w:val="17"/>
          <w:szCs w:val="17"/>
        </w:rPr>
      </w:pPr>
      <w:r w:rsidRPr="00ED77FB">
        <w:rPr>
          <w:sz w:val="17"/>
          <w:szCs w:val="17"/>
        </w:rPr>
        <w:t>[Footnote continued on next page]</w:t>
      </w:r>
    </w:p>
  </w:footnote>
  <w:footnote w:id="2">
    <w:p w:rsidR="005A0DD7" w:rsidRPr="009F285E" w:rsidRDefault="005A0DD7" w:rsidP="005A0DD7">
      <w:pPr>
        <w:pStyle w:val="FootnoteText"/>
        <w:rPr>
          <w:sz w:val="16"/>
        </w:rPr>
      </w:pPr>
      <w:r w:rsidRPr="009F285E">
        <w:rPr>
          <w:rStyle w:val="FootnoteReference"/>
          <w:sz w:val="16"/>
        </w:rPr>
        <w:footnoteRef/>
      </w:r>
      <w:r w:rsidRPr="009F285E">
        <w:t xml:space="preserve"> </w:t>
      </w:r>
      <w:r w:rsidRPr="009F285E">
        <w:rPr>
          <w:sz w:val="16"/>
        </w:rPr>
        <w:t xml:space="preserve">Note from the Chair:  These introductory remarks do not form part of the draft instrument. </w:t>
      </w:r>
    </w:p>
  </w:footnote>
  <w:footnote w:id="3">
    <w:p w:rsidR="005A0DD7" w:rsidRPr="009F285E" w:rsidRDefault="005A0DD7" w:rsidP="005A0DD7">
      <w:pPr>
        <w:pStyle w:val="FootnoteText"/>
        <w:rPr>
          <w:sz w:val="16"/>
          <w:szCs w:val="16"/>
        </w:rPr>
      </w:pPr>
      <w:r w:rsidRPr="009F285E">
        <w:rPr>
          <w:rStyle w:val="FootnoteReference"/>
          <w:sz w:val="16"/>
          <w:szCs w:val="16"/>
        </w:rPr>
        <w:footnoteRef/>
      </w:r>
      <w:r w:rsidRPr="009F285E">
        <w:rPr>
          <w:sz w:val="16"/>
          <w:szCs w:val="16"/>
        </w:rPr>
        <w:t xml:space="preserve"> These negotiations are currently being conducted pursua</w:t>
      </w:r>
      <w:r>
        <w:rPr>
          <w:sz w:val="16"/>
          <w:szCs w:val="16"/>
        </w:rPr>
        <w:t>nt to the IGC’s mandate for 2018/19</w:t>
      </w:r>
      <w:r w:rsidRPr="009F285E">
        <w:rPr>
          <w:sz w:val="16"/>
          <w:szCs w:val="16"/>
        </w:rPr>
        <w:t>.</w:t>
      </w:r>
    </w:p>
  </w:footnote>
  <w:footnote w:id="4">
    <w:p w:rsidR="005A0DD7" w:rsidRDefault="005A0DD7" w:rsidP="005A0DD7">
      <w:pPr>
        <w:pStyle w:val="FootnoteText"/>
      </w:pPr>
      <w:r w:rsidRPr="009F285E">
        <w:rPr>
          <w:rStyle w:val="FootnoteReference"/>
          <w:sz w:val="16"/>
        </w:rPr>
        <w:footnoteRef/>
      </w:r>
      <w:r w:rsidRPr="009F285E">
        <w:t xml:space="preserve"> </w:t>
      </w:r>
      <w:r>
        <w:rPr>
          <w:sz w:val="16"/>
          <w:szCs w:val="16"/>
        </w:rPr>
        <w:t>WIPO/GRTKF/IC/40/6</w:t>
      </w:r>
      <w:r w:rsidRPr="009F285E">
        <w:rPr>
          <w:sz w:val="16"/>
          <w:szCs w:val="16"/>
        </w:rPr>
        <w:t xml:space="preserve"> Consolidated Document Relating to Intellectual Property and Genetic Resources.</w:t>
      </w:r>
    </w:p>
  </w:footnote>
  <w:footnote w:id="5">
    <w:p w:rsidR="005A0DD7" w:rsidRPr="009F285E" w:rsidRDefault="005A0DD7" w:rsidP="005A0DD7">
      <w:pPr>
        <w:pStyle w:val="FootnoteText"/>
        <w:rPr>
          <w:sz w:val="16"/>
          <w:szCs w:val="16"/>
        </w:rPr>
      </w:pPr>
      <w:r w:rsidRPr="00B479A7">
        <w:rPr>
          <w:rStyle w:val="FootnoteReference"/>
          <w:sz w:val="16"/>
        </w:rPr>
        <w:footnoteRef/>
      </w:r>
      <w:r w:rsidRPr="00B479A7">
        <w:t xml:space="preserve"> </w:t>
      </w:r>
      <w:r w:rsidRPr="00B479A7">
        <w:rPr>
          <w:sz w:val="16"/>
        </w:rPr>
        <w:t xml:space="preserve">Such as </w:t>
      </w:r>
      <w:r>
        <w:rPr>
          <w:sz w:val="16"/>
          <w:szCs w:val="16"/>
        </w:rPr>
        <w:t>WIPO/GRTKF/IC/40/6</w:t>
      </w:r>
      <w:r w:rsidRPr="00B479A7">
        <w:rPr>
          <w:sz w:val="16"/>
          <w:szCs w:val="16"/>
        </w:rPr>
        <w:t xml:space="preserve">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
    <w:p w:rsidR="005A0DD7" w:rsidRDefault="005A0DD7" w:rsidP="005A0DD7">
      <w:pPr>
        <w:pStyle w:val="FootnoteText"/>
      </w:pPr>
    </w:p>
  </w:footnote>
  <w:footnote w:id="6">
    <w:p w:rsidR="005A0DD7" w:rsidRPr="00FA0F37" w:rsidRDefault="005A0DD7" w:rsidP="005A0DD7">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is understood in the context of the CBD, </w:t>
      </w:r>
      <w:r w:rsidRPr="00D866B6">
        <w:rPr>
          <w:sz w:val="16"/>
          <w:szCs w:val="16"/>
        </w:rPr>
        <w:t>not intended to include “human genetic resources”.</w:t>
      </w:r>
    </w:p>
  </w:footnote>
  <w:footnote w:id="7">
    <w:p w:rsidR="005A0DD7" w:rsidRPr="009F285E" w:rsidRDefault="005A0DD7" w:rsidP="005A0DD7">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8">
    <w:p w:rsidR="005A0DD7" w:rsidRPr="007D6FC9" w:rsidRDefault="005A0DD7" w:rsidP="005A0DD7">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(3</w:t>
      </w:r>
      <w:r w:rsidRPr="009F285E">
        <w:rPr>
          <w:sz w:val="16"/>
          <w:szCs w:val="16"/>
          <w:vertAlign w:val="superscript"/>
        </w:rPr>
        <w:t>rd</w:t>
      </w:r>
      <w:r w:rsidRPr="009F285E">
        <w:rPr>
          <w:sz w:val="16"/>
          <w:szCs w:val="16"/>
        </w:rPr>
        <w:t xml:space="preserve"> Edition), (2010), OUP Oxford.</w:t>
      </w:r>
      <w:r w:rsidRPr="007D6FC9">
        <w:rPr>
          <w:rFonts w:ascii="Times New Roman" w:hAnsi="Times New Roman" w:cs="Times New Roman"/>
          <w:sz w:val="16"/>
          <w:szCs w:val="16"/>
        </w:rPr>
        <w:t xml:space="preserve"> </w:t>
      </w:r>
    </w:p>
  </w:footnote>
  <w:footnote w:id="9">
    <w:p w:rsidR="005A0DD7" w:rsidRPr="00244A26" w:rsidRDefault="005A0DD7" w:rsidP="005A0DD7">
      <w:pPr>
        <w:rPr>
          <w:sz w:val="16"/>
          <w:szCs w:val="16"/>
        </w:rPr>
      </w:pPr>
      <w:r w:rsidRPr="00244A26">
        <w:rPr>
          <w:rStyle w:val="FootnoteReference"/>
          <w:sz w:val="16"/>
          <w:szCs w:val="16"/>
        </w:rPr>
        <w:footnoteRef/>
      </w:r>
      <w:r w:rsidRPr="00244A26">
        <w:rPr>
          <w:sz w:val="16"/>
          <w:szCs w:val="16"/>
        </w:rPr>
        <w:t xml:space="preserve"> Agreed Statement</w:t>
      </w:r>
      <w:r>
        <w:rPr>
          <w:sz w:val="16"/>
          <w:szCs w:val="16"/>
        </w:rPr>
        <w:t xml:space="preserve"> to Article 8</w:t>
      </w:r>
      <w:r w:rsidRPr="00244A26">
        <w:rPr>
          <w:sz w:val="16"/>
          <w:szCs w:val="16"/>
        </w:rPr>
        <w:t xml:space="preserve">: </w:t>
      </w:r>
      <w:r>
        <w:rPr>
          <w:sz w:val="16"/>
          <w:szCs w:val="16"/>
        </w:rPr>
        <w:t xml:space="preserve"> </w:t>
      </w:r>
      <w:r w:rsidRPr="00244A26">
        <w:rPr>
          <w:sz w:val="16"/>
          <w:szCs w:val="16"/>
        </w:rPr>
        <w:t xml:space="preserve">The </w:t>
      </w:r>
      <w:r w:rsidRPr="00D866B6">
        <w:rPr>
          <w:sz w:val="16"/>
          <w:szCs w:val="16"/>
        </w:rPr>
        <w:t>Con</w:t>
      </w:r>
      <w:r>
        <w:rPr>
          <w:sz w:val="16"/>
          <w:szCs w:val="16"/>
        </w:rPr>
        <w:t xml:space="preserve">tracting </w:t>
      </w:r>
      <w:r w:rsidRPr="00D866B6">
        <w:rPr>
          <w:sz w:val="16"/>
          <w:szCs w:val="16"/>
        </w:rPr>
        <w:t xml:space="preserve">Parties request </w:t>
      </w:r>
      <w:r w:rsidRPr="00D866B6">
        <w:rPr>
          <w:color w:val="000000"/>
          <w:sz w:val="16"/>
          <w:szCs w:val="16"/>
        </w:rPr>
        <w:t xml:space="preserve">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color w:val="000000"/>
          <w:sz w:val="16"/>
          <w:szCs w:val="16"/>
        </w:rPr>
        <w:t>GRs and Associated TK</w:t>
      </w:r>
      <w:r w:rsidRPr="00D866B6">
        <w:rPr>
          <w:color w:val="000000"/>
          <w:sz w:val="16"/>
          <w:szCs w:val="16"/>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p w:rsidR="005A0DD7" w:rsidRPr="00244A26" w:rsidRDefault="005A0DD7" w:rsidP="005A0DD7">
      <w:pPr>
        <w:pStyle w:val="FootnoteText"/>
      </w:pPr>
    </w:p>
  </w:footnote>
  <w:footnote w:id="10">
    <w:p w:rsidR="005A0DD7" w:rsidRPr="009F285E" w:rsidRDefault="005A0DD7" w:rsidP="005A0DD7">
      <w:pPr>
        <w:pStyle w:val="FootnoteText"/>
        <w:rPr>
          <w:sz w:val="16"/>
        </w:rPr>
      </w:pPr>
      <w:r w:rsidRPr="009F285E">
        <w:rPr>
          <w:rStyle w:val="FootnoteReference"/>
          <w:sz w:val="16"/>
        </w:rPr>
        <w:footnoteRef/>
      </w:r>
      <w:r w:rsidRPr="009F285E">
        <w:rPr>
          <w:sz w:val="16"/>
        </w:rPr>
        <w:t xml:space="preserve"> Note from the Chair:  I have adapted the final and administrative clauses (Articles 10 to 20) from other existing WIPO treaties.  I recognize that they have not yet been discussed before by the IGC and that they would still need to be formally considered and reviewed by Member States and the WIPO Secretariat.  Therefore, each of these articles is bracketed.</w:t>
      </w:r>
    </w:p>
    <w:p w:rsidR="005A0DD7" w:rsidRPr="003C11C3" w:rsidRDefault="005A0DD7" w:rsidP="005A0DD7">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39966"/>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pPr>
        <w:r>
          <w:t>Annex, page 2</w:t>
        </w:r>
      </w:p>
    </w:sdtContent>
  </w:sdt>
  <w:p w:rsidR="005A0DD7" w:rsidRDefault="005A0DD7" w:rsidP="000F2AD2">
    <w:pPr>
      <w:jc w:val="right"/>
    </w:pPr>
  </w:p>
  <w:p w:rsidR="005A0DD7" w:rsidRDefault="005A0DD7"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644544"/>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4</w:t>
        </w:r>
      </w:p>
    </w:sdtContent>
  </w:sdt>
  <w:p w:rsidR="005A0DD7" w:rsidRDefault="005A0DD7" w:rsidP="003D1AC9">
    <w:pPr>
      <w:pStyle w:val="Header"/>
      <w:jc w:val="right"/>
    </w:pPr>
  </w:p>
  <w:p w:rsidR="005A0DD7" w:rsidRDefault="005A0DD7" w:rsidP="003D1AC9">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13378"/>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31162"/>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847288"/>
      <w:docPartObj>
        <w:docPartGallery w:val="Page Numbers (Top of Page)"/>
        <w:docPartUnique/>
      </w:docPartObj>
    </w:sdtPr>
    <w:sdtEndPr>
      <w:rPr>
        <w:rFonts w:ascii="Times New Roman" w:hAnsi="Times New Roman" w:cs="Times New Roman"/>
        <w:noProof/>
      </w:rPr>
    </w:sdtEndPr>
    <w:sdtContent>
      <w:sdt>
        <w:sdtPr>
          <w:id w:val="2081091346"/>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6</w:t>
            </w:r>
          </w:p>
        </w:sdtContent>
      </w:sdt>
    </w:sdtContent>
  </w:sdt>
  <w:p w:rsidR="005A0DD7" w:rsidRDefault="005A0DD7" w:rsidP="003D1AC9">
    <w:pPr>
      <w:pStyle w:val="Header"/>
      <w:jc w:val="right"/>
    </w:pPr>
  </w:p>
  <w:p w:rsidR="005A0DD7" w:rsidRDefault="005A0DD7" w:rsidP="003D1AC9">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45663"/>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3115"/>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3613"/>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7</w:t>
        </w:r>
      </w:p>
    </w:sdtContent>
  </w:sdt>
  <w:p w:rsidR="005A0DD7" w:rsidRDefault="005A0DD7" w:rsidP="003D1AC9">
    <w:pPr>
      <w:pStyle w:val="Header"/>
      <w:jc w:val="right"/>
    </w:pPr>
  </w:p>
  <w:p w:rsidR="005A0DD7" w:rsidRDefault="005A0DD7" w:rsidP="003D1AC9">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342834"/>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69018"/>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884591"/>
      <w:docPartObj>
        <w:docPartGallery w:val="Page Numbers (Top of Page)"/>
        <w:docPartUnique/>
      </w:docPartObj>
    </w:sdtPr>
    <w:sdtEndPr>
      <w:rPr>
        <w:rFonts w:ascii="Times New Roman" w:hAnsi="Times New Roman" w:cs="Times New Roman"/>
        <w:noProof/>
      </w:rPr>
    </w:sdtEndPr>
    <w:sdtContent>
      <w:sdt>
        <w:sdtPr>
          <w:id w:val="175928832"/>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8</w:t>
            </w:r>
          </w:p>
        </w:sdtContent>
      </w:sdt>
    </w:sdtContent>
  </w:sdt>
  <w:p w:rsidR="005A0DD7" w:rsidRDefault="005A0DD7" w:rsidP="003D1AC9">
    <w:pPr>
      <w:pStyle w:val="Header"/>
      <w:jc w:val="right"/>
    </w:pPr>
  </w:p>
  <w:p w:rsidR="005A0DD7" w:rsidRDefault="005A0DD7" w:rsidP="003D1A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D7" w:rsidRDefault="005A0DD7" w:rsidP="00477D6B">
    <w:pPr>
      <w:jc w:val="right"/>
    </w:pPr>
  </w:p>
  <w:p w:rsidR="005A0DD7" w:rsidRDefault="005A0DD7"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5A0DD7" w:rsidRDefault="005A0DD7" w:rsidP="00477D6B">
    <w:pPr>
      <w:jc w:val="right"/>
    </w:pPr>
  </w:p>
  <w:p w:rsidR="005A0DD7" w:rsidRDefault="005A0DD7"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8325"/>
      <w:docPartObj>
        <w:docPartGallery w:val="Page Numbers (Top of Page)"/>
        <w:docPartUnique/>
      </w:docPartObj>
    </w:sdtPr>
    <w:sdtEndPr>
      <w:rPr>
        <w:rFonts w:ascii="Times New Roman" w:hAnsi="Times New Roman" w:cs="Times New Roman"/>
        <w:noProof/>
      </w:rPr>
    </w:sdtEndPr>
    <w:sdtContent>
      <w:sdt>
        <w:sdtPr>
          <w:id w:val="1807125109"/>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10</w:t>
            </w:r>
          </w:p>
          <w:p w:rsidR="005A0DD7" w:rsidRDefault="005A0DD7" w:rsidP="003D1AC9">
            <w:pPr>
              <w:pStyle w:val="Header"/>
              <w:jc w:val="right"/>
              <w:rPr>
                <w:noProof/>
              </w:rPr>
            </w:pPr>
          </w:p>
          <w:p w:rsidR="005A0DD7" w:rsidRPr="003D1AC9" w:rsidRDefault="00EB182B" w:rsidP="003D1AC9">
            <w:pPr>
              <w:pStyle w:val="Header"/>
              <w:jc w:val="right"/>
              <w:rPr>
                <w:noProof/>
              </w:rPr>
            </w:pP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537494"/>
      <w:docPartObj>
        <w:docPartGallery w:val="Page Numbers (Top of Page)"/>
        <w:docPartUnique/>
      </w:docPartObj>
    </w:sdtPr>
    <w:sdtEndPr>
      <w:rPr>
        <w:rFonts w:ascii="Times New Roman" w:hAnsi="Times New Roman" w:cs="Times New Roman"/>
        <w:noProof/>
      </w:rPr>
    </w:sdtEndPr>
    <w:sdtContent>
      <w:sdt>
        <w:sdtPr>
          <w:id w:val="-1805079095"/>
          <w:docPartObj>
            <w:docPartGallery w:val="Page Numbers (Top of Page)"/>
            <w:docPartUnique/>
          </w:docPartObj>
        </w:sdtPr>
        <w:sdtEndPr>
          <w:rPr>
            <w:noProof/>
          </w:rPr>
        </w:sdtEndPr>
        <w:sdtContent>
          <w:p w:rsidR="005A0DD7" w:rsidRDefault="005A0DD7" w:rsidP="003D1AC9">
            <w:pPr>
              <w:pStyle w:val="Header"/>
              <w:jc w:val="right"/>
            </w:pPr>
            <w:r>
              <w:t>WIPO/GRTKF/IC/41/5</w:t>
            </w:r>
          </w:p>
          <w:p w:rsidR="005A0DD7" w:rsidRPr="00EF0FAC" w:rsidRDefault="005A0DD7" w:rsidP="003D1AC9">
            <w:pPr>
              <w:pStyle w:val="Header"/>
              <w:jc w:val="right"/>
              <w:rPr>
                <w:noProof/>
              </w:rPr>
            </w:pPr>
            <w:r>
              <w:t>Annex, page</w:t>
            </w:r>
            <w:r>
              <w:rPr>
                <w:noProof/>
              </w:rPr>
              <w:t xml:space="preserve"> 10</w:t>
            </w:r>
          </w:p>
        </w:sdtContent>
      </w:sdt>
    </w:sdtContent>
  </w:sdt>
  <w:p w:rsidR="005A0DD7" w:rsidRDefault="005A0DD7" w:rsidP="00477D6B">
    <w:pPr>
      <w:jc w:val="right"/>
    </w:pPr>
  </w:p>
  <w:p w:rsidR="005A0DD7" w:rsidRDefault="005A0DD7"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0178"/>
      <w:docPartObj>
        <w:docPartGallery w:val="Page Numbers (Top of Page)"/>
        <w:docPartUnique/>
      </w:docPartObj>
    </w:sdtPr>
    <w:sdtEndPr>
      <w:rPr>
        <w:rFonts w:ascii="Times New Roman" w:hAnsi="Times New Roman" w:cs="Times New Roman"/>
        <w:noProof/>
      </w:rPr>
    </w:sdtEndPr>
    <w:sdtContent>
      <w:sdt>
        <w:sdtPr>
          <w:id w:val="1454358607"/>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9</w:t>
            </w:r>
          </w:p>
          <w:p w:rsidR="005A0DD7" w:rsidRPr="00EF0FAC" w:rsidRDefault="00EB182B" w:rsidP="003D1AC9">
            <w:pPr>
              <w:pStyle w:val="Header"/>
              <w:jc w:val="right"/>
              <w:rPr>
                <w:noProof/>
              </w:rPr>
            </w:pPr>
          </w:p>
        </w:sdtContent>
      </w:sdt>
    </w:sdtContent>
  </w:sdt>
  <w:p w:rsidR="005A0DD7" w:rsidRDefault="005A0DD7" w:rsidP="003D1AC9">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73759"/>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81661"/>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41308"/>
      <w:docPartObj>
        <w:docPartGallery w:val="Page Numbers (Top of Page)"/>
        <w:docPartUnique/>
      </w:docPartObj>
    </w:sdtPr>
    <w:sdtEndPr>
      <w:rPr>
        <w:rFonts w:ascii="Times New Roman" w:hAnsi="Times New Roman" w:cs="Times New Roman"/>
        <w:noProof/>
      </w:rPr>
    </w:sdtEndPr>
    <w:sdtContent>
      <w:sdt>
        <w:sdtPr>
          <w:id w:val="-1295134536"/>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11</w:t>
            </w:r>
          </w:p>
        </w:sdtContent>
      </w:sdt>
    </w:sdtContent>
  </w:sdt>
  <w:p w:rsidR="005A0DD7" w:rsidRDefault="005A0DD7" w:rsidP="003D1AC9">
    <w:pPr>
      <w:pStyle w:val="Header"/>
      <w:jc w:val="right"/>
    </w:pPr>
  </w:p>
  <w:p w:rsidR="005A0DD7" w:rsidRDefault="005A0DD7" w:rsidP="003D1AC9">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919"/>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40155"/>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22844"/>
      <w:docPartObj>
        <w:docPartGallery w:val="Page Numbers (Top of Page)"/>
        <w:docPartUnique/>
      </w:docPartObj>
    </w:sdtPr>
    <w:sdtEndPr>
      <w:rPr>
        <w:rFonts w:ascii="Times New Roman" w:hAnsi="Times New Roman" w:cs="Times New Roman"/>
        <w:noProof/>
      </w:rPr>
    </w:sdtEndPr>
    <w:sdtContent>
      <w:sdt>
        <w:sdtPr>
          <w:id w:val="1994995202"/>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12</w:t>
            </w:r>
          </w:p>
        </w:sdtContent>
      </w:sdt>
    </w:sdtContent>
  </w:sdt>
  <w:p w:rsidR="005A0DD7" w:rsidRDefault="005A0DD7" w:rsidP="003D1AC9">
    <w:pPr>
      <w:pStyle w:val="Header"/>
      <w:jc w:val="right"/>
    </w:pPr>
  </w:p>
  <w:p w:rsidR="005A0DD7" w:rsidRDefault="005A0DD7" w:rsidP="003D1AC9">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60"/>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22057"/>
      <w:docPartObj>
        <w:docPartGallery w:val="Page Numbers (Top of Page)"/>
        <w:docPartUnique/>
      </w:docPartObj>
    </w:sdtPr>
    <w:sdtEndPr>
      <w:rPr>
        <w:noProof/>
      </w:rPr>
    </w:sdtEndPr>
    <w:sdtContent>
      <w:p w:rsidR="005A0DD7" w:rsidRDefault="005A0DD7" w:rsidP="003D1AC9">
        <w:pPr>
          <w:pStyle w:val="Header"/>
          <w:jc w:val="right"/>
        </w:pPr>
        <w:r>
          <w:t>WIPO/GRTKF/IC/41/5</w:t>
        </w:r>
      </w:p>
      <w:p w:rsidR="005A0DD7" w:rsidRDefault="005A0DD7" w:rsidP="003D1AC9">
        <w:pPr>
          <w:pStyle w:val="Header"/>
          <w:jc w:val="right"/>
        </w:pPr>
        <w:r>
          <w:t>Annex, page 2</w:t>
        </w:r>
      </w:p>
    </w:sdtContent>
  </w:sdt>
  <w:p w:rsidR="005A0DD7" w:rsidRDefault="005A0DD7" w:rsidP="00477D6B">
    <w:pPr>
      <w:jc w:val="right"/>
    </w:pPr>
  </w:p>
  <w:p w:rsidR="005A0DD7" w:rsidRPr="009F285E" w:rsidRDefault="005A0DD7" w:rsidP="00477D6B">
    <w:pP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8515"/>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293107"/>
      <w:docPartObj>
        <w:docPartGallery w:val="Page Numbers (Top of Page)"/>
        <w:docPartUnique/>
      </w:docPartObj>
    </w:sdtPr>
    <w:sdtEndPr>
      <w:rPr>
        <w:rFonts w:ascii="Times New Roman" w:hAnsi="Times New Roman" w:cs="Times New Roman"/>
        <w:noProof/>
      </w:rPr>
    </w:sdtEndPr>
    <w:sdtContent>
      <w:sdt>
        <w:sdtPr>
          <w:id w:val="-1229999533"/>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13</w:t>
            </w:r>
          </w:p>
        </w:sdtContent>
      </w:sdt>
    </w:sdtContent>
  </w:sdt>
  <w:p w:rsidR="005A0DD7" w:rsidRDefault="005A0DD7" w:rsidP="003D1AC9">
    <w:pPr>
      <w:pStyle w:val="Header"/>
      <w:jc w:val="right"/>
    </w:pPr>
  </w:p>
  <w:p w:rsidR="005A0DD7" w:rsidRDefault="005A0DD7" w:rsidP="003D1AC9">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05448"/>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234377"/>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732563"/>
      <w:docPartObj>
        <w:docPartGallery w:val="Page Numbers (Top of Page)"/>
        <w:docPartUnique/>
      </w:docPartObj>
    </w:sdtPr>
    <w:sdtEndPr>
      <w:rPr>
        <w:rFonts w:ascii="Times New Roman" w:hAnsi="Times New Roman" w:cs="Times New Roman"/>
        <w:noProof/>
      </w:rPr>
    </w:sdtEndPr>
    <w:sdtContent>
      <w:sdt>
        <w:sdtPr>
          <w:id w:val="791793054"/>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14</w:t>
            </w:r>
          </w:p>
          <w:p w:rsidR="005A0DD7" w:rsidRPr="00EF0FAC" w:rsidRDefault="00EB182B" w:rsidP="003D1AC9">
            <w:pPr>
              <w:pStyle w:val="Header"/>
              <w:jc w:val="right"/>
              <w:rPr>
                <w:noProof/>
              </w:rPr>
            </w:pPr>
          </w:p>
        </w:sdtContent>
      </w:sdt>
    </w:sdtContent>
  </w:sdt>
  <w:p w:rsidR="005A0DD7" w:rsidRDefault="005A0DD7" w:rsidP="003D1AC9">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58263"/>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910007"/>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66649"/>
      <w:docPartObj>
        <w:docPartGallery w:val="Page Numbers (Top of Page)"/>
        <w:docPartUnique/>
      </w:docPartObj>
    </w:sdtPr>
    <w:sdtEndPr>
      <w:rPr>
        <w:rFonts w:ascii="Times New Roman" w:hAnsi="Times New Roman" w:cs="Times New Roman"/>
        <w:noProof/>
      </w:rPr>
    </w:sdtEndPr>
    <w:sdtContent>
      <w:sdt>
        <w:sdtPr>
          <w:id w:val="-145439999"/>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15</w:t>
            </w:r>
          </w:p>
        </w:sdtContent>
      </w:sdt>
    </w:sdtContent>
  </w:sdt>
  <w:p w:rsidR="005A0DD7" w:rsidRDefault="005A0DD7" w:rsidP="003D1AC9">
    <w:pPr>
      <w:pStyle w:val="Header"/>
      <w:jc w:val="right"/>
    </w:pPr>
  </w:p>
  <w:p w:rsidR="005A0DD7" w:rsidRDefault="005A0DD7" w:rsidP="003D1AC9">
    <w:pPr>
      <w:pStyle w:val="Heade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857065"/>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85104"/>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83719"/>
      <w:docPartObj>
        <w:docPartGallery w:val="Page Numbers (Top of Page)"/>
        <w:docPartUnique/>
      </w:docPartObj>
    </w:sdtPr>
    <w:sdtEndPr>
      <w:rPr>
        <w:noProof/>
      </w:rPr>
    </w:sdtEndPr>
    <w:sdtContent>
      <w:p w:rsidR="005A0DD7" w:rsidRDefault="005A0DD7">
        <w:pPr>
          <w:pStyle w:val="Header"/>
          <w:jc w:val="right"/>
        </w:pPr>
        <w:r>
          <w:t>WIPO/GRTKF/IC/42/5</w:t>
        </w:r>
      </w:p>
      <w:p w:rsidR="005A0DD7" w:rsidRDefault="005A0DD7">
        <w:pPr>
          <w:pStyle w:val="Header"/>
          <w:jc w:val="right"/>
        </w:pPr>
        <w:r>
          <w:t>ANNEX</w:t>
        </w:r>
      </w:p>
    </w:sdtContent>
  </w:sdt>
  <w:p w:rsidR="005A0DD7" w:rsidRDefault="005A0DD7" w:rsidP="003D1AC9">
    <w:pPr>
      <w:pStyle w:val="Header"/>
      <w:jc w:val="right"/>
    </w:pPr>
  </w:p>
  <w:p w:rsidR="005A0DD7" w:rsidRDefault="005A0DD7" w:rsidP="003D1AC9">
    <w:pPr>
      <w:pStyle w:val="Heade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95106"/>
      <w:docPartObj>
        <w:docPartGallery w:val="Page Numbers (Top of Page)"/>
        <w:docPartUnique/>
      </w:docPartObj>
    </w:sdtPr>
    <w:sdtEndPr>
      <w:rPr>
        <w:rFonts w:ascii="Times New Roman" w:hAnsi="Times New Roman" w:cs="Times New Roman"/>
        <w:noProof/>
      </w:rPr>
    </w:sdtEndPr>
    <w:sdtContent>
      <w:sdt>
        <w:sdtPr>
          <w:id w:val="-531188222"/>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16</w:t>
            </w:r>
          </w:p>
        </w:sdtContent>
      </w:sdt>
    </w:sdtContent>
  </w:sdt>
  <w:p w:rsidR="005A0DD7" w:rsidRDefault="005A0DD7" w:rsidP="003D1AC9">
    <w:pPr>
      <w:pStyle w:val="Header"/>
      <w:jc w:val="right"/>
    </w:pPr>
  </w:p>
  <w:p w:rsidR="005A0DD7" w:rsidRDefault="005A0DD7" w:rsidP="003D1AC9">
    <w:pPr>
      <w:pStyle w:val="Heade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05544"/>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701"/>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46252"/>
      <w:docPartObj>
        <w:docPartGallery w:val="Page Numbers (Top of Page)"/>
        <w:docPartUnique/>
      </w:docPartObj>
    </w:sdtPr>
    <w:sdtEndPr>
      <w:rPr>
        <w:rFonts w:ascii="Times New Roman" w:hAnsi="Times New Roman" w:cs="Times New Roman"/>
        <w:noProof/>
      </w:rPr>
    </w:sdtEndPr>
    <w:sdtContent>
      <w:sdt>
        <w:sdtPr>
          <w:id w:val="236370863"/>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17</w:t>
            </w:r>
          </w:p>
        </w:sdtContent>
      </w:sdt>
      <w:p w:rsidR="005A0DD7" w:rsidRDefault="005A0DD7" w:rsidP="003D1AC9">
        <w:pPr>
          <w:pStyle w:val="Header"/>
          <w:jc w:val="right"/>
          <w:rPr>
            <w:noProof/>
          </w:rPr>
        </w:pPr>
      </w:p>
      <w:p w:rsidR="005A0DD7" w:rsidRDefault="00EB182B" w:rsidP="003D1AC9">
        <w:pPr>
          <w:pStyle w:val="Header"/>
          <w:jc w:val="right"/>
          <w:rPr>
            <w:noProof/>
          </w:rPr>
        </w:pPr>
      </w:p>
    </w:sdtContent>
  </w:sdt>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788"/>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21598"/>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93026"/>
      <w:docPartObj>
        <w:docPartGallery w:val="Page Numbers (Top of Page)"/>
        <w:docPartUnique/>
      </w:docPartObj>
    </w:sdtPr>
    <w:sdtEndPr>
      <w:rPr>
        <w:rFonts w:ascii="Times New Roman" w:hAnsi="Times New Roman" w:cs="Times New Roman"/>
        <w:noProof/>
      </w:rPr>
    </w:sdtEndPr>
    <w:sdtContent>
      <w:sdt>
        <w:sdtPr>
          <w:id w:val="1339581013"/>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18</w:t>
            </w:r>
          </w:p>
        </w:sdtContent>
      </w:sdt>
    </w:sdtContent>
  </w:sdt>
  <w:p w:rsidR="005A0DD7" w:rsidRDefault="005A0DD7" w:rsidP="003D1AC9">
    <w:pPr>
      <w:pStyle w:val="Header"/>
      <w:jc w:val="right"/>
    </w:pPr>
  </w:p>
  <w:p w:rsidR="005A0DD7" w:rsidRDefault="005A0DD7" w:rsidP="003D1AC9">
    <w:pPr>
      <w:pStyle w:val="Heade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01768"/>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85860"/>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22752"/>
      <w:docPartObj>
        <w:docPartGallery w:val="Page Numbers (Top of Page)"/>
        <w:docPartUnique/>
      </w:docPartObj>
    </w:sdtPr>
    <w:sdtEndPr>
      <w:rPr>
        <w:rFonts w:ascii="Times New Roman" w:hAnsi="Times New Roman" w:cs="Times New Roman"/>
        <w:noProof/>
      </w:rPr>
    </w:sdtEndPr>
    <w:sdtContent>
      <w:sdt>
        <w:sdtPr>
          <w:id w:val="828170659"/>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19</w:t>
            </w:r>
          </w:p>
        </w:sdtContent>
      </w:sdt>
    </w:sdtContent>
  </w:sdt>
  <w:p w:rsidR="005A0DD7" w:rsidRDefault="005A0DD7" w:rsidP="003D1AC9">
    <w:pPr>
      <w:pStyle w:val="Header"/>
      <w:jc w:val="right"/>
    </w:pPr>
  </w:p>
  <w:p w:rsidR="005A0DD7" w:rsidRDefault="005A0DD7" w:rsidP="003D1AC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4535"/>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77268531"/>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4624" behindDoc="1" locked="0" layoutInCell="0" allowOverlap="1" wp14:anchorId="14765137" wp14:editId="1A166C3F">
              <wp:simplePos x="0" y="0"/>
              <wp:positionH relativeFrom="margin">
                <wp:align>center</wp:align>
              </wp:positionH>
              <wp:positionV relativeFrom="margin">
                <wp:align>center</wp:align>
              </wp:positionV>
              <wp:extent cx="5939790" cy="106045"/>
              <wp:effectExtent l="0" t="0" r="0" b="0"/>
              <wp:wrapNone/>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765137" id="_x0000_t202" coordsize="21600,21600" o:spt="202" path="m,l,21600r21600,l21600,xe">
              <v:stroke joinstyle="miter"/>
              <v:path gradientshapeok="t" o:connecttype="rect"/>
            </v:shapetype>
            <v:shape id="WordArt 1" o:spid="_x0000_s1027" type="#_x0000_t202" style="position:absolute;left:0;text-align:left;margin-left:0;margin-top:0;width:467.7pt;height:8.35pt;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AUL+y/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4384" behindDoc="1" locked="0" layoutInCell="0" allowOverlap="1" wp14:anchorId="69436861" wp14:editId="5A08339E">
              <wp:simplePos x="0" y="0"/>
              <wp:positionH relativeFrom="margin">
                <wp:align>center</wp:align>
              </wp:positionH>
              <wp:positionV relativeFrom="margin">
                <wp:align>center</wp:align>
              </wp:positionV>
              <wp:extent cx="5939790" cy="106045"/>
              <wp:effectExtent l="0" t="0" r="0" b="0"/>
              <wp:wrapNone/>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36861" id="_x0000_t202" coordsize="21600,21600" o:spt="202" path="m,l,21600r21600,l21600,xe">
              <v:stroke joinstyle="miter"/>
              <v:path gradientshapeok="t" o:connecttype="rect"/>
            </v:shapetype>
            <v:shape id="_x0000_s1028" type="#_x0000_t202" style="position:absolute;left:0;text-align:left;margin-left:0;margin-top:0;width:467.7pt;height:8.3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rFUl1/AgAA8w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0580"/>
      <w:docPartObj>
        <w:docPartGallery w:val="Page Numbers (Top of Page)"/>
        <w:docPartUnique/>
      </w:docPartObj>
    </w:sdtPr>
    <w:sdtEndPr>
      <w:rPr>
        <w:rFonts w:ascii="Times New Roman" w:hAnsi="Times New Roman" w:cs="Times New Roman"/>
        <w:noProof/>
      </w:rPr>
    </w:sdtEndPr>
    <w:sdtContent>
      <w:sdt>
        <w:sdtPr>
          <w:id w:val="1626887655"/>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20</w:t>
            </w:r>
          </w:p>
        </w:sdtContent>
      </w:sdt>
    </w:sdtContent>
  </w:sdt>
  <w:p w:rsidR="005A0DD7" w:rsidRDefault="005A0DD7" w:rsidP="003D1AC9">
    <w:pPr>
      <w:pStyle w:val="Header"/>
      <w:jc w:val="right"/>
    </w:pPr>
  </w:p>
  <w:p w:rsidR="005A0DD7" w:rsidRDefault="005A0DD7" w:rsidP="003D1AC9">
    <w:pPr>
      <w:pStyle w:val="Heade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94406595"/>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5648" behindDoc="1" locked="0" layoutInCell="0" allowOverlap="1" wp14:anchorId="07B12133" wp14:editId="31534B1D">
              <wp:simplePos x="0" y="0"/>
              <wp:positionH relativeFrom="margin">
                <wp:align>center</wp:align>
              </wp:positionH>
              <wp:positionV relativeFrom="margin">
                <wp:align>center</wp:align>
              </wp:positionV>
              <wp:extent cx="5939790" cy="106045"/>
              <wp:effectExtent l="0" t="0" r="0" b="0"/>
              <wp:wrapNone/>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B12133" id="_x0000_t202" coordsize="21600,21600" o:spt="202" path="m,l,21600r21600,l21600,xe">
              <v:stroke joinstyle="miter"/>
              <v:path gradientshapeok="t" o:connecttype="rect"/>
            </v:shapetype>
            <v:shape id="_x0000_s1029" type="#_x0000_t202" style="position:absolute;left:0;text-align:left;margin-left:0;margin-top:0;width:467.7pt;height:8.35pt;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DjgQIAAPQ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TO6dEpG+AHlK/HC1VR&#10;923HrEAr7NQtYG2of2NBTfYK61B+aPh6eGLWTKp4zPrQHS9UlCbEbflkT8a/IJDq8J4iZbIIjCfC&#10;UzAq/oIaW2Su0UgrGTUOjhvrRG5hgVcrspx+A+Huvl7HqJef1f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58tw44ECAAD0&#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30577348"/>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5408" behindDoc="1" locked="0" layoutInCell="0" allowOverlap="1" wp14:anchorId="63756A1B" wp14:editId="2A746E18">
              <wp:simplePos x="0" y="0"/>
              <wp:positionH relativeFrom="margin">
                <wp:align>center</wp:align>
              </wp:positionH>
              <wp:positionV relativeFrom="margin">
                <wp:align>center</wp:align>
              </wp:positionV>
              <wp:extent cx="5939790" cy="106045"/>
              <wp:effectExtent l="0" t="0" r="0" b="0"/>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756A1B" id="_x0000_t202" coordsize="21600,21600" o:spt="202" path="m,l,21600r21600,l21600,xe">
              <v:stroke joinstyle="miter"/>
              <v:path gradientshapeok="t" o:connecttype="rect"/>
            </v:shapetype>
            <v:shape id="_x0000_s1030" type="#_x0000_t202" style="position:absolute;left:0;text-align:left;margin-left:0;margin-top:0;width:467.7pt;height:8.35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KEMla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rFonts w:ascii="Times New Roman" w:hAnsi="Times New Roman" w:cs="Times New Roman"/>
        <w:noProof/>
        <w:szCs w:val="22"/>
      </w:rPr>
    </w:sdtEndPr>
    <w:sdtContent>
      <w:sdt>
        <w:sdtPr>
          <w:id w:val="-909299093"/>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EF0FAC" w:rsidRDefault="005A0DD7" w:rsidP="003D1AC9">
            <w:pPr>
              <w:pStyle w:val="Header"/>
              <w:jc w:val="right"/>
              <w:rPr>
                <w:noProof/>
              </w:rPr>
            </w:pPr>
            <w:r>
              <w:t>Annex, page</w:t>
            </w:r>
            <w:r>
              <w:rPr>
                <w:noProof/>
              </w:rPr>
              <w:t xml:space="preserve"> 21</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77031298"/>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6672" behindDoc="1" locked="0" layoutInCell="0" allowOverlap="1" wp14:anchorId="4FB051DB" wp14:editId="3A410ECF">
              <wp:simplePos x="0" y="0"/>
              <wp:positionH relativeFrom="margin">
                <wp:align>center</wp:align>
              </wp:positionH>
              <wp:positionV relativeFrom="margin">
                <wp:align>center</wp:align>
              </wp:positionV>
              <wp:extent cx="5939790" cy="106045"/>
              <wp:effectExtent l="0" t="0" r="0" b="0"/>
              <wp:wrapNone/>
              <wp:docPr id="2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B051DB" id="_x0000_t202" coordsize="21600,21600" o:spt="202" path="m,l,21600r21600,l21600,xe">
              <v:stroke joinstyle="miter"/>
              <v:path gradientshapeok="t" o:connecttype="rect"/>
            </v:shapetype>
            <v:shape id="_x0000_s1031" type="#_x0000_t202" style="position:absolute;left:0;text-align:left;margin-left:0;margin-top:0;width:467.7pt;height:8.35pt;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tqwEF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104606238"/>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6432" behindDoc="1" locked="0" layoutInCell="0" allowOverlap="1" wp14:anchorId="6CE1E347" wp14:editId="30D910F5">
              <wp:simplePos x="0" y="0"/>
              <wp:positionH relativeFrom="margin">
                <wp:align>center</wp:align>
              </wp:positionH>
              <wp:positionV relativeFrom="margin">
                <wp:align>center</wp:align>
              </wp:positionV>
              <wp:extent cx="5939790" cy="106045"/>
              <wp:effectExtent l="0" t="0" r="0" b="0"/>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1E347" id="_x0000_t202" coordsize="21600,21600" o:spt="202" path="m,l,21600r21600,l21600,xe">
              <v:stroke joinstyle="miter"/>
              <v:path gradientshapeok="t" o:connecttype="rect"/>
            </v:shapetype>
            <v:shape id="_x0000_s1032" type="#_x0000_t202" style="position:absolute;left:0;text-align:left;margin-left:0;margin-top:0;width:467.7pt;height:8.3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PQfw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JGo09B/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52459"/>
      <w:docPartObj>
        <w:docPartGallery w:val="Page Numbers (Top of Page)"/>
        <w:docPartUnique/>
      </w:docPartObj>
    </w:sdtPr>
    <w:sdtEndPr>
      <w:rPr>
        <w:rFonts w:ascii="Times New Roman" w:hAnsi="Times New Roman" w:cs="Times New Roman"/>
        <w:noProof/>
        <w:szCs w:val="22"/>
      </w:rPr>
    </w:sdtEndPr>
    <w:sdtContent>
      <w:sdt>
        <w:sdtPr>
          <w:id w:val="-2034796758"/>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22</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35431383"/>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7696" behindDoc="1" locked="0" layoutInCell="0" allowOverlap="1" wp14:anchorId="126C4BB7" wp14:editId="5FA1749C">
              <wp:simplePos x="0" y="0"/>
              <wp:positionH relativeFrom="margin">
                <wp:align>center</wp:align>
              </wp:positionH>
              <wp:positionV relativeFrom="margin">
                <wp:align>center</wp:align>
              </wp:positionV>
              <wp:extent cx="5939790" cy="106045"/>
              <wp:effectExtent l="0" t="0" r="0" b="0"/>
              <wp:wrapNone/>
              <wp:docPr id="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6C4BB7" id="_x0000_t202" coordsize="21600,21600" o:spt="202" path="m,l,21600r21600,l21600,xe">
              <v:stroke joinstyle="miter"/>
              <v:path gradientshapeok="t" o:connecttype="rect"/>
            </v:shapetype>
            <v:shape id="_x0000_s1033" type="#_x0000_t202" style="position:absolute;left:0;text-align:left;margin-left:0;margin-top:0;width:467.7pt;height:8.35pt;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n7XBD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2539"/>
      <w:docPartObj>
        <w:docPartGallery w:val="Page Numbers (Top of Page)"/>
        <w:docPartUnique/>
      </w:docPartObj>
    </w:sdtPr>
    <w:sdtEndPr>
      <w:rPr>
        <w:rFonts w:ascii="Times New Roman" w:hAnsi="Times New Roman" w:cs="Times New Roman"/>
        <w:noProof/>
      </w:rPr>
    </w:sdtEndPr>
    <w:sdtContent>
      <w:p w:rsidR="005A0DD7" w:rsidRPr="00326029" w:rsidRDefault="005A0DD7">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477D6B">
    <w:pPr>
      <w:jc w:val="right"/>
    </w:pPr>
  </w:p>
  <w:p w:rsidR="005A0DD7" w:rsidRDefault="005A0DD7" w:rsidP="00477D6B">
    <w:pPr>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008563474"/>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7456" behindDoc="1" locked="0" layoutInCell="0" allowOverlap="1" wp14:anchorId="5003694D" wp14:editId="2DEB86A4">
              <wp:simplePos x="0" y="0"/>
              <wp:positionH relativeFrom="margin">
                <wp:align>center</wp:align>
              </wp:positionH>
              <wp:positionV relativeFrom="margin">
                <wp:align>center</wp:align>
              </wp:positionV>
              <wp:extent cx="5939790" cy="106045"/>
              <wp:effectExtent l="0" t="0" r="0" b="0"/>
              <wp:wrapNone/>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3694D" id="_x0000_t202" coordsize="21600,21600" o:spt="202" path="m,l,21600r21600,l21600,xe">
              <v:stroke joinstyle="miter"/>
              <v:path gradientshapeok="t" o:connecttype="rect"/>
            </v:shapetype>
            <v:shape id="_x0000_s1034" type="#_x0000_t202" style="position:absolute;left:0;text-align:left;margin-left:0;margin-top:0;width:467.7pt;height:8.35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Hh8IFR/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64387"/>
      <w:docPartObj>
        <w:docPartGallery w:val="Page Numbers (Top of Page)"/>
        <w:docPartUnique/>
      </w:docPartObj>
    </w:sdtPr>
    <w:sdtEndPr>
      <w:rPr>
        <w:rFonts w:ascii="Times New Roman" w:hAnsi="Times New Roman" w:cs="Times New Roman"/>
        <w:noProof/>
        <w:szCs w:val="22"/>
      </w:rPr>
    </w:sdtEndPr>
    <w:sdtContent>
      <w:sdt>
        <w:sdtPr>
          <w:id w:val="-1605949732"/>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23</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59104761"/>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8720" behindDoc="1" locked="0" layoutInCell="0" allowOverlap="1" wp14:anchorId="3F9908FC" wp14:editId="6CFA895B">
              <wp:simplePos x="0" y="0"/>
              <wp:positionH relativeFrom="margin">
                <wp:align>center</wp:align>
              </wp:positionH>
              <wp:positionV relativeFrom="margin">
                <wp:align>center</wp:align>
              </wp:positionV>
              <wp:extent cx="5939790" cy="106045"/>
              <wp:effectExtent l="0" t="0" r="0" b="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9908FC" id="_x0000_t202" coordsize="21600,21600" o:spt="202" path="m,l,21600r21600,l21600,xe">
              <v:stroke joinstyle="miter"/>
              <v:path gradientshapeok="t" o:connecttype="rect"/>
            </v:shapetype>
            <v:shape id="_x0000_s1035" type="#_x0000_t202" style="position:absolute;left:0;text-align:left;margin-left:0;margin-top:0;width:467.7pt;height:8.35pt;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0kgA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VZJ0k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3831320"/>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8480" behindDoc="1" locked="0" layoutInCell="0" allowOverlap="1" wp14:anchorId="627451C8" wp14:editId="23724AE3">
              <wp:simplePos x="0" y="0"/>
              <wp:positionH relativeFrom="margin">
                <wp:align>center</wp:align>
              </wp:positionH>
              <wp:positionV relativeFrom="margin">
                <wp:align>center</wp:align>
              </wp:positionV>
              <wp:extent cx="5939790" cy="106045"/>
              <wp:effectExtent l="0" t="0" r="0" b="0"/>
              <wp:wrapNone/>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7451C8" id="_x0000_t202" coordsize="21600,21600" o:spt="202" path="m,l,21600r21600,l21600,xe">
              <v:stroke joinstyle="miter"/>
              <v:path gradientshapeok="t" o:connecttype="rect"/>
            </v:shapetype>
            <v:shape id="_x0000_s1036" type="#_x0000_t202" style="position:absolute;left:0;text-align:left;margin-left:0;margin-top:0;width:467.7pt;height:8.35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OYGYd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561568"/>
      <w:docPartObj>
        <w:docPartGallery w:val="Page Numbers (Top of Page)"/>
        <w:docPartUnique/>
      </w:docPartObj>
    </w:sdtPr>
    <w:sdtEndPr>
      <w:rPr>
        <w:rFonts w:ascii="Times New Roman" w:hAnsi="Times New Roman" w:cs="Times New Roman"/>
        <w:noProof/>
        <w:szCs w:val="22"/>
      </w:rPr>
    </w:sdtEndPr>
    <w:sdtContent>
      <w:sdt>
        <w:sdtPr>
          <w:id w:val="-1094084498"/>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24</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36060379"/>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79744" behindDoc="1" locked="0" layoutInCell="0" allowOverlap="1" wp14:anchorId="72AFA926" wp14:editId="57F909F8">
              <wp:simplePos x="0" y="0"/>
              <wp:positionH relativeFrom="margin">
                <wp:align>center</wp:align>
              </wp:positionH>
              <wp:positionV relativeFrom="margin">
                <wp:align>center</wp:align>
              </wp:positionV>
              <wp:extent cx="5939790" cy="106045"/>
              <wp:effectExtent l="0" t="0" r="0" b="0"/>
              <wp:wrapNone/>
              <wp:docPr id="2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AFA926" id="_x0000_t202" coordsize="21600,21600" o:spt="202" path="m,l,21600r21600,l21600,xe">
              <v:stroke joinstyle="miter"/>
              <v:path gradientshapeok="t" o:connecttype="rect"/>
            </v:shapetype>
            <v:shape id="_x0000_s1037" type="#_x0000_t202" style="position:absolute;left:0;text-align:left;margin-left:0;margin-top:0;width:467.7pt;height:8.35pt;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cu3zV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19396384"/>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69504" behindDoc="1" locked="0" layoutInCell="0" allowOverlap="1" wp14:anchorId="08004FFB" wp14:editId="0F08FE58">
              <wp:simplePos x="0" y="0"/>
              <wp:positionH relativeFrom="margin">
                <wp:align>center</wp:align>
              </wp:positionH>
              <wp:positionV relativeFrom="margin">
                <wp:align>center</wp:align>
              </wp:positionV>
              <wp:extent cx="5939790" cy="106045"/>
              <wp:effectExtent l="0" t="0" r="0" b="0"/>
              <wp:wrapNone/>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004FFB" id="_x0000_t202" coordsize="21600,21600" o:spt="202" path="m,l,21600r21600,l21600,xe">
              <v:stroke joinstyle="miter"/>
              <v:path gradientshapeok="t" o:connecttype="rect"/>
            </v:shapetype>
            <v:shape id="_x0000_s1038" type="#_x0000_t202" style="position:absolute;left:0;text-align:left;margin-left:0;margin-top:0;width:467.7pt;height:8.35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yVJ0N/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82673"/>
      <w:docPartObj>
        <w:docPartGallery w:val="Page Numbers (Top of Page)"/>
        <w:docPartUnique/>
      </w:docPartObj>
    </w:sdtPr>
    <w:sdtEndPr>
      <w:rPr>
        <w:rFonts w:ascii="Times New Roman" w:hAnsi="Times New Roman" w:cs="Times New Roman"/>
        <w:noProof/>
        <w:szCs w:val="22"/>
      </w:rPr>
    </w:sdtEndPr>
    <w:sdtContent>
      <w:sdt>
        <w:sdtPr>
          <w:id w:val="-1329289607"/>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25</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23564800"/>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80768" behindDoc="1" locked="0" layoutInCell="0" allowOverlap="1" wp14:anchorId="6712253F" wp14:editId="3E2BD354">
              <wp:simplePos x="0" y="0"/>
              <wp:positionH relativeFrom="margin">
                <wp:align>center</wp:align>
              </wp:positionH>
              <wp:positionV relativeFrom="margin">
                <wp:align>center</wp:align>
              </wp:positionV>
              <wp:extent cx="5939790" cy="106045"/>
              <wp:effectExtent l="0" t="0" r="0" b="0"/>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12253F" id="_x0000_t202" coordsize="21600,21600" o:spt="202" path="m,l,21600r21600,l21600,xe">
              <v:stroke joinstyle="miter"/>
              <v:path gradientshapeok="t" o:connecttype="rect"/>
            </v:shapetype>
            <v:shape id="_x0000_s1039" type="#_x0000_t202" style="position:absolute;left:0;text-align:left;margin-left:0;margin-top:0;width:467.7pt;height:8.35pt;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gpgQ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ROdnq0ygb4AfXr8UZV&#10;1H3bMSvQCzt1C1gcGqCxoCZ/hXWoP3R8PTwxayZZPKZ96I43KmoT4rZ88ifjXxBIdXhRkTNZBMoT&#10;4ykYJX9BjT0y1+iklYwiB8uNdSK5sMC7FWlO/4FweV+vY9TL32r5Ew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tGl4KY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8017479"/>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70528" behindDoc="1" locked="0" layoutInCell="0" allowOverlap="1" wp14:anchorId="32571781" wp14:editId="522D8F79">
              <wp:simplePos x="0" y="0"/>
              <wp:positionH relativeFrom="margin">
                <wp:align>center</wp:align>
              </wp:positionH>
              <wp:positionV relativeFrom="margin">
                <wp:align>center</wp:align>
              </wp:positionV>
              <wp:extent cx="5939790" cy="106045"/>
              <wp:effectExtent l="0" t="0" r="0" b="0"/>
              <wp:wrapNone/>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571781" id="_x0000_t202" coordsize="21600,21600" o:spt="202" path="m,l,21600r21600,l21600,xe">
              <v:stroke joinstyle="miter"/>
              <v:path gradientshapeok="t" o:connecttype="rect"/>
            </v:shapetype>
            <v:shape id="_x0000_s1040" type="#_x0000_t202" style="position:absolute;left:0;text-align:left;margin-left:0;margin-top:0;width:467.7pt;height:8.35pt;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BrHaV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7517"/>
      <w:docPartObj>
        <w:docPartGallery w:val="Page Numbers (Top of Page)"/>
        <w:docPartUnique/>
      </w:docPartObj>
    </w:sdtPr>
    <w:sdtEndPr>
      <w:rPr>
        <w:rFonts w:ascii="Times New Roman" w:hAnsi="Times New Roman" w:cs="Times New Roman"/>
        <w:noProof/>
      </w:rPr>
    </w:sdtEndPr>
    <w:sdtContent>
      <w:sdt>
        <w:sdtPr>
          <w:id w:val="-234548819"/>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3</w:t>
            </w:r>
          </w:p>
        </w:sdtContent>
      </w:sdt>
      <w:p w:rsidR="005A0DD7" w:rsidRDefault="005A0DD7" w:rsidP="003D1AC9">
        <w:pPr>
          <w:pStyle w:val="Header"/>
          <w:jc w:val="right"/>
          <w:rPr>
            <w:noProof/>
          </w:rPr>
        </w:pPr>
      </w:p>
      <w:p w:rsidR="005A0DD7" w:rsidRDefault="00EB182B" w:rsidP="003D1AC9">
        <w:pPr>
          <w:pStyle w:val="Header"/>
          <w:jc w:val="right"/>
          <w:rPr>
            <w:noProof/>
          </w:rPr>
        </w:pPr>
      </w:p>
    </w:sdtContent>
  </w:sdt>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6620"/>
      <w:docPartObj>
        <w:docPartGallery w:val="Page Numbers (Top of Page)"/>
        <w:docPartUnique/>
      </w:docPartObj>
    </w:sdtPr>
    <w:sdtEndPr>
      <w:rPr>
        <w:rFonts w:ascii="Times New Roman" w:hAnsi="Times New Roman" w:cs="Times New Roman"/>
        <w:noProof/>
        <w:szCs w:val="22"/>
      </w:rPr>
    </w:sdtEndPr>
    <w:sdtContent>
      <w:sdt>
        <w:sdtPr>
          <w:id w:val="-369221828"/>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26</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43657419"/>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81792" behindDoc="1" locked="0" layoutInCell="0" allowOverlap="1" wp14:anchorId="38E5E61B" wp14:editId="66B968C8">
              <wp:simplePos x="0" y="0"/>
              <wp:positionH relativeFrom="margin">
                <wp:align>center</wp:align>
              </wp:positionH>
              <wp:positionV relativeFrom="margin">
                <wp:align>center</wp:align>
              </wp:positionV>
              <wp:extent cx="5939790" cy="106045"/>
              <wp:effectExtent l="0" t="0" r="0" b="0"/>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E61B" id="_x0000_t202" coordsize="21600,21600" o:spt="202" path="m,l,21600r21600,l21600,xe">
              <v:stroke joinstyle="miter"/>
              <v:path gradientshapeok="t" o:connecttype="rect"/>
            </v:shapetype>
            <v:shape id="_x0000_s1041" type="#_x0000_t202" style="position:absolute;left:0;text-align:left;margin-left:0;margin-top:0;width:467.7pt;height:8.3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FXfj5t/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585683269"/>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71552" behindDoc="1" locked="0" layoutInCell="0" allowOverlap="1" wp14:anchorId="71F5ABBA" wp14:editId="78C9EE0F">
              <wp:simplePos x="0" y="0"/>
              <wp:positionH relativeFrom="margin">
                <wp:align>center</wp:align>
              </wp:positionH>
              <wp:positionV relativeFrom="margin">
                <wp:align>center</wp:align>
              </wp:positionV>
              <wp:extent cx="5939790" cy="106045"/>
              <wp:effectExtent l="0" t="0" r="0" b="0"/>
              <wp:wrapNone/>
              <wp:docPr id="2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F5ABBA" id="_x0000_t202" coordsize="21600,21600" o:spt="202" path="m,l,21600r21600,l21600,xe">
              <v:stroke joinstyle="miter"/>
              <v:path gradientshapeok="t" o:connecttype="rect"/>
            </v:shapetype>
            <v:shape id="_x0000_s1042" type="#_x0000_t202" style="position:absolute;left:0;text-align:left;margin-left:0;margin-top:0;width:467.7pt;height:8.35pt;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Cyqedn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4977"/>
      <w:docPartObj>
        <w:docPartGallery w:val="Page Numbers (Top of Page)"/>
        <w:docPartUnique/>
      </w:docPartObj>
    </w:sdtPr>
    <w:sdtEndPr>
      <w:rPr>
        <w:rFonts w:ascii="Times New Roman" w:hAnsi="Times New Roman" w:cs="Times New Roman"/>
        <w:noProof/>
        <w:szCs w:val="22"/>
      </w:rPr>
    </w:sdtEndPr>
    <w:sdtContent>
      <w:sdt>
        <w:sdtPr>
          <w:id w:val="-1255823125"/>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27</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54964245"/>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82816" behindDoc="1" locked="0" layoutInCell="0" allowOverlap="1" wp14:anchorId="75BEC070" wp14:editId="31E986CB">
              <wp:simplePos x="0" y="0"/>
              <wp:positionH relativeFrom="margin">
                <wp:align>center</wp:align>
              </wp:positionH>
              <wp:positionV relativeFrom="margin">
                <wp:align>center</wp:align>
              </wp:positionV>
              <wp:extent cx="5939790" cy="106045"/>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BEC070" id="_x0000_t202" coordsize="21600,21600" o:spt="202" path="m,l,21600r21600,l21600,xe">
              <v:stroke joinstyle="miter"/>
              <v:path gradientshapeok="t" o:connecttype="rect"/>
            </v:shapetype>
            <v:shape id="_x0000_s1043" type="#_x0000_t202" style="position:absolute;left:0;text-align:left;margin-left:0;margin-top:0;width:467.7pt;height:8.35pt;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vQ2LZ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89114942"/>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72576" behindDoc="1" locked="0" layoutInCell="0" allowOverlap="1" wp14:anchorId="66E4E832" wp14:editId="76ACA6D2">
              <wp:simplePos x="0" y="0"/>
              <wp:positionH relativeFrom="margin">
                <wp:align>center</wp:align>
              </wp:positionH>
              <wp:positionV relativeFrom="margin">
                <wp:align>center</wp:align>
              </wp:positionV>
              <wp:extent cx="5939790" cy="106045"/>
              <wp:effectExtent l="0" t="0" r="0" b="0"/>
              <wp:wrapNone/>
              <wp:docPr id="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4E832" id="_x0000_t202" coordsize="21600,21600" o:spt="202" path="m,l,21600r21600,l21600,xe">
              <v:stroke joinstyle="miter"/>
              <v:path gradientshapeok="t" o:connecttype="rect"/>
            </v:shapetype>
            <v:shape id="_x0000_s1044" type="#_x0000_t202" style="position:absolute;left:0;text-align:left;margin-left:0;margin-top:0;width:467.7pt;height:8.35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DPOr3S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61315"/>
      <w:docPartObj>
        <w:docPartGallery w:val="Page Numbers (Top of Page)"/>
        <w:docPartUnique/>
      </w:docPartObj>
    </w:sdtPr>
    <w:sdtEndPr>
      <w:rPr>
        <w:rFonts w:ascii="Times New Roman" w:hAnsi="Times New Roman" w:cs="Times New Roman"/>
        <w:noProof/>
        <w:szCs w:val="22"/>
      </w:rPr>
    </w:sdtEndPr>
    <w:sdtContent>
      <w:sdt>
        <w:sdtPr>
          <w:id w:val="1576241319"/>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28</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15211315"/>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3D1AC9">
    <w:pPr>
      <w:jc w:val="right"/>
    </w:pPr>
  </w:p>
  <w:p w:rsidR="005A0DD7" w:rsidRDefault="005A0DD7" w:rsidP="003D1AC9">
    <w:pPr>
      <w:jc w:val="right"/>
    </w:pPr>
  </w:p>
  <w:p w:rsidR="005A0DD7" w:rsidRDefault="005A0DD7" w:rsidP="003D1AC9">
    <w:pPr>
      <w:jc w:val="right"/>
    </w:pPr>
    <w:r>
      <w:rPr>
        <w:noProof/>
        <w:lang w:eastAsia="en-US"/>
      </w:rPr>
      <mc:AlternateContent>
        <mc:Choice Requires="wps">
          <w:drawing>
            <wp:anchor distT="0" distB="0" distL="114300" distR="114300" simplePos="0" relativeHeight="251683840" behindDoc="1" locked="0" layoutInCell="0" allowOverlap="1" wp14:anchorId="5888AC44" wp14:editId="0E458ECA">
              <wp:simplePos x="0" y="0"/>
              <wp:positionH relativeFrom="margin">
                <wp:align>center</wp:align>
              </wp:positionH>
              <wp:positionV relativeFrom="margin">
                <wp:align>center</wp:align>
              </wp:positionV>
              <wp:extent cx="5939790" cy="106045"/>
              <wp:effectExtent l="0" t="0" r="0" b="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88AC44" id="_x0000_t202" coordsize="21600,21600" o:spt="202" path="m,l,21600r21600,l21600,xe">
              <v:stroke joinstyle="miter"/>
              <v:path gradientshapeok="t" o:connecttype="rect"/>
            </v:shapetype>
            <v:shape id="_x0000_s1045" type="#_x0000_t202" style="position:absolute;left:0;text-align:left;margin-left:0;margin-top:0;width:467.7pt;height:8.35pt;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ogg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Gf56Gi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71706204"/>
      <w:docPartObj>
        <w:docPartGallery w:val="Page Numbers (Top of Page)"/>
        <w:docPartUnique/>
      </w:docPartObj>
    </w:sdtPr>
    <w:sdtEndPr>
      <w:rPr>
        <w:rStyle w:val="PageNumber"/>
      </w:rPr>
    </w:sdtEndPr>
    <w:sdtContent>
      <w:p w:rsidR="005A0DD7" w:rsidRPr="000420D2" w:rsidRDefault="005A0DD7"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5A0DD7" w:rsidRDefault="005A0DD7" w:rsidP="00477D6B">
    <w:pPr>
      <w:jc w:val="right"/>
    </w:pPr>
  </w:p>
  <w:p w:rsidR="005A0DD7" w:rsidRDefault="005A0DD7" w:rsidP="00477D6B">
    <w:pPr>
      <w:jc w:val="right"/>
    </w:pPr>
  </w:p>
  <w:p w:rsidR="005A0DD7" w:rsidRDefault="005A0DD7" w:rsidP="00477D6B">
    <w:pPr>
      <w:jc w:val="right"/>
    </w:pPr>
    <w:r>
      <w:rPr>
        <w:noProof/>
        <w:lang w:eastAsia="en-US"/>
      </w:rPr>
      <mc:AlternateContent>
        <mc:Choice Requires="wps">
          <w:drawing>
            <wp:anchor distT="0" distB="0" distL="114300" distR="114300" simplePos="0" relativeHeight="251673600" behindDoc="1" locked="0" layoutInCell="0" allowOverlap="1" wp14:anchorId="1D8385F2" wp14:editId="59B64EFB">
              <wp:simplePos x="0" y="0"/>
              <wp:positionH relativeFrom="margin">
                <wp:align>center</wp:align>
              </wp:positionH>
              <wp:positionV relativeFrom="margin">
                <wp:align>center</wp:align>
              </wp:positionV>
              <wp:extent cx="5939790" cy="106045"/>
              <wp:effectExtent l="0" t="0" r="0" b="0"/>
              <wp:wrapNone/>
              <wp:docPr id="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0DD7" w:rsidRDefault="005A0DD7"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8385F2" id="_x0000_t202" coordsize="21600,21600" o:spt="202" path="m,l,21600r21600,l21600,xe">
              <v:stroke joinstyle="miter"/>
              <v:path gradientshapeok="t" o:connecttype="rect"/>
            </v:shapetype>
            <v:shape id="_x0000_s1046" type="#_x0000_t202" style="position:absolute;left:0;text-align:left;margin-left:0;margin-top:0;width:467.7pt;height:8.35pt;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0+Jld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5A0DD7" w:rsidRDefault="005A0DD7"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013503"/>
      <w:docPartObj>
        <w:docPartGallery w:val="Page Numbers (Top of Page)"/>
        <w:docPartUnique/>
      </w:docPartObj>
    </w:sdtPr>
    <w:sdtEndPr>
      <w:rPr>
        <w:rFonts w:ascii="Times New Roman" w:hAnsi="Times New Roman" w:cs="Times New Roman"/>
        <w:noProof/>
        <w:szCs w:val="22"/>
      </w:rPr>
    </w:sdtEndPr>
    <w:sdtContent>
      <w:sdt>
        <w:sdtPr>
          <w:id w:val="-1003661737"/>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29</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634"/>
      <w:docPartObj>
        <w:docPartGallery w:val="Page Numbers (Top of Page)"/>
        <w:docPartUnique/>
      </w:docPartObj>
    </w:sdtPr>
    <w:sdtEndPr>
      <w:rPr>
        <w:rFonts w:ascii="Times New Roman" w:hAnsi="Times New Roman" w:cs="Times New Roman"/>
        <w:noProof/>
      </w:rPr>
    </w:sdtEndPr>
    <w:sdtContent>
      <w:p w:rsidR="005A0DD7" w:rsidRPr="00326029" w:rsidRDefault="005A0DD7"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5A0DD7" w:rsidRDefault="005A0DD7" w:rsidP="003D1AC9">
    <w:pPr>
      <w:jc w:val="right"/>
    </w:pPr>
  </w:p>
  <w:p w:rsidR="005A0DD7" w:rsidRDefault="005A0DD7" w:rsidP="003D1AC9">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6" w:name="Code2"/>
    <w:bookmarkEnd w:id="6"/>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115195"/>
      <w:docPartObj>
        <w:docPartGallery w:val="Page Numbers (Top of Page)"/>
        <w:docPartUnique/>
      </w:docPartObj>
    </w:sdtPr>
    <w:sdtEndPr>
      <w:rPr>
        <w:rFonts w:ascii="Times New Roman" w:hAnsi="Times New Roman" w:cs="Times New Roman"/>
        <w:noProof/>
        <w:szCs w:val="22"/>
      </w:rPr>
    </w:sdtEndPr>
    <w:sdtContent>
      <w:sdt>
        <w:sdtPr>
          <w:id w:val="-970743548"/>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Pr="0062775E" w:rsidRDefault="005A0DD7" w:rsidP="003D1AC9">
            <w:pPr>
              <w:pStyle w:val="Header"/>
              <w:jc w:val="right"/>
              <w:rPr>
                <w:noProof/>
              </w:rPr>
            </w:pPr>
            <w:r>
              <w:t>Annex, page</w:t>
            </w:r>
            <w:r>
              <w:rPr>
                <w:noProof/>
              </w:rPr>
              <w:t xml:space="preserve"> 30</w:t>
            </w:r>
          </w:p>
        </w:sdtContent>
      </w:sdt>
    </w:sdtContent>
  </w:sdt>
  <w:p w:rsidR="005A0DD7" w:rsidRDefault="005A0DD7" w:rsidP="003D1AC9">
    <w:pPr>
      <w:pStyle w:val="Header"/>
      <w:jc w:val="right"/>
      <w:rPr>
        <w:szCs w:val="22"/>
      </w:rPr>
    </w:pPr>
  </w:p>
  <w:p w:rsidR="005A0DD7" w:rsidRPr="00E3740E" w:rsidRDefault="005A0DD7" w:rsidP="003D1AC9">
    <w:pPr>
      <w:pStyle w:val="Header"/>
      <w:jc w:val="right"/>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rsidR="005A0DD7" w:rsidRDefault="005A0DD7" w:rsidP="003D1AC9">
            <w:pPr>
              <w:pStyle w:val="Header"/>
              <w:jc w:val="right"/>
            </w:pPr>
            <w:r>
              <w:t>WIPO/GRTKF/IC/42/5</w:t>
            </w:r>
          </w:p>
          <w:p w:rsidR="005A0DD7" w:rsidRDefault="005A0DD7" w:rsidP="003D1AC9">
            <w:pPr>
              <w:pStyle w:val="Header"/>
              <w:jc w:val="right"/>
              <w:rPr>
                <w:noProof/>
              </w:rPr>
            </w:pPr>
            <w:r>
              <w:t>Annex, page</w:t>
            </w:r>
            <w:r>
              <w:rPr>
                <w:noProof/>
              </w:rPr>
              <w:t xml:space="preserve"> 5</w:t>
            </w:r>
          </w:p>
        </w:sdtContent>
      </w:sdt>
    </w:sdtContent>
  </w:sdt>
  <w:p w:rsidR="005A0DD7" w:rsidRDefault="005A0DD7" w:rsidP="00477D6B">
    <w:pPr>
      <w:jc w:val="right"/>
    </w:pPr>
  </w:p>
  <w:p w:rsidR="005A0DD7" w:rsidRDefault="005A0DD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1"/>
  </w:num>
  <w:num w:numId="9">
    <w:abstractNumId w:val="3"/>
  </w:num>
  <w:num w:numId="10">
    <w:abstractNumId w:val="12"/>
  </w:num>
  <w:num w:numId="11">
    <w:abstractNumId w:val="10"/>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195B63"/>
    <w:rsid w:val="0021217E"/>
    <w:rsid w:val="002634C4"/>
    <w:rsid w:val="002928D3"/>
    <w:rsid w:val="002F1FE6"/>
    <w:rsid w:val="002F4E68"/>
    <w:rsid w:val="00312F7F"/>
    <w:rsid w:val="00323422"/>
    <w:rsid w:val="00361450"/>
    <w:rsid w:val="003673CF"/>
    <w:rsid w:val="003845C1"/>
    <w:rsid w:val="003A6F89"/>
    <w:rsid w:val="003B38C1"/>
    <w:rsid w:val="003B3D95"/>
    <w:rsid w:val="00423E3E"/>
    <w:rsid w:val="00427AF4"/>
    <w:rsid w:val="004647DA"/>
    <w:rsid w:val="00474062"/>
    <w:rsid w:val="00477D6B"/>
    <w:rsid w:val="005019FF"/>
    <w:rsid w:val="0053057A"/>
    <w:rsid w:val="00560A29"/>
    <w:rsid w:val="005A0DD7"/>
    <w:rsid w:val="005C6649"/>
    <w:rsid w:val="00605827"/>
    <w:rsid w:val="00646050"/>
    <w:rsid w:val="006713CA"/>
    <w:rsid w:val="00676C5C"/>
    <w:rsid w:val="00787607"/>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23D5B"/>
    <w:rsid w:val="00B4759F"/>
    <w:rsid w:val="00B9734B"/>
    <w:rsid w:val="00BA30E2"/>
    <w:rsid w:val="00BC7DD2"/>
    <w:rsid w:val="00C11BFE"/>
    <w:rsid w:val="00C5068F"/>
    <w:rsid w:val="00C86D74"/>
    <w:rsid w:val="00CD04F1"/>
    <w:rsid w:val="00D45252"/>
    <w:rsid w:val="00D71B4D"/>
    <w:rsid w:val="00D93D55"/>
    <w:rsid w:val="00DD3F47"/>
    <w:rsid w:val="00E15015"/>
    <w:rsid w:val="00E335FE"/>
    <w:rsid w:val="00EA7D6E"/>
    <w:rsid w:val="00EB182B"/>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A0DD7"/>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5A0DD7"/>
    <w:rPr>
      <w:rFonts w:ascii="Arial" w:eastAsia="SimSun" w:hAnsi="Arial" w:cs="Arial"/>
      <w:sz w:val="22"/>
      <w:lang w:val="en-US" w:eastAsia="zh-CN"/>
    </w:rPr>
  </w:style>
  <w:style w:type="character" w:styleId="FootnoteReference">
    <w:name w:val="footnote reference"/>
    <w:rsid w:val="005A0DD7"/>
    <w:rPr>
      <w:vertAlign w:val="superscript"/>
    </w:rPr>
  </w:style>
  <w:style w:type="character" w:customStyle="1" w:styleId="FootnoteTextChar">
    <w:name w:val="Footnote Text Char"/>
    <w:link w:val="FootnoteText"/>
    <w:semiHidden/>
    <w:rsid w:val="005A0DD7"/>
    <w:rPr>
      <w:rFonts w:ascii="Arial" w:eastAsia="SimSun" w:hAnsi="Arial" w:cs="Arial"/>
      <w:sz w:val="18"/>
      <w:lang w:val="en-US" w:eastAsia="zh-CN"/>
    </w:rPr>
  </w:style>
  <w:style w:type="character" w:styleId="PageNumber">
    <w:name w:val="page number"/>
    <w:basedOn w:val="DefaultParagraphFont"/>
    <w:rsid w:val="005A0DD7"/>
  </w:style>
  <w:style w:type="character" w:customStyle="1" w:styleId="CommentTextChar">
    <w:name w:val="Comment Text Char"/>
    <w:basedOn w:val="DefaultParagraphFont"/>
    <w:link w:val="CommentText"/>
    <w:semiHidden/>
    <w:rsid w:val="005A0DD7"/>
    <w:rPr>
      <w:rFonts w:ascii="Arial" w:eastAsia="SimSun" w:hAnsi="Arial" w:cs="Arial"/>
      <w:sz w:val="18"/>
      <w:lang w:val="en-US" w:eastAsia="zh-CN"/>
    </w:rPr>
  </w:style>
  <w:style w:type="paragraph" w:styleId="NormalWeb">
    <w:name w:val="Normal (Web)"/>
    <w:basedOn w:val="Normal"/>
    <w:uiPriority w:val="99"/>
    <w:unhideWhenUsed/>
    <w:rsid w:val="005A0DD7"/>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5A0DD7"/>
  </w:style>
  <w:style w:type="character" w:styleId="Strong">
    <w:name w:val="Strong"/>
    <w:basedOn w:val="DefaultParagraphFont"/>
    <w:uiPriority w:val="22"/>
    <w:qFormat/>
    <w:rsid w:val="005A0DD7"/>
    <w:rPr>
      <w:b/>
      <w:bCs/>
    </w:rPr>
  </w:style>
  <w:style w:type="character" w:customStyle="1" w:styleId="Heading2Char">
    <w:name w:val="Heading 2 Char"/>
    <w:basedOn w:val="DefaultParagraphFont"/>
    <w:link w:val="Heading2"/>
    <w:rsid w:val="005A0DD7"/>
    <w:rPr>
      <w:rFonts w:ascii="Arial" w:eastAsia="SimSun" w:hAnsi="Arial" w:cs="Arial"/>
      <w:bCs/>
      <w:iCs/>
      <w:caps/>
      <w:sz w:val="22"/>
      <w:szCs w:val="28"/>
      <w:lang w:val="en-US" w:eastAsia="zh-CN"/>
    </w:rPr>
  </w:style>
  <w:style w:type="character" w:styleId="Emphasis">
    <w:name w:val="Emphasis"/>
    <w:basedOn w:val="DefaultParagraphFont"/>
    <w:uiPriority w:val="20"/>
    <w:qFormat/>
    <w:rsid w:val="005A0DD7"/>
    <w:rPr>
      <w:i/>
      <w:iCs/>
    </w:rPr>
  </w:style>
  <w:style w:type="character" w:customStyle="1" w:styleId="FooterChar">
    <w:name w:val="Footer Char"/>
    <w:basedOn w:val="DefaultParagraphFont"/>
    <w:link w:val="Footer"/>
    <w:semiHidden/>
    <w:rsid w:val="005A0DD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footer" Target="footer16.xml"/><Relationship Id="rId63" Type="http://schemas.openxmlformats.org/officeDocument/2006/relationships/footer" Target="footer26.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footer" Target="footer74.xml"/><Relationship Id="rId107" Type="http://schemas.openxmlformats.org/officeDocument/2006/relationships/header" Target="header52.xml"/><Relationship Id="rId11" Type="http://schemas.openxmlformats.org/officeDocument/2006/relationships/header" Target="header3.xml"/><Relationship Id="rId32" Type="http://schemas.openxmlformats.org/officeDocument/2006/relationships/header" Target="header15.xml"/><Relationship Id="rId53" Type="http://schemas.openxmlformats.org/officeDocument/2006/relationships/header" Target="header25.xml"/><Relationship Id="rId74" Type="http://schemas.openxmlformats.org/officeDocument/2006/relationships/header" Target="header36.xml"/><Relationship Id="rId128" Type="http://schemas.openxmlformats.org/officeDocument/2006/relationships/header" Target="header63.xml"/><Relationship Id="rId149" Type="http://schemas.openxmlformats.org/officeDocument/2006/relationships/header" Target="header73.xml"/><Relationship Id="rId5" Type="http://schemas.openxmlformats.org/officeDocument/2006/relationships/footnotes" Target="footnotes.xml"/><Relationship Id="rId95" Type="http://schemas.openxmlformats.org/officeDocument/2006/relationships/header" Target="header46.xml"/><Relationship Id="rId160" Type="http://schemas.openxmlformats.org/officeDocument/2006/relationships/footer" Target="footer75.xml"/><Relationship Id="rId22" Type="http://schemas.openxmlformats.org/officeDocument/2006/relationships/footer" Target="footer6.xml"/><Relationship Id="rId43" Type="http://schemas.openxmlformats.org/officeDocument/2006/relationships/header" Target="header20.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header" Target="header68.xml"/><Relationship Id="rId85" Type="http://schemas.openxmlformats.org/officeDocument/2006/relationships/header" Target="header41.xml"/><Relationship Id="rId150" Type="http://schemas.openxmlformats.org/officeDocument/2006/relationships/footer" Target="footer70.xml"/><Relationship Id="rId12" Type="http://schemas.openxmlformats.org/officeDocument/2006/relationships/header" Target="header4.xml"/><Relationship Id="rId33" Type="http://schemas.openxmlformats.org/officeDocument/2006/relationships/footer" Target="footer11.xml"/><Relationship Id="rId108" Type="http://schemas.openxmlformats.org/officeDocument/2006/relationships/footer" Target="footer49.xml"/><Relationship Id="rId129" Type="http://schemas.openxmlformats.org/officeDocument/2006/relationships/footer" Target="footer59.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4.xml"/><Relationship Id="rId96" Type="http://schemas.openxmlformats.org/officeDocument/2006/relationships/footer" Target="footer43.xml"/><Relationship Id="rId140" Type="http://schemas.openxmlformats.org/officeDocument/2006/relationships/header" Target="header69.xml"/><Relationship Id="rId145" Type="http://schemas.openxmlformats.org/officeDocument/2006/relationships/header" Target="header71.xml"/><Relationship Id="rId161" Type="http://schemas.openxmlformats.org/officeDocument/2006/relationships/header" Target="header79.xml"/><Relationship Id="rId166" Type="http://schemas.openxmlformats.org/officeDocument/2006/relationships/footer" Target="footer7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footer" Target="footer9.xml"/><Relationship Id="rId49" Type="http://schemas.openxmlformats.org/officeDocument/2006/relationships/header" Target="header23.xml"/><Relationship Id="rId114" Type="http://schemas.openxmlformats.org/officeDocument/2006/relationships/footer" Target="footer52.xml"/><Relationship Id="rId119" Type="http://schemas.openxmlformats.org/officeDocument/2006/relationships/header" Target="header58.xml"/><Relationship Id="rId44"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header" Target="header31.xml"/><Relationship Id="rId81" Type="http://schemas.openxmlformats.org/officeDocument/2006/relationships/footer" Target="footer35.xml"/><Relationship Id="rId86" Type="http://schemas.openxmlformats.org/officeDocument/2006/relationships/header" Target="header42.xml"/><Relationship Id="rId130" Type="http://schemas.openxmlformats.org/officeDocument/2006/relationships/footer" Target="footer60.xml"/><Relationship Id="rId135" Type="http://schemas.openxmlformats.org/officeDocument/2006/relationships/footer" Target="footer62.xml"/><Relationship Id="rId151" Type="http://schemas.openxmlformats.org/officeDocument/2006/relationships/header" Target="header74.xml"/><Relationship Id="rId156" Type="http://schemas.openxmlformats.org/officeDocument/2006/relationships/footer" Target="footer73.xml"/><Relationship Id="rId13" Type="http://schemas.openxmlformats.org/officeDocument/2006/relationships/header" Target="header5.xml"/><Relationship Id="rId18" Type="http://schemas.openxmlformats.org/officeDocument/2006/relationships/footer" Target="footer4.xml"/><Relationship Id="rId39" Type="http://schemas.openxmlformats.org/officeDocument/2006/relationships/footer" Target="footer14.xml"/><Relationship Id="rId109" Type="http://schemas.openxmlformats.org/officeDocument/2006/relationships/header" Target="header53.xml"/><Relationship Id="rId34" Type="http://schemas.openxmlformats.org/officeDocument/2006/relationships/footer" Target="footer12.xml"/><Relationship Id="rId50" Type="http://schemas.openxmlformats.org/officeDocument/2006/relationships/header" Target="header24.xml"/><Relationship Id="rId55" Type="http://schemas.openxmlformats.org/officeDocument/2006/relationships/header" Target="header26.xml"/><Relationship Id="rId76" Type="http://schemas.openxmlformats.org/officeDocument/2006/relationships/footer" Target="footer33.xml"/><Relationship Id="rId97" Type="http://schemas.openxmlformats.org/officeDocument/2006/relationships/header" Target="header47.xml"/><Relationship Id="rId104" Type="http://schemas.openxmlformats.org/officeDocument/2006/relationships/header" Target="header51.xml"/><Relationship Id="rId120" Type="http://schemas.openxmlformats.org/officeDocument/2006/relationships/footer" Target="footer55.xml"/><Relationship Id="rId125" Type="http://schemas.openxmlformats.org/officeDocument/2006/relationships/header" Target="header61.xml"/><Relationship Id="rId141" Type="http://schemas.openxmlformats.org/officeDocument/2006/relationships/footer" Target="footer65.xml"/><Relationship Id="rId146" Type="http://schemas.openxmlformats.org/officeDocument/2006/relationships/header" Target="header72.xml"/><Relationship Id="rId167" Type="http://schemas.openxmlformats.org/officeDocument/2006/relationships/header" Target="header82.xml"/><Relationship Id="rId7" Type="http://schemas.openxmlformats.org/officeDocument/2006/relationships/image" Target="media/image1.jpeg"/><Relationship Id="rId71" Type="http://schemas.openxmlformats.org/officeDocument/2006/relationships/header" Target="header34.xml"/><Relationship Id="rId92" Type="http://schemas.openxmlformats.org/officeDocument/2006/relationships/header" Target="header45.xml"/><Relationship Id="rId162" Type="http://schemas.openxmlformats.org/officeDocument/2006/relationships/footer" Target="footer76.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footer" Target="footer17.xml"/><Relationship Id="rId66" Type="http://schemas.openxmlformats.org/officeDocument/2006/relationships/footer" Target="footer28.xml"/><Relationship Id="rId87" Type="http://schemas.openxmlformats.org/officeDocument/2006/relationships/footer" Target="footer38.xml"/><Relationship Id="rId110" Type="http://schemas.openxmlformats.org/officeDocument/2006/relationships/header" Target="header54.xml"/><Relationship Id="rId115" Type="http://schemas.openxmlformats.org/officeDocument/2006/relationships/header" Target="header56.xml"/><Relationship Id="rId131" Type="http://schemas.openxmlformats.org/officeDocument/2006/relationships/header" Target="header64.xml"/><Relationship Id="rId136" Type="http://schemas.openxmlformats.org/officeDocument/2006/relationships/footer" Target="footer63.xml"/><Relationship Id="rId157" Type="http://schemas.openxmlformats.org/officeDocument/2006/relationships/header" Target="header77.xml"/><Relationship Id="rId61" Type="http://schemas.openxmlformats.org/officeDocument/2006/relationships/header" Target="header29.xml"/><Relationship Id="rId82" Type="http://schemas.openxmlformats.org/officeDocument/2006/relationships/footer" Target="footer36.xml"/><Relationship Id="rId152" Type="http://schemas.openxmlformats.org/officeDocument/2006/relationships/header" Target="header75.xml"/><Relationship Id="rId19" Type="http://schemas.openxmlformats.org/officeDocument/2006/relationships/header" Target="header8.xml"/><Relationship Id="rId14" Type="http://schemas.openxmlformats.org/officeDocument/2006/relationships/header" Target="header6.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7.xml"/><Relationship Id="rId77" Type="http://schemas.openxmlformats.org/officeDocument/2006/relationships/header" Target="header37.xml"/><Relationship Id="rId100" Type="http://schemas.openxmlformats.org/officeDocument/2006/relationships/footer" Target="footer45.xml"/><Relationship Id="rId105" Type="http://schemas.openxmlformats.org/officeDocument/2006/relationships/footer" Target="footer47.xml"/><Relationship Id="rId126" Type="http://schemas.openxmlformats.org/officeDocument/2006/relationships/footer" Target="footer58.xml"/><Relationship Id="rId147" Type="http://schemas.openxmlformats.org/officeDocument/2006/relationships/footer" Target="footer68.xml"/><Relationship Id="rId16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31.xml"/><Relationship Id="rId93" Type="http://schemas.openxmlformats.org/officeDocument/2006/relationships/footer" Target="footer41.xml"/><Relationship Id="rId98" Type="http://schemas.openxmlformats.org/officeDocument/2006/relationships/header" Target="header48.xml"/><Relationship Id="rId121" Type="http://schemas.openxmlformats.org/officeDocument/2006/relationships/header" Target="header59.xml"/><Relationship Id="rId142" Type="http://schemas.openxmlformats.org/officeDocument/2006/relationships/footer" Target="footer66.xml"/><Relationship Id="rId163" Type="http://schemas.openxmlformats.org/officeDocument/2006/relationships/header" Target="header80.xml"/><Relationship Id="rId3" Type="http://schemas.openxmlformats.org/officeDocument/2006/relationships/settings" Target="settings.xml"/><Relationship Id="rId25" Type="http://schemas.openxmlformats.org/officeDocument/2006/relationships/header" Target="header11.xml"/><Relationship Id="rId46" Type="http://schemas.openxmlformats.org/officeDocument/2006/relationships/footer" Target="footer18.xml"/><Relationship Id="rId67" Type="http://schemas.openxmlformats.org/officeDocument/2006/relationships/header" Target="header32.xml"/><Relationship Id="rId116" Type="http://schemas.openxmlformats.org/officeDocument/2006/relationships/header" Target="header57.xml"/><Relationship Id="rId137" Type="http://schemas.openxmlformats.org/officeDocument/2006/relationships/header" Target="header67.xml"/><Relationship Id="rId158" Type="http://schemas.openxmlformats.org/officeDocument/2006/relationships/header" Target="header78.xml"/><Relationship Id="rId20" Type="http://schemas.openxmlformats.org/officeDocument/2006/relationships/header" Target="header9.xml"/><Relationship Id="rId41" Type="http://schemas.openxmlformats.org/officeDocument/2006/relationships/header" Target="header19.xml"/><Relationship Id="rId62" Type="http://schemas.openxmlformats.org/officeDocument/2006/relationships/header" Target="header30.xml"/><Relationship Id="rId83" Type="http://schemas.openxmlformats.org/officeDocument/2006/relationships/header" Target="header40.xml"/><Relationship Id="rId88" Type="http://schemas.openxmlformats.org/officeDocument/2006/relationships/footer" Target="footer39.xml"/><Relationship Id="rId111" Type="http://schemas.openxmlformats.org/officeDocument/2006/relationships/footer" Target="footer50.xml"/><Relationship Id="rId132" Type="http://schemas.openxmlformats.org/officeDocument/2006/relationships/footer" Target="footer61.xml"/><Relationship Id="rId153" Type="http://schemas.openxmlformats.org/officeDocument/2006/relationships/footer" Target="footer71.xml"/><Relationship Id="rId15" Type="http://schemas.openxmlformats.org/officeDocument/2006/relationships/footer" Target="footer2.xml"/><Relationship Id="rId36" Type="http://schemas.openxmlformats.org/officeDocument/2006/relationships/footer" Target="footer13.xml"/><Relationship Id="rId57" Type="http://schemas.openxmlformats.org/officeDocument/2006/relationships/footer" Target="footer23.xml"/><Relationship Id="rId106" Type="http://schemas.openxmlformats.org/officeDocument/2006/relationships/footer" Target="footer48.xml"/><Relationship Id="rId127" Type="http://schemas.openxmlformats.org/officeDocument/2006/relationships/header" Target="header62.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21.xml"/><Relationship Id="rId73" Type="http://schemas.openxmlformats.org/officeDocument/2006/relationships/header" Target="header35.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footer" Target="footer44.xml"/><Relationship Id="rId101" Type="http://schemas.openxmlformats.org/officeDocument/2006/relationships/header" Target="header49.xml"/><Relationship Id="rId122" Type="http://schemas.openxmlformats.org/officeDocument/2006/relationships/header" Target="header60.xml"/><Relationship Id="rId143" Type="http://schemas.openxmlformats.org/officeDocument/2006/relationships/header" Target="header70.xml"/><Relationship Id="rId148" Type="http://schemas.openxmlformats.org/officeDocument/2006/relationships/footer" Target="footer69.xml"/><Relationship Id="rId164" Type="http://schemas.openxmlformats.org/officeDocument/2006/relationships/header" Target="header8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2.xml"/><Relationship Id="rId47" Type="http://schemas.openxmlformats.org/officeDocument/2006/relationships/header" Target="header22.xml"/><Relationship Id="rId68" Type="http://schemas.openxmlformats.org/officeDocument/2006/relationships/header" Target="header33.xml"/><Relationship Id="rId89" Type="http://schemas.openxmlformats.org/officeDocument/2006/relationships/header" Target="header43.xml"/><Relationship Id="rId112" Type="http://schemas.openxmlformats.org/officeDocument/2006/relationships/footer" Target="footer51.xml"/><Relationship Id="rId133" Type="http://schemas.openxmlformats.org/officeDocument/2006/relationships/header" Target="header65.xml"/><Relationship Id="rId154" Type="http://schemas.openxmlformats.org/officeDocument/2006/relationships/footer" Target="footer72.xml"/><Relationship Id="rId16" Type="http://schemas.openxmlformats.org/officeDocument/2006/relationships/footer" Target="footer3.xml"/><Relationship Id="rId37" Type="http://schemas.openxmlformats.org/officeDocument/2006/relationships/header" Target="header17.xml"/><Relationship Id="rId58" Type="http://schemas.openxmlformats.org/officeDocument/2006/relationships/footer" Target="footer24.xml"/><Relationship Id="rId79" Type="http://schemas.openxmlformats.org/officeDocument/2006/relationships/header" Target="header38.xml"/><Relationship Id="rId102" Type="http://schemas.openxmlformats.org/officeDocument/2006/relationships/footer" Target="footer46.xml"/><Relationship Id="rId123" Type="http://schemas.openxmlformats.org/officeDocument/2006/relationships/footer" Target="footer56.xml"/><Relationship Id="rId144" Type="http://schemas.openxmlformats.org/officeDocument/2006/relationships/footer" Target="footer67.xml"/><Relationship Id="rId90" Type="http://schemas.openxmlformats.org/officeDocument/2006/relationships/footer" Target="footer40.xml"/><Relationship Id="rId165" Type="http://schemas.openxmlformats.org/officeDocument/2006/relationships/footer" Target="footer77.xml"/><Relationship Id="rId27" Type="http://schemas.openxmlformats.org/officeDocument/2006/relationships/footer" Target="footer8.xml"/><Relationship Id="rId48" Type="http://schemas.openxmlformats.org/officeDocument/2006/relationships/footer" Target="footer19.xml"/><Relationship Id="rId69" Type="http://schemas.openxmlformats.org/officeDocument/2006/relationships/footer" Target="footer29.xml"/><Relationship Id="rId113" Type="http://schemas.openxmlformats.org/officeDocument/2006/relationships/header" Target="header55.xml"/><Relationship Id="rId134" Type="http://schemas.openxmlformats.org/officeDocument/2006/relationships/header" Target="header66.xml"/><Relationship Id="rId80" Type="http://schemas.openxmlformats.org/officeDocument/2006/relationships/header" Target="header39.xml"/><Relationship Id="rId155" Type="http://schemas.openxmlformats.org/officeDocument/2006/relationships/header" Target="header76.xml"/><Relationship Id="rId17" Type="http://schemas.openxmlformats.org/officeDocument/2006/relationships/header" Target="header7.xml"/><Relationship Id="rId38" Type="http://schemas.openxmlformats.org/officeDocument/2006/relationships/header" Target="header18.xml"/><Relationship Id="rId59" Type="http://schemas.openxmlformats.org/officeDocument/2006/relationships/header" Target="header28.xml"/><Relationship Id="rId103" Type="http://schemas.openxmlformats.org/officeDocument/2006/relationships/header" Target="header50.xml"/><Relationship Id="rId124" Type="http://schemas.openxmlformats.org/officeDocument/2006/relationships/footer" Target="footer5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14</TotalTime>
  <Pages>32</Pages>
  <Words>5515</Words>
  <Characters>30173</Characters>
  <Application>Microsoft Office Word</Application>
  <DocSecurity>0</DocSecurity>
  <Lines>718</Lines>
  <Paragraphs>220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8</cp:revision>
  <cp:lastPrinted>2011-02-15T11:56:00Z</cp:lastPrinted>
  <dcterms:created xsi:type="dcterms:W3CDTF">2021-05-11T15:33:00Z</dcterms:created>
  <dcterms:modified xsi:type="dcterms:W3CDTF">2021-12-17T08:57:00Z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