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B4407" w:rsidRPr="008B2CC1" w14:paraId="79F52202" w14:textId="77777777" w:rsidTr="006D7402">
        <w:tc>
          <w:tcPr>
            <w:tcW w:w="4513" w:type="dxa"/>
            <w:tcBorders>
              <w:bottom w:val="single" w:sz="4" w:space="0" w:color="auto"/>
            </w:tcBorders>
            <w:tcMar>
              <w:bottom w:w="170" w:type="dxa"/>
            </w:tcMar>
          </w:tcPr>
          <w:p w14:paraId="6153C31A" w14:textId="77777777" w:rsidR="009B4407" w:rsidRPr="008B2CC1" w:rsidRDefault="009B4407" w:rsidP="006D7402">
            <w:bookmarkStart w:id="0" w:name="_GoBack"/>
            <w:bookmarkEnd w:id="0"/>
          </w:p>
        </w:tc>
        <w:tc>
          <w:tcPr>
            <w:tcW w:w="4337" w:type="dxa"/>
            <w:tcBorders>
              <w:bottom w:val="single" w:sz="4" w:space="0" w:color="auto"/>
            </w:tcBorders>
            <w:tcMar>
              <w:left w:w="0" w:type="dxa"/>
              <w:right w:w="0" w:type="dxa"/>
            </w:tcMar>
          </w:tcPr>
          <w:p w14:paraId="6570A62B" w14:textId="77777777" w:rsidR="009B4407" w:rsidRPr="008B2CC1" w:rsidRDefault="009B4407" w:rsidP="006D7402">
            <w:r>
              <w:rPr>
                <w:noProof/>
                <w:lang w:eastAsia="en-US"/>
              </w:rPr>
              <w:drawing>
                <wp:inline distT="0" distB="0" distL="0" distR="0" wp14:anchorId="3F67CBEB" wp14:editId="0C06D03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DA3A4C7" w14:textId="77777777" w:rsidR="009B4407" w:rsidRPr="008B2CC1" w:rsidRDefault="009B4407" w:rsidP="006D7402">
            <w:pPr>
              <w:jc w:val="right"/>
            </w:pPr>
            <w:r w:rsidRPr="00605827">
              <w:rPr>
                <w:b/>
                <w:sz w:val="40"/>
                <w:szCs w:val="40"/>
              </w:rPr>
              <w:t>E</w:t>
            </w:r>
          </w:p>
        </w:tc>
      </w:tr>
      <w:tr w:rsidR="009B4407" w:rsidRPr="001832A6" w14:paraId="0088B987" w14:textId="77777777" w:rsidTr="006D7402">
        <w:trPr>
          <w:trHeight w:hRule="exact" w:val="357"/>
        </w:trPr>
        <w:tc>
          <w:tcPr>
            <w:tcW w:w="9356" w:type="dxa"/>
            <w:gridSpan w:val="3"/>
            <w:tcBorders>
              <w:top w:val="single" w:sz="4" w:space="0" w:color="auto"/>
            </w:tcBorders>
            <w:tcMar>
              <w:top w:w="170" w:type="dxa"/>
              <w:left w:w="0" w:type="dxa"/>
              <w:right w:w="0" w:type="dxa"/>
            </w:tcMar>
            <w:vAlign w:val="bottom"/>
          </w:tcPr>
          <w:p w14:paraId="4C269E03" w14:textId="16C60D63" w:rsidR="009B4407" w:rsidRPr="0090731E" w:rsidRDefault="000D7B8B" w:rsidP="006D7402">
            <w:pPr>
              <w:jc w:val="right"/>
              <w:rPr>
                <w:rFonts w:ascii="Arial Black" w:hAnsi="Arial Black"/>
                <w:caps/>
                <w:sz w:val="15"/>
              </w:rPr>
            </w:pPr>
            <w:r w:rsidRPr="000D7B8B">
              <w:rPr>
                <w:rFonts w:ascii="Arial Black" w:hAnsi="Arial Black"/>
                <w:caps/>
                <w:sz w:val="15"/>
              </w:rPr>
              <w:t>WIPO/GRTKF/IC/41/8</w:t>
            </w:r>
          </w:p>
        </w:tc>
      </w:tr>
      <w:tr w:rsidR="009B4407" w:rsidRPr="001832A6" w14:paraId="3B09261F" w14:textId="77777777" w:rsidTr="006D7402">
        <w:trPr>
          <w:trHeight w:hRule="exact" w:val="170"/>
        </w:trPr>
        <w:tc>
          <w:tcPr>
            <w:tcW w:w="9356" w:type="dxa"/>
            <w:gridSpan w:val="3"/>
            <w:noWrap/>
            <w:tcMar>
              <w:left w:w="0" w:type="dxa"/>
              <w:right w:w="0" w:type="dxa"/>
            </w:tcMar>
            <w:vAlign w:val="bottom"/>
          </w:tcPr>
          <w:p w14:paraId="18421AC1" w14:textId="77777777" w:rsidR="009B4407" w:rsidRPr="0090731E" w:rsidRDefault="009B4407" w:rsidP="006D740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1" w:name="Original"/>
            <w:bookmarkEnd w:id="1"/>
            <w:r w:rsidRPr="0090731E">
              <w:rPr>
                <w:rFonts w:ascii="Arial Black" w:hAnsi="Arial Black"/>
                <w:caps/>
                <w:sz w:val="15"/>
              </w:rPr>
              <w:t xml:space="preserve"> </w:t>
            </w:r>
          </w:p>
        </w:tc>
      </w:tr>
      <w:tr w:rsidR="009B4407" w:rsidRPr="001832A6" w14:paraId="7DAF6995" w14:textId="77777777" w:rsidTr="006D7402">
        <w:trPr>
          <w:trHeight w:hRule="exact" w:val="198"/>
        </w:trPr>
        <w:tc>
          <w:tcPr>
            <w:tcW w:w="9356" w:type="dxa"/>
            <w:gridSpan w:val="3"/>
            <w:tcMar>
              <w:left w:w="0" w:type="dxa"/>
              <w:right w:w="0" w:type="dxa"/>
            </w:tcMar>
            <w:vAlign w:val="bottom"/>
          </w:tcPr>
          <w:p w14:paraId="69084797" w14:textId="679F3988" w:rsidR="009B4407" w:rsidRPr="0090731E" w:rsidRDefault="009B4407" w:rsidP="006D7402">
            <w:pPr>
              <w:jc w:val="right"/>
              <w:rPr>
                <w:rFonts w:ascii="Arial Black" w:hAnsi="Arial Black"/>
                <w:caps/>
                <w:sz w:val="15"/>
              </w:rPr>
            </w:pPr>
            <w:r w:rsidRPr="0090731E">
              <w:rPr>
                <w:rFonts w:ascii="Arial Black" w:hAnsi="Arial Black"/>
                <w:caps/>
                <w:sz w:val="15"/>
              </w:rPr>
              <w:t>DATE</w:t>
            </w:r>
            <w:r>
              <w:rPr>
                <w:rFonts w:ascii="Arial Black" w:hAnsi="Arial Black"/>
                <w:caps/>
                <w:sz w:val="15"/>
              </w:rPr>
              <w:t>:</w:t>
            </w:r>
            <w:bookmarkStart w:id="2" w:name="Date"/>
            <w:bookmarkEnd w:id="2"/>
            <w:r>
              <w:rPr>
                <w:rFonts w:ascii="Arial Black" w:hAnsi="Arial Black"/>
                <w:caps/>
                <w:sz w:val="15"/>
              </w:rPr>
              <w:t xml:space="preserve"> </w:t>
            </w:r>
            <w:r w:rsidR="000770A6">
              <w:rPr>
                <w:rFonts w:ascii="Arial Black" w:hAnsi="Arial Black"/>
                <w:caps/>
                <w:sz w:val="15"/>
              </w:rPr>
              <w:t xml:space="preserve"> </w:t>
            </w:r>
            <w:r>
              <w:rPr>
                <w:rFonts w:ascii="Arial Black" w:hAnsi="Arial Black"/>
                <w:caps/>
                <w:sz w:val="15"/>
              </w:rPr>
              <w:t xml:space="preserve">June 8, 2021      </w:t>
            </w:r>
            <w:r w:rsidRPr="0090731E">
              <w:rPr>
                <w:rFonts w:ascii="Arial Black" w:hAnsi="Arial Black"/>
                <w:caps/>
                <w:sz w:val="15"/>
              </w:rPr>
              <w:t xml:space="preserve"> </w:t>
            </w:r>
          </w:p>
        </w:tc>
      </w:tr>
    </w:tbl>
    <w:p w14:paraId="4D727163" w14:textId="77777777" w:rsidR="009B4407" w:rsidRPr="008B2CC1" w:rsidRDefault="009B4407" w:rsidP="009B4407"/>
    <w:p w14:paraId="3A74D156" w14:textId="77777777" w:rsidR="009B4407" w:rsidRPr="008B2CC1" w:rsidRDefault="009B4407" w:rsidP="009B4407"/>
    <w:p w14:paraId="2E8F9913" w14:textId="77777777" w:rsidR="009B4407" w:rsidRPr="008B2CC1" w:rsidRDefault="009B4407" w:rsidP="009B4407"/>
    <w:p w14:paraId="55F036A8" w14:textId="77777777" w:rsidR="009B4407" w:rsidRPr="008B2CC1" w:rsidRDefault="009B4407" w:rsidP="009B4407"/>
    <w:p w14:paraId="7B6DB32E" w14:textId="77777777" w:rsidR="009B4407" w:rsidRPr="008B2CC1" w:rsidRDefault="009B4407" w:rsidP="009B4407"/>
    <w:p w14:paraId="3A7FD7FC" w14:textId="77777777" w:rsidR="009B4407" w:rsidRPr="003845C1" w:rsidRDefault="009B4407" w:rsidP="009B4407">
      <w:pPr>
        <w:rPr>
          <w:b/>
          <w:sz w:val="28"/>
          <w:szCs w:val="28"/>
        </w:rPr>
      </w:pPr>
      <w:r w:rsidRPr="00EA5FE9">
        <w:rPr>
          <w:b/>
          <w:sz w:val="28"/>
          <w:szCs w:val="28"/>
        </w:rPr>
        <w:t>Intergovernmental Committee on Intellectual Property and Genetic Resources, Traditional Knowledge and Folklore</w:t>
      </w:r>
    </w:p>
    <w:p w14:paraId="558DA427" w14:textId="77777777" w:rsidR="009B4407" w:rsidRDefault="009B4407" w:rsidP="009B4407"/>
    <w:p w14:paraId="35DF628E" w14:textId="77777777" w:rsidR="009B4407" w:rsidRDefault="009B4407" w:rsidP="009B4407"/>
    <w:p w14:paraId="55D4BB20" w14:textId="77777777" w:rsidR="009B4407" w:rsidRPr="003845C1" w:rsidRDefault="009B4407" w:rsidP="009B4407">
      <w:pPr>
        <w:rPr>
          <w:b/>
          <w:sz w:val="24"/>
          <w:szCs w:val="24"/>
        </w:rPr>
      </w:pPr>
      <w:r>
        <w:rPr>
          <w:b/>
          <w:sz w:val="24"/>
          <w:szCs w:val="24"/>
        </w:rPr>
        <w:t xml:space="preserve">Forty-First </w:t>
      </w:r>
      <w:r w:rsidRPr="003845C1">
        <w:rPr>
          <w:b/>
          <w:sz w:val="24"/>
          <w:szCs w:val="24"/>
        </w:rPr>
        <w:t>Session</w:t>
      </w:r>
    </w:p>
    <w:p w14:paraId="5D1B96C9" w14:textId="77777777" w:rsidR="009B4407" w:rsidRPr="003845C1" w:rsidRDefault="009B4407" w:rsidP="009B4407">
      <w:pPr>
        <w:rPr>
          <w:b/>
          <w:sz w:val="24"/>
          <w:szCs w:val="24"/>
        </w:rPr>
      </w:pPr>
      <w:r>
        <w:rPr>
          <w:b/>
          <w:sz w:val="24"/>
          <w:szCs w:val="24"/>
        </w:rPr>
        <w:t>Geneva, August 30 to September 3, 2021</w:t>
      </w:r>
    </w:p>
    <w:p w14:paraId="067486E6" w14:textId="77777777" w:rsidR="009B4407" w:rsidRPr="008B2CC1" w:rsidRDefault="009B4407" w:rsidP="009B4407"/>
    <w:p w14:paraId="3BBBB532" w14:textId="77777777" w:rsidR="008B2CC1" w:rsidRPr="008B2CC1" w:rsidRDefault="008B2CC1" w:rsidP="008B2CC1"/>
    <w:p w14:paraId="2B230C91" w14:textId="77777777" w:rsidR="008B2CC1" w:rsidRPr="008B2CC1" w:rsidRDefault="008B2CC1" w:rsidP="008B2CC1"/>
    <w:p w14:paraId="7AA5E280" w14:textId="77777777" w:rsidR="00F34CFF" w:rsidRPr="00916E97" w:rsidRDefault="00F34CFF" w:rsidP="00F34CFF">
      <w:pPr>
        <w:rPr>
          <w:caps/>
          <w:sz w:val="24"/>
        </w:rPr>
      </w:pPr>
      <w:bookmarkStart w:id="3" w:name="TitleOfDoc"/>
      <w:bookmarkEnd w:id="3"/>
      <w:r w:rsidRPr="00916E97">
        <w:rPr>
          <w:caps/>
          <w:sz w:val="24"/>
        </w:rPr>
        <w:t>THE ECONOMIC IMPACT OF PATENT DELAYS AND UNCERTAINTY:</w:t>
      </w:r>
    </w:p>
    <w:p w14:paraId="48EF41CF" w14:textId="77777777" w:rsidR="00F34CFF" w:rsidRPr="00916E97" w:rsidRDefault="00F34CFF" w:rsidP="00F34CFF">
      <w:pPr>
        <w:rPr>
          <w:caps/>
          <w:sz w:val="24"/>
        </w:rPr>
      </w:pPr>
      <w:r w:rsidRPr="00916E97">
        <w:rPr>
          <w:caps/>
          <w:sz w:val="24"/>
        </w:rPr>
        <w:t>U.S. CONCERNS ABOUT PROPOSALS FOR NEW PATENT DISCLOSURE</w:t>
      </w:r>
    </w:p>
    <w:p w14:paraId="1DBC7F0A" w14:textId="77777777" w:rsidR="00F34CFF" w:rsidRPr="003845C1" w:rsidRDefault="00F34CFF" w:rsidP="00F34CFF">
      <w:pPr>
        <w:rPr>
          <w:caps/>
          <w:sz w:val="24"/>
        </w:rPr>
      </w:pPr>
      <w:r w:rsidRPr="00916E97">
        <w:rPr>
          <w:caps/>
          <w:sz w:val="24"/>
        </w:rPr>
        <w:t>REQUIREMENTS</w:t>
      </w:r>
    </w:p>
    <w:p w14:paraId="63625821" w14:textId="77777777" w:rsidR="00F34CFF" w:rsidRPr="008B2CC1" w:rsidRDefault="00F34CFF" w:rsidP="00F34CFF"/>
    <w:p w14:paraId="4EDBDE5A" w14:textId="77777777" w:rsidR="00F34CFF" w:rsidRDefault="00F34CFF" w:rsidP="00F34CFF">
      <w:pPr>
        <w:rPr>
          <w:i/>
        </w:rPr>
      </w:pPr>
      <w:bookmarkStart w:id="4" w:name="Prepared"/>
      <w:bookmarkEnd w:id="4"/>
      <w:r w:rsidRPr="00916E97">
        <w:rPr>
          <w:i/>
        </w:rPr>
        <w:t>Document submitted by the Delegation of the United States of America</w:t>
      </w:r>
    </w:p>
    <w:p w14:paraId="63EDFFE7" w14:textId="77777777" w:rsidR="00F34CFF" w:rsidRDefault="00F34CFF" w:rsidP="00F34CFF">
      <w:pPr>
        <w:rPr>
          <w:i/>
        </w:rPr>
      </w:pPr>
    </w:p>
    <w:p w14:paraId="3C7F3F9F" w14:textId="77777777" w:rsidR="00F34CFF" w:rsidRDefault="00F34CFF" w:rsidP="00F34CFF"/>
    <w:p w14:paraId="78B89684" w14:textId="77777777" w:rsidR="00F34CFF" w:rsidRDefault="00F34CFF" w:rsidP="00F34CFF"/>
    <w:p w14:paraId="5C734B66" w14:textId="77777777" w:rsidR="00F34CFF" w:rsidRDefault="00F34CFF" w:rsidP="00F34CFF"/>
    <w:p w14:paraId="4E20753A" w14:textId="77777777" w:rsidR="00F34CFF" w:rsidRDefault="00F34CFF" w:rsidP="00F34CFF">
      <w:r>
        <w:t xml:space="preserve">INTRODUCTION </w:t>
      </w:r>
    </w:p>
    <w:p w14:paraId="4E3DFE7F" w14:textId="77777777" w:rsidR="00F34CFF" w:rsidRDefault="00F34CFF" w:rsidP="00F34CFF"/>
    <w:p w14:paraId="3B593277" w14:textId="77777777" w:rsidR="00F34CFF" w:rsidRDefault="00F34CFF" w:rsidP="00F34CFF">
      <w:pPr>
        <w:pStyle w:val="ListParagraph"/>
        <w:numPr>
          <w:ilvl w:val="0"/>
          <w:numId w:val="7"/>
        </w:numPr>
        <w:ind w:left="0" w:firstLine="0"/>
      </w:pPr>
      <w:proofErr w:type="gramStart"/>
      <w:r>
        <w:t>On February 13, 2020, the International Bureau of the World Intellectual Property Organization (WIPO) received a request from the Permanent Mission of the United States of America to the World Trade Organization (WTO), to re-submit the document, entitled “The Economic Impact of Patent Delays and Uncertainty:  U.S. Concerns about Proposals for New Patent Disclosure Requirements”, as contained in document WIPO/GRTKF/IC/40/11, for discussion by the Forty-First Session of the Intergovernmental Committee on Intellectual Property and Genetic Resources, Traditional Knowledge and Folklore (IGC).</w:t>
      </w:r>
      <w:proofErr w:type="gramEnd"/>
    </w:p>
    <w:p w14:paraId="67F1E162" w14:textId="77777777" w:rsidR="00F34CFF" w:rsidRDefault="00F34CFF" w:rsidP="00F34CFF"/>
    <w:p w14:paraId="45606ADB" w14:textId="77777777" w:rsidR="00F34CFF" w:rsidRDefault="00F34CFF" w:rsidP="00F34CFF">
      <w:pPr>
        <w:pStyle w:val="ListParagraph"/>
        <w:numPr>
          <w:ilvl w:val="0"/>
          <w:numId w:val="7"/>
        </w:numPr>
        <w:ind w:left="0" w:firstLine="0"/>
      </w:pPr>
      <w:r>
        <w:t xml:space="preserve">Pursuant to the request above, the Annex to this document contains the submission referred </w:t>
      </w:r>
      <w:proofErr w:type="gramStart"/>
      <w:r>
        <w:t>to</w:t>
      </w:r>
      <w:proofErr w:type="gramEnd"/>
      <w:r>
        <w:t xml:space="preserve">. </w:t>
      </w:r>
    </w:p>
    <w:p w14:paraId="1EF02FDF" w14:textId="77777777" w:rsidR="00F34CFF" w:rsidRPr="000770A6" w:rsidRDefault="00F34CFF" w:rsidP="000770A6">
      <w:pPr>
        <w:ind w:left="5533"/>
        <w:rPr>
          <w:i/>
        </w:rPr>
      </w:pPr>
    </w:p>
    <w:p w14:paraId="7F694F75" w14:textId="77777777" w:rsidR="00F34CFF" w:rsidRPr="000770A6" w:rsidRDefault="00F34CFF" w:rsidP="000770A6">
      <w:pPr>
        <w:pStyle w:val="ListParagraph"/>
        <w:numPr>
          <w:ilvl w:val="0"/>
          <w:numId w:val="7"/>
        </w:numPr>
        <w:ind w:left="5310" w:firstLine="0"/>
        <w:rPr>
          <w:i/>
        </w:rPr>
      </w:pPr>
      <w:r w:rsidRPr="000770A6">
        <w:rPr>
          <w:i/>
        </w:rPr>
        <w:t xml:space="preserve">The Committee </w:t>
      </w:r>
      <w:proofErr w:type="gramStart"/>
      <w:r w:rsidRPr="000770A6">
        <w:rPr>
          <w:i/>
        </w:rPr>
        <w:t>is invited</w:t>
      </w:r>
      <w:proofErr w:type="gramEnd"/>
      <w:r w:rsidRPr="000770A6">
        <w:rPr>
          <w:i/>
        </w:rPr>
        <w:t xml:space="preserve"> to take note of and consider the submission in the Annex to this document. </w:t>
      </w:r>
    </w:p>
    <w:p w14:paraId="061A265B" w14:textId="77777777" w:rsidR="00F34CFF" w:rsidRDefault="00F34CFF" w:rsidP="00F34CFF">
      <w:pPr>
        <w:ind w:left="5310"/>
      </w:pPr>
    </w:p>
    <w:p w14:paraId="343E256F" w14:textId="77777777" w:rsidR="00F34CFF" w:rsidRDefault="00F34CFF" w:rsidP="00F34CFF">
      <w:pPr>
        <w:ind w:left="5310"/>
        <w:sectPr w:rsidR="00F34CFF"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4F2EEBE4" w14:textId="38144548" w:rsidR="00F34CFF" w:rsidRPr="00044BC8" w:rsidRDefault="00F34CFF" w:rsidP="00F34CFF">
      <w:pPr>
        <w:jc w:val="center"/>
        <w:rPr>
          <w:b/>
          <w:szCs w:val="22"/>
        </w:rPr>
      </w:pPr>
      <w:r w:rsidRPr="00044BC8">
        <w:rPr>
          <w:b/>
          <w:szCs w:val="22"/>
        </w:rPr>
        <w:lastRenderedPageBreak/>
        <w:t>The Economic Impact of Patent Delays and Uncertainty:</w:t>
      </w:r>
    </w:p>
    <w:p w14:paraId="561C5821" w14:textId="77777777" w:rsidR="00F34CFF" w:rsidRPr="00044BC8" w:rsidRDefault="00F34CFF" w:rsidP="00F34CFF">
      <w:pPr>
        <w:jc w:val="center"/>
        <w:rPr>
          <w:b/>
          <w:szCs w:val="22"/>
        </w:rPr>
      </w:pPr>
      <w:r w:rsidRPr="00044BC8">
        <w:rPr>
          <w:b/>
          <w:szCs w:val="22"/>
        </w:rPr>
        <w:t>U.S. Concerns about Proposals for New</w:t>
      </w:r>
    </w:p>
    <w:p w14:paraId="186DBCB6" w14:textId="77777777" w:rsidR="00F34CFF" w:rsidRPr="00044BC8" w:rsidRDefault="00F34CFF" w:rsidP="00F34CFF">
      <w:pPr>
        <w:jc w:val="center"/>
        <w:rPr>
          <w:b/>
          <w:szCs w:val="22"/>
        </w:rPr>
      </w:pPr>
      <w:r w:rsidRPr="00044BC8">
        <w:rPr>
          <w:b/>
          <w:szCs w:val="22"/>
        </w:rPr>
        <w:t>Patent Disclosure Requirements</w:t>
      </w:r>
    </w:p>
    <w:p w14:paraId="44ED59F9" w14:textId="77777777" w:rsidR="00F34CFF" w:rsidRPr="00044BC8" w:rsidRDefault="00F34CFF" w:rsidP="00F34CFF">
      <w:pPr>
        <w:jc w:val="center"/>
        <w:rPr>
          <w:b/>
          <w:szCs w:val="22"/>
        </w:rPr>
      </w:pPr>
      <w:r w:rsidRPr="00044BC8">
        <w:rPr>
          <w:b/>
          <w:szCs w:val="22"/>
        </w:rPr>
        <w:t>Communication from the United States of America</w:t>
      </w:r>
    </w:p>
    <w:p w14:paraId="60A186B6" w14:textId="77777777" w:rsidR="00F34CFF" w:rsidRDefault="00F34CFF" w:rsidP="00F34CFF">
      <w:pPr>
        <w:rPr>
          <w:b/>
          <w:i/>
          <w:szCs w:val="22"/>
        </w:rPr>
      </w:pPr>
    </w:p>
    <w:p w14:paraId="2FB9EB7B" w14:textId="77777777" w:rsidR="00F34CFF" w:rsidRPr="00044BC8" w:rsidRDefault="00F34CFF" w:rsidP="00F34CFF">
      <w:pPr>
        <w:rPr>
          <w:b/>
          <w:i/>
          <w:szCs w:val="22"/>
        </w:rPr>
      </w:pPr>
    </w:p>
    <w:p w14:paraId="0A8B8EBA" w14:textId="77777777" w:rsidR="00F34CFF" w:rsidRDefault="00F34CFF" w:rsidP="00F34CFF">
      <w:pPr>
        <w:rPr>
          <w:b/>
          <w:i/>
          <w:szCs w:val="22"/>
        </w:rPr>
      </w:pPr>
      <w:r w:rsidRPr="00044BC8">
        <w:rPr>
          <w:b/>
          <w:i/>
          <w:szCs w:val="22"/>
        </w:rPr>
        <w:t>Background</w:t>
      </w:r>
    </w:p>
    <w:p w14:paraId="26EF1C29" w14:textId="77777777" w:rsidR="00F34CFF" w:rsidRPr="00044BC8" w:rsidRDefault="00F34CFF" w:rsidP="00F34CFF">
      <w:pPr>
        <w:rPr>
          <w:b/>
          <w:i/>
          <w:szCs w:val="22"/>
        </w:rPr>
      </w:pPr>
    </w:p>
    <w:p w14:paraId="3E181947" w14:textId="77777777" w:rsidR="00F34CFF" w:rsidRDefault="00F34CFF" w:rsidP="00F34CFF">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Pr>
          <w:szCs w:val="22"/>
        </w:rPr>
        <w:t xml:space="preserve">a number of </w:t>
      </w:r>
      <w:proofErr w:type="spellStart"/>
      <w:r w:rsidRPr="00044BC8">
        <w:rPr>
          <w:szCs w:val="22"/>
        </w:rPr>
        <w:t>demandeurs</w:t>
      </w:r>
      <w:proofErr w:type="spellEnd"/>
      <w:r w:rsidRPr="00044BC8">
        <w:rPr>
          <w:szCs w:val="22"/>
        </w:rPr>
        <w:t xml:space="preserve">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14:paraId="3D8E7E1A" w14:textId="77777777" w:rsidR="00F34CFF" w:rsidRPr="00044BC8" w:rsidRDefault="00F34CFF" w:rsidP="00F34CFF">
      <w:pPr>
        <w:rPr>
          <w:szCs w:val="22"/>
        </w:rPr>
      </w:pPr>
    </w:p>
    <w:p w14:paraId="1E8885F6" w14:textId="77777777" w:rsidR="00F34CFF" w:rsidRPr="00044BC8" w:rsidRDefault="00F34CFF" w:rsidP="00F34CFF">
      <w:pPr>
        <w:ind w:left="900" w:hanging="333"/>
        <w:rPr>
          <w:szCs w:val="22"/>
        </w:rPr>
      </w:pPr>
      <w:r w:rsidRPr="00044BC8">
        <w:rPr>
          <w:szCs w:val="22"/>
        </w:rPr>
        <w:t xml:space="preserve">(1) </w:t>
      </w:r>
      <w:proofErr w:type="gramStart"/>
      <w:r w:rsidRPr="00044BC8">
        <w:rPr>
          <w:szCs w:val="22"/>
        </w:rPr>
        <w:t>the</w:t>
      </w:r>
      <w:proofErr w:type="gramEnd"/>
      <w:r w:rsidRPr="00044BC8">
        <w:rPr>
          <w:szCs w:val="22"/>
        </w:rPr>
        <w:t xml:space="preserve"> source and origin of genetic or biological material used to develop a claimed invention; </w:t>
      </w:r>
    </w:p>
    <w:p w14:paraId="7687F206" w14:textId="77777777" w:rsidR="00F34CFF" w:rsidRPr="00044BC8" w:rsidRDefault="00F34CFF" w:rsidP="00F34CFF">
      <w:pPr>
        <w:ind w:left="900" w:hanging="333"/>
        <w:rPr>
          <w:szCs w:val="22"/>
        </w:rPr>
      </w:pPr>
      <w:r w:rsidRPr="00044BC8">
        <w:rPr>
          <w:szCs w:val="22"/>
        </w:rPr>
        <w:t xml:space="preserve">(2) </w:t>
      </w:r>
      <w:proofErr w:type="gramStart"/>
      <w:r w:rsidRPr="00044BC8">
        <w:rPr>
          <w:szCs w:val="22"/>
        </w:rPr>
        <w:t>evidence</w:t>
      </w:r>
      <w:proofErr w:type="gramEnd"/>
      <w:r w:rsidRPr="00044BC8">
        <w:rPr>
          <w:szCs w:val="22"/>
        </w:rPr>
        <w:t xml:space="preserve"> of prior informed consent and mutually agreed terms for using the genetic resource; </w:t>
      </w:r>
      <w:r>
        <w:rPr>
          <w:szCs w:val="22"/>
        </w:rPr>
        <w:t xml:space="preserve"> </w:t>
      </w:r>
      <w:r w:rsidRPr="00044BC8">
        <w:rPr>
          <w:szCs w:val="22"/>
        </w:rPr>
        <w:t xml:space="preserve">and </w:t>
      </w:r>
    </w:p>
    <w:p w14:paraId="585CD134" w14:textId="77777777" w:rsidR="00F34CFF" w:rsidRPr="00044BC8" w:rsidRDefault="00F34CFF" w:rsidP="00F34CFF">
      <w:pPr>
        <w:ind w:left="567"/>
        <w:rPr>
          <w:szCs w:val="22"/>
        </w:rPr>
      </w:pPr>
      <w:r w:rsidRPr="00044BC8">
        <w:rPr>
          <w:szCs w:val="22"/>
        </w:rPr>
        <w:t xml:space="preserve">(3) </w:t>
      </w:r>
      <w:proofErr w:type="gramStart"/>
      <w:r w:rsidRPr="00044BC8">
        <w:rPr>
          <w:szCs w:val="22"/>
        </w:rPr>
        <w:t>evidence</w:t>
      </w:r>
      <w:proofErr w:type="gramEnd"/>
      <w:r w:rsidRPr="00044BC8">
        <w:rPr>
          <w:szCs w:val="22"/>
        </w:rPr>
        <w:t xml:space="preserve"> of equitable benefit sharing related to the invention.</w:t>
      </w:r>
      <w:r w:rsidRPr="00044BC8">
        <w:rPr>
          <w:szCs w:val="22"/>
          <w:vertAlign w:val="superscript"/>
        </w:rPr>
        <w:footnoteReference w:id="3"/>
      </w:r>
      <w:r w:rsidRPr="00044BC8">
        <w:rPr>
          <w:szCs w:val="22"/>
        </w:rPr>
        <w:t xml:space="preserve">  </w:t>
      </w:r>
    </w:p>
    <w:p w14:paraId="7BD2AFFF" w14:textId="77777777" w:rsidR="00F34CFF" w:rsidRDefault="00F34CFF" w:rsidP="00F34CFF">
      <w:pPr>
        <w:rPr>
          <w:szCs w:val="22"/>
        </w:rPr>
      </w:pPr>
    </w:p>
    <w:p w14:paraId="5CB6D05B" w14:textId="77777777" w:rsidR="00F34CFF" w:rsidRPr="00044BC8" w:rsidRDefault="00F34CFF" w:rsidP="00F34CFF">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14:paraId="6C6423AC" w14:textId="77777777" w:rsidR="00F34CFF" w:rsidRDefault="00F34CFF" w:rsidP="00F34CFF">
      <w:pPr>
        <w:rPr>
          <w:szCs w:val="22"/>
        </w:rPr>
      </w:pPr>
    </w:p>
    <w:p w14:paraId="58B97DE9" w14:textId="77777777" w:rsidR="00F34CFF" w:rsidRPr="00044BC8" w:rsidRDefault="00F34CFF" w:rsidP="00F34CFF">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14:paraId="5F203A5F" w14:textId="77777777" w:rsidR="00F34CFF" w:rsidRDefault="00F34CFF" w:rsidP="00F34CFF">
      <w:pPr>
        <w:rPr>
          <w:szCs w:val="22"/>
        </w:rPr>
      </w:pPr>
    </w:p>
    <w:p w14:paraId="726C2979" w14:textId="77777777" w:rsidR="00F34CFF" w:rsidRPr="00044BC8" w:rsidRDefault="00F34CFF" w:rsidP="00F34CFF">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14:paraId="3A7FF46E" w14:textId="77777777" w:rsidR="00F34CFF" w:rsidRDefault="00F34CFF" w:rsidP="00F34CFF">
      <w:pPr>
        <w:rPr>
          <w:szCs w:val="22"/>
        </w:rPr>
      </w:pPr>
    </w:p>
    <w:p w14:paraId="59D0E1F9" w14:textId="77777777" w:rsidR="00F34CFF" w:rsidRPr="00044BC8" w:rsidRDefault="00F34CFF" w:rsidP="00F34CFF">
      <w:pPr>
        <w:rPr>
          <w:szCs w:val="22"/>
        </w:rPr>
      </w:pPr>
      <w:r w:rsidRPr="00044BC8">
        <w:rPr>
          <w:szCs w:val="22"/>
        </w:rPr>
        <w:t xml:space="preserve">The uncertainties created by disclosure requirements could cause significant delays in the patent examination process. It also could negatively affect the </w:t>
      </w:r>
      <w:proofErr w:type="gramStart"/>
      <w:r w:rsidRPr="00044BC8">
        <w:rPr>
          <w:szCs w:val="22"/>
        </w:rPr>
        <w:t>resource</w:t>
      </w:r>
      <w:r w:rsidRPr="00044BC8">
        <w:rPr>
          <w:szCs w:val="22"/>
        </w:rPr>
        <w:noBreakHyphen/>
        <w:t>intensive drug development process</w:t>
      </w:r>
      <w:proofErr w:type="gramEnd"/>
      <w:r w:rsidRPr="00044BC8">
        <w:rPr>
          <w:szCs w:val="22"/>
        </w:rPr>
        <w:t xml:space="preserve">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14:paraId="3D79E845" w14:textId="77777777" w:rsidR="00F34CFF" w:rsidRPr="00044BC8" w:rsidRDefault="00F34CFF" w:rsidP="00F34CFF">
      <w:pPr>
        <w:rPr>
          <w:szCs w:val="22"/>
        </w:rPr>
      </w:pPr>
    </w:p>
    <w:p w14:paraId="08D07E9B" w14:textId="77777777" w:rsidR="00F34CFF" w:rsidRPr="00225026" w:rsidRDefault="00F34CFF" w:rsidP="00F34CFF">
      <w:pPr>
        <w:rPr>
          <w:szCs w:val="22"/>
        </w:rPr>
      </w:pPr>
    </w:p>
    <w:p w14:paraId="4195A420" w14:textId="77777777" w:rsidR="00F34CFF" w:rsidRPr="00377AA3" w:rsidRDefault="00F34CFF" w:rsidP="00F34CFF">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14:paraId="24C632B9" w14:textId="77777777" w:rsidR="00F34CFF" w:rsidRDefault="00F34CFF" w:rsidP="00F34CFF">
      <w:pPr>
        <w:rPr>
          <w:szCs w:val="22"/>
          <w:lang w:val="en-GB"/>
        </w:rPr>
      </w:pPr>
      <w:r>
        <w:rPr>
          <w:szCs w:val="22"/>
          <w:lang w:val="en-GB"/>
        </w:rPr>
        <w:br w:type="page"/>
      </w:r>
    </w:p>
    <w:p w14:paraId="6294A78A" w14:textId="77777777" w:rsidR="00F34CFF" w:rsidRDefault="00F34CFF" w:rsidP="00F34CFF">
      <w:pPr>
        <w:rPr>
          <w:b/>
          <w:i/>
          <w:szCs w:val="22"/>
        </w:rPr>
      </w:pPr>
      <w:r w:rsidRPr="00044BC8">
        <w:rPr>
          <w:b/>
          <w:i/>
          <w:szCs w:val="22"/>
        </w:rPr>
        <w:lastRenderedPageBreak/>
        <w:t>Uncertainty Caused by New Disclosure Requirements</w:t>
      </w:r>
    </w:p>
    <w:p w14:paraId="7BEC4C25" w14:textId="77777777" w:rsidR="00F34CFF" w:rsidRPr="00044BC8" w:rsidRDefault="00F34CFF" w:rsidP="00F34CFF">
      <w:pPr>
        <w:rPr>
          <w:b/>
          <w:i/>
          <w:szCs w:val="22"/>
        </w:rPr>
      </w:pPr>
    </w:p>
    <w:p w14:paraId="333220AD" w14:textId="77777777" w:rsidR="00F34CFF" w:rsidRDefault="00F34CFF" w:rsidP="00F34CFF">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w:t>
      </w:r>
      <w:proofErr w:type="gramStart"/>
      <w:r w:rsidRPr="00044BC8">
        <w:rPr>
          <w:szCs w:val="22"/>
        </w:rPr>
        <w:t>are granted</w:t>
      </w:r>
      <w:proofErr w:type="gramEnd"/>
      <w:r w:rsidRPr="00044BC8">
        <w:rPr>
          <w:szCs w:val="22"/>
        </w:rPr>
        <w:t xml:space="preserve">.  </w:t>
      </w:r>
    </w:p>
    <w:p w14:paraId="251C62CB" w14:textId="77777777" w:rsidR="00F34CFF" w:rsidRPr="00044BC8" w:rsidRDefault="00F34CFF" w:rsidP="00F34CFF">
      <w:pPr>
        <w:rPr>
          <w:szCs w:val="22"/>
        </w:rPr>
      </w:pPr>
    </w:p>
    <w:p w14:paraId="4D06C655" w14:textId="77777777" w:rsidR="00F34CFF" w:rsidRDefault="00F34CFF" w:rsidP="00F34CFF">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w:t>
      </w:r>
      <w:proofErr w:type="gramStart"/>
      <w:r w:rsidRPr="00044BC8">
        <w:rPr>
          <w:szCs w:val="22"/>
        </w:rPr>
        <w:t>be seen</w:t>
      </w:r>
      <w:proofErr w:type="gramEnd"/>
      <w:r w:rsidRPr="00044BC8">
        <w:rPr>
          <w:szCs w:val="22"/>
        </w:rPr>
        <w:t>,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14:paraId="17F39AC0" w14:textId="77777777" w:rsidR="00F34CFF" w:rsidRPr="00044BC8" w:rsidRDefault="00F34CFF" w:rsidP="00F34CFF">
      <w:pPr>
        <w:rPr>
          <w:szCs w:val="22"/>
        </w:rPr>
      </w:pPr>
    </w:p>
    <w:p w14:paraId="7784727E" w14:textId="77777777" w:rsidR="00F34CFF" w:rsidRDefault="00F34CFF" w:rsidP="00F34CFF">
      <w:pPr>
        <w:rPr>
          <w:szCs w:val="22"/>
        </w:rPr>
      </w:pPr>
      <w:r w:rsidRPr="00044BC8">
        <w:rPr>
          <w:szCs w:val="22"/>
        </w:rPr>
        <w:t xml:space="preserve">Where patent applications </w:t>
      </w:r>
      <w:proofErr w:type="gramStart"/>
      <w:r w:rsidRPr="00044BC8">
        <w:rPr>
          <w:szCs w:val="22"/>
        </w:rPr>
        <w:t>are filed</w:t>
      </w:r>
      <w:proofErr w:type="gramEnd"/>
      <w:r w:rsidRPr="00044BC8">
        <w:rPr>
          <w:szCs w:val="22"/>
        </w:rPr>
        <w:t>, disclosure submissions are likely to be inconsistent, which will increase delay and inefficiency in the patent</w:t>
      </w:r>
      <w:r>
        <w:rPr>
          <w:szCs w:val="22"/>
        </w:rPr>
        <w:t xml:space="preserve"> examination process.  </w:t>
      </w:r>
      <w:r w:rsidRPr="00044BC8">
        <w:rPr>
          <w:szCs w:val="22"/>
        </w:rPr>
        <w:t xml:space="preserve">A 2012 study of genetic resources in biotechnology patent applications by the Korean Intellectual Property Office (KIPO) found that genetic resources </w:t>
      </w:r>
      <w:proofErr w:type="gramStart"/>
      <w:r w:rsidRPr="00044BC8">
        <w:rPr>
          <w:szCs w:val="22"/>
        </w:rPr>
        <w:t>were disclosed</w:t>
      </w:r>
      <w:proofErr w:type="gramEnd"/>
      <w:r w:rsidRPr="00044BC8">
        <w:rPr>
          <w:szCs w:val="22"/>
        </w:rPr>
        <w:t xml:space="preserve">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14:paraId="2F293533" w14:textId="77777777" w:rsidR="00F34CFF" w:rsidRDefault="00F34CFF" w:rsidP="00F34CFF">
      <w:pPr>
        <w:rPr>
          <w:szCs w:val="22"/>
        </w:rPr>
        <w:sectPr w:rsidR="00F34CFF" w:rsidSect="003D2954">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5AEAAEE1" w14:textId="77777777" w:rsidR="00F34CFF" w:rsidRPr="009E0E83" w:rsidRDefault="00F34CFF" w:rsidP="00F34CFF">
      <w:pPr>
        <w:ind w:left="5310"/>
        <w:rPr>
          <w:i/>
        </w:rPr>
      </w:pPr>
    </w:p>
    <w:p w14:paraId="7843E745" w14:textId="77777777" w:rsidR="00F34CFF" w:rsidRDefault="00F34CFF" w:rsidP="00F34CFF">
      <w:pPr>
        <w:rPr>
          <w:b/>
          <w:bCs/>
          <w:i/>
          <w:szCs w:val="22"/>
        </w:rPr>
      </w:pPr>
      <w:r w:rsidRPr="00044BC8">
        <w:rPr>
          <w:b/>
          <w:bCs/>
          <w:i/>
          <w:szCs w:val="22"/>
        </w:rPr>
        <w:t>The Economic Impact of Delay in the Patent Application Process</w:t>
      </w:r>
    </w:p>
    <w:p w14:paraId="600C33BB" w14:textId="77777777" w:rsidR="00F34CFF" w:rsidRPr="00044BC8" w:rsidRDefault="00F34CFF" w:rsidP="00F34CFF">
      <w:pPr>
        <w:rPr>
          <w:i/>
          <w:szCs w:val="22"/>
        </w:rPr>
      </w:pPr>
    </w:p>
    <w:p w14:paraId="4F297BE7" w14:textId="77777777" w:rsidR="00F34CFF" w:rsidRDefault="00F34CFF" w:rsidP="00F34CFF">
      <w:pPr>
        <w:rPr>
          <w:szCs w:val="22"/>
        </w:rPr>
      </w:pPr>
      <w:r w:rsidRPr="00044BC8">
        <w:rPr>
          <w:szCs w:val="22"/>
        </w:rPr>
        <w:t xml:space="preserve">The aforementioned inefficiencies might delay the grant of a patent by creating additional requirements for applicants and patent examiners.  A study recently conducted by Joan </w:t>
      </w:r>
      <w:proofErr w:type="spellStart"/>
      <w:r w:rsidRPr="00044BC8">
        <w:rPr>
          <w:szCs w:val="22"/>
        </w:rPr>
        <w:t>Farre</w:t>
      </w:r>
      <w:proofErr w:type="spellEnd"/>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w:t>
      </w:r>
      <w:proofErr w:type="spellStart"/>
      <w:r w:rsidRPr="00044BC8">
        <w:rPr>
          <w:szCs w:val="22"/>
        </w:rPr>
        <w:t>Farre</w:t>
      </w:r>
      <w:proofErr w:type="spellEnd"/>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14:paraId="05832723" w14:textId="77777777" w:rsidR="00F34CFF" w:rsidRPr="00044BC8" w:rsidRDefault="00F34CFF" w:rsidP="00F34CFF">
      <w:pPr>
        <w:rPr>
          <w:szCs w:val="22"/>
        </w:rPr>
      </w:pPr>
    </w:p>
    <w:p w14:paraId="13811181" w14:textId="77777777" w:rsidR="00F34CFF" w:rsidRDefault="00F34CFF" w:rsidP="00F34CFF">
      <w:pPr>
        <w:rPr>
          <w:szCs w:val="22"/>
        </w:rPr>
      </w:pPr>
      <w:proofErr w:type="spellStart"/>
      <w:r w:rsidRPr="00044BC8">
        <w:rPr>
          <w:szCs w:val="22"/>
        </w:rPr>
        <w:t>Farre</w:t>
      </w:r>
      <w:proofErr w:type="spellEnd"/>
      <w:r w:rsidRPr="00044BC8">
        <w:rPr>
          <w:szCs w:val="22"/>
        </w:rPr>
        <w:t>-Mensa, Fig. 4, reproduced below, is illustrative:</w:t>
      </w:r>
    </w:p>
    <w:p w14:paraId="598946A5" w14:textId="77777777" w:rsidR="00F34CFF" w:rsidRPr="00044BC8" w:rsidRDefault="00F34CFF" w:rsidP="00F34CFF">
      <w:pPr>
        <w:rPr>
          <w:szCs w:val="22"/>
        </w:rPr>
      </w:pPr>
    </w:p>
    <w:p w14:paraId="02681E68" w14:textId="77777777" w:rsidR="00F34CFF" w:rsidRDefault="00F34CFF" w:rsidP="00F34CFF">
      <w:pPr>
        <w:rPr>
          <w:b/>
          <w:bCs/>
          <w:szCs w:val="22"/>
        </w:rPr>
      </w:pPr>
      <w:r w:rsidRPr="00044BC8">
        <w:rPr>
          <w:b/>
          <w:bCs/>
          <w:szCs w:val="22"/>
        </w:rPr>
        <w:t>Figure 4.</w:t>
      </w:r>
      <w:r>
        <w:rPr>
          <w:b/>
          <w:bCs/>
          <w:szCs w:val="22"/>
        </w:rPr>
        <w:t xml:space="preserve"> </w:t>
      </w:r>
      <w:r w:rsidRPr="00044BC8">
        <w:rPr>
          <w:b/>
          <w:bCs/>
          <w:szCs w:val="22"/>
        </w:rPr>
        <w:t>The Effect of Patent Review Delays on Firm Growth.</w:t>
      </w:r>
      <w:r w:rsidRPr="00044BC8">
        <w:rPr>
          <w:b/>
          <w:bCs/>
          <w:szCs w:val="22"/>
          <w:vertAlign w:val="superscript"/>
        </w:rPr>
        <w:footnoteReference w:id="20"/>
      </w:r>
    </w:p>
    <w:p w14:paraId="6F6335EC" w14:textId="77777777" w:rsidR="00F34CFF" w:rsidRPr="00044BC8" w:rsidRDefault="00F34CFF" w:rsidP="00F34CFF">
      <w:pPr>
        <w:rPr>
          <w:b/>
          <w:bCs/>
          <w:szCs w:val="22"/>
        </w:rPr>
      </w:pPr>
    </w:p>
    <w:p w14:paraId="4C189D24" w14:textId="77777777" w:rsidR="00F34CFF" w:rsidRDefault="00F34CFF" w:rsidP="00F34CFF">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14:paraId="675148F7" w14:textId="77777777" w:rsidR="00F34CFF" w:rsidRDefault="00F34CFF" w:rsidP="00F34CFF">
      <w:pPr>
        <w:rPr>
          <w:b/>
          <w:bCs/>
          <w:szCs w:val="22"/>
        </w:rPr>
      </w:pPr>
    </w:p>
    <w:p w14:paraId="3469123C" w14:textId="77777777" w:rsidR="00F34CFF" w:rsidRPr="00044BC8" w:rsidRDefault="00F34CFF" w:rsidP="00F34CFF">
      <w:pPr>
        <w:rPr>
          <w:b/>
          <w:bCs/>
          <w:szCs w:val="22"/>
        </w:rPr>
      </w:pPr>
      <w:r w:rsidRPr="00044BC8">
        <w:rPr>
          <w:b/>
          <w:bCs/>
          <w:szCs w:val="22"/>
        </w:rPr>
        <w:t>Panel A. Employment growth.</w:t>
      </w:r>
    </w:p>
    <w:p w14:paraId="3DED4DDB" w14:textId="77777777" w:rsidR="00F34CFF" w:rsidRPr="00044BC8" w:rsidRDefault="00F34CFF" w:rsidP="00F34CFF">
      <w:pPr>
        <w:rPr>
          <w:szCs w:val="22"/>
        </w:rPr>
      </w:pPr>
      <w:r w:rsidRPr="00044BC8">
        <w:rPr>
          <w:noProof/>
          <w:szCs w:val="22"/>
          <w:lang w:eastAsia="en-US"/>
        </w:rPr>
        <w:drawing>
          <wp:inline distT="0" distB="0" distL="0" distR="0" wp14:anchorId="3506C4DA" wp14:editId="5FBABA15">
            <wp:extent cx="5695950" cy="261977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14:paraId="53D09E07" w14:textId="77777777" w:rsidR="00F34CFF" w:rsidRDefault="00F34CFF" w:rsidP="00F34CFF">
      <w:pPr>
        <w:rPr>
          <w:b/>
          <w:bCs/>
          <w:szCs w:val="22"/>
        </w:rPr>
      </w:pPr>
    </w:p>
    <w:p w14:paraId="054B59B9" w14:textId="77777777" w:rsidR="00F34CFF" w:rsidRDefault="00F34CFF" w:rsidP="00F34CFF">
      <w:pPr>
        <w:rPr>
          <w:b/>
          <w:bCs/>
          <w:szCs w:val="22"/>
        </w:rPr>
      </w:pPr>
    </w:p>
    <w:p w14:paraId="36BDC641" w14:textId="77777777" w:rsidR="00F34CFF" w:rsidRDefault="00F34CFF" w:rsidP="00F34CFF">
      <w:pPr>
        <w:rPr>
          <w:b/>
          <w:bCs/>
          <w:szCs w:val="22"/>
        </w:rPr>
      </w:pPr>
    </w:p>
    <w:p w14:paraId="296B805C" w14:textId="77777777" w:rsidR="00F34CFF" w:rsidRDefault="00F34CFF" w:rsidP="00F34CFF"/>
    <w:p w14:paraId="1C280D9C" w14:textId="77777777" w:rsidR="00F34CFF" w:rsidRPr="00044BC8" w:rsidRDefault="00F34CFF" w:rsidP="00F34CFF">
      <w:pPr>
        <w:rPr>
          <w:szCs w:val="22"/>
        </w:rPr>
      </w:pPr>
      <w:r w:rsidRPr="00044BC8">
        <w:rPr>
          <w:b/>
          <w:bCs/>
          <w:szCs w:val="22"/>
        </w:rPr>
        <w:t>Panel B. Sales growth.</w:t>
      </w:r>
      <w:r w:rsidRPr="00044BC8">
        <w:rPr>
          <w:noProof/>
          <w:szCs w:val="22"/>
          <w:lang w:eastAsia="en-US"/>
        </w:rPr>
        <w:drawing>
          <wp:inline distT="0" distB="0" distL="0" distR="0" wp14:anchorId="19819E22" wp14:editId="1C9C4469">
            <wp:extent cx="5591540" cy="2571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14:paraId="479ED863" w14:textId="77777777" w:rsidR="00F34CFF" w:rsidRDefault="00F34CFF" w:rsidP="00F34CFF">
      <w:pPr>
        <w:rPr>
          <w:szCs w:val="22"/>
        </w:rPr>
      </w:pPr>
    </w:p>
    <w:p w14:paraId="33E02914" w14:textId="77777777" w:rsidR="00F34CFF" w:rsidRDefault="00F34CFF" w:rsidP="00F34CFF">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Pr>
          <w:szCs w:val="22"/>
        </w:rPr>
        <w:t>ears following the patent first</w:t>
      </w:r>
      <w:r>
        <w:rPr>
          <w:szCs w:val="22"/>
        </w:rPr>
        <w:noBreakHyphen/>
      </w:r>
      <w:r w:rsidRPr="00044BC8">
        <w:rPr>
          <w:szCs w:val="22"/>
        </w:rPr>
        <w:t>action decision.</w:t>
      </w:r>
      <w:r w:rsidRPr="00044BC8">
        <w:rPr>
          <w:szCs w:val="22"/>
          <w:vertAlign w:val="superscript"/>
        </w:rPr>
        <w:footnoteReference w:id="24"/>
      </w:r>
    </w:p>
    <w:p w14:paraId="3994B94F" w14:textId="77777777" w:rsidR="00F34CFF" w:rsidRPr="00044BC8" w:rsidRDefault="00F34CFF" w:rsidP="00F34CFF">
      <w:pPr>
        <w:rPr>
          <w:szCs w:val="22"/>
        </w:rPr>
      </w:pPr>
    </w:p>
    <w:p w14:paraId="1995EBC3" w14:textId="77777777" w:rsidR="00F34CFF" w:rsidRDefault="00F34CFF" w:rsidP="00F34CFF">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w:t>
      </w:r>
      <w:proofErr w:type="spellStart"/>
      <w:r w:rsidRPr="00044BC8">
        <w:rPr>
          <w:szCs w:val="22"/>
        </w:rPr>
        <w:t>Farre</w:t>
      </w:r>
      <w:proofErr w:type="spellEnd"/>
      <w:r w:rsidRPr="00044BC8">
        <w:rPr>
          <w:szCs w:val="22"/>
        </w:rPr>
        <w:noBreakHyphen/>
        <w:t>Mensa, “[e]</w:t>
      </w:r>
      <w:proofErr w:type="spellStart"/>
      <w:r w:rsidRPr="00044BC8">
        <w:rPr>
          <w:szCs w:val="22"/>
        </w:rPr>
        <w:t>conomically</w:t>
      </w:r>
      <w:proofErr w:type="spellEnd"/>
      <w:r w:rsidRPr="00044BC8">
        <w:rPr>
          <w:szCs w:val="22"/>
        </w:rPr>
        <w:t>, a two-year delay has the same negative impact on a startup’s growth and success as outright rejection of the patent application.”</w:t>
      </w:r>
      <w:r w:rsidRPr="00044BC8">
        <w:rPr>
          <w:szCs w:val="22"/>
          <w:vertAlign w:val="superscript"/>
        </w:rPr>
        <w:footnoteReference w:id="26"/>
      </w:r>
    </w:p>
    <w:p w14:paraId="27824613" w14:textId="77777777" w:rsidR="00F34CFF" w:rsidRDefault="00F34CFF" w:rsidP="00F34CFF">
      <w:pPr>
        <w:rPr>
          <w:szCs w:val="22"/>
        </w:rPr>
      </w:pPr>
    </w:p>
    <w:p w14:paraId="4BC6FD26" w14:textId="77777777" w:rsidR="00F34CFF" w:rsidRPr="00C849DE" w:rsidRDefault="00F34CFF" w:rsidP="00F34CFF">
      <w:r>
        <w:rPr>
          <w:szCs w:val="22"/>
        </w:rPr>
        <w:t xml:space="preserve">The recent </w:t>
      </w:r>
      <w:r w:rsidRPr="00C849DE">
        <w:rPr>
          <w:szCs w:val="22"/>
        </w:rPr>
        <w:t xml:space="preserve">Report on Economic Impact of Disclosure Requirements in Patent Applications for ‘Genetic Resources’- Based Innovation commissioned </w:t>
      </w:r>
      <w:r>
        <w:rPr>
          <w:szCs w:val="22"/>
        </w:rPr>
        <w:t xml:space="preserve">by </w:t>
      </w:r>
      <w:r w:rsidRPr="00C849DE">
        <w:rPr>
          <w:szCs w:val="22"/>
        </w:rPr>
        <w:t>IFPMA and Crop Life International</w:t>
      </w:r>
      <w:r>
        <w:rPr>
          <w:szCs w:val="22"/>
        </w:rPr>
        <w:t xml:space="preserve"> and presented at the </w:t>
      </w:r>
      <w:r w:rsidRPr="00C849DE">
        <w:rPr>
          <w:szCs w:val="22"/>
        </w:rPr>
        <w:t xml:space="preserve">side event </w:t>
      </w:r>
      <w:r>
        <w:rPr>
          <w:szCs w:val="22"/>
        </w:rPr>
        <w:t xml:space="preserve">during the IGC36 found that in both India and Brazil </w:t>
      </w:r>
      <w:r w:rsidRPr="00C849DE">
        <w:t xml:space="preserve">the disclosure requirement </w:t>
      </w:r>
      <w:r>
        <w:t>caused</w:t>
      </w:r>
      <w:r w:rsidRPr="00C849DE">
        <w:t xml:space="preserve"> </w:t>
      </w:r>
      <w:r>
        <w:t xml:space="preserve">significant </w:t>
      </w:r>
      <w:r w:rsidRPr="00C849DE">
        <w:t>delay</w:t>
      </w:r>
      <w:r>
        <w:t>s in</w:t>
      </w:r>
      <w:r w:rsidRPr="00C849DE">
        <w:t xml:space="preserve"> the patent examination process.</w:t>
      </w:r>
      <w:r>
        <w:rPr>
          <w:rStyle w:val="FootnoteReference"/>
        </w:rPr>
        <w:footnoteReference w:id="27"/>
      </w:r>
      <w:r w:rsidRPr="00C849DE">
        <w:t xml:space="preserve"> In addition to delay</w:t>
      </w:r>
      <w:r>
        <w:t>s</w:t>
      </w:r>
      <w:r w:rsidRPr="00C849DE">
        <w:t>, it might negatively affect R&amp;D costs and increase uncertainty in the patent system.</w:t>
      </w:r>
      <w:r>
        <w:rPr>
          <w:rStyle w:val="FootnoteReference"/>
        </w:rPr>
        <w:footnoteReference w:id="28"/>
      </w:r>
      <w:r w:rsidRPr="00C849DE">
        <w:t xml:space="preserve"> </w:t>
      </w:r>
    </w:p>
    <w:p w14:paraId="2BEA8820" w14:textId="77777777" w:rsidR="00F34CFF" w:rsidRDefault="00F34CFF" w:rsidP="00F34CFF">
      <w:pPr>
        <w:rPr>
          <w:b/>
          <w:i/>
          <w:szCs w:val="22"/>
        </w:rPr>
      </w:pPr>
    </w:p>
    <w:p w14:paraId="5F750DFD" w14:textId="77777777" w:rsidR="00F34CFF" w:rsidRDefault="00F34CFF" w:rsidP="00F34CFF">
      <w:pPr>
        <w:rPr>
          <w:b/>
          <w:i/>
          <w:szCs w:val="22"/>
        </w:rPr>
      </w:pPr>
      <w:r w:rsidRPr="00044BC8">
        <w:rPr>
          <w:b/>
          <w:i/>
          <w:szCs w:val="22"/>
        </w:rPr>
        <w:t>The Economic Impact of Uncertainty in Patent Rights</w:t>
      </w:r>
    </w:p>
    <w:p w14:paraId="28A67F00" w14:textId="77777777" w:rsidR="00F34CFF" w:rsidRPr="00044BC8" w:rsidRDefault="00F34CFF" w:rsidP="00F34CFF">
      <w:pPr>
        <w:rPr>
          <w:b/>
          <w:i/>
          <w:szCs w:val="22"/>
        </w:rPr>
      </w:pPr>
    </w:p>
    <w:p w14:paraId="1662DF8C" w14:textId="77777777" w:rsidR="00F34CFF" w:rsidRDefault="00F34CFF" w:rsidP="00F34CFF">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Pr>
          <w:szCs w:val="22"/>
        </w:rPr>
        <w:t>rights with respect to a firm’s </w:t>
      </w:r>
      <w:r w:rsidRPr="00044BC8">
        <w:rPr>
          <w:szCs w:val="22"/>
        </w:rPr>
        <w:t>licensing agreements, research and development (R&amp;D) investment, and litigation.</w:t>
      </w:r>
    </w:p>
    <w:p w14:paraId="6A26A857" w14:textId="77777777" w:rsidR="00F34CFF" w:rsidRPr="00044BC8" w:rsidRDefault="00F34CFF" w:rsidP="00F34CFF">
      <w:pPr>
        <w:rPr>
          <w:szCs w:val="22"/>
        </w:rPr>
      </w:pPr>
    </w:p>
    <w:p w14:paraId="6815116E" w14:textId="35935E4F" w:rsidR="00F34CFF" w:rsidRDefault="00F34CFF" w:rsidP="00F34CFF">
      <w:pPr>
        <w:rPr>
          <w:b/>
          <w:szCs w:val="22"/>
        </w:rPr>
      </w:pPr>
      <w:r w:rsidRPr="00044BC8">
        <w:rPr>
          <w:szCs w:val="22"/>
        </w:rPr>
        <w:lastRenderedPageBreak/>
        <w:t>“The idea that patent protection increases a firm’s ability to appropriate the returns from its innovations is commonplace in the literature.”</w:t>
      </w:r>
      <w:r w:rsidRPr="00044BC8">
        <w:rPr>
          <w:szCs w:val="22"/>
          <w:vertAlign w:val="superscript"/>
        </w:rPr>
        <w:footnoteReference w:id="29"/>
      </w:r>
      <w:r w:rsidRPr="00044BC8">
        <w:rPr>
          <w:szCs w:val="22"/>
        </w:rPr>
        <w:t xml:space="preserve">  Illustra</w:t>
      </w:r>
      <w:r>
        <w:rPr>
          <w:szCs w:val="22"/>
        </w:rPr>
        <w:t>ting the economic importance</w:t>
      </w:r>
      <w:r w:rsidR="00651E57">
        <w:rPr>
          <w:szCs w:val="22"/>
        </w:rPr>
        <w:t xml:space="preserve"> and</w:t>
      </w:r>
      <w:r>
        <w:rPr>
          <w:szCs w:val="22"/>
        </w:rPr>
        <w:t xml:space="preserve"> </w:t>
      </w:r>
      <w:r w:rsidRPr="00044BC8">
        <w:rPr>
          <w:szCs w:val="22"/>
        </w:rPr>
        <w:t xml:space="preserve">perceived market value of patent protection is a study by Joshua </w:t>
      </w:r>
      <w:proofErr w:type="spellStart"/>
      <w:r w:rsidRPr="00044BC8">
        <w:rPr>
          <w:szCs w:val="22"/>
        </w:rPr>
        <w:t>Gans</w:t>
      </w:r>
      <w:proofErr w:type="spellEnd"/>
      <w:r w:rsidRPr="00044BC8">
        <w:rPr>
          <w:szCs w:val="22"/>
        </w:rPr>
        <w:t xml:space="preserve"> drawn from a sample of nearly 200 </w:t>
      </w:r>
      <w:proofErr w:type="gramStart"/>
      <w:r w:rsidRPr="00044BC8">
        <w:rPr>
          <w:szCs w:val="22"/>
        </w:rPr>
        <w:t>technology licensing</w:t>
      </w:r>
      <w:proofErr w:type="gramEnd"/>
      <w:r w:rsidRPr="00044BC8">
        <w:rPr>
          <w:szCs w:val="22"/>
        </w:rPr>
        <w:t xml:space="preserve"> deals between startup innovat</w:t>
      </w:r>
      <w:r>
        <w:rPr>
          <w:szCs w:val="22"/>
        </w:rPr>
        <w:t xml:space="preserve">ors and downstream firms across </w:t>
      </w:r>
      <w:r w:rsidRPr="00044BC8">
        <w:rPr>
          <w:szCs w:val="22"/>
        </w:rPr>
        <w:t>four industry sectors.</w:t>
      </w:r>
      <w:r w:rsidRPr="00E8033D">
        <w:rPr>
          <w:szCs w:val="22"/>
          <w:vertAlign w:val="superscript"/>
        </w:rPr>
        <w:footnoteReference w:id="30"/>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31"/>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2"/>
      </w:r>
      <w:r w:rsidRPr="00044BC8">
        <w:rPr>
          <w:b/>
          <w:szCs w:val="22"/>
        </w:rPr>
        <w:t xml:space="preserve"> </w:t>
      </w:r>
    </w:p>
    <w:p w14:paraId="0B4AA485" w14:textId="77777777" w:rsidR="00F34CFF" w:rsidRPr="00044BC8" w:rsidRDefault="00F34CFF" w:rsidP="00F34CFF">
      <w:pPr>
        <w:rPr>
          <w:b/>
          <w:szCs w:val="22"/>
        </w:rPr>
      </w:pPr>
    </w:p>
    <w:p w14:paraId="499649F3" w14:textId="77777777" w:rsidR="00F34CFF" w:rsidRDefault="00F34CFF" w:rsidP="00F34CFF">
      <w:pPr>
        <w:rPr>
          <w:szCs w:val="22"/>
        </w:rPr>
      </w:pPr>
      <w:r w:rsidRPr="00044BC8">
        <w:rPr>
          <w:szCs w:val="22"/>
        </w:rPr>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3"/>
      </w:r>
      <w:r w:rsidRPr="00044BC8">
        <w:rPr>
          <w:szCs w:val="22"/>
        </w:rPr>
        <w:t xml:space="preserve"> </w:t>
      </w:r>
    </w:p>
    <w:p w14:paraId="259FBBA2" w14:textId="77777777" w:rsidR="00F34CFF" w:rsidRPr="00044BC8" w:rsidRDefault="00F34CFF" w:rsidP="00F34CFF">
      <w:pPr>
        <w:rPr>
          <w:szCs w:val="22"/>
        </w:rPr>
      </w:pPr>
    </w:p>
    <w:p w14:paraId="7BEDECD8" w14:textId="77777777" w:rsidR="00F34CFF" w:rsidRDefault="00F34CFF" w:rsidP="00F34CFF">
      <w:pPr>
        <w:rPr>
          <w:szCs w:val="22"/>
        </w:rPr>
      </w:pPr>
      <w:proofErr w:type="spellStart"/>
      <w:r w:rsidRPr="00044BC8">
        <w:rPr>
          <w:szCs w:val="22"/>
        </w:rPr>
        <w:t>Gans</w:t>
      </w:r>
      <w:proofErr w:type="spellEnd"/>
      <w:r w:rsidRPr="00044BC8">
        <w:rPr>
          <w:szCs w:val="22"/>
        </w:rPr>
        <w:t xml:space="preserve">, Figure 2, reproduced below, is illustrative: </w:t>
      </w:r>
    </w:p>
    <w:p w14:paraId="71A4271B" w14:textId="77777777" w:rsidR="00F34CFF" w:rsidRPr="00044BC8" w:rsidRDefault="00F34CFF" w:rsidP="00F34CFF">
      <w:pPr>
        <w:rPr>
          <w:szCs w:val="22"/>
        </w:rPr>
      </w:pPr>
    </w:p>
    <w:p w14:paraId="417D34C3" w14:textId="77777777" w:rsidR="00F34CFF" w:rsidRPr="00044BC8" w:rsidRDefault="00F34CFF" w:rsidP="00F34CFF">
      <w:pPr>
        <w:jc w:val="center"/>
        <w:rPr>
          <w:szCs w:val="22"/>
        </w:rPr>
      </w:pPr>
      <w:r w:rsidRPr="00044BC8">
        <w:rPr>
          <w:noProof/>
          <w:szCs w:val="22"/>
          <w:lang w:eastAsia="en-US"/>
        </w:rPr>
        <w:drawing>
          <wp:inline distT="0" distB="0" distL="0" distR="0" wp14:anchorId="31F9439E" wp14:editId="42A3C536">
            <wp:extent cx="3908636" cy="306421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14:paraId="7B5E03B7" w14:textId="77777777" w:rsidR="00F34CFF" w:rsidRDefault="00F34CFF" w:rsidP="00F34CFF">
      <w:pPr>
        <w:rPr>
          <w:szCs w:val="22"/>
        </w:rPr>
      </w:pPr>
    </w:p>
    <w:p w14:paraId="60C16C61" w14:textId="77777777" w:rsidR="00F34CFF" w:rsidRDefault="00F34CFF" w:rsidP="00F34CFF">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4"/>
      </w:r>
      <w:r w:rsidRPr="00044BC8">
        <w:rPr>
          <w:szCs w:val="22"/>
        </w:rPr>
        <w:t xml:space="preserve">  </w:t>
      </w:r>
    </w:p>
    <w:p w14:paraId="7767AA77" w14:textId="77777777" w:rsidR="00F34CFF" w:rsidRPr="00044BC8" w:rsidRDefault="00F34CFF" w:rsidP="00F34CFF">
      <w:pPr>
        <w:rPr>
          <w:szCs w:val="22"/>
        </w:rPr>
      </w:pPr>
    </w:p>
    <w:p w14:paraId="5F038047" w14:textId="77777777" w:rsidR="00F34CFF" w:rsidRDefault="00F34CFF" w:rsidP="00F34CFF">
      <w:pPr>
        <w:rPr>
          <w:szCs w:val="22"/>
        </w:rPr>
        <w:sectPr w:rsidR="00F34CFF" w:rsidSect="00E81683">
          <w:headerReference w:type="even" r:id="rId17"/>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r w:rsidRPr="00044BC8">
        <w:rPr>
          <w:szCs w:val="22"/>
        </w:rPr>
        <w:t xml:space="preserve">Importantly, Figure 2 shows a marked increase in the level of licensing right around the time the patent </w:t>
      </w:r>
      <w:proofErr w:type="gramStart"/>
      <w:r w:rsidRPr="00044BC8">
        <w:rPr>
          <w:szCs w:val="22"/>
        </w:rPr>
        <w:t>was allowed</w:t>
      </w:r>
      <w:proofErr w:type="gramEnd"/>
      <w:r w:rsidRPr="00044BC8">
        <w:rPr>
          <w:szCs w:val="22"/>
        </w:rPr>
        <w:t>.</w:t>
      </w:r>
      <w:r w:rsidRPr="00044BC8">
        <w:rPr>
          <w:szCs w:val="22"/>
          <w:vertAlign w:val="superscript"/>
        </w:rPr>
        <w:footnoteReference w:id="35"/>
      </w:r>
      <w:r w:rsidRPr="00044BC8">
        <w:rPr>
          <w:szCs w:val="22"/>
        </w:rPr>
        <w:t xml:space="preserve">  If the new disclosure requirements </w:t>
      </w:r>
      <w:proofErr w:type="gramStart"/>
      <w:r w:rsidRPr="00044BC8">
        <w:rPr>
          <w:szCs w:val="22"/>
        </w:rPr>
        <w:t>are adopted</w:t>
      </w:r>
      <w:proofErr w:type="gramEnd"/>
      <w:r w:rsidRPr="00044BC8">
        <w:rPr>
          <w:szCs w:val="22"/>
        </w:rPr>
        <w:t xml:space="preserve">, however, patent applications and patents that are subject to new disclosure requirements could be delayed, reducing the likelihood of licensing.  </w:t>
      </w:r>
      <w:proofErr w:type="gramStart"/>
      <w:r w:rsidRPr="00044BC8">
        <w:rPr>
          <w:szCs w:val="22"/>
        </w:rPr>
        <w:t>Also</w:t>
      </w:r>
      <w:proofErr w:type="gramEnd"/>
      <w:r w:rsidRPr="00044BC8">
        <w:rPr>
          <w:szCs w:val="22"/>
        </w:rPr>
        <w:t xml:space="preserve">, these patent applications and patents could have a lower market value due to the threat of disclosure-based rejections and post-grant challenges.  Indeed, a previous study by </w:t>
      </w:r>
      <w:proofErr w:type="spellStart"/>
      <w:r w:rsidRPr="00044BC8">
        <w:rPr>
          <w:szCs w:val="22"/>
        </w:rPr>
        <w:t>Gans</w:t>
      </w:r>
      <w:proofErr w:type="spellEnd"/>
      <w:r w:rsidRPr="00044BC8">
        <w:rPr>
          <w:szCs w:val="22"/>
        </w:rPr>
        <w:t xml:space="preserve"> “found that start-up firms are more likely to license (or be acquired) if they have one or more patents or if they rate patent protection as being relatively</w:t>
      </w:r>
    </w:p>
    <w:p w14:paraId="245D171C" w14:textId="77777777" w:rsidR="00F34CFF" w:rsidRDefault="00F34CFF" w:rsidP="00F34CFF">
      <w:pPr>
        <w:rPr>
          <w:szCs w:val="22"/>
        </w:rPr>
      </w:pPr>
      <w:r w:rsidRPr="00044BC8">
        <w:rPr>
          <w:szCs w:val="22"/>
        </w:rPr>
        <w:lastRenderedPageBreak/>
        <w:t>‘</w:t>
      </w:r>
      <w:proofErr w:type="gramStart"/>
      <w:r w:rsidRPr="00044BC8">
        <w:rPr>
          <w:szCs w:val="22"/>
        </w:rPr>
        <w:t>effective</w:t>
      </w:r>
      <w:proofErr w:type="gramEnd"/>
      <w:r w:rsidRPr="00044BC8">
        <w:rPr>
          <w:szCs w:val="22"/>
        </w:rPr>
        <w:t xml:space="preserve">.’ </w:t>
      </w:r>
      <w:proofErr w:type="gramStart"/>
      <w:r w:rsidRPr="00044BC8">
        <w:rPr>
          <w:szCs w:val="22"/>
        </w:rPr>
        <w:t>But .</w:t>
      </w:r>
      <w:proofErr w:type="gramEnd"/>
      <w:r w:rsidRPr="00044BC8">
        <w:rPr>
          <w:szCs w:val="22"/>
        </w:rPr>
        <w:t> . . when patent protection is ineffective</w:t>
      </w:r>
      <w:r>
        <w:rPr>
          <w:szCs w:val="22"/>
        </w:rPr>
        <w:t xml:space="preserve"> [</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6"/>
      </w:r>
      <w:r w:rsidRPr="00044BC8">
        <w:rPr>
          <w:szCs w:val="22"/>
        </w:rPr>
        <w:t xml:space="preserve">  </w:t>
      </w:r>
    </w:p>
    <w:p w14:paraId="224C558E" w14:textId="77777777" w:rsidR="00F34CFF" w:rsidRDefault="00F34CFF" w:rsidP="00F34CFF">
      <w:pPr>
        <w:rPr>
          <w:szCs w:val="22"/>
        </w:rPr>
      </w:pPr>
    </w:p>
    <w:p w14:paraId="657AEDE5" w14:textId="77777777" w:rsidR="00F34CFF" w:rsidRDefault="00F34CFF" w:rsidP="00F34CFF">
      <w:pPr>
        <w:rPr>
          <w:szCs w:val="22"/>
        </w:rPr>
      </w:pPr>
      <w:r w:rsidRPr="00044BC8">
        <w:rPr>
          <w:szCs w:val="22"/>
        </w:rPr>
        <w:t>“Private investors will not be inclined to invest in the production of knowledge unless they see an opportunity to. . . earn an adequate return on investment.”</w:t>
      </w:r>
      <w:r w:rsidRPr="00044BC8">
        <w:rPr>
          <w:szCs w:val="22"/>
          <w:vertAlign w:val="superscript"/>
        </w:rPr>
        <w:footnoteReference w:id="37"/>
      </w:r>
      <w:r w:rsidRPr="00044BC8">
        <w:rPr>
          <w:szCs w:val="22"/>
        </w:rPr>
        <w:t xml:space="preserve">  Accordingly, uncertainty about future market returns plays a critical role in the decision to invest in R&amp;D.</w:t>
      </w:r>
      <w:r w:rsidRPr="00044BC8">
        <w:rPr>
          <w:szCs w:val="22"/>
          <w:vertAlign w:val="superscript"/>
        </w:rPr>
        <w:footnoteReference w:id="38"/>
      </w:r>
      <w:r w:rsidRPr="00044BC8">
        <w:rPr>
          <w:szCs w:val="22"/>
        </w:rPr>
        <w:t xml:space="preserve">  A study led by Dirk </w:t>
      </w:r>
      <w:proofErr w:type="spellStart"/>
      <w:r w:rsidRPr="00044BC8">
        <w:rPr>
          <w:szCs w:val="22"/>
        </w:rPr>
        <w:t>Czarnitzki</w:t>
      </w:r>
      <w:proofErr w:type="spellEnd"/>
      <w:r w:rsidRPr="00044BC8">
        <w:rPr>
          <w:szCs w:val="22"/>
        </w:rPr>
        <w:t xml:space="preserve"> shows that the level of current R&amp;D investment falls as the degree of uncertainty about returns to innovation increases.</w:t>
      </w:r>
      <w:r w:rsidRPr="00044BC8">
        <w:rPr>
          <w:szCs w:val="22"/>
          <w:vertAlign w:val="superscript"/>
        </w:rPr>
        <w:footnoteReference w:id="39"/>
      </w:r>
      <w:r w:rsidRPr="00044BC8">
        <w:rPr>
          <w:szCs w:val="22"/>
        </w:rPr>
        <w:t xml:space="preserve">  </w:t>
      </w:r>
      <w:proofErr w:type="spellStart"/>
      <w:r w:rsidRPr="00044BC8">
        <w:rPr>
          <w:szCs w:val="22"/>
        </w:rPr>
        <w:t>Czarnitzki</w:t>
      </w:r>
      <w:proofErr w:type="spellEnd"/>
      <w:r w:rsidRPr="00044BC8">
        <w:rPr>
          <w:szCs w:val="22"/>
        </w:rPr>
        <w:t xml:space="preserve">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40"/>
      </w:r>
      <w:r w:rsidRPr="00044BC8">
        <w:rPr>
          <w:szCs w:val="22"/>
        </w:rPr>
        <w:t xml:space="preserve"> In both pooled- and random-effects models, </w:t>
      </w:r>
      <w:proofErr w:type="spellStart"/>
      <w:r w:rsidRPr="00044BC8">
        <w:rPr>
          <w:szCs w:val="22"/>
        </w:rPr>
        <w:t>Czarnitzki</w:t>
      </w:r>
      <w:proofErr w:type="spellEnd"/>
      <w:r w:rsidRPr="00044BC8">
        <w:rPr>
          <w:szCs w:val="22"/>
        </w:rPr>
        <w:t xml:space="preserve"> found </w:t>
      </w:r>
      <w:proofErr w:type="gramStart"/>
      <w:r w:rsidRPr="00044BC8">
        <w:rPr>
          <w:szCs w:val="22"/>
        </w:rPr>
        <w:t>that</w:t>
      </w:r>
      <w:proofErr w:type="gramEnd"/>
      <w:r w:rsidRPr="00044BC8">
        <w:rPr>
          <w:szCs w:val="22"/>
        </w:rPr>
        <w:t xml:space="preserve"> uncertainty in new product markets significantly reduces current firm-level R&amp;D investment.</w:t>
      </w:r>
      <w:r w:rsidRPr="00044BC8">
        <w:rPr>
          <w:szCs w:val="22"/>
          <w:vertAlign w:val="superscript"/>
        </w:rPr>
        <w:footnoteReference w:id="41"/>
      </w:r>
      <w:r w:rsidRPr="00044BC8">
        <w:rPr>
          <w:szCs w:val="22"/>
        </w:rPr>
        <w:t xml:space="preserve"> For example, when the pooled model B </w:t>
      </w:r>
      <w:proofErr w:type="gramStart"/>
      <w:r w:rsidRPr="00044BC8">
        <w:rPr>
          <w:szCs w:val="22"/>
        </w:rPr>
        <w:t>was used</w:t>
      </w:r>
      <w:proofErr w:type="gramEnd"/>
      <w:r w:rsidRPr="00044BC8">
        <w:rPr>
          <w:szCs w:val="22"/>
        </w:rPr>
        <w:t xml:space="preserve">, </w:t>
      </w:r>
      <w:proofErr w:type="spellStart"/>
      <w:r w:rsidRPr="00044BC8">
        <w:rPr>
          <w:szCs w:val="22"/>
        </w:rPr>
        <w:t>Czarnitzki</w:t>
      </w:r>
      <w:proofErr w:type="spellEnd"/>
      <w:r w:rsidRPr="00044BC8">
        <w:rPr>
          <w:szCs w:val="22"/>
        </w:rPr>
        <w:t xml:space="preserve"> found a 10% increase in uncertainty led to a reduction of R&amp;D investment by 23%.</w:t>
      </w:r>
      <w:r w:rsidRPr="00044BC8">
        <w:rPr>
          <w:szCs w:val="22"/>
          <w:vertAlign w:val="superscript"/>
        </w:rPr>
        <w:footnoteReference w:id="42"/>
      </w:r>
      <w:r w:rsidRPr="00044BC8">
        <w:rPr>
          <w:szCs w:val="22"/>
        </w:rPr>
        <w:t xml:space="preserve">  </w:t>
      </w:r>
    </w:p>
    <w:p w14:paraId="380544B5" w14:textId="77777777" w:rsidR="00F34CFF" w:rsidRPr="00044BC8" w:rsidRDefault="00F34CFF" w:rsidP="00F34CFF">
      <w:pPr>
        <w:rPr>
          <w:szCs w:val="22"/>
        </w:rPr>
      </w:pPr>
    </w:p>
    <w:p w14:paraId="3D29976A" w14:textId="77777777" w:rsidR="00F34CFF" w:rsidRDefault="00F34CFF" w:rsidP="00F34CFF">
      <w:pPr>
        <w:rPr>
          <w:szCs w:val="22"/>
        </w:rPr>
      </w:pPr>
      <w:r w:rsidRPr="00044BC8">
        <w:rPr>
          <w:szCs w:val="22"/>
        </w:rPr>
        <w:t xml:space="preserve">Although </w:t>
      </w:r>
      <w:proofErr w:type="spellStart"/>
      <w:r w:rsidRPr="00044BC8">
        <w:rPr>
          <w:szCs w:val="22"/>
        </w:rPr>
        <w:t>Czarnitzki</w:t>
      </w:r>
      <w:proofErr w:type="spellEnd"/>
      <w:r w:rsidRPr="00044BC8">
        <w:rPr>
          <w:szCs w:val="22"/>
        </w:rPr>
        <w:t xml:space="preserve"> also found that </w:t>
      </w:r>
      <w:proofErr w:type="gramStart"/>
      <w:r w:rsidRPr="00044BC8">
        <w:rPr>
          <w:szCs w:val="22"/>
        </w:rPr>
        <w:t>patent</w:t>
      </w:r>
      <w:proofErr w:type="gramEnd"/>
      <w:r w:rsidRPr="00044BC8">
        <w:rPr>
          <w:szCs w:val="22"/>
        </w:rPr>
        <w:t xml:space="preserve">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3"/>
      </w:r>
      <w:r w:rsidRPr="00044BC8">
        <w:rPr>
          <w:szCs w:val="22"/>
        </w:rPr>
        <w:t xml:space="preserve">  In other words, a patent whose value is uncertain—e.g., due to the new disclosure requirement—likely would not mitigate the influence of uncertainty on a firm’s R&amp;D decision. </w:t>
      </w:r>
    </w:p>
    <w:p w14:paraId="7FA2982B" w14:textId="77777777" w:rsidR="00F34CFF" w:rsidRPr="00044BC8" w:rsidRDefault="00F34CFF" w:rsidP="00F34CFF">
      <w:pPr>
        <w:rPr>
          <w:szCs w:val="22"/>
        </w:rPr>
      </w:pPr>
    </w:p>
    <w:p w14:paraId="1BB4A195" w14:textId="77777777" w:rsidR="00F34CFF" w:rsidRDefault="00F34CFF" w:rsidP="00F34CFF">
      <w:pPr>
        <w:rPr>
          <w:szCs w:val="22"/>
        </w:rPr>
      </w:pPr>
      <w:proofErr w:type="spellStart"/>
      <w:r w:rsidRPr="00044BC8">
        <w:rPr>
          <w:szCs w:val="22"/>
        </w:rPr>
        <w:t>Czarnitzki’s</w:t>
      </w:r>
      <w:proofErr w:type="spellEnd"/>
      <w:r w:rsidRPr="00044BC8">
        <w:rPr>
          <w:szCs w:val="22"/>
        </w:rPr>
        <w:t xml:space="preserve"> study suggests that in the face of uncertainty, firms are more likely to forgo the R&amp;D necessary to invent and secure patents.  As a result, firms may have to rely on weaker </w:t>
      </w:r>
      <w:r>
        <w:rPr>
          <w:szCs w:val="22"/>
        </w:rPr>
        <w:t>and non</w:t>
      </w:r>
      <w:r>
        <w:rPr>
          <w:szCs w:val="22"/>
        </w:rPr>
        <w:noBreakHyphen/>
        <w:t xml:space="preserve">disclosed </w:t>
      </w:r>
      <w:r w:rsidRPr="00044BC8">
        <w:rPr>
          <w:szCs w:val="22"/>
        </w:rPr>
        <w:t xml:space="preserve">forms of intellectual property protection, such as trade secrets.  Worse yet, firms may decide to innovate less and instead </w:t>
      </w:r>
      <w:r>
        <w:rPr>
          <w:szCs w:val="22"/>
        </w:rPr>
        <w:t>rely on</w:t>
      </w:r>
      <w:r w:rsidRPr="00044BC8">
        <w:rPr>
          <w:szCs w:val="22"/>
        </w:rPr>
        <w:t xml:space="preserve"> others’ research, to the detriment of scientific and industrial development.</w:t>
      </w:r>
      <w:r w:rsidRPr="00044BC8">
        <w:rPr>
          <w:szCs w:val="22"/>
          <w:vertAlign w:val="superscript"/>
        </w:rPr>
        <w:footnoteReference w:id="44"/>
      </w:r>
      <w:r w:rsidRPr="00044BC8">
        <w:rPr>
          <w:szCs w:val="22"/>
        </w:rPr>
        <w:t xml:space="preserve">  As the United States has stated previously “[n]</w:t>
      </w:r>
      <w:proofErr w:type="spellStart"/>
      <w:r w:rsidRPr="00044BC8">
        <w:rPr>
          <w:szCs w:val="22"/>
        </w:rPr>
        <w:t>ew</w:t>
      </w:r>
      <w:proofErr w:type="spellEnd"/>
      <w:r w:rsidRPr="00044BC8">
        <w:rPr>
          <w:szCs w:val="22"/>
        </w:rPr>
        <w:t xml:space="preserve">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5"/>
      </w:r>
      <w:r w:rsidRPr="00044BC8">
        <w:rPr>
          <w:szCs w:val="22"/>
        </w:rPr>
        <w:t xml:space="preserve">  </w:t>
      </w:r>
    </w:p>
    <w:p w14:paraId="7BA7A39F" w14:textId="77777777" w:rsidR="00F34CFF" w:rsidRPr="00044BC8" w:rsidRDefault="00F34CFF" w:rsidP="00F34CFF">
      <w:pPr>
        <w:rPr>
          <w:szCs w:val="22"/>
        </w:rPr>
      </w:pPr>
    </w:p>
    <w:p w14:paraId="693D0A70" w14:textId="77777777" w:rsidR="00F34CFF" w:rsidRDefault="00F34CFF" w:rsidP="00F34CFF">
      <w:pPr>
        <w:rPr>
          <w:szCs w:val="22"/>
        </w:rPr>
        <w:sectPr w:rsidR="00F34CFF" w:rsidSect="00E81683">
          <w:headerReference w:type="first" r:id="rId20"/>
          <w:endnotePr>
            <w:numFmt w:val="decimal"/>
          </w:endnotePr>
          <w:pgSz w:w="11907" w:h="16840" w:code="9"/>
          <w:pgMar w:top="567" w:right="1134" w:bottom="1418" w:left="1418" w:header="510" w:footer="1021" w:gutter="0"/>
          <w:cols w:space="720"/>
          <w:titlePg/>
          <w:docGrid w:linePitch="299"/>
        </w:sect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14:paraId="65C6584E" w14:textId="77777777" w:rsidR="00F34CFF" w:rsidRDefault="00F34CFF" w:rsidP="00F34CFF">
      <w:pPr>
        <w:rPr>
          <w:b/>
          <w:i/>
          <w:szCs w:val="22"/>
        </w:rPr>
      </w:pPr>
      <w:r w:rsidRPr="00044BC8">
        <w:rPr>
          <w:b/>
          <w:i/>
          <w:szCs w:val="22"/>
        </w:rPr>
        <w:lastRenderedPageBreak/>
        <w:t>Conclusion</w:t>
      </w:r>
    </w:p>
    <w:p w14:paraId="05369E94" w14:textId="77777777" w:rsidR="00F34CFF" w:rsidRPr="00044BC8" w:rsidRDefault="00F34CFF" w:rsidP="00F34CFF">
      <w:pPr>
        <w:rPr>
          <w:b/>
          <w:i/>
          <w:szCs w:val="22"/>
        </w:rPr>
      </w:pPr>
    </w:p>
    <w:p w14:paraId="1B6E3902" w14:textId="77777777" w:rsidR="00F34CFF" w:rsidRPr="00044BC8" w:rsidRDefault="00F34CFF" w:rsidP="00F34CFF">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w:t>
      </w:r>
      <w:proofErr w:type="gramStart"/>
      <w:r w:rsidRPr="00044BC8">
        <w:rPr>
          <w:szCs w:val="22"/>
        </w:rPr>
        <w:t>being considered</w:t>
      </w:r>
      <w:proofErr w:type="gramEnd"/>
      <w:r w:rsidRPr="00044BC8">
        <w:rPr>
          <w:szCs w:val="22"/>
        </w:rPr>
        <w:t xml:space="preserve"> in the IGC would outweigh the real and significant harm they might impose.  There is a lack of evidence in support of economic benefits or value from new patent disclosure requirements.  Rather, the evidence suggests that new patent disclosure requirements might negatively </w:t>
      </w:r>
      <w:proofErr w:type="gramStart"/>
      <w:r w:rsidRPr="00044BC8">
        <w:rPr>
          <w:szCs w:val="22"/>
        </w:rPr>
        <w:t>impact</w:t>
      </w:r>
      <w:proofErr w:type="gramEnd"/>
      <w:r w:rsidRPr="00044BC8">
        <w:rPr>
          <w:szCs w:val="22"/>
        </w:rPr>
        <w:t xml:space="preserve"> the patent system, which has functioned for hundreds of years in many parts of the world to the benefit of societies at large.  </w:t>
      </w:r>
      <w:proofErr w:type="gramStart"/>
      <w:r w:rsidRPr="00044BC8">
        <w:rPr>
          <w:szCs w:val="22"/>
        </w:rPr>
        <w:t>As a consequence</w:t>
      </w:r>
      <w:proofErr w:type="gramEnd"/>
      <w:r w:rsidRPr="00044BC8">
        <w:rPr>
          <w:szCs w:val="22"/>
        </w:rPr>
        <w:t xml:space="preserve">, new patent disclosure requirements would have a negative impact on economic development.  Accordingly, the United States urges the use of caution when exploring these proposals. </w:t>
      </w:r>
    </w:p>
    <w:p w14:paraId="6E8DBFC4" w14:textId="77777777" w:rsidR="00F34CFF" w:rsidRPr="00377AA3" w:rsidRDefault="00F34CFF" w:rsidP="00F34CFF">
      <w:pPr>
        <w:rPr>
          <w:szCs w:val="22"/>
          <w:lang w:val="en-GB"/>
        </w:rPr>
      </w:pPr>
    </w:p>
    <w:p w14:paraId="4F02AB54" w14:textId="77777777" w:rsidR="00F34CFF" w:rsidRDefault="00F34CFF" w:rsidP="00F34CFF"/>
    <w:p w14:paraId="3473895D" w14:textId="77777777" w:rsidR="00F34CFF" w:rsidRDefault="00F34CFF" w:rsidP="00F34CFF">
      <w:pPr>
        <w:ind w:left="5500"/>
      </w:pPr>
      <w:r w:rsidRPr="00F673DB">
        <w:t xml:space="preserve">[End of </w:t>
      </w:r>
      <w:r>
        <w:t xml:space="preserve">Annex and of </w:t>
      </w:r>
      <w:r w:rsidRPr="00F673DB">
        <w:t>document]</w:t>
      </w:r>
    </w:p>
    <w:p w14:paraId="4F697213" w14:textId="77777777" w:rsidR="00F34CFF" w:rsidRPr="003D2954" w:rsidRDefault="00F34CFF" w:rsidP="00F34CFF"/>
    <w:p w14:paraId="1B4A3313" w14:textId="77777777" w:rsidR="002928D3" w:rsidRDefault="002928D3" w:rsidP="00F34CFF"/>
    <w:sectPr w:rsidR="002928D3" w:rsidSect="000F2AD2">
      <w:headerReference w:type="even" r:id="rId21"/>
      <w:headerReference w:type="default" r:id="rId22"/>
      <w:footerReference w:type="even" r:id="rId23"/>
      <w:foot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AD97A" w14:textId="77777777" w:rsidR="00172911" w:rsidRDefault="00172911">
      <w:r>
        <w:separator/>
      </w:r>
    </w:p>
  </w:endnote>
  <w:endnote w:type="continuationSeparator" w:id="0">
    <w:p w14:paraId="6AF408C6" w14:textId="77777777" w:rsidR="00172911" w:rsidRDefault="00172911" w:rsidP="003B38C1">
      <w:r>
        <w:separator/>
      </w:r>
    </w:p>
    <w:p w14:paraId="2F017663" w14:textId="77777777" w:rsidR="00172911" w:rsidRPr="003B38C1" w:rsidRDefault="00172911" w:rsidP="003B38C1">
      <w:pPr>
        <w:spacing w:after="60"/>
        <w:rPr>
          <w:sz w:val="17"/>
        </w:rPr>
      </w:pPr>
      <w:r>
        <w:rPr>
          <w:sz w:val="17"/>
        </w:rPr>
        <w:t>[Endnote continued from previous page]</w:t>
      </w:r>
    </w:p>
  </w:endnote>
  <w:endnote w:type="continuationNotice" w:id="1">
    <w:p w14:paraId="14A07EB8" w14:textId="77777777" w:rsidR="00172911" w:rsidRPr="003B38C1" w:rsidRDefault="001729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83BF" w14:textId="2E82D3D3"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4C6D" w14:textId="6C050544"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A4BE" w14:textId="77777777" w:rsidR="00172911" w:rsidRDefault="00172911">
      <w:r>
        <w:separator/>
      </w:r>
    </w:p>
  </w:footnote>
  <w:footnote w:type="continuationSeparator" w:id="0">
    <w:p w14:paraId="199BE6A0" w14:textId="77777777" w:rsidR="00172911" w:rsidRDefault="00172911" w:rsidP="008B60B2">
      <w:r>
        <w:separator/>
      </w:r>
    </w:p>
    <w:p w14:paraId="0CEB42B9" w14:textId="77777777" w:rsidR="00172911" w:rsidRPr="00ED77FB" w:rsidRDefault="00172911" w:rsidP="008B60B2">
      <w:pPr>
        <w:spacing w:after="60"/>
        <w:rPr>
          <w:sz w:val="17"/>
          <w:szCs w:val="17"/>
        </w:rPr>
      </w:pPr>
      <w:r w:rsidRPr="00ED77FB">
        <w:rPr>
          <w:sz w:val="17"/>
          <w:szCs w:val="17"/>
        </w:rPr>
        <w:t>[Footnote continued from previous page]</w:t>
      </w:r>
    </w:p>
  </w:footnote>
  <w:footnote w:type="continuationNotice" w:id="1">
    <w:p w14:paraId="0B8E5668" w14:textId="77777777" w:rsidR="00172911" w:rsidRPr="00ED77FB" w:rsidRDefault="00172911" w:rsidP="008B60B2">
      <w:pPr>
        <w:spacing w:before="60"/>
        <w:jc w:val="right"/>
        <w:rPr>
          <w:sz w:val="17"/>
          <w:szCs w:val="17"/>
        </w:rPr>
      </w:pPr>
      <w:r w:rsidRPr="00ED77FB">
        <w:rPr>
          <w:sz w:val="17"/>
          <w:szCs w:val="17"/>
        </w:rPr>
        <w:t>[Footnote continued on next page]</w:t>
      </w:r>
    </w:p>
  </w:footnote>
  <w:footnote w:id="2">
    <w:p w14:paraId="17C97033"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w:t>
      </w:r>
      <w:r w:rsidRPr="00B94640">
        <w:rPr>
          <w:szCs w:val="18"/>
        </w:rPr>
        <w:t>http://www.wipo.int/edocs/mdocs/tk/en/wipo_grtkf_ic_36/wipo_grtkf_ic_36_4.pdf</w:t>
      </w:r>
      <w:r w:rsidRPr="00D84D21">
        <w:rPr>
          <w:szCs w:val="18"/>
        </w:rPr>
        <w:t xml:space="preserve"> </w:t>
      </w:r>
      <w:r w:rsidRPr="00D77BC7">
        <w:rPr>
          <w:szCs w:val="18"/>
        </w:rPr>
        <w:t>(accessed June 19, 2018).</w:t>
      </w:r>
    </w:p>
  </w:footnote>
  <w:footnote w:id="3">
    <w:p w14:paraId="25E20828"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14:paraId="6B5F9FC6"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12.</w:t>
      </w:r>
    </w:p>
  </w:footnote>
  <w:footnote w:id="5">
    <w:p w14:paraId="4E816671" w14:textId="77777777" w:rsidR="00F34CFF" w:rsidRPr="00D77BC7" w:rsidRDefault="00F34CFF" w:rsidP="00F34CFF">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Pr="00D77BC7">
        <w:rPr>
          <w:szCs w:val="18"/>
        </w:rPr>
        <w:t xml:space="preserve"> </w:t>
      </w:r>
      <w:r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w:t>
      </w:r>
      <w:proofErr w:type="spellStart"/>
      <w:r w:rsidRPr="00D77BC7">
        <w:rPr>
          <w:szCs w:val="18"/>
        </w:rPr>
        <w:t>Roffe</w:t>
      </w:r>
      <w:proofErr w:type="spellEnd"/>
      <w:r w:rsidRPr="00D77BC7">
        <w:rPr>
          <w:szCs w:val="18"/>
        </w:rPr>
        <w:t xml:space="preserve"> eds. 2016).</w:t>
      </w:r>
    </w:p>
  </w:footnote>
  <w:footnote w:id="6">
    <w:p w14:paraId="5543CC19"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14:paraId="24F9CD20" w14:textId="77777777" w:rsidR="00F34CFF" w:rsidRPr="00732DD5" w:rsidRDefault="00F34CFF" w:rsidP="00F34CFF">
      <w:pPr>
        <w:pStyle w:val="FootnoteText"/>
        <w:rPr>
          <w:i/>
        </w:rPr>
      </w:pPr>
      <w:r w:rsidRPr="00D77BC7">
        <w:rPr>
          <w:rStyle w:val="FootnoteReference"/>
          <w:szCs w:val="18"/>
        </w:rPr>
        <w:footnoteRef/>
      </w:r>
      <w:r w:rsidRPr="00D77BC7">
        <w:rPr>
          <w:szCs w:val="18"/>
        </w:rPr>
        <w:t xml:space="preserve"> Keating, </w:t>
      </w:r>
      <w:r w:rsidRPr="00D77BC7">
        <w:rPr>
          <w:i/>
          <w:szCs w:val="18"/>
        </w:rPr>
        <w:t xml:space="preserve">supra </w:t>
      </w:r>
      <w:r w:rsidRPr="00D77BC7">
        <w:rPr>
          <w:szCs w:val="18"/>
        </w:rPr>
        <w:t>n.4 at 271</w:t>
      </w:r>
      <w:r w:rsidRPr="00D77BC7">
        <w:rPr>
          <w:i/>
          <w:szCs w:val="18"/>
        </w:rPr>
        <w:t>.</w:t>
      </w:r>
    </w:p>
  </w:footnote>
  <w:footnote w:id="8">
    <w:p w14:paraId="1E3F09A3"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belief with different degrees (high</w:t>
      </w:r>
      <w:r w:rsidRPr="00D77BC7">
        <w:rPr>
          <w:szCs w:val="18"/>
        </w:rPr>
        <w:noBreakHyphen/>
        <w:t xml:space="preserve">low),” “a lack of foreknowledge which is relevant to make decisions,” and “a lack of information which is relevant to make decisions.”  Irene Troy, </w:t>
      </w:r>
      <w:r w:rsidRPr="00D77BC7">
        <w:rPr>
          <w:i/>
          <w:szCs w:val="18"/>
        </w:rPr>
        <w:t>Patent Transactions and Markets for Patents, Dealing with Uncertainty</w:t>
      </w:r>
      <w:r w:rsidRPr="00D77BC7">
        <w:rPr>
          <w:szCs w:val="18"/>
        </w:rPr>
        <w:t>, Doctoral Thesis, Utrecht University 18, 80 (2012).</w:t>
      </w:r>
    </w:p>
  </w:footnote>
  <w:footnote w:id="9">
    <w:p w14:paraId="736170DA"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w:t>
      </w:r>
      <w:r w:rsidRPr="00D84D21">
        <w:rPr>
          <w:szCs w:val="18"/>
        </w:rPr>
        <w:t xml:space="preserve"> </w:t>
      </w:r>
      <w:r w:rsidRPr="00B94640">
        <w:rPr>
          <w:szCs w:val="18"/>
        </w:rPr>
        <w:t>http://trade.ec.europa.eu/doclib/docs/2005/june/tradoc_123533.pdf</w:t>
      </w:r>
      <w:r>
        <w:rPr>
          <w:szCs w:val="18"/>
        </w:rPr>
        <w:t xml:space="preserve"> </w:t>
      </w:r>
      <w:r w:rsidRPr="00D77BC7">
        <w:rPr>
          <w:szCs w:val="18"/>
        </w:rPr>
        <w:t>(accessed June 19, 2018) [hereinafter EC Report 2004].</w:t>
      </w:r>
    </w:p>
  </w:footnote>
  <w:footnote w:id="10">
    <w:p w14:paraId="7C3355B3"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proofErr w:type="gramStart"/>
      <w:r w:rsidRPr="00D77BC7">
        <w:rPr>
          <w:szCs w:val="18"/>
        </w:rPr>
        <w:t>at</w:t>
      </w:r>
      <w:proofErr w:type="gramEnd"/>
      <w:r w:rsidRPr="00D77BC7">
        <w:rPr>
          <w:szCs w:val="18"/>
        </w:rPr>
        <w:t xml:space="preserve"> 68.</w:t>
      </w:r>
    </w:p>
  </w:footnote>
  <w:footnote w:id="11">
    <w:p w14:paraId="586BB3A1"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n.8 at 46</w:t>
      </w:r>
      <w:proofErr w:type="gramStart"/>
      <w:r w:rsidRPr="00D77BC7">
        <w:rPr>
          <w:szCs w:val="18"/>
        </w:rPr>
        <w:t xml:space="preserve">;  </w:t>
      </w:r>
      <w:r w:rsidRPr="00D77BC7">
        <w:rPr>
          <w:i/>
          <w:szCs w:val="18"/>
        </w:rPr>
        <w:t>see</w:t>
      </w:r>
      <w:proofErr w:type="gramEnd"/>
      <w:r w:rsidRPr="00D77BC7">
        <w:rPr>
          <w:i/>
          <w:szCs w:val="18"/>
        </w:rPr>
        <w:t xml:space="preserve"> </w:t>
      </w:r>
      <w:r w:rsidRPr="00D77BC7">
        <w:rPr>
          <w:szCs w:val="18"/>
        </w:rPr>
        <w:t>EC Report 2004 at 76, “[t]he more broad and complex the requirement, the greater is the uncertainty.”</w:t>
      </w:r>
    </w:p>
  </w:footnote>
  <w:footnote w:id="12">
    <w:p w14:paraId="36D70E37"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xml:space="preserve">, WIPO/GRTKF/IC/23/8 PROV. 2, 26 (2013), </w:t>
      </w:r>
      <w:r w:rsidRPr="00B94640">
        <w:rPr>
          <w:szCs w:val="18"/>
        </w:rPr>
        <w:t>http://www.wipo.int/edocs/mdocs/tk/en/wipo_grtkf_ic_25/wipo_grtkf_ic_25_ref_grtkf_23_8_prov_2.pdf</w:t>
      </w:r>
      <w:r>
        <w:rPr>
          <w:szCs w:val="18"/>
        </w:rPr>
        <w:t xml:space="preserve"> </w:t>
      </w:r>
      <w:r w:rsidRPr="00D77BC7">
        <w:rPr>
          <w:szCs w:val="18"/>
        </w:rPr>
        <w:t>(accessed June 19, 2018) [hereinafter WIPO 2013).</w:t>
      </w:r>
    </w:p>
  </w:footnote>
  <w:footnote w:id="13">
    <w:p w14:paraId="73492EF1"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14:paraId="599AC105" w14:textId="77777777" w:rsidR="00F34CFF" w:rsidRPr="00D77BC7" w:rsidRDefault="00F34CFF" w:rsidP="00F34CFF">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14:paraId="20EBC532" w14:textId="77777777" w:rsidR="00F34CFF" w:rsidRPr="00BE7051" w:rsidRDefault="00F34CFF" w:rsidP="00F34CFF">
      <w:pPr>
        <w:pStyle w:val="FootnoteText"/>
      </w:pPr>
      <w:r w:rsidRPr="00D77BC7">
        <w:rPr>
          <w:rStyle w:val="FootnoteReference"/>
          <w:szCs w:val="18"/>
        </w:rPr>
        <w:footnoteRef/>
      </w:r>
      <w:r w:rsidRPr="00D77BC7">
        <w:rPr>
          <w:szCs w:val="18"/>
        </w:rPr>
        <w:t xml:space="preserve"> </w:t>
      </w:r>
      <w:proofErr w:type="gramStart"/>
      <w:r w:rsidRPr="00D77BC7">
        <w:rPr>
          <w:i/>
          <w:szCs w:val="18"/>
        </w:rPr>
        <w:t xml:space="preserve">See </w:t>
      </w:r>
      <w:r w:rsidRPr="00D77BC7">
        <w:rPr>
          <w:szCs w:val="18"/>
        </w:rPr>
        <w:t xml:space="preserve">Claudio </w:t>
      </w:r>
      <w:proofErr w:type="spellStart"/>
      <w:r w:rsidRPr="00D77BC7">
        <w:rPr>
          <w:szCs w:val="18"/>
        </w:rPr>
        <w:t>Chiarolla</w:t>
      </w:r>
      <w:proofErr w:type="spellEnd"/>
      <w:r w:rsidRPr="00D77BC7">
        <w:rPr>
          <w:szCs w:val="18"/>
        </w:rPr>
        <w:t xml:space="preserve"> and </w:t>
      </w:r>
      <w:proofErr w:type="spellStart"/>
      <w:r w:rsidRPr="00D77BC7">
        <w:rPr>
          <w:szCs w:val="18"/>
        </w:rPr>
        <w:t>Burcu</w:t>
      </w:r>
      <w:proofErr w:type="spellEnd"/>
      <w:r w:rsidRPr="00D77BC7">
        <w:rPr>
          <w:szCs w:val="18"/>
        </w:rPr>
        <w:t xml:space="preserve"> </w:t>
      </w:r>
      <w:proofErr w:type="spellStart"/>
      <w:r w:rsidRPr="00D77BC7">
        <w:rPr>
          <w:szCs w:val="18"/>
        </w:rPr>
        <w:t>Kiliç</w:t>
      </w:r>
      <w:proofErr w:type="spellEnd"/>
      <w:r w:rsidRPr="00D77BC7">
        <w:rPr>
          <w:szCs w:val="18"/>
        </w:rPr>
        <w:t xml:space="preserve">,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w:t>
      </w:r>
      <w:r w:rsidRPr="00B94640">
        <w:rPr>
          <w:szCs w:val="18"/>
        </w:rPr>
        <w:t>https://ssrn.com/abstract=2987820</w:t>
      </w:r>
      <w:r>
        <w:rPr>
          <w:szCs w:val="18"/>
        </w:rPr>
        <w:t xml:space="preserve"> </w:t>
      </w:r>
      <w:r w:rsidRPr="00D77BC7">
        <w:rPr>
          <w:szCs w:val="18"/>
        </w:rPr>
        <w:t xml:space="preserve">(accessed June 19, 2018);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roofErr w:type="gramEnd"/>
    </w:p>
  </w:footnote>
  <w:footnote w:id="16">
    <w:p w14:paraId="0FF8C39E" w14:textId="77777777" w:rsidR="00F34CFF" w:rsidRPr="00D77BC7" w:rsidRDefault="00F34CFF" w:rsidP="00F34CFF">
      <w:pPr>
        <w:rPr>
          <w:i/>
          <w:sz w:val="18"/>
          <w:szCs w:val="18"/>
        </w:rPr>
      </w:pPr>
      <w:r w:rsidRPr="00D77BC7">
        <w:rPr>
          <w:rStyle w:val="FootnoteReference"/>
          <w:sz w:val="18"/>
          <w:szCs w:val="18"/>
        </w:rPr>
        <w:footnoteRef/>
      </w:r>
      <w:r w:rsidRPr="00D77BC7">
        <w:rPr>
          <w:sz w:val="18"/>
          <w:szCs w:val="18"/>
        </w:rPr>
        <w:t xml:space="preserve"> </w:t>
      </w:r>
      <w:proofErr w:type="gramStart"/>
      <w:r w:rsidRPr="00D77BC7">
        <w:rPr>
          <w:sz w:val="18"/>
          <w:szCs w:val="18"/>
        </w:rPr>
        <w:t xml:space="preserve">Joan </w:t>
      </w:r>
      <w:proofErr w:type="spellStart"/>
      <w:r w:rsidRPr="00D77BC7">
        <w:rPr>
          <w:sz w:val="18"/>
          <w:szCs w:val="18"/>
        </w:rPr>
        <w:t>Farre</w:t>
      </w:r>
      <w:proofErr w:type="spellEnd"/>
      <w:r w:rsidRPr="00D77BC7">
        <w:rPr>
          <w:sz w:val="18"/>
          <w:szCs w:val="18"/>
        </w:rPr>
        <w:t xml:space="preserve">-Mensa et al., </w:t>
      </w:r>
      <w:r w:rsidRPr="00D77BC7">
        <w:rPr>
          <w:i/>
          <w:sz w:val="18"/>
          <w:szCs w:val="18"/>
        </w:rPr>
        <w:t>The Bright Side of Patents</w:t>
      </w:r>
      <w:r w:rsidRPr="00D77BC7">
        <w:rPr>
          <w:sz w:val="18"/>
          <w:szCs w:val="18"/>
        </w:rPr>
        <w:t xml:space="preserve">, USPTO Economic Working Paper No. 2015-5 Abstract (2015), </w:t>
      </w:r>
      <w:r w:rsidRPr="00B94640">
        <w:rPr>
          <w:sz w:val="18"/>
          <w:szCs w:val="18"/>
        </w:rPr>
        <w:t>https://www.uspto.gov/sites/default/files/documents/Patents%20030216%20USPTO%20Cover.pdf</w:t>
      </w:r>
      <w:r>
        <w:rPr>
          <w:sz w:val="18"/>
          <w:szCs w:val="18"/>
        </w:rPr>
        <w:t xml:space="preserve"> </w:t>
      </w:r>
      <w:r w:rsidRPr="00D77BC7">
        <w:rPr>
          <w:sz w:val="18"/>
          <w:szCs w:val="18"/>
        </w:rPr>
        <w:t>(accessed June 19, 2018);</w:t>
      </w:r>
      <w:r>
        <w:rPr>
          <w:sz w:val="18"/>
          <w:szCs w:val="18"/>
        </w:rPr>
        <w:t xml:space="preserve"> </w:t>
      </w:r>
      <w:r w:rsidRPr="00D77BC7">
        <w:rPr>
          <w:sz w:val="18"/>
          <w:szCs w:val="18"/>
        </w:rPr>
        <w:t xml:space="preserve"> </w:t>
      </w:r>
      <w:r w:rsidRPr="00D77BC7">
        <w:rPr>
          <w:i/>
          <w:sz w:val="18"/>
          <w:szCs w:val="18"/>
        </w:rPr>
        <w:t xml:space="preserve">see also </w:t>
      </w:r>
      <w:r w:rsidRPr="00D77BC7">
        <w:rPr>
          <w:sz w:val="18"/>
          <w:szCs w:val="18"/>
        </w:rPr>
        <w:t xml:space="preserve">Joshua S. </w:t>
      </w:r>
      <w:proofErr w:type="spellStart"/>
      <w:r w:rsidRPr="00D77BC7">
        <w:rPr>
          <w:sz w:val="18"/>
          <w:szCs w:val="18"/>
        </w:rPr>
        <w:t>Gans</w:t>
      </w:r>
      <w:proofErr w:type="spellEnd"/>
      <w:r w:rsidRPr="00D77BC7">
        <w:rPr>
          <w:sz w:val="18"/>
          <w:szCs w:val="18"/>
        </w:rPr>
        <w:t xml:space="preserve"> et al., </w:t>
      </w:r>
      <w:r w:rsidRPr="00D77BC7">
        <w:rPr>
          <w:i/>
          <w:sz w:val="18"/>
          <w:szCs w:val="18"/>
        </w:rPr>
        <w:t>The Impact of Uncertain Intellectual Property Rights on the Market for Ideas:  Evidence from Patent Grant Delays</w:t>
      </w:r>
      <w:r>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roofErr w:type="gramEnd"/>
    </w:p>
  </w:footnote>
  <w:footnote w:id="17">
    <w:p w14:paraId="55753D91" w14:textId="77777777" w:rsidR="00F34CFF" w:rsidRPr="00D77BC7" w:rsidRDefault="00F34CFF" w:rsidP="00F34CFF">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14:paraId="0DC7D439"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3–4, 10.</w:t>
      </w:r>
      <w:r w:rsidRPr="00D77BC7">
        <w:rPr>
          <w:i/>
          <w:szCs w:val="18"/>
        </w:rPr>
        <w:t xml:space="preserve"> </w:t>
      </w:r>
    </w:p>
  </w:footnote>
  <w:footnote w:id="19">
    <w:p w14:paraId="46253B70"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20, 40.</w:t>
      </w:r>
    </w:p>
  </w:footnote>
  <w:footnote w:id="20">
    <w:p w14:paraId="1D662263" w14:textId="77777777" w:rsidR="00F34CFF" w:rsidRPr="00D77BC7" w:rsidRDefault="00F34CFF" w:rsidP="00F34CFF">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r w:rsidRPr="00D77BC7">
        <w:rPr>
          <w:szCs w:val="18"/>
        </w:rPr>
        <w:t>at 40.</w:t>
      </w:r>
    </w:p>
  </w:footnote>
  <w:footnote w:id="21">
    <w:p w14:paraId="7241FC9D" w14:textId="77777777" w:rsidR="00F34CFF" w:rsidRPr="00D77BC7" w:rsidRDefault="00F34CFF" w:rsidP="00F34CFF">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40.</w:t>
      </w:r>
    </w:p>
  </w:footnote>
  <w:footnote w:id="22">
    <w:p w14:paraId="68850C44" w14:textId="77777777" w:rsidR="00F34CFF" w:rsidRPr="00D77BC7" w:rsidRDefault="00F34CFF" w:rsidP="00F34CFF">
      <w:pPr>
        <w:pStyle w:val="FootnoteText"/>
        <w:rPr>
          <w:i/>
          <w:szCs w:val="18"/>
        </w:rPr>
      </w:pPr>
      <w:r w:rsidRPr="00D77BC7">
        <w:rPr>
          <w:rStyle w:val="FootnoteReference"/>
          <w:szCs w:val="18"/>
        </w:rPr>
        <w:footnoteRef/>
      </w:r>
      <w:r w:rsidRPr="00D77BC7">
        <w:rPr>
          <w:szCs w:val="18"/>
        </w:rPr>
        <w:t xml:space="preserve"> </w:t>
      </w:r>
      <w:r w:rsidRPr="00D77BC7">
        <w:rPr>
          <w:i/>
          <w:szCs w:val="18"/>
        </w:rPr>
        <w:t>Id.</w:t>
      </w:r>
      <w:r w:rsidRPr="00D77BC7">
        <w:rPr>
          <w:szCs w:val="18"/>
        </w:rPr>
        <w:t xml:space="preserve"> at 20.</w:t>
      </w:r>
    </w:p>
  </w:footnote>
  <w:footnote w:id="23">
    <w:p w14:paraId="53348902" w14:textId="77777777" w:rsidR="00F34CFF" w:rsidRPr="00745E3C" w:rsidRDefault="00F34CFF" w:rsidP="00F34CFF">
      <w:pPr>
        <w:pStyle w:val="FootnoteText"/>
      </w:pPr>
      <w:r>
        <w:rPr>
          <w:rStyle w:val="FootnoteReference"/>
        </w:rPr>
        <w:footnoteRef/>
      </w:r>
      <w:r>
        <w:t xml:space="preserve"> </w:t>
      </w:r>
      <w:r>
        <w:rPr>
          <w:i/>
        </w:rPr>
        <w:t xml:space="preserve">Id. </w:t>
      </w:r>
      <w:r>
        <w:t>at 20, 22.</w:t>
      </w:r>
    </w:p>
  </w:footnote>
  <w:footnote w:id="24">
    <w:p w14:paraId="2178F8AE" w14:textId="77777777" w:rsidR="00F34CFF" w:rsidRPr="000F64FA" w:rsidRDefault="00F34CFF" w:rsidP="00F34CFF">
      <w:pPr>
        <w:pStyle w:val="FootnoteText"/>
      </w:pPr>
      <w:r>
        <w:rPr>
          <w:rStyle w:val="FootnoteReference"/>
        </w:rPr>
        <w:footnoteRef/>
      </w:r>
      <w:r>
        <w:t xml:space="preserve"> </w:t>
      </w:r>
      <w:r>
        <w:rPr>
          <w:i/>
        </w:rPr>
        <w:t xml:space="preserve">Id. </w:t>
      </w:r>
      <w:r>
        <w:t>at 22–23.</w:t>
      </w:r>
    </w:p>
  </w:footnote>
  <w:footnote w:id="25">
    <w:p w14:paraId="38E8F4B7" w14:textId="77777777" w:rsidR="00F34CFF" w:rsidRPr="00E5069E" w:rsidRDefault="00F34CFF" w:rsidP="00F34CFF">
      <w:pPr>
        <w:pStyle w:val="FootnoteText"/>
      </w:pPr>
      <w:r>
        <w:rPr>
          <w:rStyle w:val="FootnoteReference"/>
        </w:rPr>
        <w:footnoteRef/>
      </w:r>
      <w:r>
        <w:t xml:space="preserve"> </w:t>
      </w:r>
      <w:proofErr w:type="spellStart"/>
      <w:r>
        <w:t>Farre</w:t>
      </w:r>
      <w:proofErr w:type="spellEnd"/>
      <w:r>
        <w:t xml:space="preserve">-Mensa, </w:t>
      </w:r>
      <w:r>
        <w:rPr>
          <w:i/>
        </w:rPr>
        <w:t xml:space="preserve">supra </w:t>
      </w:r>
      <w:r>
        <w:t>n.18 at 3, 23, 47 (Table 7).</w:t>
      </w:r>
    </w:p>
  </w:footnote>
  <w:footnote w:id="26">
    <w:p w14:paraId="5C00F196" w14:textId="77777777" w:rsidR="00F34CFF" w:rsidRPr="00296DD2" w:rsidRDefault="00F34CFF" w:rsidP="00F34CFF">
      <w:pPr>
        <w:pStyle w:val="FootnoteText"/>
      </w:pPr>
      <w:r>
        <w:rPr>
          <w:rStyle w:val="FootnoteReference"/>
        </w:rPr>
        <w:footnoteRef/>
      </w:r>
      <w:r>
        <w:t xml:space="preserve"> </w:t>
      </w:r>
      <w:r>
        <w:rPr>
          <w:i/>
        </w:rPr>
        <w:t xml:space="preserve">Id. </w:t>
      </w:r>
      <w:r>
        <w:t xml:space="preserve">at </w:t>
      </w:r>
      <w:proofErr w:type="gramStart"/>
      <w:r>
        <w:t>3</w:t>
      </w:r>
      <w:proofErr w:type="gramEnd"/>
      <w:r>
        <w:t>.</w:t>
      </w:r>
    </w:p>
  </w:footnote>
  <w:footnote w:id="27">
    <w:p w14:paraId="2B40F0EB" w14:textId="77777777" w:rsidR="00F34CFF" w:rsidRDefault="00F34CFF" w:rsidP="00F34CFF">
      <w:pPr>
        <w:pStyle w:val="FootnoteText"/>
      </w:pPr>
      <w:r>
        <w:rPr>
          <w:rStyle w:val="FootnoteReference"/>
        </w:rPr>
        <w:footnoteRef/>
      </w:r>
      <w:r>
        <w:t xml:space="preserve"> </w:t>
      </w:r>
      <w:r w:rsidRPr="00B94640">
        <w:t>https://www.ifpma.org/wp-content/uploads/2018/06/Economic-impact-DRs-for-GRs-final-report_June2018.pdf</w:t>
      </w:r>
      <w:r w:rsidRPr="00D84D21">
        <w:t xml:space="preserve">. </w:t>
      </w:r>
    </w:p>
  </w:footnote>
  <w:footnote w:id="28">
    <w:p w14:paraId="756730A6" w14:textId="77777777" w:rsidR="00F34CFF" w:rsidRDefault="00F34CFF" w:rsidP="00F34CFF">
      <w:pPr>
        <w:pStyle w:val="FootnoteText"/>
      </w:pPr>
      <w:r>
        <w:rPr>
          <w:rStyle w:val="FootnoteReference"/>
        </w:rPr>
        <w:footnoteRef/>
      </w:r>
      <w:r>
        <w:t xml:space="preserve"> </w:t>
      </w:r>
      <w:r w:rsidRPr="00BC76B5">
        <w:rPr>
          <w:i/>
        </w:rPr>
        <w:t>Id</w:t>
      </w:r>
      <w:r>
        <w:t>. at 12.</w:t>
      </w:r>
    </w:p>
  </w:footnote>
  <w:footnote w:id="29">
    <w:p w14:paraId="12C242E0" w14:textId="77777777" w:rsidR="00F34CFF" w:rsidRDefault="00F34CFF" w:rsidP="00F34CFF">
      <w:pPr>
        <w:pStyle w:val="FootnoteText"/>
      </w:pPr>
      <w:r>
        <w:rPr>
          <w:rStyle w:val="FootnoteReference"/>
        </w:rPr>
        <w:footnoteRef/>
      </w:r>
      <w:r>
        <w:t xml:space="preserve"> </w:t>
      </w:r>
      <w:r w:rsidRPr="002924A6">
        <w:t xml:space="preserve">Dirk </w:t>
      </w:r>
      <w:proofErr w:type="spellStart"/>
      <w:r w:rsidRPr="002924A6">
        <w:t>Czarnitzki</w:t>
      </w:r>
      <w:proofErr w:type="spellEnd"/>
      <w:r w:rsidRPr="002924A6">
        <w:t xml:space="preserve"> and Andrew A. Toole, </w:t>
      </w:r>
      <w:r w:rsidRPr="002924A6">
        <w:rPr>
          <w:i/>
        </w:rPr>
        <w:t>Patent Protection, Market Certainty, and R&amp;D Investment</w:t>
      </w:r>
      <w:r w:rsidRPr="002924A6">
        <w:t>, 93(1</w:t>
      </w:r>
      <w:r>
        <w:t xml:space="preserve">) </w:t>
      </w:r>
      <w:proofErr w:type="gramStart"/>
      <w:r>
        <w:t>The</w:t>
      </w:r>
      <w:proofErr w:type="gramEnd"/>
      <w:r>
        <w:t xml:space="preserve"> Review of Economic and Statistics</w:t>
      </w:r>
      <w:r w:rsidRPr="002924A6">
        <w:t xml:space="preserve"> 147 (2011).</w:t>
      </w:r>
    </w:p>
  </w:footnote>
  <w:footnote w:id="30">
    <w:p w14:paraId="418C3483" w14:textId="77777777" w:rsidR="00F34CFF" w:rsidRPr="00A62272" w:rsidRDefault="00F34CFF" w:rsidP="00F34CFF">
      <w:pPr>
        <w:pStyle w:val="FootnoteText"/>
      </w:pPr>
      <w:r>
        <w:rPr>
          <w:rStyle w:val="FootnoteReference"/>
        </w:rPr>
        <w:footnoteRef/>
      </w:r>
      <w:r>
        <w:t xml:space="preserve"> </w:t>
      </w:r>
      <w:proofErr w:type="spellStart"/>
      <w:r w:rsidRPr="000B70F9">
        <w:t>Gans</w:t>
      </w:r>
      <w:proofErr w:type="spellEnd"/>
      <w:r w:rsidRPr="000B70F9">
        <w:t>,</w:t>
      </w:r>
      <w:r>
        <w:rPr>
          <w:i/>
        </w:rPr>
        <w:t xml:space="preserve"> supra </w:t>
      </w:r>
      <w:r>
        <w:t xml:space="preserve">n.18 </w:t>
      </w:r>
      <w:r w:rsidRPr="00A62272">
        <w:t>at 989.</w:t>
      </w:r>
      <w:r>
        <w:rPr>
          <w:i/>
        </w:rPr>
        <w:t xml:space="preserve"> </w:t>
      </w:r>
    </w:p>
  </w:footnote>
  <w:footnote w:id="31">
    <w:p w14:paraId="3AC754B7" w14:textId="77777777" w:rsidR="00F34CFF" w:rsidRPr="00FE5A3A" w:rsidRDefault="00F34CFF" w:rsidP="00F34CFF">
      <w:pPr>
        <w:pStyle w:val="FootnoteText"/>
        <w:rPr>
          <w:i/>
        </w:rPr>
      </w:pPr>
      <w:r>
        <w:rPr>
          <w:rStyle w:val="FootnoteReference"/>
        </w:rPr>
        <w:footnoteRef/>
      </w:r>
      <w:r>
        <w:t xml:space="preserve"> </w:t>
      </w:r>
      <w:r>
        <w:rPr>
          <w:i/>
        </w:rPr>
        <w:t>Id.</w:t>
      </w:r>
    </w:p>
  </w:footnote>
  <w:footnote w:id="32">
    <w:p w14:paraId="0C09C321" w14:textId="77777777" w:rsidR="00F34CFF" w:rsidRPr="00FE5A3A" w:rsidRDefault="00F34CFF" w:rsidP="00F34CFF">
      <w:pPr>
        <w:pStyle w:val="FootnoteText"/>
        <w:rPr>
          <w:i/>
        </w:rPr>
      </w:pPr>
      <w:r>
        <w:rPr>
          <w:rStyle w:val="FootnoteReference"/>
        </w:rPr>
        <w:footnoteRef/>
      </w:r>
      <w:r>
        <w:t xml:space="preserve"> </w:t>
      </w:r>
      <w:r>
        <w:rPr>
          <w:i/>
        </w:rPr>
        <w:t>Id.</w:t>
      </w:r>
    </w:p>
  </w:footnote>
  <w:footnote w:id="33">
    <w:p w14:paraId="6D8F89E0" w14:textId="77777777" w:rsidR="00F34CFF" w:rsidRPr="00F61E31" w:rsidRDefault="00F34CFF" w:rsidP="00F34CFF">
      <w:pPr>
        <w:pStyle w:val="FootnoteText"/>
      </w:pPr>
      <w:r>
        <w:rPr>
          <w:rStyle w:val="FootnoteReference"/>
        </w:rPr>
        <w:footnoteRef/>
      </w:r>
      <w:r>
        <w:t xml:space="preserve"> </w:t>
      </w:r>
      <w:r>
        <w:rPr>
          <w:i/>
        </w:rPr>
        <w:t xml:space="preserve">Id. </w:t>
      </w:r>
      <w:r>
        <w:t>at 990.</w:t>
      </w:r>
    </w:p>
  </w:footnote>
  <w:footnote w:id="34">
    <w:p w14:paraId="36A93BC1" w14:textId="77777777" w:rsidR="00F34CFF" w:rsidRPr="001733BF" w:rsidRDefault="00F34CFF" w:rsidP="00F34CFF">
      <w:pPr>
        <w:pStyle w:val="FootnoteText"/>
        <w:rPr>
          <w:i/>
        </w:rPr>
      </w:pPr>
      <w:r>
        <w:rPr>
          <w:rStyle w:val="FootnoteReference"/>
        </w:rPr>
        <w:footnoteRef/>
      </w:r>
      <w:r>
        <w:t xml:space="preserve"> </w:t>
      </w:r>
      <w:proofErr w:type="spellStart"/>
      <w:r>
        <w:t>Gans</w:t>
      </w:r>
      <w:proofErr w:type="spellEnd"/>
      <w:r>
        <w:t xml:space="preserve">, </w:t>
      </w:r>
      <w:r>
        <w:rPr>
          <w:i/>
        </w:rPr>
        <w:t xml:space="preserve">supra </w:t>
      </w:r>
      <w:r>
        <w:t>n.18 at 990</w:t>
      </w:r>
      <w:r>
        <w:rPr>
          <w:i/>
        </w:rPr>
        <w:t>.</w:t>
      </w:r>
    </w:p>
  </w:footnote>
  <w:footnote w:id="35">
    <w:p w14:paraId="15662BD0" w14:textId="77777777" w:rsidR="00F34CFF" w:rsidRPr="001733BF" w:rsidRDefault="00F34CFF" w:rsidP="00F34CFF">
      <w:pPr>
        <w:pStyle w:val="FootnoteText"/>
        <w:rPr>
          <w:i/>
        </w:rPr>
      </w:pPr>
      <w:r>
        <w:rPr>
          <w:rStyle w:val="FootnoteReference"/>
        </w:rPr>
        <w:footnoteRef/>
      </w:r>
      <w:r>
        <w:t xml:space="preserve"> </w:t>
      </w:r>
      <w:r>
        <w:rPr>
          <w:i/>
        </w:rPr>
        <w:t>Id.</w:t>
      </w:r>
    </w:p>
  </w:footnote>
  <w:footnote w:id="36">
    <w:p w14:paraId="0BAB9618" w14:textId="77777777" w:rsidR="00F34CFF" w:rsidRDefault="00F34CFF" w:rsidP="00F34CFF">
      <w:pPr>
        <w:pStyle w:val="FootnoteText"/>
      </w:pPr>
      <w:r>
        <w:rPr>
          <w:rStyle w:val="FootnoteReference"/>
        </w:rPr>
        <w:footnoteRef/>
      </w:r>
      <w:r>
        <w:t xml:space="preserve"> </w:t>
      </w:r>
      <w:r w:rsidRPr="00502CA6">
        <w:t xml:space="preserve">James </w:t>
      </w:r>
      <w:proofErr w:type="spellStart"/>
      <w:r w:rsidRPr="00502CA6">
        <w:t>Bessen</w:t>
      </w:r>
      <w:proofErr w:type="spellEnd"/>
      <w:r w:rsidRPr="00502CA6">
        <w:t xml:space="preserve"> and Michael J. </w:t>
      </w:r>
      <w:proofErr w:type="spellStart"/>
      <w:r w:rsidRPr="00502CA6">
        <w:t>Meurer</w:t>
      </w:r>
      <w:proofErr w:type="spellEnd"/>
      <w:r w:rsidRPr="00502CA6">
        <w:t xml:space="preserve">, </w:t>
      </w:r>
      <w:r w:rsidRPr="00502CA6">
        <w:rPr>
          <w:i/>
        </w:rPr>
        <w:t>Patent Failure, How Judges, Bureaucrats, and Lawyers Put Innovators at Risk</w:t>
      </w:r>
      <w:r w:rsidRPr="00502CA6">
        <w:t xml:space="preserve"> 185 (Princeton Univ. Press 2008)</w:t>
      </w:r>
      <w:r>
        <w:t xml:space="preserve">, citing </w:t>
      </w:r>
      <w:proofErr w:type="spellStart"/>
      <w:r>
        <w:t>Gans</w:t>
      </w:r>
      <w:proofErr w:type="spellEnd"/>
      <w:r>
        <w:t xml:space="preserve">, Hsu, and Stern, </w:t>
      </w:r>
      <w:r>
        <w:rPr>
          <w:i/>
        </w:rPr>
        <w:t>When does start-up innovation spur the gale of creative destruction?</w:t>
      </w:r>
      <w:r>
        <w:t xml:space="preserve">, 33(4) </w:t>
      </w:r>
      <w:r>
        <w:rPr>
          <w:smallCaps/>
        </w:rPr>
        <w:t xml:space="preserve">RAND </w:t>
      </w:r>
      <w:r>
        <w:t>Journal of Economics 571–586 (2002)</w:t>
      </w:r>
      <w:r w:rsidRPr="00502CA6">
        <w:t>.</w:t>
      </w:r>
    </w:p>
  </w:footnote>
  <w:footnote w:id="37">
    <w:p w14:paraId="50A9CDCA" w14:textId="77777777" w:rsidR="00F34CFF" w:rsidRDefault="00F34CFF" w:rsidP="00F34CFF">
      <w:pPr>
        <w:pStyle w:val="FootnoteText"/>
      </w:pPr>
      <w:r>
        <w:rPr>
          <w:rStyle w:val="FootnoteReference"/>
        </w:rPr>
        <w:footnoteRef/>
      </w:r>
      <w:r>
        <w:t xml:space="preserve"> </w:t>
      </w:r>
      <w:r w:rsidRPr="00863D22">
        <w:t xml:space="preserve">Irene Troy and Raymond </w:t>
      </w:r>
      <w:proofErr w:type="spellStart"/>
      <w:r w:rsidRPr="00863D22">
        <w:t>Werle</w:t>
      </w:r>
      <w:proofErr w:type="spellEnd"/>
      <w:r w:rsidRPr="00863D22">
        <w:t xml:space="preserve">, </w:t>
      </w:r>
      <w:r w:rsidRPr="00863D22">
        <w:rPr>
          <w:i/>
        </w:rPr>
        <w:t>Uncertainty and the Market for Patents</w:t>
      </w:r>
      <w:r w:rsidRPr="00863D22">
        <w:t xml:space="preserve">, Max Planck Institute for the Study of Societies, </w:t>
      </w:r>
      <w:proofErr w:type="spellStart"/>
      <w:r w:rsidRPr="00863D22">
        <w:t>MPlfG</w:t>
      </w:r>
      <w:proofErr w:type="spellEnd"/>
      <w:r w:rsidRPr="00863D22">
        <w:t xml:space="preserve"> Working Paper 08/2, 9 (2008)</w:t>
      </w:r>
      <w:r>
        <w:t>.</w:t>
      </w:r>
    </w:p>
  </w:footnote>
  <w:footnote w:id="38">
    <w:p w14:paraId="1D48ABA1" w14:textId="77777777" w:rsidR="00F34CFF" w:rsidRDefault="00F34CFF" w:rsidP="00F34CFF">
      <w:pPr>
        <w:pStyle w:val="FootnoteText"/>
      </w:pPr>
      <w:r>
        <w:rPr>
          <w:rStyle w:val="FootnoteReference"/>
        </w:rPr>
        <w:footnoteRef/>
      </w:r>
      <w:r>
        <w:t xml:space="preserve"> </w:t>
      </w:r>
      <w:proofErr w:type="spellStart"/>
      <w:r>
        <w:t>Czarnitzki</w:t>
      </w:r>
      <w:proofErr w:type="spellEnd"/>
      <w:r>
        <w:t xml:space="preserve">, </w:t>
      </w:r>
      <w:r>
        <w:rPr>
          <w:i/>
        </w:rPr>
        <w:t xml:space="preserve">supra </w:t>
      </w:r>
      <w:r>
        <w:t xml:space="preserve">n.29 at 148. </w:t>
      </w:r>
    </w:p>
  </w:footnote>
  <w:footnote w:id="39">
    <w:p w14:paraId="07ED12E3" w14:textId="77777777" w:rsidR="00F34CFF" w:rsidRPr="002C4A99" w:rsidRDefault="00F34CFF" w:rsidP="00F34CFF">
      <w:pPr>
        <w:pStyle w:val="FootnoteText"/>
      </w:pPr>
      <w:r>
        <w:rPr>
          <w:rStyle w:val="FootnoteReference"/>
        </w:rPr>
        <w:footnoteRef/>
      </w:r>
      <w:r>
        <w:t xml:space="preserve"> </w:t>
      </w:r>
      <w:r>
        <w:rPr>
          <w:i/>
        </w:rPr>
        <w:t>Id.</w:t>
      </w:r>
    </w:p>
  </w:footnote>
  <w:footnote w:id="40">
    <w:p w14:paraId="2CFA4850" w14:textId="77777777" w:rsidR="00F34CFF" w:rsidRPr="000C5A79" w:rsidRDefault="00F34CFF" w:rsidP="00F34CFF">
      <w:pPr>
        <w:pStyle w:val="FootnoteText"/>
      </w:pPr>
      <w:r>
        <w:rPr>
          <w:rStyle w:val="FootnoteReference"/>
        </w:rPr>
        <w:footnoteRef/>
      </w:r>
      <w:r>
        <w:t xml:space="preserve"> </w:t>
      </w:r>
      <w:r>
        <w:rPr>
          <w:i/>
        </w:rPr>
        <w:t xml:space="preserve">Id. </w:t>
      </w:r>
      <w:r>
        <w:t>at 149.</w:t>
      </w:r>
    </w:p>
  </w:footnote>
  <w:footnote w:id="41">
    <w:p w14:paraId="18B4E13C" w14:textId="77777777" w:rsidR="00F34CFF" w:rsidRPr="000C5A79" w:rsidRDefault="00F34CFF" w:rsidP="00F34CFF">
      <w:pPr>
        <w:pStyle w:val="FootnoteText"/>
      </w:pPr>
      <w:r>
        <w:rPr>
          <w:rStyle w:val="FootnoteReference"/>
        </w:rPr>
        <w:footnoteRef/>
      </w:r>
      <w:r>
        <w:t xml:space="preserve"> </w:t>
      </w:r>
      <w:r>
        <w:rPr>
          <w:i/>
        </w:rPr>
        <w:t xml:space="preserve">Id. </w:t>
      </w:r>
      <w:r>
        <w:t>at 152.</w:t>
      </w:r>
    </w:p>
  </w:footnote>
  <w:footnote w:id="42">
    <w:p w14:paraId="6E3168CD" w14:textId="77777777" w:rsidR="00F34CFF" w:rsidRPr="002B395F" w:rsidRDefault="00F34CFF" w:rsidP="00F34CFF">
      <w:pPr>
        <w:pStyle w:val="FootnoteText"/>
      </w:pPr>
      <w:r>
        <w:rPr>
          <w:rStyle w:val="FootnoteReference"/>
        </w:rPr>
        <w:footnoteRef/>
      </w:r>
      <w:r>
        <w:t xml:space="preserve"> </w:t>
      </w:r>
      <w:proofErr w:type="spellStart"/>
      <w:r>
        <w:t>Czarnitzki</w:t>
      </w:r>
      <w:proofErr w:type="spellEnd"/>
      <w:r>
        <w:t xml:space="preserve">, </w:t>
      </w:r>
      <w:r>
        <w:rPr>
          <w:i/>
        </w:rPr>
        <w:t xml:space="preserve">supra </w:t>
      </w:r>
      <w:r>
        <w:t>n.29</w:t>
      </w:r>
      <w:r>
        <w:rPr>
          <w:i/>
        </w:rPr>
        <w:t xml:space="preserve"> </w:t>
      </w:r>
      <w:r>
        <w:t>at 153.</w:t>
      </w:r>
    </w:p>
  </w:footnote>
  <w:footnote w:id="43">
    <w:p w14:paraId="788E6E8A" w14:textId="77777777" w:rsidR="00F34CFF" w:rsidRPr="00D77506" w:rsidRDefault="00F34CFF" w:rsidP="00F34CFF">
      <w:pPr>
        <w:pStyle w:val="FootnoteText"/>
      </w:pPr>
      <w:r>
        <w:rPr>
          <w:rStyle w:val="FootnoteReference"/>
        </w:rPr>
        <w:footnoteRef/>
      </w:r>
      <w:r>
        <w:t xml:space="preserve"> </w:t>
      </w:r>
      <w:r>
        <w:rPr>
          <w:i/>
        </w:rPr>
        <w:t xml:space="preserve">Id. </w:t>
      </w:r>
      <w:r>
        <w:t>at 155.</w:t>
      </w:r>
    </w:p>
  </w:footnote>
  <w:footnote w:id="44">
    <w:p w14:paraId="0B339DE5" w14:textId="77777777" w:rsidR="00F34CFF" w:rsidRPr="00AD752C" w:rsidRDefault="00F34CFF" w:rsidP="00F34CFF">
      <w:pPr>
        <w:pStyle w:val="FootnoteText"/>
      </w:pPr>
      <w:r>
        <w:rPr>
          <w:rStyle w:val="FootnoteReference"/>
        </w:rPr>
        <w:footnoteRef/>
      </w:r>
      <w:r>
        <w:t xml:space="preserve"> </w:t>
      </w:r>
      <w:proofErr w:type="gramStart"/>
      <w:r>
        <w:rPr>
          <w:i/>
        </w:rPr>
        <w:t xml:space="preserve">Cf. </w:t>
      </w:r>
      <w:r w:rsidRPr="00AD752C">
        <w:t>Edson Beas Rodrigues Jr</w:t>
      </w:r>
      <w:r w:rsidRPr="00582930">
        <w:t>.,</w:t>
      </w:r>
      <w:r>
        <w:rPr>
          <w:i/>
        </w:rPr>
        <w:t xml:space="preserve"> Property rights, </w:t>
      </w:r>
      <w:proofErr w:type="spellStart"/>
      <w:r>
        <w:rPr>
          <w:i/>
        </w:rPr>
        <w:t>biocultural</w:t>
      </w:r>
      <w:proofErr w:type="spellEnd"/>
      <w:r>
        <w:rPr>
          <w:i/>
        </w:rPr>
        <w:t xml:space="preserve"> resources and two tragedies:  Some lessons from Brazil</w:t>
      </w:r>
      <w:r>
        <w:t>,</w:t>
      </w:r>
      <w:r w:rsidRPr="00AD752C">
        <w:rPr>
          <w:i/>
        </w:rPr>
        <w:t xml:space="preserve"> </w:t>
      </w:r>
      <w:r>
        <w:rPr>
          <w:i/>
        </w:rPr>
        <w:t xml:space="preserve">in </w:t>
      </w:r>
      <w:r>
        <w:t>Genetic Resources and Traditional Knowledge, Case Studies and Conflict Interests</w:t>
      </w:r>
      <w:r>
        <w:rPr>
          <w:smallCaps/>
        </w:rPr>
        <w:t xml:space="preserve"> 148–150 (</w:t>
      </w:r>
      <w:r>
        <w:t xml:space="preserve">Tania </w:t>
      </w:r>
      <w:proofErr w:type="spellStart"/>
      <w:r>
        <w:t>Bubela</w:t>
      </w:r>
      <w:proofErr w:type="spellEnd"/>
      <w:r>
        <w:t xml:space="preserve"> and E. 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roofErr w:type="gramEnd"/>
    </w:p>
  </w:footnote>
  <w:footnote w:id="45">
    <w:p w14:paraId="563D141C" w14:textId="77777777" w:rsidR="00F34CFF" w:rsidRDefault="00F34CFF" w:rsidP="00F34CFF">
      <w:pPr>
        <w:pStyle w:val="FootnoteText"/>
      </w:pPr>
      <w:r>
        <w:rPr>
          <w:rStyle w:val="FootnoteReference"/>
        </w:rPr>
        <w:footnoteRef/>
      </w:r>
      <w:r>
        <w:t xml:space="preserve"> WIPO 2005, </w:t>
      </w:r>
      <w:r>
        <w:rPr>
          <w:i/>
        </w:rPr>
        <w:t xml:space="preserve">supra </w:t>
      </w:r>
      <w:r>
        <w:t>n.8 at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6A99" w14:textId="77777777" w:rsidR="00F34CFF" w:rsidRDefault="00F34CFF" w:rsidP="000F2AD2">
    <w:pPr>
      <w:jc w:val="right"/>
    </w:pPr>
  </w:p>
  <w:p w14:paraId="5362150C" w14:textId="77777777" w:rsidR="00F34CFF" w:rsidRDefault="00F34CFF"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74CE404D" w14:textId="77777777" w:rsidR="00F34CFF" w:rsidRDefault="00F34CFF" w:rsidP="000F2AD2">
    <w:pPr>
      <w:jc w:val="right"/>
    </w:pPr>
  </w:p>
  <w:p w14:paraId="2785CD19" w14:textId="77777777" w:rsidR="00F34CFF" w:rsidRDefault="00F34CFF"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76F6C" w14:textId="77777777" w:rsidR="000F2AD2" w:rsidRDefault="000F2AD2" w:rsidP="000F2AD2">
    <w:pPr>
      <w:jc w:val="right"/>
    </w:pPr>
  </w:p>
  <w:p w14:paraId="3CBA82D0" w14:textId="77777777"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5A3933B6" w14:textId="77777777" w:rsidR="000F2AD2" w:rsidRDefault="000F2AD2" w:rsidP="000F2AD2">
    <w:pPr>
      <w:jc w:val="right"/>
    </w:pPr>
  </w:p>
  <w:p w14:paraId="5F81B843" w14:textId="77777777" w:rsidR="000F2AD2" w:rsidRDefault="000F2AD2"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0FA" w14:textId="77777777" w:rsidR="00EC4E49" w:rsidRDefault="00EC4E49" w:rsidP="00477D6B">
    <w:pPr>
      <w:jc w:val="right"/>
    </w:pPr>
    <w:bookmarkStart w:id="5" w:name="Code2"/>
    <w:bookmarkEnd w:id="5"/>
  </w:p>
  <w:p w14:paraId="0FF0453A"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A134B">
      <w:rPr>
        <w:noProof/>
      </w:rPr>
      <w:t>2</w:t>
    </w:r>
    <w:r>
      <w:fldChar w:fldCharType="end"/>
    </w:r>
  </w:p>
  <w:p w14:paraId="0F9C85F5" w14:textId="77777777" w:rsidR="00EC4E49" w:rsidRDefault="00EC4E49" w:rsidP="00477D6B">
    <w:pPr>
      <w:jc w:val="right"/>
    </w:pPr>
  </w:p>
  <w:p w14:paraId="02CBD137" w14:textId="77777777"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64AF" w14:textId="77777777" w:rsidR="00F34CFF" w:rsidRDefault="00F34CFF" w:rsidP="00477D6B">
    <w:pPr>
      <w:jc w:val="right"/>
    </w:pPr>
  </w:p>
  <w:p w14:paraId="3E01622B" w14:textId="77777777" w:rsidR="00F34CFF" w:rsidRDefault="00F34CF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14:paraId="561FE83B" w14:textId="77777777" w:rsidR="00F34CFF" w:rsidRDefault="00F34CFF" w:rsidP="00477D6B">
    <w:pPr>
      <w:jc w:val="right"/>
    </w:pPr>
  </w:p>
  <w:p w14:paraId="211D0CC2" w14:textId="77777777" w:rsidR="00F34CFF" w:rsidRDefault="00F34CF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B872" w14:textId="77777777" w:rsidR="00F34CFF" w:rsidRDefault="00F34CFF" w:rsidP="00916E97">
    <w:pPr>
      <w:pStyle w:val="Header"/>
      <w:jc w:val="right"/>
    </w:pPr>
    <w:r>
      <w:t>WIPO/GRTKF/IC/41/8</w:t>
    </w:r>
  </w:p>
  <w:p w14:paraId="1DC9B1AD" w14:textId="77777777" w:rsidR="00F34CFF" w:rsidRDefault="00F34CFF" w:rsidP="00916E97">
    <w:pPr>
      <w:pStyle w:val="Header"/>
      <w:jc w:val="right"/>
    </w:pPr>
    <w:r>
      <w:t>Annex, page 2</w:t>
    </w:r>
  </w:p>
  <w:p w14:paraId="5DB1FF88" w14:textId="77777777" w:rsidR="00F34CFF" w:rsidRDefault="00F34CFF" w:rsidP="00916E97">
    <w:pPr>
      <w:pStyle w:val="Header"/>
      <w:jc w:val="right"/>
    </w:pPr>
  </w:p>
  <w:p w14:paraId="10A4DB67" w14:textId="77777777" w:rsidR="00F34CFF" w:rsidRDefault="00F34CFF" w:rsidP="008B52F2">
    <w:pPr>
      <w:tabs>
        <w:tab w:val="left" w:pos="6161"/>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D77E" w14:textId="77777777" w:rsidR="00F34CFF" w:rsidRDefault="00F34CFF" w:rsidP="00E81683">
    <w:pPr>
      <w:pStyle w:val="Header"/>
      <w:jc w:val="right"/>
    </w:pPr>
    <w:r>
      <w:t>WIPO/GRTKF/IC/41/8</w:t>
    </w:r>
  </w:p>
  <w:p w14:paraId="1B9FE321" w14:textId="77777777" w:rsidR="00F34CFF" w:rsidRDefault="00F34CFF" w:rsidP="00E81683">
    <w:pPr>
      <w:pStyle w:val="Header"/>
      <w:jc w:val="right"/>
    </w:pPr>
    <w:r>
      <w:t>Annex, page 2</w:t>
    </w:r>
  </w:p>
  <w:p w14:paraId="5FD9211C" w14:textId="77777777" w:rsidR="00F34CFF" w:rsidRDefault="00F34CF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757E" w14:textId="77777777" w:rsidR="00905636" w:rsidRDefault="00905636" w:rsidP="00905636">
    <w:pPr>
      <w:pStyle w:val="Header"/>
      <w:jc w:val="right"/>
    </w:pPr>
    <w:r>
      <w:t>WIPO/GRTKF/IC/41/8</w:t>
    </w:r>
  </w:p>
  <w:p w14:paraId="43AF2011" w14:textId="77777777" w:rsidR="00905636" w:rsidRDefault="00905636" w:rsidP="00905636">
    <w:pPr>
      <w:pStyle w:val="Header"/>
      <w:jc w:val="right"/>
    </w:pPr>
    <w:r>
      <w:t>ANNEX</w:t>
    </w:r>
  </w:p>
  <w:p w14:paraId="306DF5FB" w14:textId="77777777" w:rsidR="00905636" w:rsidRDefault="00905636">
    <w:pPr>
      <w:pStyle w:val="Header"/>
    </w:pPr>
  </w:p>
  <w:p w14:paraId="058274CE" w14:textId="77777777" w:rsidR="00905636" w:rsidRDefault="009056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6842" w14:textId="77777777" w:rsidR="00F34CFF" w:rsidRDefault="00F34CFF" w:rsidP="00916E97">
    <w:pPr>
      <w:pStyle w:val="Header"/>
      <w:jc w:val="right"/>
    </w:pPr>
    <w:r>
      <w:t>WIPO/GRTKF/IC/41/8</w:t>
    </w:r>
  </w:p>
  <w:p w14:paraId="38CC7B07" w14:textId="77777777" w:rsidR="00F34CFF" w:rsidRDefault="00F34CFF" w:rsidP="00916E97">
    <w:pPr>
      <w:pStyle w:val="Header"/>
      <w:jc w:val="right"/>
    </w:pPr>
    <w:r>
      <w:t>Annex, page 4</w:t>
    </w:r>
  </w:p>
  <w:p w14:paraId="17988739" w14:textId="77777777" w:rsidR="00F34CFF" w:rsidRDefault="00F34CFF" w:rsidP="00916E97">
    <w:pPr>
      <w:pStyle w:val="Header"/>
      <w:jc w:val="right"/>
    </w:pPr>
  </w:p>
  <w:p w14:paraId="51885AB7" w14:textId="77777777" w:rsidR="00F34CFF" w:rsidRDefault="00F34CFF" w:rsidP="008B52F2">
    <w:pPr>
      <w:tabs>
        <w:tab w:val="left" w:pos="6161"/>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8031" w14:textId="77777777" w:rsidR="00F34CFF" w:rsidRDefault="00F34CFF" w:rsidP="00E81683">
    <w:pPr>
      <w:pStyle w:val="Header"/>
      <w:jc w:val="right"/>
    </w:pPr>
    <w:r>
      <w:t>WIPO/GRTKF/IC/41/8</w:t>
    </w:r>
  </w:p>
  <w:p w14:paraId="7081B10A" w14:textId="77777777" w:rsidR="00F34CFF" w:rsidRDefault="00F34CFF" w:rsidP="00E81683">
    <w:pPr>
      <w:pStyle w:val="Header"/>
      <w:jc w:val="right"/>
    </w:pPr>
    <w:r>
      <w:t>Annex, page 5</w:t>
    </w:r>
  </w:p>
  <w:p w14:paraId="3A71B349" w14:textId="2121CF11" w:rsidR="00F34CFF" w:rsidRDefault="00F34CFF" w:rsidP="00477D6B">
    <w:pPr>
      <w:jc w:val="right"/>
    </w:pPr>
  </w:p>
  <w:p w14:paraId="29118EAD" w14:textId="77777777" w:rsidR="00905636" w:rsidRDefault="00905636"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11EC" w14:textId="77777777" w:rsidR="00F34CFF" w:rsidRDefault="00F34CFF" w:rsidP="008B52F2">
    <w:pPr>
      <w:pStyle w:val="Header"/>
      <w:jc w:val="right"/>
    </w:pPr>
    <w:r>
      <w:t>WIPO/GRTKF/IC/41/8</w:t>
    </w:r>
  </w:p>
  <w:p w14:paraId="36B56A6B" w14:textId="41DECF9A" w:rsidR="00F34CFF" w:rsidRDefault="00F34CFF" w:rsidP="008B52F2">
    <w:pPr>
      <w:pStyle w:val="Header"/>
      <w:jc w:val="right"/>
    </w:pPr>
    <w:r>
      <w:t xml:space="preserve">Annex, page </w:t>
    </w:r>
    <w:sdt>
      <w:sdtPr>
        <w:id w:val="4294759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387A">
          <w:rPr>
            <w:noProof/>
          </w:rPr>
          <w:t>3</w:t>
        </w:r>
        <w:r>
          <w:rPr>
            <w:noProof/>
          </w:rPr>
          <w:fldChar w:fldCharType="end"/>
        </w:r>
      </w:sdtContent>
    </w:sdt>
  </w:p>
  <w:p w14:paraId="68C062FC" w14:textId="77777777" w:rsidR="00F34CFF" w:rsidRDefault="00F34CFF" w:rsidP="00E81683">
    <w:pPr>
      <w:pStyle w:val="Header"/>
      <w:jc w:val="right"/>
    </w:pPr>
  </w:p>
  <w:p w14:paraId="37A24EC4" w14:textId="77777777" w:rsidR="00F34CFF" w:rsidRDefault="00F34CFF" w:rsidP="00E81683">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955839"/>
      <w:docPartObj>
        <w:docPartGallery w:val="Page Numbers (Top of Page)"/>
        <w:docPartUnique/>
      </w:docPartObj>
    </w:sdtPr>
    <w:sdtEndPr>
      <w:rPr>
        <w:noProof/>
      </w:rPr>
    </w:sdtEndPr>
    <w:sdtContent>
      <w:p w14:paraId="6EC42E7D" w14:textId="77777777" w:rsidR="00F34CFF" w:rsidRDefault="00F34CFF" w:rsidP="008B52F2">
        <w:pPr>
          <w:pStyle w:val="Header"/>
          <w:jc w:val="right"/>
        </w:pPr>
        <w:r>
          <w:t>WIPO/GRTKF/IC/41/8</w:t>
        </w:r>
      </w:p>
      <w:p w14:paraId="773867CB" w14:textId="15D2DEA1" w:rsidR="00F34CFF" w:rsidRDefault="00F34CFF" w:rsidP="008B52F2">
        <w:pPr>
          <w:pStyle w:val="Header"/>
          <w:jc w:val="right"/>
          <w:rPr>
            <w:noProof/>
          </w:rPr>
        </w:pPr>
        <w:r>
          <w:t xml:space="preserve">Annex, page </w:t>
        </w:r>
        <w:r>
          <w:fldChar w:fldCharType="begin"/>
        </w:r>
        <w:r>
          <w:instrText xml:space="preserve"> PAGE   \* MERGEFORMAT </w:instrText>
        </w:r>
        <w:r>
          <w:fldChar w:fldCharType="separate"/>
        </w:r>
        <w:r w:rsidR="0093387A">
          <w:rPr>
            <w:noProof/>
          </w:rPr>
          <w:t>7</w:t>
        </w:r>
        <w:r>
          <w:rPr>
            <w:noProof/>
          </w:rPr>
          <w:fldChar w:fldCharType="end"/>
        </w:r>
      </w:p>
      <w:p w14:paraId="49F2D6A6" w14:textId="77777777" w:rsidR="00F34CFF" w:rsidRDefault="0093387A" w:rsidP="008B52F2">
        <w:pPr>
          <w:pStyle w:val="Header"/>
          <w:jc w:val="right"/>
        </w:pPr>
      </w:p>
    </w:sdtContent>
  </w:sdt>
  <w:p w14:paraId="04217A8C" w14:textId="77777777" w:rsidR="00F34CFF" w:rsidRDefault="00F34CFF" w:rsidP="00E816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13996"/>
    <w:multiLevelType w:val="hybridMultilevel"/>
    <w:tmpl w:val="BFE0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770A6"/>
    <w:rsid w:val="000968ED"/>
    <w:rsid w:val="000D1DD6"/>
    <w:rsid w:val="000D7B8B"/>
    <w:rsid w:val="000F2AD2"/>
    <w:rsid w:val="000F5E56"/>
    <w:rsid w:val="001117A3"/>
    <w:rsid w:val="001362EE"/>
    <w:rsid w:val="001647D5"/>
    <w:rsid w:val="00172911"/>
    <w:rsid w:val="001832A6"/>
    <w:rsid w:val="0021217E"/>
    <w:rsid w:val="002634C4"/>
    <w:rsid w:val="002928D3"/>
    <w:rsid w:val="002F1FE6"/>
    <w:rsid w:val="002F4E68"/>
    <w:rsid w:val="00312F7F"/>
    <w:rsid w:val="00361450"/>
    <w:rsid w:val="00363294"/>
    <w:rsid w:val="003673CF"/>
    <w:rsid w:val="00372A32"/>
    <w:rsid w:val="003845C1"/>
    <w:rsid w:val="003A6F89"/>
    <w:rsid w:val="003B38C1"/>
    <w:rsid w:val="00423E3E"/>
    <w:rsid w:val="00427AF4"/>
    <w:rsid w:val="00462509"/>
    <w:rsid w:val="004647DA"/>
    <w:rsid w:val="00474062"/>
    <w:rsid w:val="00477D6B"/>
    <w:rsid w:val="005019FF"/>
    <w:rsid w:val="0053057A"/>
    <w:rsid w:val="00560A29"/>
    <w:rsid w:val="005C6649"/>
    <w:rsid w:val="00605827"/>
    <w:rsid w:val="0060732C"/>
    <w:rsid w:val="00646050"/>
    <w:rsid w:val="00651E57"/>
    <w:rsid w:val="006713CA"/>
    <w:rsid w:val="00676C5C"/>
    <w:rsid w:val="007D1613"/>
    <w:rsid w:val="007E4C0E"/>
    <w:rsid w:val="00844B28"/>
    <w:rsid w:val="008A134B"/>
    <w:rsid w:val="008B2CC1"/>
    <w:rsid w:val="008B60B2"/>
    <w:rsid w:val="00905636"/>
    <w:rsid w:val="0090731E"/>
    <w:rsid w:val="00916EE2"/>
    <w:rsid w:val="0093387A"/>
    <w:rsid w:val="00966A22"/>
    <w:rsid w:val="0096722F"/>
    <w:rsid w:val="00980843"/>
    <w:rsid w:val="009B4407"/>
    <w:rsid w:val="009E2791"/>
    <w:rsid w:val="009E3F6F"/>
    <w:rsid w:val="009F499F"/>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D04F1"/>
    <w:rsid w:val="00D45252"/>
    <w:rsid w:val="00D71B4D"/>
    <w:rsid w:val="00D93D55"/>
    <w:rsid w:val="00E15015"/>
    <w:rsid w:val="00E335FE"/>
    <w:rsid w:val="00EA7D6E"/>
    <w:rsid w:val="00EC4E49"/>
    <w:rsid w:val="00ED77FB"/>
    <w:rsid w:val="00EE20C4"/>
    <w:rsid w:val="00EE45FA"/>
    <w:rsid w:val="00F34CF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A4C7C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34CFF"/>
    <w:pPr>
      <w:ind w:left="720"/>
      <w:contextualSpacing/>
    </w:pPr>
  </w:style>
  <w:style w:type="character" w:styleId="FootnoteReference">
    <w:name w:val="footnote reference"/>
    <w:basedOn w:val="DefaultParagraphFont"/>
    <w:uiPriority w:val="99"/>
    <w:semiHidden/>
    <w:unhideWhenUsed/>
    <w:rsid w:val="00F34CFF"/>
    <w:rPr>
      <w:vertAlign w:val="superscript"/>
    </w:rPr>
  </w:style>
  <w:style w:type="character" w:customStyle="1" w:styleId="HeaderChar">
    <w:name w:val="Header Char"/>
    <w:basedOn w:val="DefaultParagraphFont"/>
    <w:link w:val="Header"/>
    <w:uiPriority w:val="99"/>
    <w:rsid w:val="00F34CF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D78A-A7EE-48DE-9ECA-41170821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14</TotalTime>
  <Pages>9</Pages>
  <Words>2291</Words>
  <Characters>13141</Characters>
  <Application>Microsoft Office Word</Application>
  <DocSecurity>0</DocSecurity>
  <Lines>272</Lines>
  <Paragraphs>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11</cp:revision>
  <cp:lastPrinted>2011-02-15T11:56:00Z</cp:lastPrinted>
  <dcterms:created xsi:type="dcterms:W3CDTF">2020-12-29T21:41:00Z</dcterms:created>
  <dcterms:modified xsi:type="dcterms:W3CDTF">2021-06-11T13:12:00Z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