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A37342"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8B2CC1" w:rsidP="00916EE2">
            <w:pPr>
              <w:jc w:val="right"/>
              <w:rPr>
                <w:rFonts w:ascii="Arial Black" w:hAnsi="Arial Black"/>
                <w:caps/>
                <w:sz w:val="15"/>
              </w:rPr>
            </w:pPr>
            <w:bookmarkStart w:id="0" w:name="Code"/>
            <w:bookmarkEnd w:id="0"/>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1E1BB2" w:rsidP="00AC7148">
            <w:pPr>
              <w:jc w:val="right"/>
              <w:rPr>
                <w:rFonts w:ascii="Arial Black" w:hAnsi="Arial Black"/>
                <w:caps/>
                <w:sz w:val="15"/>
              </w:rPr>
            </w:pPr>
            <w:r w:rsidRPr="001E1BB2">
              <w:rPr>
                <w:rFonts w:ascii="Arial Black" w:hAnsi="Arial Black"/>
                <w:caps/>
                <w:sz w:val="15"/>
              </w:rPr>
              <w:t xml:space="preserve">ORIGINAL: </w:t>
            </w:r>
            <w:r w:rsidR="001647D5">
              <w:rPr>
                <w:rFonts w:ascii="Arial Black" w:hAnsi="Arial Black"/>
                <w:caps/>
                <w:sz w:val="15"/>
              </w:rPr>
              <w:t xml:space="preserve"> </w:t>
            </w:r>
            <w:bookmarkStart w:id="1" w:name="Original"/>
            <w:bookmarkEnd w:id="1"/>
            <w:r w:rsidR="00FA2C34">
              <w:rPr>
                <w:rFonts w:ascii="Arial Black" w:hAnsi="Arial Black"/>
                <w:caps/>
                <w:sz w:val="15"/>
              </w:rPr>
              <w:t>English</w:t>
            </w:r>
            <w:r w:rsidR="008B2CC1" w:rsidRPr="0090731E">
              <w:rPr>
                <w:rFonts w:ascii="Arial Black" w:hAnsi="Arial Black"/>
                <w:caps/>
                <w:sz w:val="15"/>
              </w:rPr>
              <w:t xml:space="preserve"> </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1E1BB2" w:rsidP="00AC7148">
            <w:pPr>
              <w:jc w:val="right"/>
              <w:rPr>
                <w:rFonts w:ascii="Arial Black" w:hAnsi="Arial Black"/>
                <w:caps/>
                <w:sz w:val="15"/>
              </w:rPr>
            </w:pPr>
            <w:r>
              <w:rPr>
                <w:rFonts w:ascii="Arial Black" w:hAnsi="Arial Black"/>
                <w:caps/>
                <w:sz w:val="15"/>
              </w:rPr>
              <w:t xml:space="preserve">DATE: </w:t>
            </w:r>
            <w:r w:rsidR="001647D5">
              <w:rPr>
                <w:rFonts w:ascii="Arial Black" w:hAnsi="Arial Black"/>
                <w:caps/>
                <w:sz w:val="15"/>
              </w:rPr>
              <w:t xml:space="preserve"> </w:t>
            </w:r>
            <w:bookmarkStart w:id="2" w:name="Date"/>
            <w:bookmarkEnd w:id="2"/>
            <w:r w:rsidR="00FA2C34">
              <w:rPr>
                <w:rFonts w:ascii="Arial Black" w:hAnsi="Arial Black"/>
                <w:caps/>
                <w:sz w:val="15"/>
              </w:rPr>
              <w:t>June 21, 2019</w:t>
            </w:r>
            <w:r w:rsidR="008B2CC1" w:rsidRPr="0090731E">
              <w:rPr>
                <w:rFonts w:ascii="Arial Black" w:hAnsi="Arial Black"/>
                <w:caps/>
                <w:sz w:val="15"/>
              </w:rPr>
              <w:t xml:space="preserve"> </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1E1BB2" w:rsidP="008B2CC1">
      <w:pPr>
        <w:rPr>
          <w:b/>
          <w:sz w:val="28"/>
          <w:szCs w:val="28"/>
        </w:rPr>
      </w:pPr>
      <w:r w:rsidRPr="002D1794">
        <w:rPr>
          <w:b/>
          <w:sz w:val="28"/>
          <w:szCs w:val="28"/>
        </w:rPr>
        <w:t>Intergovernmental Committee on Intellectual Property and Genetic Resources, Traditional Knowledge and Folklore</w:t>
      </w:r>
    </w:p>
    <w:p w:rsidR="003845C1" w:rsidRDefault="003845C1" w:rsidP="003845C1"/>
    <w:p w:rsidR="003845C1" w:rsidRDefault="003845C1" w:rsidP="003845C1"/>
    <w:p w:rsidR="001E1BB2" w:rsidRPr="002D1794" w:rsidRDefault="00E17E6D" w:rsidP="001E1BB2">
      <w:pPr>
        <w:rPr>
          <w:b/>
          <w:sz w:val="24"/>
          <w:szCs w:val="24"/>
        </w:rPr>
      </w:pPr>
      <w:r>
        <w:rPr>
          <w:b/>
          <w:sz w:val="24"/>
          <w:szCs w:val="24"/>
        </w:rPr>
        <w:t>Fortieth</w:t>
      </w:r>
      <w:r w:rsidR="001E1BB2" w:rsidRPr="002D1794">
        <w:rPr>
          <w:b/>
          <w:sz w:val="24"/>
          <w:szCs w:val="24"/>
        </w:rPr>
        <w:t xml:space="preserve"> Session</w:t>
      </w:r>
    </w:p>
    <w:p w:rsidR="008B2CC1" w:rsidRPr="003845C1" w:rsidRDefault="001E1BB2" w:rsidP="001E1BB2">
      <w:pPr>
        <w:rPr>
          <w:b/>
          <w:sz w:val="24"/>
          <w:szCs w:val="24"/>
        </w:rPr>
      </w:pPr>
      <w:r w:rsidRPr="002D1794">
        <w:rPr>
          <w:b/>
          <w:sz w:val="24"/>
          <w:szCs w:val="24"/>
        </w:rPr>
        <w:t xml:space="preserve">Geneva, </w:t>
      </w:r>
      <w:r w:rsidR="00EB0C6C">
        <w:rPr>
          <w:b/>
          <w:sz w:val="24"/>
          <w:szCs w:val="24"/>
        </w:rPr>
        <w:t>June 17 to 21</w:t>
      </w:r>
      <w:r w:rsidRPr="002D1794">
        <w:rPr>
          <w:b/>
          <w:sz w:val="24"/>
          <w:szCs w:val="24"/>
        </w:rPr>
        <w:t>, 201</w:t>
      </w:r>
      <w:r>
        <w:rPr>
          <w:b/>
          <w:sz w:val="24"/>
          <w:szCs w:val="24"/>
        </w:rPr>
        <w:t>9</w:t>
      </w:r>
    </w:p>
    <w:p w:rsidR="008B2CC1" w:rsidRPr="008B2CC1" w:rsidRDefault="008B2CC1" w:rsidP="008B2CC1"/>
    <w:p w:rsidR="008B2CC1" w:rsidRPr="008B2CC1" w:rsidRDefault="008B2CC1" w:rsidP="008B2CC1"/>
    <w:p w:rsidR="008B2CC1" w:rsidRPr="008B2CC1" w:rsidRDefault="008B2CC1" w:rsidP="008B2CC1"/>
    <w:p w:rsidR="001E1BB2" w:rsidRPr="003845C1" w:rsidRDefault="00FA2C34" w:rsidP="001E1BB2">
      <w:pPr>
        <w:rPr>
          <w:caps/>
          <w:sz w:val="24"/>
        </w:rPr>
      </w:pPr>
      <w:bookmarkStart w:id="3" w:name="TitleOfDoc"/>
      <w:bookmarkEnd w:id="3"/>
      <w:r>
        <w:rPr>
          <w:caps/>
          <w:sz w:val="24"/>
        </w:rPr>
        <w:t>Decisions</w:t>
      </w:r>
      <w:r w:rsidR="008D1320">
        <w:rPr>
          <w:caps/>
          <w:sz w:val="24"/>
        </w:rPr>
        <w:t xml:space="preserve"> OF THE Fortieth SESSION OF THE COMMITTEE</w:t>
      </w:r>
    </w:p>
    <w:p w:rsidR="001E1BB2" w:rsidRPr="008B2CC1" w:rsidRDefault="001E1BB2" w:rsidP="001E1BB2"/>
    <w:p w:rsidR="008B2CC1" w:rsidRPr="003845C1" w:rsidRDefault="00B309FE" w:rsidP="001E1BB2">
      <w:pPr>
        <w:rPr>
          <w:caps/>
          <w:sz w:val="24"/>
        </w:rPr>
      </w:pPr>
      <w:r>
        <w:rPr>
          <w:i/>
        </w:rPr>
        <w:t xml:space="preserve">Adopted </w:t>
      </w:r>
      <w:r w:rsidR="00FE06B7">
        <w:rPr>
          <w:i/>
        </w:rPr>
        <w:t xml:space="preserve">by the </w:t>
      </w:r>
      <w:r>
        <w:rPr>
          <w:i/>
        </w:rPr>
        <w:t>Committee</w:t>
      </w:r>
    </w:p>
    <w:p w:rsidR="008B2CC1" w:rsidRPr="008B2CC1" w:rsidRDefault="008B2CC1" w:rsidP="008B2CC1"/>
    <w:p w:rsidR="008B2CC1" w:rsidRPr="008B2CC1" w:rsidRDefault="008B2CC1" w:rsidP="008B2CC1">
      <w:pPr>
        <w:rPr>
          <w:i/>
        </w:rPr>
      </w:pPr>
      <w:bookmarkStart w:id="4" w:name="Prepared"/>
      <w:bookmarkEnd w:id="4"/>
    </w:p>
    <w:p w:rsidR="00AC205C" w:rsidRDefault="00AC205C"/>
    <w:p w:rsidR="00FE06B7" w:rsidRDefault="00FE06B7">
      <w:r>
        <w:br w:type="page"/>
      </w:r>
    </w:p>
    <w:p w:rsidR="00FE06B7" w:rsidRPr="004F6DF5" w:rsidRDefault="00FE06B7" w:rsidP="00FE06B7">
      <w:pPr>
        <w:spacing w:after="120" w:line="260" w:lineRule="atLeast"/>
        <w:rPr>
          <w:szCs w:val="22"/>
        </w:rPr>
      </w:pPr>
      <w:r>
        <w:rPr>
          <w:szCs w:val="22"/>
        </w:rPr>
        <w:lastRenderedPageBreak/>
        <w:t>DECISION ON AGENDA ITEM 2</w:t>
      </w:r>
      <w:r w:rsidRPr="004F6DF5">
        <w:rPr>
          <w:szCs w:val="22"/>
        </w:rPr>
        <w:t>:</w:t>
      </w:r>
    </w:p>
    <w:p w:rsidR="00FE06B7" w:rsidRPr="004F6DF5" w:rsidRDefault="00FE06B7" w:rsidP="00FE06B7">
      <w:pPr>
        <w:spacing w:after="120" w:line="260" w:lineRule="atLeast"/>
        <w:rPr>
          <w:szCs w:val="22"/>
        </w:rPr>
      </w:pPr>
      <w:r w:rsidRPr="004F6DF5">
        <w:rPr>
          <w:szCs w:val="22"/>
        </w:rPr>
        <w:t>ADOPTION OF THE AGENDA</w:t>
      </w:r>
    </w:p>
    <w:p w:rsidR="00FE06B7" w:rsidRDefault="00FE06B7" w:rsidP="00FE06B7">
      <w:pPr>
        <w:spacing w:after="120" w:line="260" w:lineRule="atLeast"/>
        <w:rPr>
          <w:szCs w:val="22"/>
        </w:rPr>
      </w:pPr>
      <w:r w:rsidRPr="004F6DF5">
        <w:rPr>
          <w:szCs w:val="22"/>
        </w:rPr>
        <w:t>The Chair submitted the draft agend</w:t>
      </w:r>
      <w:r>
        <w:rPr>
          <w:szCs w:val="22"/>
        </w:rPr>
        <w:t>a circulated as WIPO/GRTKF/IC/40</w:t>
      </w:r>
      <w:r w:rsidRPr="004F6DF5">
        <w:rPr>
          <w:szCs w:val="22"/>
        </w:rPr>
        <w:t>/1 Prov.</w:t>
      </w:r>
      <w:r>
        <w:rPr>
          <w:szCs w:val="22"/>
        </w:rPr>
        <w:t xml:space="preserve"> 2</w:t>
      </w:r>
      <w:r w:rsidRPr="004F6DF5">
        <w:rPr>
          <w:szCs w:val="22"/>
        </w:rPr>
        <w:t xml:space="preserve"> for adoption and it was adopted.  </w:t>
      </w:r>
    </w:p>
    <w:p w:rsidR="00FE06B7" w:rsidRDefault="00FE06B7" w:rsidP="00FE06B7">
      <w:pPr>
        <w:spacing w:after="120" w:line="260" w:lineRule="atLeast"/>
        <w:rPr>
          <w:szCs w:val="22"/>
        </w:rPr>
      </w:pPr>
    </w:p>
    <w:p w:rsidR="00FE06B7" w:rsidRPr="004F6DF5" w:rsidRDefault="00FE06B7" w:rsidP="00FE06B7">
      <w:pPr>
        <w:spacing w:after="120" w:line="260" w:lineRule="atLeast"/>
        <w:rPr>
          <w:szCs w:val="22"/>
        </w:rPr>
      </w:pPr>
      <w:r w:rsidRPr="004F6DF5">
        <w:rPr>
          <w:szCs w:val="22"/>
        </w:rPr>
        <w:t xml:space="preserve">DECISION ON AGENDA ITEM </w:t>
      </w:r>
      <w:r>
        <w:rPr>
          <w:szCs w:val="22"/>
        </w:rPr>
        <w:t>3</w:t>
      </w:r>
      <w:r w:rsidRPr="004F6DF5">
        <w:rPr>
          <w:szCs w:val="22"/>
        </w:rPr>
        <w:t>:</w:t>
      </w:r>
    </w:p>
    <w:p w:rsidR="00FE06B7" w:rsidRPr="004F6DF5" w:rsidRDefault="00FE06B7" w:rsidP="00FE06B7">
      <w:pPr>
        <w:spacing w:after="120" w:line="260" w:lineRule="atLeast"/>
        <w:rPr>
          <w:szCs w:val="22"/>
        </w:rPr>
      </w:pPr>
      <w:r w:rsidRPr="004F6DF5">
        <w:rPr>
          <w:szCs w:val="22"/>
        </w:rPr>
        <w:t xml:space="preserve">ADOPTION OF THE REPORT OF THE </w:t>
      </w:r>
      <w:r>
        <w:rPr>
          <w:szCs w:val="22"/>
        </w:rPr>
        <w:t xml:space="preserve">THIRTY-NINTH </w:t>
      </w:r>
      <w:r w:rsidRPr="004F6DF5">
        <w:rPr>
          <w:szCs w:val="22"/>
        </w:rPr>
        <w:t>SESSION</w:t>
      </w:r>
    </w:p>
    <w:p w:rsidR="00FE06B7" w:rsidRPr="004F6DF5" w:rsidRDefault="00FE06B7" w:rsidP="00FE06B7">
      <w:pPr>
        <w:spacing w:after="120" w:line="260" w:lineRule="atLeast"/>
        <w:rPr>
          <w:szCs w:val="22"/>
        </w:rPr>
      </w:pPr>
      <w:r w:rsidRPr="004F6DF5">
        <w:rPr>
          <w:szCs w:val="22"/>
        </w:rPr>
        <w:t xml:space="preserve">The Chair submitted the draft report of the </w:t>
      </w:r>
      <w:r>
        <w:rPr>
          <w:szCs w:val="22"/>
        </w:rPr>
        <w:t>Thirty-Ninth S</w:t>
      </w:r>
      <w:r w:rsidRPr="004F6DF5">
        <w:rPr>
          <w:szCs w:val="22"/>
        </w:rPr>
        <w:t>ession o</w:t>
      </w:r>
      <w:r>
        <w:rPr>
          <w:szCs w:val="22"/>
        </w:rPr>
        <w:t>f the Committee (WIPO/GRTKF/IC/39/18 Prov. 2</w:t>
      </w:r>
      <w:r w:rsidRPr="004F6DF5">
        <w:rPr>
          <w:szCs w:val="22"/>
        </w:rPr>
        <w:t xml:space="preserve">) for adoption and </w:t>
      </w:r>
      <w:r>
        <w:rPr>
          <w:szCs w:val="22"/>
        </w:rPr>
        <w:t xml:space="preserve">it was </w:t>
      </w:r>
      <w:r w:rsidRPr="004F6DF5">
        <w:rPr>
          <w:szCs w:val="22"/>
        </w:rPr>
        <w:t>adopted.</w:t>
      </w:r>
    </w:p>
    <w:p w:rsidR="00FE06B7" w:rsidRPr="004F6DF5" w:rsidRDefault="00FE06B7" w:rsidP="00FE06B7">
      <w:pPr>
        <w:spacing w:after="120" w:line="260" w:lineRule="atLeast"/>
        <w:rPr>
          <w:szCs w:val="22"/>
        </w:rPr>
      </w:pPr>
    </w:p>
    <w:p w:rsidR="00FE06B7" w:rsidRPr="00681022" w:rsidRDefault="00FE06B7" w:rsidP="00FE06B7">
      <w:pPr>
        <w:spacing w:after="120" w:line="260" w:lineRule="atLeast"/>
        <w:rPr>
          <w:szCs w:val="22"/>
        </w:rPr>
      </w:pPr>
      <w:r w:rsidRPr="00681022">
        <w:rPr>
          <w:szCs w:val="22"/>
        </w:rPr>
        <w:t xml:space="preserve">DECISION ON AGENDA ITEM </w:t>
      </w:r>
      <w:r>
        <w:rPr>
          <w:szCs w:val="22"/>
        </w:rPr>
        <w:t>4</w:t>
      </w:r>
      <w:r w:rsidRPr="00681022">
        <w:rPr>
          <w:szCs w:val="22"/>
        </w:rPr>
        <w:t xml:space="preserve">:  </w:t>
      </w:r>
    </w:p>
    <w:p w:rsidR="00FE06B7" w:rsidRPr="00681022" w:rsidRDefault="00FE06B7" w:rsidP="00FE06B7">
      <w:pPr>
        <w:spacing w:after="120" w:line="260" w:lineRule="atLeast"/>
        <w:rPr>
          <w:szCs w:val="22"/>
        </w:rPr>
      </w:pPr>
      <w:r w:rsidRPr="00681022">
        <w:rPr>
          <w:szCs w:val="22"/>
        </w:rPr>
        <w:t>ACCREDITATION OF CERTAIN ORGANIZATIONS</w:t>
      </w:r>
    </w:p>
    <w:p w:rsidR="00FE06B7" w:rsidRPr="00ED0E0A" w:rsidRDefault="00FE06B7" w:rsidP="00FE06B7">
      <w:pPr>
        <w:pStyle w:val="Default"/>
        <w:rPr>
          <w:sz w:val="22"/>
          <w:szCs w:val="22"/>
        </w:rPr>
      </w:pPr>
      <w:r w:rsidRPr="00ED0E0A">
        <w:rPr>
          <w:sz w:val="22"/>
          <w:szCs w:val="22"/>
        </w:rPr>
        <w:t xml:space="preserve">The Committee unanimously approved the accreditation of </w:t>
      </w:r>
      <w:r w:rsidR="009F44D3">
        <w:rPr>
          <w:sz w:val="22"/>
          <w:szCs w:val="22"/>
        </w:rPr>
        <w:t xml:space="preserve">the </w:t>
      </w:r>
      <w:r w:rsidR="0013388F" w:rsidRPr="0013388F">
        <w:rPr>
          <w:sz w:val="22"/>
          <w:szCs w:val="22"/>
        </w:rPr>
        <w:t>Centre for International Sustainable Development Law (CISDL)</w:t>
      </w:r>
      <w:r w:rsidR="0013388F">
        <w:rPr>
          <w:sz w:val="22"/>
          <w:szCs w:val="22"/>
        </w:rPr>
        <w:t xml:space="preserve"> and </w:t>
      </w:r>
      <w:r w:rsidR="0013388F" w:rsidRPr="0013388F">
        <w:rPr>
          <w:sz w:val="22"/>
          <w:szCs w:val="22"/>
        </w:rPr>
        <w:t>For Alternative Approaches to Addiction, Think &amp; do tank (FAAAT)</w:t>
      </w:r>
      <w:r w:rsidR="0013388F">
        <w:rPr>
          <w:sz w:val="22"/>
          <w:szCs w:val="22"/>
        </w:rPr>
        <w:t xml:space="preserve"> as</w:t>
      </w:r>
      <w:r w:rsidRPr="00ED0E0A">
        <w:rPr>
          <w:sz w:val="22"/>
          <w:szCs w:val="22"/>
        </w:rPr>
        <w:t xml:space="preserve"> </w:t>
      </w:r>
      <w:r w:rsidRPr="00ED0E0A">
        <w:rPr>
          <w:i/>
          <w:sz w:val="22"/>
          <w:szCs w:val="22"/>
        </w:rPr>
        <w:t>ad hoc</w:t>
      </w:r>
      <w:r w:rsidRPr="00ED0E0A">
        <w:rPr>
          <w:sz w:val="22"/>
          <w:szCs w:val="22"/>
        </w:rPr>
        <w:t xml:space="preserve"> observer</w:t>
      </w:r>
      <w:r w:rsidR="0013388F">
        <w:rPr>
          <w:sz w:val="22"/>
          <w:szCs w:val="22"/>
        </w:rPr>
        <w:t>s</w:t>
      </w:r>
      <w:r w:rsidRPr="00ED0E0A">
        <w:rPr>
          <w:sz w:val="22"/>
          <w:szCs w:val="22"/>
        </w:rPr>
        <w:t xml:space="preserve">.  </w:t>
      </w:r>
    </w:p>
    <w:p w:rsidR="00FE06B7" w:rsidRPr="007434D7" w:rsidRDefault="00FE06B7" w:rsidP="00FE06B7">
      <w:pPr>
        <w:spacing w:after="120" w:line="260" w:lineRule="atLeast"/>
      </w:pPr>
    </w:p>
    <w:p w:rsidR="00FE06B7" w:rsidRPr="004F6DF5" w:rsidRDefault="00FE06B7" w:rsidP="00FE06B7">
      <w:pPr>
        <w:spacing w:after="120" w:line="260" w:lineRule="atLeast"/>
        <w:rPr>
          <w:szCs w:val="22"/>
        </w:rPr>
      </w:pPr>
      <w:r w:rsidRPr="004F6DF5">
        <w:rPr>
          <w:szCs w:val="22"/>
        </w:rPr>
        <w:t xml:space="preserve">DECISION ON AGENDA ITEM </w:t>
      </w:r>
      <w:r>
        <w:rPr>
          <w:szCs w:val="22"/>
        </w:rPr>
        <w:t>5</w:t>
      </w:r>
      <w:r w:rsidRPr="004F6DF5">
        <w:rPr>
          <w:szCs w:val="22"/>
        </w:rPr>
        <w:t>:</w:t>
      </w:r>
    </w:p>
    <w:p w:rsidR="00FE06B7" w:rsidRPr="004F6DF5" w:rsidRDefault="00FE06B7" w:rsidP="00FE06B7">
      <w:pPr>
        <w:spacing w:after="120" w:line="260" w:lineRule="atLeast"/>
        <w:rPr>
          <w:szCs w:val="22"/>
        </w:rPr>
      </w:pPr>
      <w:r w:rsidRPr="004F6DF5">
        <w:rPr>
          <w:szCs w:val="22"/>
        </w:rPr>
        <w:t>PARTICIPATION OF INDIGENOUS AND LOCAL COMMUNITIES</w:t>
      </w:r>
    </w:p>
    <w:p w:rsidR="00FE06B7" w:rsidRPr="00FE5F59" w:rsidRDefault="00FE06B7" w:rsidP="00FE06B7">
      <w:pPr>
        <w:spacing w:line="260" w:lineRule="atLeast"/>
        <w:rPr>
          <w:szCs w:val="22"/>
        </w:rPr>
      </w:pPr>
      <w:r w:rsidRPr="00FE5F59">
        <w:rPr>
          <w:szCs w:val="22"/>
        </w:rPr>
        <w:t>The Committee took no</w:t>
      </w:r>
      <w:r>
        <w:rPr>
          <w:szCs w:val="22"/>
        </w:rPr>
        <w:t xml:space="preserve">te of documents </w:t>
      </w:r>
      <w:r w:rsidR="0013388F">
        <w:rPr>
          <w:szCs w:val="22"/>
        </w:rPr>
        <w:t>WIPO/GRTKF/IC/40</w:t>
      </w:r>
      <w:r>
        <w:rPr>
          <w:szCs w:val="22"/>
        </w:rPr>
        <w:t>/3, WIPO/GRTKF</w:t>
      </w:r>
      <w:r w:rsidR="0013388F">
        <w:rPr>
          <w:szCs w:val="22"/>
        </w:rPr>
        <w:t>/IC/40/INF/4 and WIPO/GRTKF/IC/40</w:t>
      </w:r>
      <w:r w:rsidRPr="00FE5F59">
        <w:rPr>
          <w:szCs w:val="22"/>
        </w:rPr>
        <w:t>/INF/6.</w:t>
      </w:r>
    </w:p>
    <w:p w:rsidR="00FE06B7" w:rsidRDefault="00FE06B7" w:rsidP="00FE06B7">
      <w:pPr>
        <w:spacing w:line="260" w:lineRule="atLeast"/>
        <w:rPr>
          <w:szCs w:val="22"/>
        </w:rPr>
      </w:pPr>
    </w:p>
    <w:p w:rsidR="00FE06B7" w:rsidRPr="0013388F" w:rsidRDefault="00FE06B7" w:rsidP="0013388F">
      <w:pPr>
        <w:spacing w:line="260" w:lineRule="atLeast"/>
      </w:pPr>
      <w:r>
        <w:t>The Committee stro</w:t>
      </w:r>
      <w:r w:rsidR="0013388F">
        <w:t>ngly encouraged and called upon</w:t>
      </w:r>
      <w:r>
        <w:t xml:space="preserve"> members of the Committee and all interested public and private entities to contribute to the</w:t>
      </w:r>
      <w:r w:rsidR="0013388F" w:rsidRPr="0013388F">
        <w:t xml:space="preserve"> </w:t>
      </w:r>
      <w:r w:rsidR="0013388F">
        <w:t>WIPO Voluntary Fund for Accredited Indigenous and Local Communities</w:t>
      </w:r>
      <w:r>
        <w:t xml:space="preserve">. </w:t>
      </w:r>
    </w:p>
    <w:p w:rsidR="00FE06B7" w:rsidRDefault="00FE06B7" w:rsidP="00FE06B7">
      <w:pPr>
        <w:spacing w:line="260" w:lineRule="atLeast"/>
        <w:rPr>
          <w:szCs w:val="22"/>
        </w:rPr>
      </w:pPr>
    </w:p>
    <w:p w:rsidR="00FE06B7" w:rsidRDefault="00FE06B7" w:rsidP="00FE06B7">
      <w:pPr>
        <w:spacing w:line="260" w:lineRule="atLeast"/>
        <w:rPr>
          <w:szCs w:val="22"/>
        </w:rPr>
      </w:pPr>
      <w:r>
        <w:rPr>
          <w:szCs w:val="22"/>
        </w:rPr>
        <w:t>Recalling the Decisions of the Fiftieth Session of the WIPO General Assembly, the Committee also encouraged m</w:t>
      </w:r>
      <w:r w:rsidRPr="00F56A7A">
        <w:rPr>
          <w:szCs w:val="22"/>
        </w:rPr>
        <w:t>ember</w:t>
      </w:r>
      <w:r>
        <w:rPr>
          <w:szCs w:val="22"/>
        </w:rPr>
        <w:t>s</w:t>
      </w:r>
      <w:r w:rsidRPr="00F56A7A">
        <w:rPr>
          <w:szCs w:val="22"/>
        </w:rPr>
        <w:t xml:space="preserve"> </w:t>
      </w:r>
      <w:r>
        <w:rPr>
          <w:szCs w:val="22"/>
        </w:rPr>
        <w:t>of the Committee</w:t>
      </w:r>
      <w:r w:rsidRPr="00F56A7A">
        <w:rPr>
          <w:szCs w:val="22"/>
        </w:rPr>
        <w:t xml:space="preserve"> to consider other alternative funding arrangements</w:t>
      </w:r>
      <w:r>
        <w:rPr>
          <w:szCs w:val="22"/>
        </w:rPr>
        <w:t xml:space="preserve">.  </w:t>
      </w:r>
    </w:p>
    <w:p w:rsidR="00FE06B7" w:rsidRDefault="00FE06B7" w:rsidP="00FE06B7">
      <w:pPr>
        <w:spacing w:line="260" w:lineRule="atLeast"/>
        <w:rPr>
          <w:szCs w:val="22"/>
        </w:rPr>
      </w:pPr>
    </w:p>
    <w:p w:rsidR="00FE06B7" w:rsidRPr="00072BA5" w:rsidRDefault="00FE06B7" w:rsidP="00C174BB">
      <w:pPr>
        <w:rPr>
          <w:szCs w:val="22"/>
        </w:rPr>
      </w:pPr>
      <w:r w:rsidRPr="005E2009">
        <w:rPr>
          <w:szCs w:val="22"/>
        </w:rPr>
        <w:t xml:space="preserve">The Chair proposed, and the Committee elected by acclamation, the following </w:t>
      </w:r>
      <w:r>
        <w:rPr>
          <w:szCs w:val="22"/>
        </w:rPr>
        <w:t>eight</w:t>
      </w:r>
      <w:r w:rsidRPr="005E2009">
        <w:rPr>
          <w:szCs w:val="22"/>
        </w:rPr>
        <w:t xml:space="preserve"> members of the Advisory Board to serve in an individual capacity</w:t>
      </w:r>
      <w:r w:rsidRPr="00924CB0">
        <w:rPr>
          <w:szCs w:val="22"/>
        </w:rPr>
        <w:t>:</w:t>
      </w:r>
      <w:r w:rsidRPr="005E799A">
        <w:rPr>
          <w:szCs w:val="22"/>
        </w:rPr>
        <w:t xml:space="preserve">  </w:t>
      </w:r>
      <w:r w:rsidR="00C174BB" w:rsidRPr="00C174BB">
        <w:rPr>
          <w:szCs w:val="22"/>
        </w:rPr>
        <w:t>Mr. Reza DEHGHANI, Counsellor, Permanent Mission of the Islamic Republic of Iran, Geneva</w:t>
      </w:r>
      <w:r w:rsidR="00C174BB">
        <w:rPr>
          <w:szCs w:val="22"/>
        </w:rPr>
        <w:t xml:space="preserve">;  </w:t>
      </w:r>
      <w:r w:rsidR="00C174BB" w:rsidRPr="00C174BB">
        <w:rPr>
          <w:szCs w:val="22"/>
        </w:rPr>
        <w:t xml:space="preserve">Mr. Nelson DE LEÓN KANTULE, Representative, </w:t>
      </w:r>
      <w:proofErr w:type="spellStart"/>
      <w:r w:rsidR="00C174BB" w:rsidRPr="00C174BB">
        <w:rPr>
          <w:i/>
          <w:szCs w:val="22"/>
        </w:rPr>
        <w:t>Asociación</w:t>
      </w:r>
      <w:proofErr w:type="spellEnd"/>
      <w:r w:rsidR="00C174BB" w:rsidRPr="00C174BB">
        <w:rPr>
          <w:i/>
          <w:szCs w:val="22"/>
        </w:rPr>
        <w:t xml:space="preserve"> </w:t>
      </w:r>
      <w:proofErr w:type="spellStart"/>
      <w:r w:rsidR="00C174BB" w:rsidRPr="00C174BB">
        <w:rPr>
          <w:i/>
          <w:szCs w:val="22"/>
        </w:rPr>
        <w:t>Kunas</w:t>
      </w:r>
      <w:proofErr w:type="spellEnd"/>
      <w:r w:rsidR="00C174BB" w:rsidRPr="00C174BB">
        <w:rPr>
          <w:i/>
          <w:szCs w:val="22"/>
        </w:rPr>
        <w:t xml:space="preserve"> </w:t>
      </w:r>
      <w:proofErr w:type="spellStart"/>
      <w:r w:rsidR="00C174BB" w:rsidRPr="00C174BB">
        <w:rPr>
          <w:i/>
          <w:szCs w:val="22"/>
        </w:rPr>
        <w:t>Unidos</w:t>
      </w:r>
      <w:proofErr w:type="spellEnd"/>
      <w:r w:rsidR="00C174BB" w:rsidRPr="00C174BB">
        <w:rPr>
          <w:i/>
          <w:szCs w:val="22"/>
        </w:rPr>
        <w:t xml:space="preserve"> </w:t>
      </w:r>
      <w:proofErr w:type="spellStart"/>
      <w:r w:rsidR="00C174BB" w:rsidRPr="00C174BB">
        <w:rPr>
          <w:i/>
          <w:szCs w:val="22"/>
        </w:rPr>
        <w:t>por</w:t>
      </w:r>
      <w:proofErr w:type="spellEnd"/>
      <w:r w:rsidR="00C174BB" w:rsidRPr="00C174BB">
        <w:rPr>
          <w:i/>
          <w:szCs w:val="22"/>
        </w:rPr>
        <w:t xml:space="preserve"> </w:t>
      </w:r>
      <w:proofErr w:type="spellStart"/>
      <w:r w:rsidR="00C174BB" w:rsidRPr="00C174BB">
        <w:rPr>
          <w:i/>
          <w:szCs w:val="22"/>
        </w:rPr>
        <w:t>Napguana</w:t>
      </w:r>
      <w:proofErr w:type="spellEnd"/>
      <w:r w:rsidR="00C174BB" w:rsidRPr="00C174BB">
        <w:rPr>
          <w:i/>
          <w:szCs w:val="22"/>
        </w:rPr>
        <w:t xml:space="preserve"> </w:t>
      </w:r>
      <w:r w:rsidR="00C174BB" w:rsidRPr="00C174BB">
        <w:rPr>
          <w:szCs w:val="22"/>
        </w:rPr>
        <w:t>(KUNA)</w:t>
      </w:r>
      <w:r w:rsidR="00C174BB">
        <w:rPr>
          <w:szCs w:val="22"/>
        </w:rPr>
        <w:t xml:space="preserve">;  </w:t>
      </w:r>
      <w:r w:rsidR="00C174BB" w:rsidRPr="00C174BB">
        <w:rPr>
          <w:szCs w:val="22"/>
        </w:rPr>
        <w:t xml:space="preserve">Mr. Mahmud JUMAZODA, Second Secretary, </w:t>
      </w:r>
      <w:r w:rsidR="00C174BB" w:rsidRPr="00C174BB">
        <w:rPr>
          <w:iCs/>
          <w:szCs w:val="22"/>
        </w:rPr>
        <w:t>Permanent Mission of Tajikistan, Geneva</w:t>
      </w:r>
      <w:r w:rsidR="00C174BB">
        <w:rPr>
          <w:iCs/>
          <w:szCs w:val="22"/>
        </w:rPr>
        <w:t xml:space="preserve">;  </w:t>
      </w:r>
      <w:r w:rsidR="00C174BB" w:rsidRPr="00275A73">
        <w:rPr>
          <w:szCs w:val="22"/>
        </w:rPr>
        <w:t xml:space="preserve">Ms. </w:t>
      </w:r>
      <w:proofErr w:type="spellStart"/>
      <w:r w:rsidR="00C174BB" w:rsidRPr="00275A73">
        <w:rPr>
          <w:szCs w:val="22"/>
        </w:rPr>
        <w:t>Subama</w:t>
      </w:r>
      <w:proofErr w:type="spellEnd"/>
      <w:r w:rsidR="00C174BB" w:rsidRPr="00275A73">
        <w:rPr>
          <w:szCs w:val="22"/>
        </w:rPr>
        <w:t xml:space="preserve"> MAPOU, Representative, ADJMOR</w:t>
      </w:r>
      <w:r w:rsidR="00C174BB">
        <w:rPr>
          <w:szCs w:val="22"/>
        </w:rPr>
        <w:t xml:space="preserve">;  </w:t>
      </w:r>
      <w:r w:rsidR="00C174BB" w:rsidRPr="00275A73">
        <w:rPr>
          <w:szCs w:val="22"/>
        </w:rPr>
        <w:t>Ms. Lucy MULENKEI, Representative, Indigenous Information Network (IIN)</w:t>
      </w:r>
      <w:r w:rsidR="00C174BB">
        <w:rPr>
          <w:szCs w:val="22"/>
        </w:rPr>
        <w:t xml:space="preserve">;  </w:t>
      </w:r>
      <w:r w:rsidR="00C174BB" w:rsidRPr="00275A73">
        <w:rPr>
          <w:szCs w:val="22"/>
        </w:rPr>
        <w:t xml:space="preserve">Mr. Moses PHAHLANE, </w:t>
      </w:r>
      <w:r w:rsidR="00C174BB" w:rsidRPr="00C174BB">
        <w:rPr>
          <w:szCs w:val="22"/>
        </w:rPr>
        <w:t>Deputy Director, Multilateral Trade Issues, Department of Internat</w:t>
      </w:r>
      <w:r w:rsidR="00C174BB">
        <w:rPr>
          <w:szCs w:val="22"/>
        </w:rPr>
        <w:t xml:space="preserve">ional Cooperation, South Africa;  </w:t>
      </w:r>
      <w:r w:rsidR="00C174BB" w:rsidRPr="00C174BB">
        <w:rPr>
          <w:szCs w:val="22"/>
        </w:rPr>
        <w:t>Ms. Aurelia SCHULTZ</w:t>
      </w:r>
      <w:r w:rsidR="00C174BB" w:rsidRPr="00C174BB">
        <w:rPr>
          <w:bCs/>
          <w:szCs w:val="22"/>
        </w:rPr>
        <w:t xml:space="preserve">, </w:t>
      </w:r>
      <w:r w:rsidR="00C174BB" w:rsidRPr="00C174BB">
        <w:rPr>
          <w:szCs w:val="22"/>
        </w:rPr>
        <w:t>Counsel, Office of Policy and International Affairs, Copyright Office, United States of America</w:t>
      </w:r>
      <w:r w:rsidR="00C174BB">
        <w:rPr>
          <w:szCs w:val="22"/>
        </w:rPr>
        <w:t xml:space="preserve">;  and </w:t>
      </w:r>
      <w:r w:rsidR="00C174BB" w:rsidRPr="00C174BB">
        <w:rPr>
          <w:szCs w:val="22"/>
        </w:rPr>
        <w:t>Ms. Heidi VASCONES MEDINA, Third Secretary, Permanent Mission of Ecuador, Geneva</w:t>
      </w:r>
      <w:r w:rsidRPr="00275A73">
        <w:rPr>
          <w:szCs w:val="22"/>
        </w:rPr>
        <w:t>.</w:t>
      </w:r>
      <w:r w:rsidRPr="00072BA5">
        <w:rPr>
          <w:szCs w:val="22"/>
        </w:rPr>
        <w:t xml:space="preserve"> </w:t>
      </w:r>
    </w:p>
    <w:p w:rsidR="00FE06B7" w:rsidRPr="00072BA5" w:rsidRDefault="00FE06B7" w:rsidP="00FE06B7">
      <w:pPr>
        <w:spacing w:line="260" w:lineRule="atLeast"/>
        <w:rPr>
          <w:szCs w:val="22"/>
        </w:rPr>
      </w:pPr>
    </w:p>
    <w:p w:rsidR="00FE06B7" w:rsidRDefault="00FE06B7" w:rsidP="00FE06B7">
      <w:pPr>
        <w:spacing w:after="120" w:line="260" w:lineRule="atLeast"/>
        <w:rPr>
          <w:szCs w:val="22"/>
        </w:rPr>
      </w:pPr>
      <w:r w:rsidRPr="00FE5F59">
        <w:rPr>
          <w:szCs w:val="22"/>
        </w:rPr>
        <w:t>The Chair of the Committee nominated</w:t>
      </w:r>
      <w:r w:rsidRPr="00FE5F59">
        <w:t xml:space="preserve"> </w:t>
      </w:r>
      <w:r>
        <w:t xml:space="preserve">Mr. </w:t>
      </w:r>
      <w:r w:rsidRPr="0084019D">
        <w:t>Faizal Chery Sidharta</w:t>
      </w:r>
      <w:r w:rsidRPr="00FE5F59">
        <w:rPr>
          <w:szCs w:val="22"/>
        </w:rPr>
        <w:t>, Vice-Chair of the Committee, to serve as Chair of the Advisory Board.</w:t>
      </w:r>
    </w:p>
    <w:p w:rsidR="00F14FC7" w:rsidRPr="00F14FC7" w:rsidRDefault="00F14FC7" w:rsidP="00F14FC7">
      <w:pPr>
        <w:spacing w:after="120" w:line="260" w:lineRule="atLeast"/>
      </w:pPr>
      <w:r w:rsidRPr="00F14FC7">
        <w:t xml:space="preserve">Acknowledging the contribution </w:t>
      </w:r>
      <w:r w:rsidR="009F44D3">
        <w:t xml:space="preserve">to the Committee’s work </w:t>
      </w:r>
      <w:r w:rsidRPr="00F14FC7">
        <w:t>made by the</w:t>
      </w:r>
      <w:r>
        <w:t xml:space="preserve"> Indigenous Expert Workshop </w:t>
      </w:r>
      <w:r w:rsidR="00510566">
        <w:t xml:space="preserve">held </w:t>
      </w:r>
      <w:r>
        <w:t>in 2013,</w:t>
      </w:r>
      <w:r w:rsidRPr="00F14FC7">
        <w:t xml:space="preserve"> as reflected in its Re</w:t>
      </w:r>
      <w:r>
        <w:t>port (WIPO/GRTKF/IC/25/INF/9), and with</w:t>
      </w:r>
      <w:r w:rsidRPr="00F14FC7">
        <w:t xml:space="preserve"> reference to the recommendation made by the United Nations Permanent Forum on Indigenous Issues (UNP</w:t>
      </w:r>
      <w:r>
        <w:t>FII) at its Eighteenth Session</w:t>
      </w:r>
      <w:r w:rsidR="009F44D3">
        <w:t xml:space="preserve"> in 2019</w:t>
      </w:r>
      <w:r w:rsidRPr="00F14FC7">
        <w:t xml:space="preserve">, the Committee </w:t>
      </w:r>
      <w:r w:rsidR="009F44D3">
        <w:t xml:space="preserve">requested </w:t>
      </w:r>
      <w:r>
        <w:t xml:space="preserve">the </w:t>
      </w:r>
      <w:r w:rsidR="002E2789">
        <w:t xml:space="preserve">WIPO </w:t>
      </w:r>
      <w:r>
        <w:t>Secretariat</w:t>
      </w:r>
      <w:r w:rsidR="00BF3980">
        <w:t xml:space="preserve"> </w:t>
      </w:r>
      <w:r>
        <w:t>to organize</w:t>
      </w:r>
      <w:r w:rsidR="00FC5193">
        <w:t>,</w:t>
      </w:r>
      <w:r w:rsidRPr="00F14FC7">
        <w:t xml:space="preserve"> </w:t>
      </w:r>
      <w:r w:rsidR="00FC5193">
        <w:t xml:space="preserve">within existing resources, </w:t>
      </w:r>
      <w:r>
        <w:t xml:space="preserve">an </w:t>
      </w:r>
      <w:r w:rsidRPr="00F14FC7">
        <w:t xml:space="preserve">Indigenous Expert Workshop </w:t>
      </w:r>
      <w:r>
        <w:t>during the biennium 2020-2021</w:t>
      </w:r>
      <w:r w:rsidR="002E2789">
        <w:t xml:space="preserve">, </w:t>
      </w:r>
      <w:r w:rsidR="002E2789" w:rsidRPr="002E2789">
        <w:t xml:space="preserve">following </w:t>
      </w:r>
      <w:r w:rsidR="002F633B">
        <w:t xml:space="preserve">similar </w:t>
      </w:r>
      <w:r w:rsidR="002E2789" w:rsidRPr="002E2789">
        <w:t xml:space="preserve">arrangements </w:t>
      </w:r>
      <w:r w:rsidR="002E2789" w:rsidRPr="00275A73">
        <w:rPr>
          <w:i/>
        </w:rPr>
        <w:t>mutatis mutandis</w:t>
      </w:r>
      <w:r>
        <w:t xml:space="preserve"> </w:t>
      </w:r>
      <w:r w:rsidR="002F633B">
        <w:t xml:space="preserve">to those </w:t>
      </w:r>
      <w:r w:rsidR="002E2789" w:rsidRPr="002E2789">
        <w:t xml:space="preserve">as agreed at the </w:t>
      </w:r>
      <w:r w:rsidR="002E2789">
        <w:t>Twentieth</w:t>
      </w:r>
      <w:r w:rsidR="002E2789" w:rsidRPr="002E2789">
        <w:t xml:space="preserve"> Session of the Committee under Agenda Item</w:t>
      </w:r>
      <w:r w:rsidR="002E2789">
        <w:t xml:space="preserve"> 8. </w:t>
      </w:r>
    </w:p>
    <w:p w:rsidR="00F14FC7" w:rsidRDefault="002E2789">
      <w:pPr>
        <w:spacing w:after="120" w:line="260" w:lineRule="atLeast"/>
        <w:rPr>
          <w:szCs w:val="22"/>
        </w:rPr>
      </w:pPr>
      <w:r w:rsidRPr="002E2789">
        <w:t xml:space="preserve">Acknowledging the contribution </w:t>
      </w:r>
      <w:r w:rsidR="009F44D3">
        <w:t>to the Committee’s work</w:t>
      </w:r>
      <w:r w:rsidRPr="002E2789">
        <w:t xml:space="preserve"> by </w:t>
      </w:r>
      <w:r w:rsidR="00984A09">
        <w:t xml:space="preserve">the </w:t>
      </w:r>
      <w:r w:rsidRPr="00275A73">
        <w:rPr>
          <w:i/>
        </w:rPr>
        <w:t>Technical Review of Key Intellectual Property-related Issues of the WIPO Dra</w:t>
      </w:r>
      <w:r w:rsidR="00340676">
        <w:rPr>
          <w:i/>
        </w:rPr>
        <w:t>f</w:t>
      </w:r>
      <w:r w:rsidRPr="00275A73">
        <w:rPr>
          <w:i/>
        </w:rPr>
        <w:t>t Instruments on Genetic Resources, Traditional Knowledge and Traditional Cultural Expressions</w:t>
      </w:r>
      <w:r>
        <w:t xml:space="preserve"> (WIPO/GRTKF/IC29/INF/10)</w:t>
      </w:r>
      <w:r w:rsidR="000E65A5">
        <w:t xml:space="preserve"> (the Technical Review)</w:t>
      </w:r>
      <w:r w:rsidR="003C6233">
        <w:t>, which was prepared by an indigenous expert</w:t>
      </w:r>
      <w:r>
        <w:t>, and with</w:t>
      </w:r>
      <w:r w:rsidRPr="002E2789">
        <w:t xml:space="preserve"> reference to the recommendation made by the </w:t>
      </w:r>
      <w:r>
        <w:t>UNPFII</w:t>
      </w:r>
      <w:r w:rsidRPr="002E2789">
        <w:t xml:space="preserve"> at its Eighteenth Session</w:t>
      </w:r>
      <w:r w:rsidR="009F44D3">
        <w:t xml:space="preserve"> in 2019</w:t>
      </w:r>
      <w:r w:rsidRPr="002E2789">
        <w:t xml:space="preserve">, the Committee </w:t>
      </w:r>
      <w:r w:rsidR="009F44D3">
        <w:t>requested the Secretariat to commission</w:t>
      </w:r>
      <w:r w:rsidR="004C17EE">
        <w:t>, with</w:t>
      </w:r>
      <w:r w:rsidR="00BF3980">
        <w:t>in</w:t>
      </w:r>
      <w:r w:rsidR="004C17EE">
        <w:t xml:space="preserve"> existing resources,</w:t>
      </w:r>
      <w:r w:rsidR="009F44D3">
        <w:t xml:space="preserve"> the</w:t>
      </w:r>
      <w:r w:rsidRPr="002E2789">
        <w:t xml:space="preserve"> </w:t>
      </w:r>
      <w:r>
        <w:t>updating</w:t>
      </w:r>
      <w:r w:rsidR="00B16435">
        <w:t xml:space="preserve"> </w:t>
      </w:r>
      <w:r w:rsidR="00A2152B">
        <w:t xml:space="preserve">by an indigenous expert </w:t>
      </w:r>
      <w:r w:rsidR="000E65A5">
        <w:t xml:space="preserve">of </w:t>
      </w:r>
      <w:r w:rsidR="00B16435">
        <w:t xml:space="preserve">the </w:t>
      </w:r>
      <w:r w:rsidR="00B16435" w:rsidRPr="008012C8">
        <w:rPr>
          <w:i/>
        </w:rPr>
        <w:t xml:space="preserve">Technical Review </w:t>
      </w:r>
      <w:r w:rsidR="00F14FC7" w:rsidRPr="00206F5A">
        <w:t>for the Committee’s consideration</w:t>
      </w:r>
      <w:r w:rsidR="00510566">
        <w:t xml:space="preserve"> during the biennium 2020-2021</w:t>
      </w:r>
      <w:r w:rsidR="00F14FC7" w:rsidRPr="00206F5A">
        <w:t>.</w:t>
      </w:r>
    </w:p>
    <w:p w:rsidR="00FE06B7" w:rsidRDefault="00FE06B7" w:rsidP="00275A73">
      <w:pPr>
        <w:spacing w:after="120" w:line="260" w:lineRule="atLeast"/>
        <w:rPr>
          <w:szCs w:val="22"/>
        </w:rPr>
      </w:pPr>
    </w:p>
    <w:p w:rsidR="00FE06B7" w:rsidRPr="004F6DF5" w:rsidRDefault="00FE06B7" w:rsidP="00FE06B7">
      <w:pPr>
        <w:spacing w:after="120" w:line="260" w:lineRule="atLeast"/>
        <w:rPr>
          <w:szCs w:val="22"/>
        </w:rPr>
      </w:pPr>
      <w:r w:rsidRPr="004F6DF5">
        <w:rPr>
          <w:szCs w:val="22"/>
        </w:rPr>
        <w:t xml:space="preserve">DECISION ON AGENDA ITEM </w:t>
      </w:r>
      <w:r w:rsidR="00542C6C">
        <w:rPr>
          <w:szCs w:val="22"/>
        </w:rPr>
        <w:t>6</w:t>
      </w:r>
      <w:r w:rsidRPr="004F6DF5">
        <w:rPr>
          <w:szCs w:val="22"/>
        </w:rPr>
        <w:t>:</w:t>
      </w:r>
    </w:p>
    <w:p w:rsidR="00FE06B7" w:rsidRPr="004F6DF5" w:rsidRDefault="00FE06B7" w:rsidP="00FE06B7">
      <w:pPr>
        <w:spacing w:after="120" w:line="260" w:lineRule="atLeast"/>
        <w:rPr>
          <w:szCs w:val="22"/>
        </w:rPr>
      </w:pPr>
      <w:r>
        <w:rPr>
          <w:szCs w:val="22"/>
        </w:rPr>
        <w:t>TRADITIONAL KNOWLEDGE/TRADITIONAL CULTURAL EXPRESSIONS</w:t>
      </w:r>
    </w:p>
    <w:p w:rsidR="00FE06B7" w:rsidRDefault="00FE06B7" w:rsidP="00FE06B7">
      <w:pPr>
        <w:spacing w:after="120" w:line="260" w:lineRule="atLeast"/>
      </w:pPr>
      <w:r>
        <w:t>The Committee developed, on the ba</w:t>
      </w:r>
      <w:r w:rsidR="00542C6C">
        <w:t>sis of document WIPO/GRTKF/IC/40</w:t>
      </w:r>
      <w:r>
        <w:t>/4, a further text, “</w:t>
      </w:r>
      <w:r w:rsidRPr="00425D1C">
        <w:t xml:space="preserve">The Protection of Traditional Knowledge:  Draft Articles </w:t>
      </w:r>
      <w:r w:rsidR="0081055B">
        <w:t xml:space="preserve">– Facilitators’ </w:t>
      </w:r>
      <w:r>
        <w:t>Rev.”, and on the ba</w:t>
      </w:r>
      <w:r w:rsidR="00542C6C">
        <w:t>sis of document WIPO/GRTKF/IC/40</w:t>
      </w:r>
      <w:r>
        <w:t>/5, a further text, “</w:t>
      </w:r>
      <w:r>
        <w:rPr>
          <w:szCs w:val="22"/>
        </w:rPr>
        <w:t xml:space="preserve">The Protection of Traditional Cultural Expressions:  Draft Articles </w:t>
      </w:r>
      <w:r w:rsidR="0081055B">
        <w:t xml:space="preserve">– Facilitators’ </w:t>
      </w:r>
      <w:r>
        <w:rPr>
          <w:szCs w:val="22"/>
        </w:rPr>
        <w:t>Rev.</w:t>
      </w:r>
      <w:r>
        <w:t xml:space="preserve">”.  The Committee decided that these texts, as at the close of this agenda item on </w:t>
      </w:r>
      <w:r w:rsidR="00542C6C">
        <w:t>June 19</w:t>
      </w:r>
      <w:r>
        <w:t xml:space="preserve">, 2019, be </w:t>
      </w:r>
      <w:r w:rsidR="00542C6C">
        <w:t>considered by</w:t>
      </w:r>
      <w:r>
        <w:t xml:space="preserve"> the Committee</w:t>
      </w:r>
      <w:r w:rsidR="00542C6C">
        <w:t xml:space="preserve"> under Agenda Item 7 (Taking Stock of Progress and Making a Recommendation to the General Assembly)</w:t>
      </w:r>
      <w:r>
        <w:t xml:space="preserve">, in accordance with the Committee’s mandate for 2018-2019 and the work program for 2019, as contained in document WO/GA/49/21. </w:t>
      </w:r>
    </w:p>
    <w:p w:rsidR="00FE06B7" w:rsidRPr="00584D5E" w:rsidRDefault="00FE06B7" w:rsidP="00FE06B7">
      <w:pPr>
        <w:spacing w:after="120" w:line="260" w:lineRule="atLeast"/>
        <w:rPr>
          <w:szCs w:val="22"/>
        </w:rPr>
      </w:pPr>
      <w:r>
        <w:t>The Committee took note of and held discussio</w:t>
      </w:r>
      <w:r w:rsidR="00542C6C">
        <w:t>ns on documents WIPO/GRTKF/IC/40/7, WIPO/GRTKF/IC/40/8, WIPO/GRTKF/IC/40/9, WIPO/GRTKF/IC/40</w:t>
      </w:r>
      <w:r>
        <w:t>/10, WIPO/GRTK</w:t>
      </w:r>
      <w:r w:rsidR="00542C6C">
        <w:t>F/IC/40/11, WIPO/GRTKF/IC/40</w:t>
      </w:r>
      <w:r>
        <w:t>/12, WIPO/</w:t>
      </w:r>
      <w:r w:rsidR="00542C6C">
        <w:t>GRTKF/IC/40/13 Rev., WIPO/GRTKF/IC/40/14, WIPO/GRTKF/IC/40</w:t>
      </w:r>
      <w:r>
        <w:t>/15</w:t>
      </w:r>
      <w:r w:rsidR="00542C6C">
        <w:t>, WIPO/GRTKF/IC/40/16, WIPO/GRTKF/IC/40/17 and WIPO/GRTKF/IC/40</w:t>
      </w:r>
      <w:r>
        <w:t>/INF/7.</w:t>
      </w:r>
    </w:p>
    <w:p w:rsidR="00FE06B7" w:rsidRDefault="00FE06B7" w:rsidP="00FE06B7">
      <w:pPr>
        <w:spacing w:after="120" w:line="260" w:lineRule="atLeast"/>
        <w:rPr>
          <w:rFonts w:eastAsia="Times New Roman"/>
          <w:bCs/>
          <w:szCs w:val="22"/>
          <w:lang w:eastAsia="en-US"/>
        </w:rPr>
      </w:pPr>
    </w:p>
    <w:p w:rsidR="002B5FAE" w:rsidRDefault="002B5FAE" w:rsidP="00FE06B7">
      <w:pPr>
        <w:spacing w:after="120" w:line="260" w:lineRule="atLeast"/>
      </w:pPr>
      <w:r>
        <w:t xml:space="preserve">DECISION ON AGENDA ITEM 7: </w:t>
      </w:r>
    </w:p>
    <w:p w:rsidR="002B5FAE" w:rsidRDefault="002B5FAE" w:rsidP="00FE06B7">
      <w:pPr>
        <w:spacing w:after="120" w:line="260" w:lineRule="atLeast"/>
        <w:rPr>
          <w:rFonts w:eastAsia="Times New Roman"/>
          <w:bCs/>
          <w:szCs w:val="22"/>
          <w:lang w:eastAsia="en-US"/>
        </w:rPr>
      </w:pPr>
      <w:r>
        <w:t>TAKING STOCK OF PROGRESS AND MAKING A RECOMMENDATION TO THE GENERAL ASSEMBLY</w:t>
      </w:r>
    </w:p>
    <w:p w:rsidR="002B5FAE" w:rsidRDefault="00257835" w:rsidP="00FE06B7">
      <w:pPr>
        <w:spacing w:after="120" w:line="260" w:lineRule="atLeast"/>
      </w:pPr>
      <w:r>
        <w:rPr>
          <w:rFonts w:eastAsia="Times New Roman"/>
          <w:bCs/>
          <w:szCs w:val="22"/>
          <w:lang w:eastAsia="en-US"/>
        </w:rPr>
        <w:t>The Committee took stock of progress made</w:t>
      </w:r>
      <w:r w:rsidR="00734267">
        <w:rPr>
          <w:rFonts w:eastAsia="Times New Roman"/>
          <w:bCs/>
          <w:szCs w:val="22"/>
          <w:lang w:eastAsia="en-US"/>
        </w:rPr>
        <w:t xml:space="preserve"> during the 2018-2019 biennium</w:t>
      </w:r>
      <w:r>
        <w:rPr>
          <w:rFonts w:eastAsia="Times New Roman"/>
          <w:bCs/>
          <w:szCs w:val="22"/>
          <w:lang w:eastAsia="en-US"/>
        </w:rPr>
        <w:t>, and confirmed that the texts contained in the annexes to documents WIPO/GRTKF/IC/40</w:t>
      </w:r>
      <w:r w:rsidRPr="00257835">
        <w:rPr>
          <w:rFonts w:eastAsia="Times New Roman"/>
          <w:bCs/>
          <w:szCs w:val="22"/>
          <w:lang w:eastAsia="en-US"/>
        </w:rPr>
        <w:t>/</w:t>
      </w:r>
      <w:r>
        <w:rPr>
          <w:rFonts w:eastAsia="Times New Roman"/>
          <w:bCs/>
          <w:szCs w:val="22"/>
          <w:lang w:eastAsia="en-US"/>
        </w:rPr>
        <w:t>6, WIPO/GRTKF/IC/40</w:t>
      </w:r>
      <w:r w:rsidRPr="00257835">
        <w:rPr>
          <w:rFonts w:eastAsia="Times New Roman"/>
          <w:bCs/>
          <w:szCs w:val="22"/>
          <w:lang w:eastAsia="en-US"/>
        </w:rPr>
        <w:t>/</w:t>
      </w:r>
      <w:r>
        <w:rPr>
          <w:rFonts w:eastAsia="Times New Roman"/>
          <w:bCs/>
          <w:szCs w:val="22"/>
          <w:lang w:eastAsia="en-US"/>
        </w:rPr>
        <w:t>18 and WIPO/GRTKF/IC/40</w:t>
      </w:r>
      <w:r w:rsidRPr="00257835">
        <w:rPr>
          <w:rFonts w:eastAsia="Times New Roman"/>
          <w:bCs/>
          <w:szCs w:val="22"/>
          <w:lang w:eastAsia="en-US"/>
        </w:rPr>
        <w:t>/</w:t>
      </w:r>
      <w:r>
        <w:rPr>
          <w:rFonts w:eastAsia="Times New Roman"/>
          <w:bCs/>
          <w:szCs w:val="22"/>
          <w:lang w:eastAsia="en-US"/>
        </w:rPr>
        <w:t xml:space="preserve">19 be transmitted to the 2019 WIPO General Assembly, </w:t>
      </w:r>
      <w:r>
        <w:t>in accordance with the Committee’s mandate for 2018-2019 and the work program for 2019, as contained in document WO/GA/49/21.</w:t>
      </w:r>
    </w:p>
    <w:p w:rsidR="00257835" w:rsidRDefault="00257835" w:rsidP="00FE06B7">
      <w:pPr>
        <w:spacing w:after="120" w:line="260" w:lineRule="atLeast"/>
      </w:pPr>
      <w:r w:rsidRPr="002F633B">
        <w:t xml:space="preserve">The Committee </w:t>
      </w:r>
      <w:r w:rsidR="009A448B" w:rsidRPr="002F633B">
        <w:t>decided to transmit the Chair’s Text o</w:t>
      </w:r>
      <w:r w:rsidR="00340676">
        <w:t xml:space="preserve">f a </w:t>
      </w:r>
      <w:r w:rsidR="009A448B" w:rsidRPr="002F633B">
        <w:rPr>
          <w:i/>
        </w:rPr>
        <w:t xml:space="preserve">Draft International Legal Instrument Relating to Intellectual Property, Genetic Resources and Traditional Knowledge Associated with Genetic Resources </w:t>
      </w:r>
      <w:r w:rsidR="009A448B" w:rsidRPr="002F633B">
        <w:t>to the 2019 WIPO General Assembly</w:t>
      </w:r>
      <w:r w:rsidR="0023313F" w:rsidRPr="002F633B">
        <w:t xml:space="preserve">, and to include it as a working document </w:t>
      </w:r>
      <w:r w:rsidR="007D48C0" w:rsidRPr="002F633B">
        <w:t xml:space="preserve">of the Committee </w:t>
      </w:r>
      <w:r w:rsidR="0023313F" w:rsidRPr="002F633B">
        <w:t>as a Chair’s Text</w:t>
      </w:r>
      <w:r w:rsidR="009A448B" w:rsidRPr="002F633B">
        <w:t>.</w:t>
      </w:r>
      <w:r w:rsidR="009A448B">
        <w:t xml:space="preserve"> </w:t>
      </w:r>
    </w:p>
    <w:p w:rsidR="004C17EE" w:rsidRDefault="009A448B" w:rsidP="009A448B">
      <w:pPr>
        <w:spacing w:after="120" w:line="260" w:lineRule="atLeast"/>
        <w:rPr>
          <w:rFonts w:eastAsia="Times New Roman"/>
          <w:bCs/>
          <w:szCs w:val="22"/>
          <w:lang w:eastAsia="en-US"/>
        </w:rPr>
      </w:pPr>
      <w:r w:rsidRPr="009A448B">
        <w:rPr>
          <w:rFonts w:eastAsia="Times New Roman"/>
          <w:bCs/>
          <w:szCs w:val="22"/>
          <w:lang w:eastAsia="en-US"/>
        </w:rPr>
        <w:t xml:space="preserve">The Committee agreed </w:t>
      </w:r>
      <w:r w:rsidR="00E74269">
        <w:rPr>
          <w:rFonts w:eastAsia="Times New Roman"/>
          <w:bCs/>
          <w:szCs w:val="22"/>
          <w:lang w:eastAsia="en-US"/>
        </w:rPr>
        <w:t xml:space="preserve">to recommend to the </w:t>
      </w:r>
      <w:r w:rsidR="008451DD">
        <w:rPr>
          <w:rFonts w:eastAsia="Times New Roman"/>
          <w:bCs/>
          <w:szCs w:val="22"/>
          <w:lang w:eastAsia="en-US"/>
        </w:rPr>
        <w:t xml:space="preserve">2019 </w:t>
      </w:r>
      <w:r w:rsidR="00E74269">
        <w:rPr>
          <w:rFonts w:eastAsia="Times New Roman"/>
          <w:bCs/>
          <w:szCs w:val="22"/>
          <w:lang w:eastAsia="en-US"/>
        </w:rPr>
        <w:t xml:space="preserve">WIPO General Assembly that the mandate of the Committee be renewed for the 2020-2021 biennium.  The Committee further agreed to recommend to the </w:t>
      </w:r>
      <w:r w:rsidR="005A3D41">
        <w:rPr>
          <w:rFonts w:eastAsia="Times New Roman"/>
          <w:bCs/>
          <w:szCs w:val="22"/>
          <w:lang w:eastAsia="en-US"/>
        </w:rPr>
        <w:t xml:space="preserve">2019 </w:t>
      </w:r>
      <w:r w:rsidR="00E74269">
        <w:rPr>
          <w:rFonts w:eastAsia="Times New Roman"/>
          <w:bCs/>
          <w:szCs w:val="22"/>
          <w:lang w:eastAsia="en-US"/>
        </w:rPr>
        <w:t xml:space="preserve">General Assembly that the terms of the mandate </w:t>
      </w:r>
      <w:r w:rsidR="00E70B20">
        <w:rPr>
          <w:rFonts w:eastAsia="Times New Roman"/>
          <w:bCs/>
          <w:szCs w:val="22"/>
          <w:lang w:eastAsia="en-US"/>
        </w:rPr>
        <w:t xml:space="preserve">and work program </w:t>
      </w:r>
      <w:r w:rsidR="00E74269">
        <w:rPr>
          <w:rFonts w:eastAsia="Times New Roman"/>
          <w:bCs/>
          <w:szCs w:val="22"/>
          <w:lang w:eastAsia="en-US"/>
        </w:rPr>
        <w:t xml:space="preserve">for 2020-2021 </w:t>
      </w:r>
      <w:r w:rsidR="0025610E">
        <w:rPr>
          <w:rFonts w:eastAsia="Times New Roman"/>
          <w:bCs/>
          <w:szCs w:val="22"/>
          <w:lang w:eastAsia="en-US"/>
        </w:rPr>
        <w:t xml:space="preserve">be as follows:  </w:t>
      </w:r>
    </w:p>
    <w:p w:rsidR="004C17EE" w:rsidRPr="00254179" w:rsidRDefault="00737890" w:rsidP="004C17EE">
      <w:pPr>
        <w:spacing w:after="161"/>
        <w:ind w:left="567"/>
      </w:pPr>
      <w:r>
        <w:rPr>
          <w:rFonts w:eastAsia="Times New Roman"/>
          <w:bCs/>
          <w:szCs w:val="22"/>
          <w:lang w:eastAsia="en-US"/>
        </w:rPr>
        <w:t>“</w:t>
      </w:r>
      <w:r w:rsidR="004C17EE" w:rsidRPr="00254179">
        <w:t xml:space="preserve">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 </w:t>
      </w:r>
    </w:p>
    <w:p w:rsidR="004C17EE" w:rsidRPr="00E56B43" w:rsidRDefault="004C17EE" w:rsidP="004C17EE">
      <w:pPr>
        <w:numPr>
          <w:ilvl w:val="0"/>
          <w:numId w:val="7"/>
        </w:numPr>
        <w:spacing w:after="3" w:line="261" w:lineRule="auto"/>
        <w:ind w:hanging="360"/>
      </w:pPr>
      <w:r w:rsidRPr="00254179">
        <w:t xml:space="preserve">The Committee will, during the next budgetary biennium 2020/2021, continue to expedite its work, with the objective </w:t>
      </w:r>
      <w:r w:rsidRPr="00E56B43">
        <w:t xml:space="preserve">of finalizing an agreement on an international legal instrument(s), without prejudging the nature of outcome(s), relating to intellectual </w:t>
      </w:r>
      <w:proofErr w:type="gramStart"/>
      <w:r w:rsidRPr="00E56B43">
        <w:t>property which</w:t>
      </w:r>
      <w:proofErr w:type="gramEnd"/>
      <w:r w:rsidRPr="00E56B43">
        <w:t xml:space="preserve"> will ensure the balanced and effective protection of genetic resources (GRs), traditional knowledge (TK) and traditional cultural expressions (TCEs). </w:t>
      </w:r>
    </w:p>
    <w:p w:rsidR="004C17EE" w:rsidRPr="00E56B43" w:rsidRDefault="004C17EE" w:rsidP="004C17EE">
      <w:pPr>
        <w:spacing w:after="18" w:line="259" w:lineRule="auto"/>
        <w:ind w:left="720"/>
      </w:pPr>
    </w:p>
    <w:p w:rsidR="004C17EE" w:rsidRPr="00E56B43" w:rsidRDefault="004C17EE" w:rsidP="004C17EE">
      <w:pPr>
        <w:numPr>
          <w:ilvl w:val="0"/>
          <w:numId w:val="7"/>
        </w:numPr>
        <w:spacing w:after="3" w:line="261" w:lineRule="auto"/>
        <w:ind w:hanging="360"/>
      </w:pPr>
      <w:r w:rsidRPr="00E56B43">
        <w:t>The Committee’s work in the 2020/2021 biennium will build on the existing work carried out by the Committee, including text-based negotiations, with a primary focus on narrowing existing gaps and reaching a common understanding on core issues</w:t>
      </w:r>
      <w:r w:rsidRPr="00E56B43">
        <w:rPr>
          <w:rStyle w:val="FootnoteReference"/>
        </w:rPr>
        <w:footnoteReference w:id="2"/>
      </w:r>
      <w:r w:rsidRPr="00E56B43">
        <w:t xml:space="preserve">. </w:t>
      </w:r>
    </w:p>
    <w:p w:rsidR="004C17EE" w:rsidRPr="00E56B43" w:rsidRDefault="004C17EE" w:rsidP="004C17EE">
      <w:pPr>
        <w:spacing w:line="259" w:lineRule="auto"/>
        <w:ind w:left="720"/>
      </w:pPr>
      <w:bookmarkStart w:id="5" w:name="_GoBack"/>
      <w:bookmarkEnd w:id="5"/>
    </w:p>
    <w:p w:rsidR="009B377A" w:rsidRDefault="004C17EE" w:rsidP="009B377A">
      <w:pPr>
        <w:numPr>
          <w:ilvl w:val="0"/>
          <w:numId w:val="7"/>
        </w:numPr>
        <w:spacing w:after="3" w:line="261" w:lineRule="auto"/>
        <w:ind w:hanging="360"/>
      </w:pPr>
      <w:r w:rsidRPr="00E56B43">
        <w:t>The Committee will follow, as set out in the table below</w:t>
      </w:r>
      <w:r w:rsidRPr="00254179">
        <w:t xml:space="preserve">, a work program based on open and inclusive working methods for the 2020/2021 biennium, including an evidence-based approach as set out in paragraph (d). This work program will make provision for 6 sessions of the Committee in 2020/2021, including thematic, cross-cutting and stocktaking sessions. </w:t>
      </w:r>
      <w:r>
        <w:t xml:space="preserve"> </w:t>
      </w:r>
      <w:r w:rsidRPr="00254179">
        <w:t xml:space="preserve">The Committee may establish </w:t>
      </w:r>
      <w:r w:rsidRPr="00254179">
        <w:rPr>
          <w:i/>
        </w:rPr>
        <w:t>ad hoc</w:t>
      </w:r>
      <w:r w:rsidRPr="00254179">
        <w:t xml:space="preserve"> expert group(s) to address a specific legal, policy or technical issue</w:t>
      </w:r>
      <w:r w:rsidRPr="00254179">
        <w:rPr>
          <w:vertAlign w:val="superscript"/>
        </w:rPr>
        <w:footnoteReference w:id="3"/>
      </w:r>
      <w:r w:rsidRPr="00254179">
        <w:t xml:space="preserve">. The results of the work of such group(s) will be submitted to the Committee for consideration. </w:t>
      </w:r>
    </w:p>
    <w:p w:rsidR="009B377A" w:rsidRDefault="009B377A" w:rsidP="009B377A">
      <w:pPr>
        <w:spacing w:after="3" w:line="261" w:lineRule="auto"/>
        <w:ind w:left="927"/>
      </w:pPr>
    </w:p>
    <w:p w:rsidR="004C17EE" w:rsidRPr="000A63AD" w:rsidRDefault="004C17EE" w:rsidP="009B377A">
      <w:pPr>
        <w:numPr>
          <w:ilvl w:val="0"/>
          <w:numId w:val="7"/>
        </w:numPr>
        <w:spacing w:after="3" w:line="261" w:lineRule="auto"/>
        <w:ind w:hanging="360"/>
      </w:pPr>
      <w:r w:rsidRPr="00254179">
        <w:t xml:space="preserve">The Committee will use all WIPO working documents, including WIPO/GRTKF/IC/40/6, WIPO/GRTKF/IC/40/18 and WIPO/GRTKF/IC/40/19, and the Chair’s Text on the </w:t>
      </w:r>
      <w:r w:rsidRPr="009B377A">
        <w:rPr>
          <w:i/>
        </w:rPr>
        <w:t>Draft International Legal Instrument Relating to Intellectual Property, Genetic Resources and Traditional Knowledge Associated with Genetic Resources</w:t>
      </w:r>
      <w:r w:rsidRPr="00254179">
        <w:t xml:space="preserve">, as well as any other contributions of Member </w:t>
      </w:r>
      <w:r w:rsidRPr="00C06FB4">
        <w:t>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w:t>
      </w:r>
      <w:r w:rsidRPr="00AE4883">
        <w:t xml:space="preserve">tablished by the Committee and related activities conducted under Program 4. </w:t>
      </w:r>
      <w:r>
        <w:t xml:space="preserve"> </w:t>
      </w:r>
      <w:r w:rsidRPr="009B377A">
        <w:rPr>
          <w:szCs w:val="24"/>
        </w:rPr>
        <w:t xml:space="preserve">The Secretariat is requested to continue to update studies and other materials relating to tools and activities on databases and on existing disclosure regimes relating to GRs and associated TK, with a view to identify any gaps, and continue </w:t>
      </w:r>
      <w:r w:rsidRPr="000A63AD">
        <w:rPr>
          <w:szCs w:val="24"/>
        </w:rPr>
        <w:t xml:space="preserve">to collect, compile and make available online information on national and regional </w:t>
      </w:r>
      <w:r w:rsidRPr="000A63AD">
        <w:rPr>
          <w:i/>
          <w:szCs w:val="24"/>
        </w:rPr>
        <w:t>sui generis</w:t>
      </w:r>
      <w:r w:rsidRPr="000A63AD">
        <w:rPr>
          <w:szCs w:val="24"/>
        </w:rPr>
        <w:t xml:space="preserve"> regimes for the intellectual property protection of TK and TCEs.  Studies or additional activities </w:t>
      </w:r>
      <w:r w:rsidR="000A63AD" w:rsidRPr="000A63AD">
        <w:rPr>
          <w:szCs w:val="24"/>
        </w:rPr>
        <w:t>are</w:t>
      </w:r>
      <w:r w:rsidRPr="000A63AD">
        <w:rPr>
          <w:szCs w:val="24"/>
        </w:rPr>
        <w:t xml:space="preserve"> not</w:t>
      </w:r>
      <w:r w:rsidR="000A63AD" w:rsidRPr="000A63AD">
        <w:rPr>
          <w:szCs w:val="24"/>
        </w:rPr>
        <w:t xml:space="preserve"> to</w:t>
      </w:r>
      <w:r w:rsidRPr="000A63AD">
        <w:rPr>
          <w:szCs w:val="24"/>
        </w:rPr>
        <w:t xml:space="preserve"> delay progress or establish any preconditions for the negotiations. </w:t>
      </w:r>
    </w:p>
    <w:p w:rsidR="004C17EE" w:rsidRPr="00AE4883" w:rsidRDefault="004C17EE" w:rsidP="004C17EE">
      <w:pPr>
        <w:ind w:left="720"/>
      </w:pPr>
    </w:p>
    <w:p w:rsidR="004C17EE" w:rsidRPr="000A63AD" w:rsidRDefault="004C17EE" w:rsidP="004C17EE">
      <w:pPr>
        <w:numPr>
          <w:ilvl w:val="0"/>
          <w:numId w:val="7"/>
        </w:numPr>
        <w:spacing w:after="3" w:line="261" w:lineRule="auto"/>
        <w:ind w:hanging="360"/>
      </w:pPr>
      <w:r w:rsidRPr="00AE4883">
        <w:t xml:space="preserve">In 2020, the Committee is requested to provide to the General Assembly a factual report along with the most recent texts available of its work up to that time with recommendations, </w:t>
      </w:r>
      <w:r w:rsidRPr="00254179">
        <w:t>and in 20</w:t>
      </w:r>
      <w:r w:rsidRPr="00AE4883">
        <w:t>21</w:t>
      </w:r>
      <w:r w:rsidRPr="00254179">
        <w:t xml:space="preserve">, submit to the General Assembly the results of its work in accordance with the objective reflected in paragraph (a). The General Assembly in </w:t>
      </w:r>
      <w:r w:rsidRPr="000A63AD">
        <w:t xml:space="preserve">2021 will take stock of progress made, and based on the maturity of the texts, including levels of agreement on objectives, scope and nature of the instrument(s), decide on whether to convene a diplomatic conference and/or continue negotiations.  </w:t>
      </w:r>
    </w:p>
    <w:p w:rsidR="004C17EE" w:rsidRPr="00254179" w:rsidRDefault="004C17EE" w:rsidP="004C17EE">
      <w:pPr>
        <w:ind w:left="708"/>
      </w:pPr>
    </w:p>
    <w:p w:rsidR="004C17EE" w:rsidRPr="00C06FB4" w:rsidRDefault="004C17EE" w:rsidP="004C17EE">
      <w:pPr>
        <w:numPr>
          <w:ilvl w:val="0"/>
          <w:numId w:val="7"/>
        </w:numPr>
        <w:spacing w:after="3" w:line="261" w:lineRule="auto"/>
        <w:ind w:hanging="360"/>
      </w:pPr>
      <w:r w:rsidRPr="00254179">
        <w:t xml:space="preserve">The General Assembly requests the Secretariat to continue to assist the Committee by providing Member States with necessary expertise and funding, in the most efficient manner, of the participation of experts from developing countries and LDCs, taking into account the usual formula for the IGC. </w:t>
      </w:r>
    </w:p>
    <w:p w:rsidR="004C17EE" w:rsidRPr="00AE4883" w:rsidRDefault="004C17EE" w:rsidP="004C17EE">
      <w:pPr>
        <w:pStyle w:val="Heading1"/>
        <w:ind w:left="567"/>
      </w:pPr>
      <w:r w:rsidRPr="00AE4883">
        <w:t xml:space="preserve">Work </w:t>
      </w:r>
      <w:r w:rsidRPr="004C17EE">
        <w:t>Program</w:t>
      </w:r>
      <w:r w:rsidRPr="00AE4883">
        <w:t xml:space="preserve"> – 6 Sessions </w:t>
      </w:r>
    </w:p>
    <w:p w:rsidR="004C17EE" w:rsidRPr="00B04A26" w:rsidRDefault="004C17EE" w:rsidP="004C17EE">
      <w:pPr>
        <w:spacing w:line="259" w:lineRule="auto"/>
      </w:pPr>
      <w:r w:rsidRPr="00B04A26">
        <w:t xml:space="preserve"> </w:t>
      </w:r>
    </w:p>
    <w:tbl>
      <w:tblPr>
        <w:tblStyle w:val="TableGrid"/>
        <w:tblW w:w="8993" w:type="dxa"/>
        <w:tblInd w:w="535" w:type="dxa"/>
        <w:tblCellMar>
          <w:top w:w="8" w:type="dxa"/>
          <w:left w:w="108" w:type="dxa"/>
          <w:right w:w="82" w:type="dxa"/>
        </w:tblCellMar>
        <w:tblLook w:val="04A0" w:firstRow="1" w:lastRow="0" w:firstColumn="1" w:lastColumn="0" w:noHBand="0" w:noVBand="1"/>
      </w:tblPr>
      <w:tblGrid>
        <w:gridCol w:w="2281"/>
        <w:gridCol w:w="6712"/>
      </w:tblGrid>
      <w:tr w:rsidR="004C17EE" w:rsidRPr="00254179" w:rsidTr="004C17EE">
        <w:trPr>
          <w:trHeight w:val="391"/>
        </w:trPr>
        <w:tc>
          <w:tcPr>
            <w:tcW w:w="1741" w:type="dxa"/>
            <w:tcBorders>
              <w:top w:val="single" w:sz="4" w:space="0" w:color="000000"/>
              <w:left w:val="single" w:sz="4" w:space="0" w:color="000000"/>
              <w:bottom w:val="single" w:sz="4" w:space="0" w:color="000000"/>
              <w:right w:val="single" w:sz="4" w:space="0" w:color="000000"/>
            </w:tcBorders>
          </w:tcPr>
          <w:p w:rsidR="004C17EE" w:rsidRPr="00B04A26" w:rsidRDefault="004C17EE" w:rsidP="00196718">
            <w:pPr>
              <w:spacing w:line="259" w:lineRule="auto"/>
            </w:pPr>
            <w:r w:rsidRPr="00B04A26">
              <w:rPr>
                <w:b/>
              </w:rPr>
              <w:t xml:space="preserve">Indicative Dates </w:t>
            </w:r>
          </w:p>
        </w:tc>
        <w:tc>
          <w:tcPr>
            <w:tcW w:w="7252"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pPr>
            <w:r w:rsidRPr="00254179">
              <w:rPr>
                <w:b/>
              </w:rPr>
              <w:t xml:space="preserve">Activity </w:t>
            </w:r>
          </w:p>
        </w:tc>
      </w:tr>
      <w:tr w:rsidR="004C17EE" w:rsidRPr="00254179" w:rsidTr="004C17EE">
        <w:trPr>
          <w:trHeight w:val="1500"/>
        </w:trPr>
        <w:tc>
          <w:tcPr>
            <w:tcW w:w="1741"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jc w:val="both"/>
            </w:pPr>
            <w:r w:rsidRPr="00254179">
              <w:t xml:space="preserve">February/March 2020 </w:t>
            </w:r>
          </w:p>
        </w:tc>
        <w:tc>
          <w:tcPr>
            <w:tcW w:w="7252"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pPr>
            <w:r w:rsidRPr="00254179">
              <w:t xml:space="preserve">(IGC 41) </w:t>
            </w:r>
          </w:p>
          <w:p w:rsidR="004C17EE" w:rsidRPr="00254179" w:rsidRDefault="004C17EE" w:rsidP="00196718">
            <w:pPr>
              <w:spacing w:line="259" w:lineRule="auto"/>
            </w:pPr>
            <w:r w:rsidRPr="00254179">
              <w:t xml:space="preserve">Undertake negotiations on GRs with a focus on addressing unresolved issues and considering options for a draft legal instrument </w:t>
            </w:r>
          </w:p>
          <w:p w:rsidR="004C17EE" w:rsidRDefault="004C17EE" w:rsidP="00196718">
            <w:pPr>
              <w:spacing w:line="259" w:lineRule="auto"/>
            </w:pPr>
          </w:p>
          <w:p w:rsidR="004C17EE" w:rsidRPr="00254179" w:rsidRDefault="004C17EE" w:rsidP="00196718">
            <w:pPr>
              <w:spacing w:line="259" w:lineRule="auto"/>
            </w:pPr>
            <w:r w:rsidRPr="00254179">
              <w:t xml:space="preserve">Duration 5 days. </w:t>
            </w:r>
          </w:p>
        </w:tc>
      </w:tr>
      <w:tr w:rsidR="004C17EE" w:rsidRPr="00254179" w:rsidTr="004C17EE">
        <w:trPr>
          <w:trHeight w:val="1796"/>
        </w:trPr>
        <w:tc>
          <w:tcPr>
            <w:tcW w:w="1741"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pPr>
            <w:r w:rsidRPr="00254179">
              <w:t xml:space="preserve">May/June 2020 </w:t>
            </w:r>
          </w:p>
        </w:tc>
        <w:tc>
          <w:tcPr>
            <w:tcW w:w="7252"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pPr>
            <w:r w:rsidRPr="00254179">
              <w:t xml:space="preserve">(IGC 42) </w:t>
            </w:r>
          </w:p>
          <w:p w:rsidR="004C17EE" w:rsidRDefault="004C17EE" w:rsidP="00196718">
            <w:pPr>
              <w:spacing w:line="259" w:lineRule="auto"/>
              <w:ind w:right="926"/>
            </w:pPr>
            <w:r w:rsidRPr="00254179">
              <w:t xml:space="preserve">Undertake negotiations on GRs with a focus on addressing unresolved issues and considering options for a draft legal instrument. </w:t>
            </w:r>
          </w:p>
          <w:p w:rsidR="004C17EE" w:rsidRPr="00254179" w:rsidRDefault="004C17EE" w:rsidP="00196718">
            <w:pPr>
              <w:spacing w:line="259" w:lineRule="auto"/>
              <w:ind w:right="926"/>
            </w:pPr>
          </w:p>
          <w:p w:rsidR="004C17EE" w:rsidRPr="00254179" w:rsidRDefault="004C17EE" w:rsidP="00196718">
            <w:pPr>
              <w:spacing w:line="259" w:lineRule="auto"/>
            </w:pPr>
            <w:r w:rsidRPr="00254179">
              <w:t>Duration 5 days, plus</w:t>
            </w:r>
            <w:r w:rsidR="00FC5193">
              <w:t>,</w:t>
            </w:r>
            <w:r w:rsidRPr="00254179">
              <w:t xml:space="preserve"> if so decided</w:t>
            </w:r>
            <w:r w:rsidR="00FC5193">
              <w:t>,</w:t>
            </w:r>
            <w:r w:rsidRPr="00254179">
              <w:t xml:space="preserve"> a one day meeting of </w:t>
            </w:r>
            <w:r w:rsidRPr="004C17EE">
              <w:t>an</w:t>
            </w:r>
            <w:r w:rsidRPr="00254179">
              <w:rPr>
                <w:i/>
              </w:rPr>
              <w:t xml:space="preserve"> </w:t>
            </w:r>
            <w:r w:rsidRPr="004C17EE">
              <w:rPr>
                <w:i/>
              </w:rPr>
              <w:t>ad hoc</w:t>
            </w:r>
            <w:r w:rsidRPr="00254179">
              <w:t xml:space="preserve"> expert group. </w:t>
            </w:r>
          </w:p>
        </w:tc>
      </w:tr>
      <w:tr w:rsidR="004C17EE" w:rsidRPr="00254179" w:rsidTr="004C17EE">
        <w:trPr>
          <w:trHeight w:val="1798"/>
        </w:trPr>
        <w:tc>
          <w:tcPr>
            <w:tcW w:w="1741"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pPr>
            <w:r w:rsidRPr="00254179">
              <w:t xml:space="preserve">September 2020 </w:t>
            </w:r>
          </w:p>
        </w:tc>
        <w:tc>
          <w:tcPr>
            <w:tcW w:w="7252" w:type="dxa"/>
            <w:tcBorders>
              <w:top w:val="single" w:sz="4" w:space="0" w:color="000000"/>
              <w:left w:val="single" w:sz="4" w:space="0" w:color="000000"/>
              <w:bottom w:val="single" w:sz="4" w:space="0" w:color="000000"/>
              <w:right w:val="single" w:sz="4" w:space="0" w:color="000000"/>
            </w:tcBorders>
          </w:tcPr>
          <w:p w:rsidR="004C17EE" w:rsidRPr="00AE4883" w:rsidRDefault="004C17EE" w:rsidP="00196718">
            <w:pPr>
              <w:spacing w:after="2" w:line="259" w:lineRule="auto"/>
            </w:pPr>
            <w:r w:rsidRPr="00AE4883">
              <w:t xml:space="preserve">(IGC 43) </w:t>
            </w:r>
          </w:p>
          <w:p w:rsidR="004C17EE" w:rsidRPr="00B04A26" w:rsidRDefault="004C17EE" w:rsidP="00196718">
            <w:pPr>
              <w:spacing w:line="259" w:lineRule="auto"/>
            </w:pPr>
            <w:r w:rsidRPr="00AE4883">
              <w:t xml:space="preserve">Undertake negotiations on TK and/or TCEs with a focus on addressing unresolved and cross-cutting issues and considering options for a draft legal instrument(s) </w:t>
            </w:r>
          </w:p>
          <w:p w:rsidR="004C17EE" w:rsidRDefault="004C17EE" w:rsidP="00196718">
            <w:pPr>
              <w:spacing w:line="259" w:lineRule="auto"/>
              <w:ind w:right="42"/>
            </w:pPr>
            <w:r w:rsidRPr="00B04A26">
              <w:t xml:space="preserve">Possible recommendations as mentioned in paragraph (e) </w:t>
            </w:r>
          </w:p>
          <w:p w:rsidR="004C17EE" w:rsidRDefault="004C17EE" w:rsidP="00196718">
            <w:pPr>
              <w:spacing w:line="259" w:lineRule="auto"/>
              <w:ind w:right="42"/>
            </w:pPr>
          </w:p>
          <w:p w:rsidR="004C17EE" w:rsidRPr="00B04A26" w:rsidRDefault="004C17EE" w:rsidP="00196718">
            <w:pPr>
              <w:spacing w:line="259" w:lineRule="auto"/>
              <w:ind w:right="42"/>
            </w:pPr>
            <w:r w:rsidRPr="00B04A26">
              <w:t xml:space="preserve">Duration 5 days. </w:t>
            </w:r>
          </w:p>
        </w:tc>
      </w:tr>
      <w:tr w:rsidR="004C17EE" w:rsidRPr="00254179" w:rsidTr="004C17EE">
        <w:trPr>
          <w:trHeight w:val="562"/>
        </w:trPr>
        <w:tc>
          <w:tcPr>
            <w:tcW w:w="1741"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pPr>
            <w:r w:rsidRPr="00254179">
              <w:t xml:space="preserve">October 2020 </w:t>
            </w:r>
          </w:p>
        </w:tc>
        <w:tc>
          <w:tcPr>
            <w:tcW w:w="7252" w:type="dxa"/>
            <w:tcBorders>
              <w:top w:val="single" w:sz="4" w:space="0" w:color="000000"/>
              <w:left w:val="single" w:sz="4" w:space="0" w:color="000000"/>
              <w:bottom w:val="single" w:sz="4" w:space="0" w:color="000000"/>
              <w:right w:val="single" w:sz="4" w:space="0" w:color="000000"/>
            </w:tcBorders>
          </w:tcPr>
          <w:p w:rsidR="004C17EE" w:rsidRPr="00AE4883" w:rsidRDefault="004C17EE" w:rsidP="00196718">
            <w:pPr>
              <w:spacing w:line="259" w:lineRule="auto"/>
            </w:pPr>
            <w:r w:rsidRPr="00AE4883">
              <w:t xml:space="preserve">WIPO General Assembly </w:t>
            </w:r>
          </w:p>
          <w:p w:rsidR="004C17EE" w:rsidRPr="00AE4883" w:rsidRDefault="004C17EE" w:rsidP="00196718">
            <w:pPr>
              <w:spacing w:line="259" w:lineRule="auto"/>
            </w:pPr>
            <w:r w:rsidRPr="00AE4883">
              <w:t>Factual repo</w:t>
            </w:r>
            <w:r>
              <w:t>rt and consider recommendations</w:t>
            </w:r>
            <w:r w:rsidRPr="00AE4883">
              <w:t xml:space="preserve"> </w:t>
            </w:r>
          </w:p>
        </w:tc>
      </w:tr>
      <w:tr w:rsidR="004C17EE" w:rsidRPr="00254179" w:rsidTr="004C17EE">
        <w:trPr>
          <w:trHeight w:val="1798"/>
        </w:trPr>
        <w:tc>
          <w:tcPr>
            <w:tcW w:w="1741"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pPr>
            <w:r w:rsidRPr="00254179">
              <w:t xml:space="preserve">November/December 2020 </w:t>
            </w:r>
          </w:p>
        </w:tc>
        <w:tc>
          <w:tcPr>
            <w:tcW w:w="7252" w:type="dxa"/>
            <w:tcBorders>
              <w:top w:val="single" w:sz="4" w:space="0" w:color="000000"/>
              <w:left w:val="single" w:sz="4" w:space="0" w:color="000000"/>
              <w:bottom w:val="single" w:sz="4" w:space="0" w:color="000000"/>
              <w:right w:val="single" w:sz="4" w:space="0" w:color="000000"/>
            </w:tcBorders>
          </w:tcPr>
          <w:p w:rsidR="004C17EE" w:rsidRPr="00AE4883" w:rsidRDefault="004C17EE" w:rsidP="00196718">
            <w:pPr>
              <w:spacing w:line="259" w:lineRule="auto"/>
            </w:pPr>
            <w:r w:rsidRPr="00AE4883">
              <w:t xml:space="preserve">(IGC 44) </w:t>
            </w:r>
          </w:p>
          <w:p w:rsidR="004C17EE" w:rsidRDefault="004C17EE" w:rsidP="00196718">
            <w:pPr>
              <w:spacing w:line="259" w:lineRule="auto"/>
            </w:pPr>
            <w:r w:rsidRPr="00AE4883">
              <w:t xml:space="preserve">Undertake negotiations on TK and/or TCEs with a focus on addressing unresolved and cross-cutting issues and considering options for a draft legal instrument(s). </w:t>
            </w:r>
          </w:p>
          <w:p w:rsidR="004C17EE" w:rsidRDefault="004C17EE" w:rsidP="00196718">
            <w:pPr>
              <w:spacing w:line="259" w:lineRule="auto"/>
            </w:pPr>
          </w:p>
          <w:p w:rsidR="004C17EE" w:rsidRPr="00B04A26" w:rsidRDefault="004C17EE" w:rsidP="00196718">
            <w:pPr>
              <w:spacing w:line="259" w:lineRule="auto"/>
            </w:pPr>
            <w:r w:rsidRPr="00AE4883">
              <w:t>Duration 5 days, plus</w:t>
            </w:r>
            <w:r w:rsidR="00FC5193">
              <w:t>,</w:t>
            </w:r>
            <w:r w:rsidRPr="00AE4883">
              <w:t xml:space="preserve"> if so decided</w:t>
            </w:r>
            <w:r w:rsidR="00FC5193">
              <w:t>,</w:t>
            </w:r>
            <w:r w:rsidRPr="00AE4883">
              <w:t xml:space="preserve"> a one day meeting of </w:t>
            </w:r>
            <w:r w:rsidRPr="004C17EE">
              <w:t xml:space="preserve">an </w:t>
            </w:r>
            <w:r w:rsidRPr="004C17EE">
              <w:rPr>
                <w:i/>
              </w:rPr>
              <w:t>ad hoc</w:t>
            </w:r>
            <w:r w:rsidRPr="00AE4883">
              <w:t xml:space="preserve"> expert group</w:t>
            </w:r>
            <w:r w:rsidRPr="00B04A26">
              <w:t xml:space="preserve">. </w:t>
            </w:r>
          </w:p>
        </w:tc>
      </w:tr>
      <w:tr w:rsidR="004C17EE" w:rsidRPr="00254179" w:rsidTr="004C17EE">
        <w:trPr>
          <w:trHeight w:val="1498"/>
        </w:trPr>
        <w:tc>
          <w:tcPr>
            <w:tcW w:w="1741"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pPr>
            <w:r w:rsidRPr="00254179">
              <w:t xml:space="preserve">March/April 2021 </w:t>
            </w:r>
          </w:p>
        </w:tc>
        <w:tc>
          <w:tcPr>
            <w:tcW w:w="7252" w:type="dxa"/>
            <w:tcBorders>
              <w:top w:val="single" w:sz="4" w:space="0" w:color="000000"/>
              <w:left w:val="single" w:sz="4" w:space="0" w:color="000000"/>
              <w:bottom w:val="single" w:sz="4" w:space="0" w:color="000000"/>
              <w:right w:val="single" w:sz="4" w:space="0" w:color="000000"/>
            </w:tcBorders>
          </w:tcPr>
          <w:p w:rsidR="004C17EE" w:rsidRPr="00AE4883" w:rsidRDefault="004C17EE" w:rsidP="00196718">
            <w:pPr>
              <w:spacing w:line="259" w:lineRule="auto"/>
            </w:pPr>
            <w:r w:rsidRPr="00AE4883">
              <w:t xml:space="preserve">(IGC 45) </w:t>
            </w:r>
          </w:p>
          <w:p w:rsidR="004C17EE" w:rsidRDefault="004C17EE" w:rsidP="00196718">
            <w:pPr>
              <w:spacing w:line="259" w:lineRule="auto"/>
              <w:ind w:right="214"/>
            </w:pPr>
            <w:r w:rsidRPr="00AE4883">
              <w:t xml:space="preserve">Undertake negotiations on TK and/or TCEs with a focus on addressing unresolved and cross-cutting issues and considering options for a draft legal instrument(s) </w:t>
            </w:r>
          </w:p>
          <w:p w:rsidR="004C17EE" w:rsidRDefault="004C17EE" w:rsidP="00196718">
            <w:pPr>
              <w:spacing w:line="259" w:lineRule="auto"/>
              <w:ind w:right="214"/>
            </w:pPr>
          </w:p>
          <w:p w:rsidR="004C17EE" w:rsidRPr="00AE4883" w:rsidRDefault="004C17EE" w:rsidP="00196718">
            <w:pPr>
              <w:spacing w:line="259" w:lineRule="auto"/>
              <w:ind w:right="214"/>
            </w:pPr>
            <w:r w:rsidRPr="00AE4883">
              <w:t>Duration 5 days, plus</w:t>
            </w:r>
            <w:r w:rsidR="00FC5193">
              <w:t>,</w:t>
            </w:r>
            <w:r w:rsidRPr="00AE4883">
              <w:t xml:space="preserve"> if so decided</w:t>
            </w:r>
            <w:r w:rsidR="00FC5193">
              <w:t>,</w:t>
            </w:r>
            <w:r w:rsidRPr="00AE4883">
              <w:t xml:space="preserve"> a one day meeting of an </w:t>
            </w:r>
            <w:r w:rsidRPr="00AE4883">
              <w:rPr>
                <w:i/>
              </w:rPr>
              <w:t>ad hoc</w:t>
            </w:r>
            <w:r w:rsidRPr="00AE4883">
              <w:t xml:space="preserve"> expert group. </w:t>
            </w:r>
          </w:p>
        </w:tc>
      </w:tr>
      <w:tr w:rsidR="004C17EE" w:rsidRPr="00254179" w:rsidTr="004C17EE">
        <w:trPr>
          <w:trHeight w:val="2095"/>
        </w:trPr>
        <w:tc>
          <w:tcPr>
            <w:tcW w:w="1741"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pPr>
            <w:r w:rsidRPr="00254179">
              <w:t xml:space="preserve">June/July 2021 </w:t>
            </w:r>
          </w:p>
        </w:tc>
        <w:tc>
          <w:tcPr>
            <w:tcW w:w="7252" w:type="dxa"/>
            <w:tcBorders>
              <w:top w:val="single" w:sz="4" w:space="0" w:color="000000"/>
              <w:left w:val="single" w:sz="4" w:space="0" w:color="000000"/>
              <w:bottom w:val="single" w:sz="4" w:space="0" w:color="000000"/>
              <w:right w:val="single" w:sz="4" w:space="0" w:color="000000"/>
            </w:tcBorders>
          </w:tcPr>
          <w:p w:rsidR="004C17EE" w:rsidRPr="00AE4883" w:rsidRDefault="004C17EE" w:rsidP="00196718">
            <w:pPr>
              <w:spacing w:line="259" w:lineRule="auto"/>
            </w:pPr>
            <w:r w:rsidRPr="00AE4883">
              <w:t xml:space="preserve">(IGC 46) </w:t>
            </w:r>
          </w:p>
          <w:p w:rsidR="004C17EE" w:rsidRPr="00B04A26" w:rsidRDefault="004C17EE" w:rsidP="00196718">
            <w:pPr>
              <w:spacing w:line="259" w:lineRule="auto"/>
            </w:pPr>
            <w:r w:rsidRPr="00AE4883">
              <w:t xml:space="preserve">Undertake negotiations on TK and/or TCEs with a focus on </w:t>
            </w:r>
            <w:r w:rsidRPr="00B04A26">
              <w:t xml:space="preserve">addressing unresolved and cross-cutting issues and considering options for a draft legal instrument(s). </w:t>
            </w:r>
          </w:p>
          <w:p w:rsidR="004C17EE" w:rsidRDefault="004C17EE" w:rsidP="00196718">
            <w:pPr>
              <w:spacing w:line="259" w:lineRule="auto"/>
            </w:pPr>
            <w:r w:rsidRPr="00AE4883">
              <w:t xml:space="preserve">Stocktaking on GRs/TK/TCEs and making a recommendation </w:t>
            </w:r>
          </w:p>
          <w:p w:rsidR="004C17EE" w:rsidRDefault="004C17EE" w:rsidP="00196718">
            <w:pPr>
              <w:spacing w:line="259" w:lineRule="auto"/>
            </w:pPr>
          </w:p>
          <w:p w:rsidR="004C17EE" w:rsidRPr="00AE4883" w:rsidRDefault="004C17EE" w:rsidP="00196718">
            <w:pPr>
              <w:spacing w:line="259" w:lineRule="auto"/>
            </w:pPr>
            <w:r w:rsidRPr="00AE4883">
              <w:t xml:space="preserve">Duration 5 days. </w:t>
            </w:r>
          </w:p>
        </w:tc>
      </w:tr>
      <w:tr w:rsidR="004C17EE" w:rsidRPr="00254179" w:rsidTr="004C17EE">
        <w:trPr>
          <w:trHeight w:val="768"/>
        </w:trPr>
        <w:tc>
          <w:tcPr>
            <w:tcW w:w="1741"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pPr>
            <w:r w:rsidRPr="00254179">
              <w:t xml:space="preserve">October 2021 </w:t>
            </w:r>
          </w:p>
        </w:tc>
        <w:tc>
          <w:tcPr>
            <w:tcW w:w="7252" w:type="dxa"/>
            <w:tcBorders>
              <w:top w:val="single" w:sz="4" w:space="0" w:color="000000"/>
              <w:left w:val="single" w:sz="4" w:space="0" w:color="000000"/>
              <w:bottom w:val="single" w:sz="4" w:space="0" w:color="000000"/>
              <w:right w:val="single" w:sz="4" w:space="0" w:color="000000"/>
            </w:tcBorders>
          </w:tcPr>
          <w:p w:rsidR="004C17EE" w:rsidRPr="00254179" w:rsidRDefault="004C17EE" w:rsidP="00196718">
            <w:pPr>
              <w:spacing w:line="259" w:lineRule="auto"/>
            </w:pPr>
            <w:r w:rsidRPr="00254179">
              <w:t xml:space="preserve">WIPO General Assembly will take stock of the progress made, consider the text(s) and </w:t>
            </w:r>
            <w:r>
              <w:t>make the necessary decision(s).</w:t>
            </w:r>
            <w:r w:rsidR="00292BE6">
              <w:t>”</w:t>
            </w:r>
          </w:p>
        </w:tc>
      </w:tr>
    </w:tbl>
    <w:p w:rsidR="009A448B" w:rsidRPr="004C17EE" w:rsidRDefault="009A448B" w:rsidP="004C17EE">
      <w:pPr>
        <w:spacing w:line="259" w:lineRule="auto"/>
      </w:pPr>
    </w:p>
    <w:p w:rsidR="002B5FAE" w:rsidRDefault="0025610E" w:rsidP="00FE06B7">
      <w:pPr>
        <w:spacing w:after="120" w:line="260" w:lineRule="atLeast"/>
        <w:rPr>
          <w:rFonts w:eastAsia="Times New Roman"/>
          <w:bCs/>
          <w:szCs w:val="22"/>
          <w:lang w:val="en-AU" w:eastAsia="en-US"/>
        </w:rPr>
      </w:pPr>
      <w:r w:rsidRPr="00D82F7E">
        <w:rPr>
          <w:rFonts w:eastAsia="Times New Roman"/>
          <w:bCs/>
          <w:szCs w:val="22"/>
          <w:lang w:eastAsia="en-US"/>
        </w:rPr>
        <w:t>Recalling the decisions of the 2018 WIPO General Assembly in this regard, t</w:t>
      </w:r>
      <w:r w:rsidR="009A448B" w:rsidRPr="00737890">
        <w:rPr>
          <w:rFonts w:eastAsia="Times New Roman"/>
          <w:bCs/>
          <w:szCs w:val="22"/>
          <w:lang w:eastAsia="en-US"/>
        </w:rPr>
        <w:t xml:space="preserve">he </w:t>
      </w:r>
      <w:r w:rsidRPr="00737890">
        <w:rPr>
          <w:rFonts w:eastAsia="Times New Roman"/>
          <w:bCs/>
          <w:szCs w:val="22"/>
          <w:lang w:eastAsia="en-US"/>
        </w:rPr>
        <w:t xml:space="preserve">Committee also recommended that the </w:t>
      </w:r>
      <w:r w:rsidR="008451DD">
        <w:rPr>
          <w:rFonts w:eastAsia="Times New Roman"/>
          <w:bCs/>
          <w:szCs w:val="22"/>
          <w:lang w:eastAsia="en-US"/>
        </w:rPr>
        <w:t xml:space="preserve">2019 </w:t>
      </w:r>
      <w:r w:rsidR="009A448B" w:rsidRPr="00737890">
        <w:rPr>
          <w:rFonts w:eastAsia="Times New Roman"/>
          <w:bCs/>
          <w:szCs w:val="22"/>
          <w:lang w:eastAsia="en-US"/>
        </w:rPr>
        <w:t xml:space="preserve">WIPO General Assembly </w:t>
      </w:r>
      <w:r w:rsidR="00B23D35" w:rsidRPr="002F633B">
        <w:rPr>
          <w:rFonts w:eastAsia="Times New Roman"/>
          <w:bCs/>
          <w:szCs w:val="22"/>
          <w:lang w:val="en-AU" w:eastAsia="en-US"/>
        </w:rPr>
        <w:t>recogniz</w:t>
      </w:r>
      <w:r w:rsidRPr="002F633B">
        <w:rPr>
          <w:rFonts w:eastAsia="Times New Roman"/>
          <w:bCs/>
          <w:szCs w:val="22"/>
          <w:lang w:val="en-AU" w:eastAsia="en-US"/>
        </w:rPr>
        <w:t>e</w:t>
      </w:r>
      <w:r w:rsidR="001C050E" w:rsidRPr="002F633B">
        <w:rPr>
          <w:rFonts w:eastAsia="Times New Roman"/>
          <w:bCs/>
          <w:szCs w:val="22"/>
          <w:lang w:val="en-AU" w:eastAsia="en-US"/>
        </w:rPr>
        <w:t xml:space="preserve"> the importance of the participation of indigenous peoples and local communities in the work of the </w:t>
      </w:r>
      <w:r w:rsidR="00737890" w:rsidRPr="002F633B">
        <w:rPr>
          <w:rFonts w:eastAsia="Times New Roman"/>
          <w:bCs/>
          <w:szCs w:val="22"/>
          <w:lang w:val="en-AU" w:eastAsia="en-US"/>
        </w:rPr>
        <w:t>Committee</w:t>
      </w:r>
      <w:r w:rsidR="001C050E" w:rsidRPr="002F633B">
        <w:rPr>
          <w:rFonts w:eastAsia="Times New Roman"/>
          <w:bCs/>
          <w:szCs w:val="22"/>
          <w:lang w:val="en-AU" w:eastAsia="en-US"/>
        </w:rPr>
        <w:t>, not</w:t>
      </w:r>
      <w:r w:rsidRPr="002F633B">
        <w:rPr>
          <w:rFonts w:eastAsia="Times New Roman"/>
          <w:bCs/>
          <w:szCs w:val="22"/>
          <w:lang w:val="en-AU" w:eastAsia="en-US"/>
        </w:rPr>
        <w:t>e</w:t>
      </w:r>
      <w:r w:rsidR="001C050E" w:rsidRPr="002F633B">
        <w:rPr>
          <w:rFonts w:eastAsia="Times New Roman"/>
          <w:bCs/>
          <w:szCs w:val="22"/>
          <w:lang w:val="en-AU" w:eastAsia="en-US"/>
        </w:rPr>
        <w:t xml:space="preserve"> </w:t>
      </w:r>
      <w:r w:rsidRPr="002F633B">
        <w:rPr>
          <w:rFonts w:eastAsia="Times New Roman"/>
          <w:bCs/>
          <w:szCs w:val="22"/>
          <w:lang w:val="en-AU" w:eastAsia="en-US"/>
        </w:rPr>
        <w:t xml:space="preserve">that </w:t>
      </w:r>
      <w:r w:rsidR="001C050E" w:rsidRPr="002F633B">
        <w:rPr>
          <w:rFonts w:eastAsia="Times New Roman"/>
          <w:bCs/>
          <w:szCs w:val="22"/>
          <w:lang w:val="en-AU" w:eastAsia="en-US"/>
        </w:rPr>
        <w:t xml:space="preserve">the </w:t>
      </w:r>
      <w:r w:rsidRPr="002F633B">
        <w:rPr>
          <w:rFonts w:eastAsia="Times New Roman"/>
          <w:bCs/>
          <w:szCs w:val="22"/>
          <w:lang w:val="en-AU" w:eastAsia="en-US"/>
        </w:rPr>
        <w:t>WIPO V</w:t>
      </w:r>
      <w:r w:rsidR="001C050E" w:rsidRPr="002F633B">
        <w:rPr>
          <w:rFonts w:eastAsia="Times New Roman"/>
          <w:bCs/>
          <w:szCs w:val="22"/>
          <w:lang w:val="en-AU" w:eastAsia="en-US"/>
        </w:rPr>
        <w:t xml:space="preserve">oluntary </w:t>
      </w:r>
      <w:r w:rsidRPr="002F633B">
        <w:rPr>
          <w:rFonts w:eastAsia="Times New Roman"/>
          <w:bCs/>
          <w:szCs w:val="22"/>
          <w:lang w:val="en-AU" w:eastAsia="en-US"/>
        </w:rPr>
        <w:t>F</w:t>
      </w:r>
      <w:r w:rsidR="001C050E" w:rsidRPr="002F633B">
        <w:rPr>
          <w:rFonts w:eastAsia="Times New Roman"/>
          <w:bCs/>
          <w:szCs w:val="22"/>
          <w:lang w:val="en-AU" w:eastAsia="en-US"/>
        </w:rPr>
        <w:t xml:space="preserve">und </w:t>
      </w:r>
      <w:r w:rsidRPr="002F633B">
        <w:rPr>
          <w:rFonts w:eastAsia="Times New Roman"/>
          <w:bCs/>
          <w:szCs w:val="22"/>
          <w:lang w:val="en-AU" w:eastAsia="en-US"/>
        </w:rPr>
        <w:t xml:space="preserve">for Accredited Indigenous and Local Communities </w:t>
      </w:r>
      <w:r w:rsidR="001C050E" w:rsidRPr="002F633B">
        <w:rPr>
          <w:rFonts w:eastAsia="Times New Roman"/>
          <w:bCs/>
          <w:szCs w:val="22"/>
          <w:lang w:val="en-AU" w:eastAsia="en-US"/>
        </w:rPr>
        <w:t>is depleted, encourag</w:t>
      </w:r>
      <w:r w:rsidRPr="002F633B">
        <w:rPr>
          <w:rFonts w:eastAsia="Times New Roman"/>
          <w:bCs/>
          <w:szCs w:val="22"/>
          <w:lang w:val="en-AU" w:eastAsia="en-US"/>
        </w:rPr>
        <w:t>e</w:t>
      </w:r>
      <w:r w:rsidR="001C050E" w:rsidRPr="002F633B">
        <w:rPr>
          <w:rFonts w:eastAsia="Times New Roman"/>
          <w:bCs/>
          <w:szCs w:val="22"/>
          <w:lang w:val="en-AU" w:eastAsia="en-US"/>
        </w:rPr>
        <w:t xml:space="preserve"> </w:t>
      </w:r>
      <w:r w:rsidRPr="002F633B">
        <w:rPr>
          <w:rFonts w:eastAsia="Times New Roman"/>
          <w:bCs/>
          <w:szCs w:val="22"/>
          <w:lang w:val="en-AU" w:eastAsia="en-US"/>
        </w:rPr>
        <w:t>M</w:t>
      </w:r>
      <w:r w:rsidR="001C050E" w:rsidRPr="002F633B">
        <w:rPr>
          <w:rFonts w:eastAsia="Times New Roman"/>
          <w:bCs/>
          <w:szCs w:val="22"/>
          <w:lang w:val="en-AU" w:eastAsia="en-US"/>
        </w:rPr>
        <w:t xml:space="preserve">ember </w:t>
      </w:r>
      <w:r w:rsidRPr="002F633B">
        <w:rPr>
          <w:rFonts w:eastAsia="Times New Roman"/>
          <w:bCs/>
          <w:szCs w:val="22"/>
          <w:lang w:val="en-AU" w:eastAsia="en-US"/>
        </w:rPr>
        <w:t>S</w:t>
      </w:r>
      <w:r w:rsidR="001C050E" w:rsidRPr="002F633B">
        <w:rPr>
          <w:rFonts w:eastAsia="Times New Roman"/>
          <w:bCs/>
          <w:szCs w:val="22"/>
          <w:lang w:val="en-AU" w:eastAsia="en-US"/>
        </w:rPr>
        <w:t xml:space="preserve">tates to consider contributing to the </w:t>
      </w:r>
      <w:r w:rsidRPr="002F633B">
        <w:rPr>
          <w:rFonts w:eastAsia="Times New Roman"/>
          <w:bCs/>
          <w:szCs w:val="22"/>
          <w:lang w:val="en-AU" w:eastAsia="en-US"/>
        </w:rPr>
        <w:t>F</w:t>
      </w:r>
      <w:r w:rsidR="001C050E" w:rsidRPr="002F633B">
        <w:rPr>
          <w:rFonts w:eastAsia="Times New Roman"/>
          <w:bCs/>
          <w:szCs w:val="22"/>
          <w:lang w:val="en-AU" w:eastAsia="en-US"/>
        </w:rPr>
        <w:t>und</w:t>
      </w:r>
      <w:r w:rsidR="00E70B20">
        <w:rPr>
          <w:rFonts w:eastAsia="Times New Roman"/>
          <w:bCs/>
          <w:szCs w:val="22"/>
          <w:lang w:val="en-AU" w:eastAsia="en-US"/>
        </w:rPr>
        <w:t>,</w:t>
      </w:r>
      <w:r w:rsidR="001C050E" w:rsidRPr="002F633B">
        <w:rPr>
          <w:rFonts w:eastAsia="Times New Roman"/>
          <w:bCs/>
          <w:szCs w:val="22"/>
          <w:lang w:val="en-AU" w:eastAsia="en-US"/>
        </w:rPr>
        <w:t xml:space="preserve"> and </w:t>
      </w:r>
      <w:r w:rsidR="00737890" w:rsidRPr="002F633B">
        <w:rPr>
          <w:rFonts w:eastAsia="Times New Roman"/>
          <w:bCs/>
          <w:szCs w:val="22"/>
          <w:lang w:val="en-AU" w:eastAsia="en-US"/>
        </w:rPr>
        <w:t xml:space="preserve">invite Member States </w:t>
      </w:r>
      <w:r w:rsidRPr="002F633B">
        <w:rPr>
          <w:rFonts w:eastAsia="Times New Roman"/>
          <w:bCs/>
          <w:szCs w:val="22"/>
          <w:lang w:val="en-AU" w:eastAsia="en-US"/>
        </w:rPr>
        <w:t xml:space="preserve">to </w:t>
      </w:r>
      <w:r w:rsidR="001C050E" w:rsidRPr="002F633B">
        <w:rPr>
          <w:rFonts w:eastAsia="Times New Roman"/>
          <w:bCs/>
          <w:szCs w:val="22"/>
          <w:lang w:val="en-AU" w:eastAsia="en-US"/>
        </w:rPr>
        <w:t>consider other alternate funding arrangement</w:t>
      </w:r>
      <w:r w:rsidRPr="00D82F7E">
        <w:rPr>
          <w:rFonts w:eastAsia="Times New Roman"/>
          <w:bCs/>
          <w:szCs w:val="22"/>
          <w:lang w:val="en-AU" w:eastAsia="en-US"/>
        </w:rPr>
        <w:t xml:space="preserve">s. </w:t>
      </w:r>
    </w:p>
    <w:p w:rsidR="00371281" w:rsidRDefault="00371281" w:rsidP="00FE06B7">
      <w:pPr>
        <w:spacing w:after="120" w:line="260" w:lineRule="atLeast"/>
        <w:rPr>
          <w:rFonts w:eastAsia="Times New Roman"/>
          <w:bCs/>
          <w:szCs w:val="22"/>
          <w:lang w:eastAsia="en-US"/>
        </w:rPr>
      </w:pPr>
    </w:p>
    <w:p w:rsidR="002B5FAE" w:rsidRDefault="002B5FAE" w:rsidP="002B5FAE">
      <w:pPr>
        <w:spacing w:after="120" w:line="260" w:lineRule="atLeast"/>
      </w:pPr>
      <w:r>
        <w:t xml:space="preserve">DECISION ON AGENDA ITEM 8:  </w:t>
      </w:r>
    </w:p>
    <w:p w:rsidR="002B5FAE" w:rsidRDefault="002B5FAE" w:rsidP="002B5FAE">
      <w:pPr>
        <w:spacing w:after="120" w:line="260" w:lineRule="atLeast"/>
      </w:pPr>
      <w:r>
        <w:t xml:space="preserve">CONTRIBUTION OF THE INTERGOVERNMENTAL COMMITTEE ON INTELLECTUAL PROPERTY AND GENETIC RESOURCES, TRADITIONAL KNOWLEDGE AND FOLKLORE (IGC) TO THE IMPLEMENTATION OF THE RESPECTIVE DEVELOPMENT AGENDA RECOMMENDATIONS </w:t>
      </w:r>
    </w:p>
    <w:p w:rsidR="002B5FAE" w:rsidRDefault="002B5FAE" w:rsidP="002B5FAE">
      <w:pPr>
        <w:spacing w:after="120" w:line="260" w:lineRule="atLeast"/>
        <w:rPr>
          <w:rFonts w:eastAsia="Times New Roman"/>
          <w:bCs/>
          <w:szCs w:val="22"/>
          <w:lang w:eastAsia="en-US"/>
        </w:rPr>
      </w:pPr>
      <w:r>
        <w:t xml:space="preserve">The Committee held a discussion on this item. </w:t>
      </w:r>
      <w:r w:rsidR="00F66C8C">
        <w:t xml:space="preserve"> </w:t>
      </w:r>
      <w:r>
        <w:t>The Committee decided that all statements made on this item would be recorded in the report of the Committee and that they would also be transmitted to the WIPO General Assembly taking place from September 30 to October 9, 2019, in line with the decision taken by the 2010 WIPO General Assembly related to the Development Agenda Coordination Mechanism.</w:t>
      </w:r>
    </w:p>
    <w:p w:rsidR="002B5FAE" w:rsidRPr="00E22057" w:rsidRDefault="002B5FAE" w:rsidP="00FE06B7">
      <w:pPr>
        <w:spacing w:after="120" w:line="260" w:lineRule="atLeast"/>
        <w:rPr>
          <w:rFonts w:eastAsia="Times New Roman"/>
          <w:bCs/>
          <w:szCs w:val="22"/>
          <w:lang w:eastAsia="en-US"/>
        </w:rPr>
      </w:pPr>
    </w:p>
    <w:p w:rsidR="00FE06B7" w:rsidRPr="00DE6A3B" w:rsidRDefault="009744DD" w:rsidP="00FE06B7">
      <w:pPr>
        <w:spacing w:after="120" w:line="260" w:lineRule="atLeast"/>
        <w:rPr>
          <w:rFonts w:eastAsia="Times New Roman"/>
          <w:szCs w:val="22"/>
        </w:rPr>
      </w:pPr>
      <w:r>
        <w:rPr>
          <w:rFonts w:eastAsia="Times New Roman"/>
          <w:szCs w:val="22"/>
        </w:rPr>
        <w:t>DECISION ON AGENDA ITEM 9</w:t>
      </w:r>
      <w:r w:rsidR="00FE06B7" w:rsidRPr="00DE6A3B">
        <w:rPr>
          <w:rFonts w:eastAsia="Times New Roman"/>
          <w:szCs w:val="22"/>
        </w:rPr>
        <w:t>:</w:t>
      </w:r>
    </w:p>
    <w:p w:rsidR="00FE06B7" w:rsidRPr="00D967DA" w:rsidRDefault="00FE06B7" w:rsidP="00FE06B7">
      <w:pPr>
        <w:spacing w:after="120" w:line="260" w:lineRule="atLeast"/>
        <w:rPr>
          <w:rFonts w:eastAsia="Times New Roman" w:cs="Tahoma"/>
          <w:szCs w:val="22"/>
        </w:rPr>
      </w:pPr>
      <w:r w:rsidRPr="00D967DA">
        <w:rPr>
          <w:rFonts w:eastAsia="Times New Roman" w:cs="Tahoma"/>
          <w:szCs w:val="22"/>
        </w:rPr>
        <w:t>ANY OTHER BUSINESS</w:t>
      </w:r>
    </w:p>
    <w:p w:rsidR="00FE06B7" w:rsidRPr="00992D0C" w:rsidRDefault="00FE06B7" w:rsidP="00FE06B7">
      <w:pPr>
        <w:spacing w:after="120" w:line="260" w:lineRule="atLeast"/>
        <w:rPr>
          <w:rFonts w:eastAsia="Times New Roman" w:cs="Tahoma"/>
          <w:szCs w:val="22"/>
        </w:rPr>
      </w:pPr>
      <w:r w:rsidRPr="00992D0C">
        <w:rPr>
          <w:rFonts w:eastAsia="Times New Roman" w:cs="Tahoma"/>
          <w:szCs w:val="22"/>
        </w:rPr>
        <w:t>There was no discussion under this item.</w:t>
      </w:r>
    </w:p>
    <w:p w:rsidR="00FE06B7" w:rsidRDefault="00FE06B7" w:rsidP="00FE06B7">
      <w:pPr>
        <w:rPr>
          <w:szCs w:val="22"/>
        </w:rPr>
      </w:pPr>
    </w:p>
    <w:p w:rsidR="00FE06B7" w:rsidRPr="00E52D23" w:rsidRDefault="00FE06B7" w:rsidP="00FE06B7">
      <w:pPr>
        <w:spacing w:after="120" w:line="260" w:lineRule="atLeast"/>
        <w:rPr>
          <w:szCs w:val="22"/>
        </w:rPr>
      </w:pPr>
      <w:r w:rsidRPr="00E52D23">
        <w:rPr>
          <w:szCs w:val="22"/>
        </w:rPr>
        <w:t xml:space="preserve">DECISION ON AGENDA ITEM </w:t>
      </w:r>
      <w:r w:rsidR="009744DD">
        <w:rPr>
          <w:szCs w:val="22"/>
        </w:rPr>
        <w:t>10</w:t>
      </w:r>
      <w:r w:rsidRPr="00E52D23">
        <w:rPr>
          <w:szCs w:val="22"/>
        </w:rPr>
        <w:t>:</w:t>
      </w:r>
    </w:p>
    <w:p w:rsidR="00FE06B7" w:rsidRDefault="00FE06B7" w:rsidP="00FE06B7">
      <w:pPr>
        <w:spacing w:after="120" w:line="260" w:lineRule="atLeast"/>
        <w:rPr>
          <w:szCs w:val="22"/>
        </w:rPr>
      </w:pPr>
      <w:r w:rsidRPr="00E52D23">
        <w:rPr>
          <w:szCs w:val="22"/>
        </w:rPr>
        <w:t>CLOSING OF THE SESSION</w:t>
      </w:r>
    </w:p>
    <w:p w:rsidR="00FE06B7" w:rsidRPr="00E52D23" w:rsidRDefault="00FE06B7" w:rsidP="00FE06B7">
      <w:pPr>
        <w:spacing w:after="120" w:line="260" w:lineRule="atLeast"/>
        <w:rPr>
          <w:szCs w:val="22"/>
        </w:rPr>
      </w:pPr>
      <w:r>
        <w:rPr>
          <w:szCs w:val="22"/>
        </w:rPr>
        <w:t>The Committee adopted its decisions on agenda items 2, 3, 4, 5, 6</w:t>
      </w:r>
      <w:r w:rsidR="009744DD">
        <w:rPr>
          <w:szCs w:val="22"/>
        </w:rPr>
        <w:t>,</w:t>
      </w:r>
      <w:r>
        <w:rPr>
          <w:szCs w:val="22"/>
        </w:rPr>
        <w:t xml:space="preserve"> 7</w:t>
      </w:r>
      <w:r w:rsidR="009744DD">
        <w:rPr>
          <w:szCs w:val="22"/>
        </w:rPr>
        <w:t xml:space="preserve"> and 8</w:t>
      </w:r>
      <w:r>
        <w:rPr>
          <w:szCs w:val="22"/>
        </w:rPr>
        <w:t xml:space="preserve"> on </w:t>
      </w:r>
      <w:r w:rsidR="009744DD">
        <w:rPr>
          <w:szCs w:val="22"/>
        </w:rPr>
        <w:t>June 21</w:t>
      </w:r>
      <w:r>
        <w:rPr>
          <w:szCs w:val="22"/>
        </w:rPr>
        <w:t xml:space="preserve">, 2019.  It agreed that a draft written report, containing the agreed text of these decisions and all interventions made to the Committee, would be prepared and circulated </w:t>
      </w:r>
      <w:r w:rsidRPr="009D47F6">
        <w:rPr>
          <w:szCs w:val="22"/>
        </w:rPr>
        <w:t xml:space="preserve">by </w:t>
      </w:r>
      <w:r w:rsidR="009744DD">
        <w:rPr>
          <w:szCs w:val="22"/>
        </w:rPr>
        <w:t>September 6</w:t>
      </w:r>
      <w:r>
        <w:rPr>
          <w:szCs w:val="22"/>
        </w:rPr>
        <w:t>, 2019</w:t>
      </w:r>
      <w:r w:rsidRPr="009D47F6">
        <w:rPr>
          <w:szCs w:val="22"/>
        </w:rPr>
        <w:t>.</w:t>
      </w:r>
      <w:r>
        <w:rPr>
          <w:szCs w:val="22"/>
        </w:rPr>
        <w:t xml:space="preserve">  Committee participants would be invited to submit written corrections to their interventions as included in the draft report before a final version of the draft report would then be circulated to Committee participants for adoption at the </w:t>
      </w:r>
      <w:r w:rsidR="009744DD">
        <w:rPr>
          <w:szCs w:val="22"/>
        </w:rPr>
        <w:t>next session</w:t>
      </w:r>
      <w:r>
        <w:rPr>
          <w:szCs w:val="22"/>
        </w:rPr>
        <w:t xml:space="preserve"> of the Committee.</w:t>
      </w:r>
    </w:p>
    <w:p w:rsidR="00FE06B7" w:rsidRDefault="00FE06B7" w:rsidP="00FE06B7"/>
    <w:p w:rsidR="00FE06B7" w:rsidRDefault="00FE06B7" w:rsidP="00FE06B7"/>
    <w:p w:rsidR="002928D3" w:rsidRDefault="00FE06B7" w:rsidP="00BF53D8">
      <w:pPr>
        <w:spacing w:after="120" w:line="260" w:lineRule="atLeast"/>
        <w:ind w:left="5043" w:firstLine="567"/>
      </w:pPr>
      <w:r w:rsidRPr="004F6DF5">
        <w:rPr>
          <w:iCs/>
          <w:szCs w:val="22"/>
        </w:rPr>
        <w:t>[End of document]</w:t>
      </w:r>
    </w:p>
    <w:sectPr w:rsidR="002928D3" w:rsidSect="00FA2C34">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3D5" w:rsidRDefault="009003D5">
      <w:r>
        <w:separator/>
      </w:r>
    </w:p>
  </w:endnote>
  <w:endnote w:type="continuationSeparator" w:id="0">
    <w:p w:rsidR="009003D5" w:rsidRDefault="009003D5" w:rsidP="003B38C1">
      <w:r>
        <w:separator/>
      </w:r>
    </w:p>
    <w:p w:rsidR="009003D5" w:rsidRPr="003B38C1" w:rsidRDefault="009003D5" w:rsidP="003B38C1">
      <w:pPr>
        <w:spacing w:after="60"/>
        <w:rPr>
          <w:sz w:val="17"/>
        </w:rPr>
      </w:pPr>
      <w:r>
        <w:rPr>
          <w:sz w:val="17"/>
        </w:rPr>
        <w:t>[Endnote continued from previous page]</w:t>
      </w:r>
    </w:p>
  </w:endnote>
  <w:endnote w:type="continuationNotice" w:id="1">
    <w:p w:rsidR="009003D5" w:rsidRPr="003B38C1" w:rsidRDefault="009003D5"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Sylfaen"/>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3D5" w:rsidRDefault="009003D5">
      <w:r>
        <w:separator/>
      </w:r>
    </w:p>
  </w:footnote>
  <w:footnote w:type="continuationSeparator" w:id="0">
    <w:p w:rsidR="009003D5" w:rsidRDefault="009003D5" w:rsidP="008B60B2">
      <w:r>
        <w:separator/>
      </w:r>
    </w:p>
    <w:p w:rsidR="009003D5" w:rsidRPr="00ED77FB" w:rsidRDefault="009003D5" w:rsidP="008B60B2">
      <w:pPr>
        <w:spacing w:after="60"/>
        <w:rPr>
          <w:sz w:val="17"/>
          <w:szCs w:val="17"/>
        </w:rPr>
      </w:pPr>
      <w:r w:rsidRPr="00ED77FB">
        <w:rPr>
          <w:sz w:val="17"/>
          <w:szCs w:val="17"/>
        </w:rPr>
        <w:t>[Footnote continued from previous page]</w:t>
      </w:r>
    </w:p>
  </w:footnote>
  <w:footnote w:type="continuationNotice" w:id="1">
    <w:p w:rsidR="009003D5" w:rsidRPr="00ED77FB" w:rsidRDefault="009003D5" w:rsidP="008B60B2">
      <w:pPr>
        <w:spacing w:before="60"/>
        <w:jc w:val="right"/>
        <w:rPr>
          <w:sz w:val="17"/>
          <w:szCs w:val="17"/>
        </w:rPr>
      </w:pPr>
      <w:r w:rsidRPr="00ED77FB">
        <w:rPr>
          <w:sz w:val="17"/>
          <w:szCs w:val="17"/>
        </w:rPr>
        <w:t>[Footnote continued on next page]</w:t>
      </w:r>
    </w:p>
  </w:footnote>
  <w:footnote w:id="2">
    <w:p w:rsidR="004C17EE" w:rsidRPr="004C17EE" w:rsidRDefault="004C17EE" w:rsidP="004C17EE">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relationship with the public domain. </w:t>
      </w:r>
    </w:p>
  </w:footnote>
  <w:footnote w:id="3">
    <w:p w:rsidR="004C17EE" w:rsidRPr="004C17EE" w:rsidRDefault="004C17EE" w:rsidP="004C17EE">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expert group(s) will have a balanced regional representation and use an efficient working methodology.</w:t>
      </w:r>
      <w:r w:rsidR="00BF3980">
        <w:rPr>
          <w:sz w:val="18"/>
          <w:szCs w:val="18"/>
        </w:rPr>
        <w:t xml:space="preserve">  </w:t>
      </w:r>
      <w:r w:rsidR="00BF3980" w:rsidRPr="00BF3980">
        <w:rPr>
          <w:sz w:val="18"/>
          <w:szCs w:val="18"/>
        </w:rPr>
        <w:t>The expert group(s) will work during the weeks of the sessions of the IGC.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EC4E49" w:rsidP="00477D6B">
    <w:pPr>
      <w:jc w:val="right"/>
    </w:pPr>
  </w:p>
  <w:p w:rsidR="00EC4E49" w:rsidRDefault="00EC4E49" w:rsidP="00477D6B">
    <w:pPr>
      <w:jc w:val="right"/>
    </w:pPr>
    <w:r>
      <w:t xml:space="preserve">page </w:t>
    </w:r>
    <w:r>
      <w:fldChar w:fldCharType="begin"/>
    </w:r>
    <w:r>
      <w:instrText xml:space="preserve"> PAGE  \* MERGEFORMAT </w:instrText>
    </w:r>
    <w:r>
      <w:fldChar w:fldCharType="separate"/>
    </w:r>
    <w:r w:rsidR="0015023B">
      <w:rPr>
        <w:noProof/>
      </w:rPr>
      <w:t>3</w:t>
    </w:r>
    <w:r>
      <w:fldChar w:fldCharType="end"/>
    </w:r>
  </w:p>
  <w:p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C321042"/>
    <w:multiLevelType w:val="hybridMultilevel"/>
    <w:tmpl w:val="E4C02484"/>
    <w:lvl w:ilvl="0" w:tplc="1F9CF27E">
      <w:start w:val="1"/>
      <w:numFmt w:val="lowerLetter"/>
      <w:lvlText w:val="(%1)"/>
      <w:lvlJc w:val="left"/>
      <w:pPr>
        <w:ind w:left="9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209092">
      <w:start w:val="1"/>
      <w:numFmt w:val="lowerLetter"/>
      <w:lvlText w:val="%2"/>
      <w:lvlJc w:val="left"/>
      <w:pPr>
        <w:ind w:left="16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E323F28">
      <w:start w:val="1"/>
      <w:numFmt w:val="lowerRoman"/>
      <w:lvlText w:val="%3"/>
      <w:lvlJc w:val="left"/>
      <w:pPr>
        <w:ind w:left="23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6308354">
      <w:start w:val="1"/>
      <w:numFmt w:val="decimal"/>
      <w:lvlText w:val="%4"/>
      <w:lvlJc w:val="left"/>
      <w:pPr>
        <w:ind w:left="31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3AEF42C">
      <w:start w:val="1"/>
      <w:numFmt w:val="lowerLetter"/>
      <w:lvlText w:val="%5"/>
      <w:lvlJc w:val="left"/>
      <w:pPr>
        <w:ind w:left="38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FBE0B82">
      <w:start w:val="1"/>
      <w:numFmt w:val="lowerRoman"/>
      <w:lvlText w:val="%6"/>
      <w:lvlJc w:val="left"/>
      <w:pPr>
        <w:ind w:left="45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2AE159A">
      <w:start w:val="1"/>
      <w:numFmt w:val="decimal"/>
      <w:lvlText w:val="%7"/>
      <w:lvlJc w:val="left"/>
      <w:pPr>
        <w:ind w:left="526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9A2F322">
      <w:start w:val="1"/>
      <w:numFmt w:val="lowerLetter"/>
      <w:lvlText w:val="%8"/>
      <w:lvlJc w:val="left"/>
      <w:pPr>
        <w:ind w:left="598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1004B28">
      <w:start w:val="1"/>
      <w:numFmt w:val="lowerRoman"/>
      <w:lvlText w:val="%9"/>
      <w:lvlJc w:val="left"/>
      <w:pPr>
        <w:ind w:left="670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C34"/>
    <w:rsid w:val="00040534"/>
    <w:rsid w:val="00043CAA"/>
    <w:rsid w:val="00056BBD"/>
    <w:rsid w:val="00075432"/>
    <w:rsid w:val="00081769"/>
    <w:rsid w:val="000968ED"/>
    <w:rsid w:val="000A63AD"/>
    <w:rsid w:val="000E65A5"/>
    <w:rsid w:val="000F5E56"/>
    <w:rsid w:val="0013388F"/>
    <w:rsid w:val="001362EE"/>
    <w:rsid w:val="0015023B"/>
    <w:rsid w:val="001647D5"/>
    <w:rsid w:val="001832A6"/>
    <w:rsid w:val="00191972"/>
    <w:rsid w:val="001A74DD"/>
    <w:rsid w:val="001C050E"/>
    <w:rsid w:val="001E1BB2"/>
    <w:rsid w:val="0021217E"/>
    <w:rsid w:val="0023313F"/>
    <w:rsid w:val="0025610E"/>
    <w:rsid w:val="00257835"/>
    <w:rsid w:val="002634C4"/>
    <w:rsid w:val="00275A73"/>
    <w:rsid w:val="002928D3"/>
    <w:rsid w:val="00292BE6"/>
    <w:rsid w:val="002B5FAE"/>
    <w:rsid w:val="002E2789"/>
    <w:rsid w:val="002F1FE6"/>
    <w:rsid w:val="002F4E68"/>
    <w:rsid w:val="002F633B"/>
    <w:rsid w:val="00312F7F"/>
    <w:rsid w:val="00340676"/>
    <w:rsid w:val="00361450"/>
    <w:rsid w:val="003673CF"/>
    <w:rsid w:val="00371281"/>
    <w:rsid w:val="003845C1"/>
    <w:rsid w:val="003A6F89"/>
    <w:rsid w:val="003B38C1"/>
    <w:rsid w:val="003C6233"/>
    <w:rsid w:val="00401B3C"/>
    <w:rsid w:val="004157E3"/>
    <w:rsid w:val="00423E3E"/>
    <w:rsid w:val="00427AF4"/>
    <w:rsid w:val="004647DA"/>
    <w:rsid w:val="00474062"/>
    <w:rsid w:val="00477D6B"/>
    <w:rsid w:val="004C17EE"/>
    <w:rsid w:val="005019FF"/>
    <w:rsid w:val="00510566"/>
    <w:rsid w:val="0053057A"/>
    <w:rsid w:val="00542C6C"/>
    <w:rsid w:val="0054647E"/>
    <w:rsid w:val="00560A29"/>
    <w:rsid w:val="00591A50"/>
    <w:rsid w:val="005A3D41"/>
    <w:rsid w:val="005C6649"/>
    <w:rsid w:val="00605827"/>
    <w:rsid w:val="00646050"/>
    <w:rsid w:val="006713CA"/>
    <w:rsid w:val="00676C5C"/>
    <w:rsid w:val="006967DF"/>
    <w:rsid w:val="006A1F20"/>
    <w:rsid w:val="006E2495"/>
    <w:rsid w:val="00734267"/>
    <w:rsid w:val="00737890"/>
    <w:rsid w:val="0074113D"/>
    <w:rsid w:val="007D1613"/>
    <w:rsid w:val="007D48C0"/>
    <w:rsid w:val="007E4C0E"/>
    <w:rsid w:val="0080034D"/>
    <w:rsid w:val="0081055B"/>
    <w:rsid w:val="008451DD"/>
    <w:rsid w:val="008A134B"/>
    <w:rsid w:val="008B2CC1"/>
    <w:rsid w:val="008B60B2"/>
    <w:rsid w:val="008C5AC0"/>
    <w:rsid w:val="008D1320"/>
    <w:rsid w:val="009003D5"/>
    <w:rsid w:val="0090731E"/>
    <w:rsid w:val="00916EE2"/>
    <w:rsid w:val="00966A22"/>
    <w:rsid w:val="0096722F"/>
    <w:rsid w:val="009744DD"/>
    <w:rsid w:val="00980843"/>
    <w:rsid w:val="00984A09"/>
    <w:rsid w:val="009A448B"/>
    <w:rsid w:val="009B377A"/>
    <w:rsid w:val="009E2791"/>
    <w:rsid w:val="009E3F6F"/>
    <w:rsid w:val="009F44D3"/>
    <w:rsid w:val="009F499F"/>
    <w:rsid w:val="00A2152B"/>
    <w:rsid w:val="00A22AFC"/>
    <w:rsid w:val="00A37342"/>
    <w:rsid w:val="00A42DAF"/>
    <w:rsid w:val="00A45BD8"/>
    <w:rsid w:val="00A869B7"/>
    <w:rsid w:val="00AC205C"/>
    <w:rsid w:val="00AC7148"/>
    <w:rsid w:val="00AF0A6B"/>
    <w:rsid w:val="00B05A69"/>
    <w:rsid w:val="00B16435"/>
    <w:rsid w:val="00B23D35"/>
    <w:rsid w:val="00B309FE"/>
    <w:rsid w:val="00B75782"/>
    <w:rsid w:val="00B9734B"/>
    <w:rsid w:val="00BA30E2"/>
    <w:rsid w:val="00BD1712"/>
    <w:rsid w:val="00BF3980"/>
    <w:rsid w:val="00BF53D8"/>
    <w:rsid w:val="00C11BFE"/>
    <w:rsid w:val="00C174BB"/>
    <w:rsid w:val="00C5068F"/>
    <w:rsid w:val="00C52868"/>
    <w:rsid w:val="00C84996"/>
    <w:rsid w:val="00C86D74"/>
    <w:rsid w:val="00CD04F1"/>
    <w:rsid w:val="00D45252"/>
    <w:rsid w:val="00D71B4D"/>
    <w:rsid w:val="00D82F7E"/>
    <w:rsid w:val="00D83FBF"/>
    <w:rsid w:val="00D93D55"/>
    <w:rsid w:val="00E15015"/>
    <w:rsid w:val="00E17E6D"/>
    <w:rsid w:val="00E335FE"/>
    <w:rsid w:val="00E56B43"/>
    <w:rsid w:val="00E70B20"/>
    <w:rsid w:val="00E74269"/>
    <w:rsid w:val="00EA7D6E"/>
    <w:rsid w:val="00EB0C6C"/>
    <w:rsid w:val="00EC4E49"/>
    <w:rsid w:val="00ED77FB"/>
    <w:rsid w:val="00EE45FA"/>
    <w:rsid w:val="00F072C1"/>
    <w:rsid w:val="00F14FC7"/>
    <w:rsid w:val="00F66152"/>
    <w:rsid w:val="00F66C8C"/>
    <w:rsid w:val="00FA2C34"/>
    <w:rsid w:val="00FC5193"/>
    <w:rsid w:val="00FE06B7"/>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6A0B19"/>
  <w15:docId w15:val="{54481BA8-D8DA-4904-8D25-B911B3C54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Default">
    <w:name w:val="Default"/>
    <w:rsid w:val="00FE06B7"/>
    <w:pPr>
      <w:autoSpaceDE w:val="0"/>
      <w:autoSpaceDN w:val="0"/>
      <w:adjustRightInd w:val="0"/>
    </w:pPr>
    <w:rPr>
      <w:rFonts w:ascii="Arial" w:hAnsi="Arial" w:cs="Arial"/>
      <w:color w:val="000000"/>
      <w:sz w:val="24"/>
      <w:szCs w:val="24"/>
      <w:lang w:val="en-US"/>
    </w:rPr>
  </w:style>
  <w:style w:type="paragraph" w:styleId="BalloonText">
    <w:name w:val="Balloon Text"/>
    <w:basedOn w:val="Normal"/>
    <w:link w:val="BalloonTextChar"/>
    <w:semiHidden/>
    <w:unhideWhenUsed/>
    <w:rsid w:val="00D82F7E"/>
    <w:rPr>
      <w:rFonts w:ascii="Segoe UI" w:hAnsi="Segoe UI" w:cs="Segoe UI"/>
      <w:sz w:val="18"/>
      <w:szCs w:val="18"/>
    </w:rPr>
  </w:style>
  <w:style w:type="character" w:customStyle="1" w:styleId="BalloonTextChar">
    <w:name w:val="Balloon Text Char"/>
    <w:basedOn w:val="DefaultParagraphFont"/>
    <w:link w:val="BalloonText"/>
    <w:semiHidden/>
    <w:rsid w:val="00D82F7E"/>
    <w:rPr>
      <w:rFonts w:ascii="Segoe UI" w:eastAsia="SimSun" w:hAnsi="Segoe UI" w:cs="Segoe UI"/>
      <w:sz w:val="18"/>
      <w:szCs w:val="18"/>
      <w:lang w:val="en-US" w:eastAsia="zh-CN"/>
    </w:rPr>
  </w:style>
  <w:style w:type="paragraph" w:customStyle="1" w:styleId="footnotedescription">
    <w:name w:val="footnote description"/>
    <w:next w:val="Normal"/>
    <w:link w:val="footnotedescriptionChar"/>
    <w:hidden/>
    <w:rsid w:val="004C17EE"/>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4C17EE"/>
    <w:rPr>
      <w:rFonts w:ascii="Arial" w:eastAsia="Arial" w:hAnsi="Arial" w:cs="Arial"/>
      <w:color w:val="000000"/>
      <w:szCs w:val="22"/>
      <w:lang w:val="en-AU" w:eastAsia="en-AU"/>
    </w:rPr>
  </w:style>
  <w:style w:type="character" w:customStyle="1" w:styleId="footnotemark">
    <w:name w:val="footnote mark"/>
    <w:hidden/>
    <w:rsid w:val="004C17EE"/>
    <w:rPr>
      <w:rFonts w:ascii="Arial" w:eastAsia="Arial" w:hAnsi="Arial" w:cs="Arial"/>
      <w:color w:val="000000"/>
      <w:sz w:val="20"/>
      <w:vertAlign w:val="superscript"/>
    </w:rPr>
  </w:style>
  <w:style w:type="character" w:customStyle="1" w:styleId="FootnoteTextChar">
    <w:name w:val="Footnote Text Char"/>
    <w:basedOn w:val="DefaultParagraphFont"/>
    <w:link w:val="FootnoteText"/>
    <w:uiPriority w:val="99"/>
    <w:semiHidden/>
    <w:rsid w:val="004C17EE"/>
    <w:rPr>
      <w:rFonts w:ascii="Arial" w:eastAsia="SimSun" w:hAnsi="Arial" w:cs="Arial"/>
      <w:sz w:val="18"/>
      <w:lang w:val="en-US" w:eastAsia="zh-CN"/>
    </w:rPr>
  </w:style>
  <w:style w:type="character" w:styleId="FootnoteReference">
    <w:name w:val="footnote reference"/>
    <w:basedOn w:val="DefaultParagraphFont"/>
    <w:uiPriority w:val="99"/>
    <w:semiHidden/>
    <w:unhideWhenUsed/>
    <w:rsid w:val="004C17EE"/>
    <w:rPr>
      <w:vertAlign w:val="superscript"/>
    </w:rPr>
  </w:style>
  <w:style w:type="character" w:customStyle="1" w:styleId="Heading1Char">
    <w:name w:val="Heading 1 Char"/>
    <w:link w:val="Heading1"/>
    <w:uiPriority w:val="9"/>
    <w:rsid w:val="004C17EE"/>
    <w:rPr>
      <w:rFonts w:ascii="Arial" w:eastAsia="SimSun" w:hAnsi="Arial" w:cs="Arial"/>
      <w:b/>
      <w:bCs/>
      <w:caps/>
      <w:kern w:val="32"/>
      <w:sz w:val="22"/>
      <w:szCs w:val="32"/>
      <w:lang w:val="en-US" w:eastAsia="zh-CN"/>
    </w:rPr>
  </w:style>
  <w:style w:type="table" w:customStyle="1" w:styleId="TableGrid">
    <w:name w:val="TableGrid"/>
    <w:rsid w:val="004C17EE"/>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706213">
      <w:bodyDiv w:val="1"/>
      <w:marLeft w:val="0"/>
      <w:marRight w:val="0"/>
      <w:marTop w:val="0"/>
      <w:marBottom w:val="0"/>
      <w:divBdr>
        <w:top w:val="none" w:sz="0" w:space="0" w:color="auto"/>
        <w:left w:val="none" w:sz="0" w:space="0" w:color="auto"/>
        <w:bottom w:val="none" w:sz="0" w:space="0" w:color="auto"/>
        <w:right w:val="none" w:sz="0" w:space="0" w:color="auto"/>
      </w:divBdr>
    </w:div>
    <w:div w:id="525337208">
      <w:bodyDiv w:val="1"/>
      <w:marLeft w:val="0"/>
      <w:marRight w:val="0"/>
      <w:marTop w:val="0"/>
      <w:marBottom w:val="0"/>
      <w:divBdr>
        <w:top w:val="none" w:sz="0" w:space="0" w:color="auto"/>
        <w:left w:val="none" w:sz="0" w:space="0" w:color="auto"/>
        <w:bottom w:val="none" w:sz="0" w:space="0" w:color="auto"/>
        <w:right w:val="none" w:sz="0" w:space="0" w:color="auto"/>
      </w:divBdr>
    </w:div>
    <w:div w:id="845703825">
      <w:bodyDiv w:val="1"/>
      <w:marLeft w:val="0"/>
      <w:marRight w:val="0"/>
      <w:marTop w:val="0"/>
      <w:marBottom w:val="0"/>
      <w:divBdr>
        <w:top w:val="none" w:sz="0" w:space="0" w:color="auto"/>
        <w:left w:val="none" w:sz="0" w:space="0" w:color="auto"/>
        <w:bottom w:val="none" w:sz="0" w:space="0" w:color="auto"/>
        <w:right w:val="none" w:sz="0" w:space="0" w:color="auto"/>
      </w:divBdr>
    </w:div>
    <w:div w:id="1312519076">
      <w:bodyDiv w:val="1"/>
      <w:marLeft w:val="0"/>
      <w:marRight w:val="0"/>
      <w:marTop w:val="0"/>
      <w:marBottom w:val="0"/>
      <w:divBdr>
        <w:top w:val="none" w:sz="0" w:space="0" w:color="auto"/>
        <w:left w:val="none" w:sz="0" w:space="0" w:color="auto"/>
        <w:bottom w:val="none" w:sz="0" w:space="0" w:color="auto"/>
        <w:right w:val="none" w:sz="0" w:space="0" w:color="auto"/>
      </w:divBdr>
    </w:div>
    <w:div w:id="1559510973">
      <w:bodyDiv w:val="1"/>
      <w:marLeft w:val="0"/>
      <w:marRight w:val="0"/>
      <w:marTop w:val="0"/>
      <w:marBottom w:val="0"/>
      <w:divBdr>
        <w:top w:val="none" w:sz="0" w:space="0" w:color="auto"/>
        <w:left w:val="none" w:sz="0" w:space="0" w:color="auto"/>
        <w:bottom w:val="none" w:sz="0" w:space="0" w:color="auto"/>
        <w:right w:val="none" w:sz="0" w:space="0" w:color="auto"/>
      </w:divBdr>
      <w:divsChild>
        <w:div w:id="288097453">
          <w:marLeft w:val="0"/>
          <w:marRight w:val="0"/>
          <w:marTop w:val="0"/>
          <w:marBottom w:val="0"/>
          <w:divBdr>
            <w:top w:val="none" w:sz="0" w:space="0" w:color="auto"/>
            <w:left w:val="none" w:sz="0" w:space="0" w:color="auto"/>
            <w:bottom w:val="none" w:sz="0" w:space="0" w:color="auto"/>
            <w:right w:val="none" w:sz="0" w:space="0" w:color="auto"/>
          </w:divBdr>
          <w:divsChild>
            <w:div w:id="1850561692">
              <w:marLeft w:val="0"/>
              <w:marRight w:val="0"/>
              <w:marTop w:val="0"/>
              <w:marBottom w:val="0"/>
              <w:divBdr>
                <w:top w:val="none" w:sz="0" w:space="0" w:color="auto"/>
                <w:left w:val="none" w:sz="0" w:space="0" w:color="auto"/>
                <w:bottom w:val="none" w:sz="0" w:space="0" w:color="auto"/>
                <w:right w:val="none" w:sz="0" w:space="0" w:color="auto"/>
              </w:divBdr>
              <w:divsChild>
                <w:div w:id="612713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40565">
      <w:bodyDiv w:val="1"/>
      <w:marLeft w:val="0"/>
      <w:marRight w:val="0"/>
      <w:marTop w:val="0"/>
      <w:marBottom w:val="0"/>
      <w:divBdr>
        <w:top w:val="none" w:sz="0" w:space="0" w:color="auto"/>
        <w:left w:val="none" w:sz="0" w:space="0" w:color="auto"/>
        <w:bottom w:val="none" w:sz="0" w:space="0" w:color="auto"/>
        <w:right w:val="none" w:sz="0" w:space="0" w:color="auto"/>
      </w:divBdr>
    </w:div>
    <w:div w:id="214080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GC\WIPO%20GRTKF%20IC%204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26AC57-CF03-4519-AE62-D38DE446BF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WIPO GRTKF IC 40 (E)</Template>
  <TotalTime>1321</TotalTime>
  <Pages>6</Pages>
  <Words>1938</Words>
  <Characters>11429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JIAO Fei</dc:creator>
  <cp:keywords>FOR OFFICIAL USE ONLY</cp:keywords>
  <cp:lastModifiedBy>MORENO PALESTINI Maria Del Pilar</cp:lastModifiedBy>
  <cp:revision>62</cp:revision>
  <cp:lastPrinted>2019-06-21T06:39:00Z</cp:lastPrinted>
  <dcterms:created xsi:type="dcterms:W3CDTF">2019-06-12T09:54:00Z</dcterms:created>
  <dcterms:modified xsi:type="dcterms:W3CDTF">2019-06-21T16:06:00Z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89cb9b77-4bed-4760-b6b1-a526437b8056</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