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1E1BB2" w:rsidP="00916EE2">
            <w:pPr>
              <w:jc w:val="right"/>
              <w:rPr>
                <w:rFonts w:ascii="Arial Black" w:hAnsi="Arial Black"/>
                <w:caps/>
                <w:sz w:val="15"/>
              </w:rPr>
            </w:pPr>
            <w:r>
              <w:rPr>
                <w:rFonts w:ascii="Arial Black" w:hAnsi="Arial Black"/>
                <w:caps/>
                <w:sz w:val="15"/>
              </w:rPr>
              <w:t>WIPO/GRTKF/IC/39/</w:t>
            </w:r>
            <w:bookmarkStart w:id="0" w:name="Code"/>
            <w:bookmarkEnd w:id="0"/>
            <w:r w:rsidR="007D47C1">
              <w:rPr>
                <w:rFonts w:ascii="Arial Black" w:hAnsi="Arial Black"/>
                <w:caps/>
                <w:sz w:val="15"/>
              </w:rPr>
              <w:t>INF/5</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1E1BB2" w:rsidP="00AC7148">
            <w:pPr>
              <w:jc w:val="right"/>
              <w:rPr>
                <w:rFonts w:ascii="Arial Black" w:hAnsi="Arial Black"/>
                <w:caps/>
                <w:sz w:val="15"/>
              </w:rPr>
            </w:pPr>
            <w:r w:rsidRPr="001E1BB2">
              <w:rPr>
                <w:rFonts w:ascii="Arial Black" w:hAnsi="Arial Black"/>
                <w:caps/>
                <w:sz w:val="15"/>
              </w:rPr>
              <w:t xml:space="preserve">ORIGINAL: </w:t>
            </w:r>
            <w:r w:rsidR="001647D5">
              <w:rPr>
                <w:rFonts w:ascii="Arial Black" w:hAnsi="Arial Black"/>
                <w:caps/>
                <w:sz w:val="15"/>
              </w:rPr>
              <w:t xml:space="preserve"> </w:t>
            </w:r>
            <w:bookmarkStart w:id="1" w:name="Original"/>
            <w:bookmarkEnd w:id="1"/>
            <w:r w:rsidR="007D47C1">
              <w:rPr>
                <w:rFonts w:ascii="Arial Black" w:hAnsi="Arial Black"/>
                <w:caps/>
                <w:sz w:val="15"/>
              </w:rPr>
              <w:t>English</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1E1BB2" w:rsidP="00AC7148">
            <w:pPr>
              <w:jc w:val="right"/>
              <w:rPr>
                <w:rFonts w:ascii="Arial Black" w:hAnsi="Arial Black"/>
                <w:caps/>
                <w:sz w:val="15"/>
              </w:rPr>
            </w:pPr>
            <w:r>
              <w:rPr>
                <w:rFonts w:ascii="Arial Black" w:hAnsi="Arial Black"/>
                <w:caps/>
                <w:sz w:val="15"/>
              </w:rPr>
              <w:t xml:space="preserve">DATE: </w:t>
            </w:r>
            <w:r w:rsidR="001647D5">
              <w:rPr>
                <w:rFonts w:ascii="Arial Black" w:hAnsi="Arial Black"/>
                <w:caps/>
                <w:sz w:val="15"/>
              </w:rPr>
              <w:t xml:space="preserve"> </w:t>
            </w:r>
            <w:bookmarkStart w:id="2" w:name="Date"/>
            <w:bookmarkEnd w:id="2"/>
            <w:r w:rsidR="007D47C1">
              <w:rPr>
                <w:rFonts w:ascii="Arial Black" w:hAnsi="Arial Black"/>
                <w:caps/>
                <w:sz w:val="15"/>
              </w:rPr>
              <w:t>February 14, 2019</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E1BB2" w:rsidP="008B2CC1">
      <w:pPr>
        <w:rPr>
          <w:b/>
          <w:sz w:val="28"/>
          <w:szCs w:val="28"/>
        </w:rPr>
      </w:pPr>
      <w:r w:rsidRPr="002D1794">
        <w:rPr>
          <w:b/>
          <w:sz w:val="28"/>
          <w:szCs w:val="28"/>
        </w:rPr>
        <w:t>Intergovernmental Committee on Intellectual Property and Genetic Resources, Traditional Knowledge and Folklore</w:t>
      </w:r>
    </w:p>
    <w:p w:rsidR="003845C1" w:rsidRDefault="003845C1" w:rsidP="003845C1"/>
    <w:p w:rsidR="003845C1" w:rsidRDefault="003845C1" w:rsidP="003845C1"/>
    <w:p w:rsidR="001E1BB2" w:rsidRPr="002D1794" w:rsidRDefault="001E1BB2" w:rsidP="001E1BB2">
      <w:pPr>
        <w:rPr>
          <w:b/>
          <w:sz w:val="24"/>
          <w:szCs w:val="24"/>
        </w:rPr>
      </w:pPr>
      <w:r w:rsidRPr="002D1794">
        <w:rPr>
          <w:b/>
          <w:sz w:val="24"/>
          <w:szCs w:val="24"/>
        </w:rPr>
        <w:t>Thirty-</w:t>
      </w:r>
      <w:r>
        <w:rPr>
          <w:b/>
          <w:sz w:val="24"/>
          <w:szCs w:val="24"/>
        </w:rPr>
        <w:t>Ninth</w:t>
      </w:r>
      <w:r w:rsidRPr="002D1794">
        <w:rPr>
          <w:b/>
          <w:sz w:val="24"/>
          <w:szCs w:val="24"/>
        </w:rPr>
        <w:t xml:space="preserve"> Session</w:t>
      </w:r>
    </w:p>
    <w:p w:rsidR="008B2CC1" w:rsidRPr="003845C1" w:rsidRDefault="001E1BB2" w:rsidP="001E1BB2">
      <w:pPr>
        <w:rPr>
          <w:b/>
          <w:sz w:val="24"/>
          <w:szCs w:val="24"/>
        </w:rPr>
      </w:pPr>
      <w:r w:rsidRPr="002D1794">
        <w:rPr>
          <w:b/>
          <w:sz w:val="24"/>
          <w:szCs w:val="24"/>
        </w:rPr>
        <w:t xml:space="preserve">Geneva, </w:t>
      </w:r>
      <w:r>
        <w:rPr>
          <w:b/>
          <w:sz w:val="24"/>
          <w:szCs w:val="24"/>
        </w:rPr>
        <w:t>March 18 to 22</w:t>
      </w:r>
      <w:r w:rsidRPr="002D1794">
        <w:rPr>
          <w:b/>
          <w:sz w:val="24"/>
          <w:szCs w:val="24"/>
        </w:rPr>
        <w:t>, 201</w:t>
      </w:r>
      <w:r>
        <w:rPr>
          <w:b/>
          <w:sz w:val="24"/>
          <w:szCs w:val="24"/>
        </w:rPr>
        <w:t>9</w:t>
      </w:r>
    </w:p>
    <w:p w:rsidR="008B2CC1" w:rsidRPr="008B2CC1" w:rsidRDefault="008B2CC1" w:rsidP="008B2CC1"/>
    <w:p w:rsidR="008B2CC1" w:rsidRPr="008B2CC1" w:rsidRDefault="008B2CC1" w:rsidP="008B2CC1"/>
    <w:p w:rsidR="008B2CC1" w:rsidRPr="008B2CC1" w:rsidRDefault="008B2CC1" w:rsidP="008B2CC1"/>
    <w:p w:rsidR="00444105" w:rsidRPr="003845C1" w:rsidRDefault="00444105" w:rsidP="00444105">
      <w:pPr>
        <w:rPr>
          <w:caps/>
          <w:sz w:val="24"/>
        </w:rPr>
      </w:pPr>
      <w:bookmarkStart w:id="3" w:name="TitleOfDoc"/>
      <w:bookmarkEnd w:id="3"/>
      <w:r w:rsidRPr="00820357">
        <w:rPr>
          <w:caps/>
          <w:sz w:val="24"/>
        </w:rPr>
        <w:t>INFORMATION NOTE FOR THE PANEL OF INDIGENOUS AND LOCAL COMMUNITIES</w:t>
      </w:r>
    </w:p>
    <w:p w:rsidR="00444105" w:rsidRDefault="00444105" w:rsidP="00444105"/>
    <w:p w:rsidR="00444105" w:rsidRPr="00820357" w:rsidRDefault="00444105" w:rsidP="00444105">
      <w:pPr>
        <w:rPr>
          <w:i/>
        </w:rPr>
      </w:pPr>
      <w:r w:rsidRPr="00820357">
        <w:rPr>
          <w:i/>
        </w:rPr>
        <w:t>Document prepared by the Secretariat</w:t>
      </w:r>
    </w:p>
    <w:p w:rsidR="00444105" w:rsidRPr="00820357" w:rsidRDefault="00444105" w:rsidP="00444105">
      <w:pPr>
        <w:rPr>
          <w:i/>
        </w:rPr>
      </w:pPr>
    </w:p>
    <w:p w:rsidR="00444105" w:rsidRPr="00820357" w:rsidRDefault="00444105" w:rsidP="00444105">
      <w:pPr>
        <w:rPr>
          <w:i/>
        </w:rPr>
      </w:pPr>
    </w:p>
    <w:p w:rsidR="00444105" w:rsidRPr="00820357" w:rsidRDefault="00444105" w:rsidP="00444105">
      <w:pPr>
        <w:rPr>
          <w:i/>
        </w:rPr>
      </w:pPr>
    </w:p>
    <w:p w:rsidR="00444105" w:rsidRPr="00820357" w:rsidRDefault="00444105" w:rsidP="00444105">
      <w:pPr>
        <w:rPr>
          <w:i/>
        </w:rPr>
      </w:pPr>
    </w:p>
    <w:p w:rsidR="00444105" w:rsidRPr="00820357" w:rsidRDefault="00444105" w:rsidP="00444105">
      <w:pPr>
        <w:numPr>
          <w:ilvl w:val="0"/>
          <w:numId w:val="7"/>
        </w:numPr>
      </w:pPr>
      <w:r w:rsidRPr="00820357">
        <w:t xml:space="preserve">At its Seventh Session, the Intergovernmental Committee on Intellectual Property and Genetic Resources, Traditional Knowledge and Folklore (“the Committee”) agreed “that, immediately before the commencement of the sessions of the Committee, half-day panel presentations </w:t>
      </w:r>
      <w:proofErr w:type="gramStart"/>
      <w:r w:rsidRPr="00820357">
        <w:t>should be organized</w:t>
      </w:r>
      <w:proofErr w:type="gramEnd"/>
      <w:r w:rsidRPr="00820357">
        <w:t xml:space="preserve">, chaired by a representative from a local or indigenous community”.  These panels </w:t>
      </w:r>
      <w:proofErr w:type="gramStart"/>
      <w:r w:rsidRPr="00820357">
        <w:t>have since been organized</w:t>
      </w:r>
      <w:proofErr w:type="gramEnd"/>
      <w:r w:rsidRPr="00820357">
        <w:t xml:space="preserve"> for each Committee session convened since 2005.</w:t>
      </w:r>
    </w:p>
    <w:p w:rsidR="00444105" w:rsidRPr="00820357" w:rsidRDefault="00444105" w:rsidP="00444105"/>
    <w:p w:rsidR="00444105" w:rsidRDefault="00444105" w:rsidP="00444105">
      <w:pPr>
        <w:numPr>
          <w:ilvl w:val="0"/>
          <w:numId w:val="7"/>
        </w:numPr>
      </w:pPr>
      <w:r w:rsidRPr="00820357">
        <w:t>Pursuant to the IGC’s mandate and its work program for the 2018-2019 biennium, the Thirty-</w:t>
      </w:r>
      <w:r>
        <w:t>Ninth Session</w:t>
      </w:r>
      <w:r w:rsidRPr="00820357">
        <w:t xml:space="preserve"> will focus on </w:t>
      </w:r>
      <w:r>
        <w:t>traditional knowledge and traditional cultural expressions</w:t>
      </w:r>
      <w:r w:rsidRPr="00820357">
        <w:t xml:space="preserve">.  The theme of the panel at </w:t>
      </w:r>
      <w:r>
        <w:t>this</w:t>
      </w:r>
      <w:r w:rsidRPr="00820357">
        <w:rPr>
          <w:lang w:val="en-GB"/>
        </w:rPr>
        <w:t xml:space="preserve"> Session will </w:t>
      </w:r>
      <w:proofErr w:type="gramStart"/>
      <w:r w:rsidRPr="00820357">
        <w:rPr>
          <w:lang w:val="en-GB"/>
        </w:rPr>
        <w:t>be:</w:t>
      </w:r>
      <w:proofErr w:type="gramEnd"/>
      <w:r w:rsidRPr="00820357">
        <w:rPr>
          <w:lang w:val="en-GB"/>
        </w:rPr>
        <w:t xml:space="preserve">  “</w:t>
      </w:r>
      <w:r w:rsidRPr="00444105">
        <w:rPr>
          <w:lang w:val="en-GB"/>
        </w:rPr>
        <w:t>Draft Articles on Intellectual Property and Traditional Knowledge/Traditional Cultural Expressions:  Indigenous Peoples’ and Local Communities’ Perspectives on Subject Matter and Scope of Protection</w:t>
      </w:r>
      <w:r w:rsidRPr="00820357">
        <w:t xml:space="preserve">”.  </w:t>
      </w:r>
    </w:p>
    <w:p w:rsidR="00444105" w:rsidRPr="00820357" w:rsidRDefault="00444105" w:rsidP="00444105"/>
    <w:p w:rsidR="00444105" w:rsidRPr="00820357" w:rsidRDefault="00444105" w:rsidP="00444105">
      <w:pPr>
        <w:numPr>
          <w:ilvl w:val="0"/>
          <w:numId w:val="7"/>
        </w:numPr>
      </w:pPr>
      <w:r w:rsidRPr="00820357">
        <w:t>The Annex contains the provisional program of the panel for the Thirty-</w:t>
      </w:r>
      <w:r>
        <w:t>Ninth</w:t>
      </w:r>
      <w:r w:rsidRPr="00820357">
        <w:t xml:space="preserve"> Session.</w:t>
      </w:r>
    </w:p>
    <w:p w:rsidR="00444105" w:rsidRPr="00820357" w:rsidRDefault="00444105" w:rsidP="00444105"/>
    <w:p w:rsidR="00444105" w:rsidRPr="00E02E62" w:rsidRDefault="00444105" w:rsidP="00444105">
      <w:pPr>
        <w:ind w:left="5533"/>
        <w:rPr>
          <w:i/>
        </w:rPr>
      </w:pPr>
      <w:r w:rsidRPr="00820357">
        <w:t>[Annex follows]</w:t>
      </w:r>
    </w:p>
    <w:p w:rsidR="00444105" w:rsidRDefault="00444105" w:rsidP="00444105"/>
    <w:p w:rsidR="00444105" w:rsidRDefault="00444105" w:rsidP="00444105">
      <w:r>
        <w:br w:type="page"/>
      </w:r>
    </w:p>
    <w:p w:rsidR="00444105" w:rsidRPr="00820357" w:rsidRDefault="00444105" w:rsidP="00444105">
      <w:r w:rsidRPr="00820357">
        <w:lastRenderedPageBreak/>
        <w:t xml:space="preserve">PROVISIONAL PROGRAM OF THE PANEL </w:t>
      </w:r>
    </w:p>
    <w:p w:rsidR="00444105" w:rsidRPr="00820357" w:rsidRDefault="00444105" w:rsidP="00444105"/>
    <w:p w:rsidR="00444105" w:rsidRPr="00820357" w:rsidRDefault="00444105" w:rsidP="00444105"/>
    <w:tbl>
      <w:tblPr>
        <w:tblW w:w="9571" w:type="dxa"/>
        <w:tblLayout w:type="fixed"/>
        <w:tblLook w:val="0000" w:firstRow="0" w:lastRow="0" w:firstColumn="0" w:lastColumn="0" w:noHBand="0" w:noVBand="0"/>
      </w:tblPr>
      <w:tblGrid>
        <w:gridCol w:w="2898"/>
        <w:gridCol w:w="540"/>
        <w:gridCol w:w="6133"/>
      </w:tblGrid>
      <w:tr w:rsidR="00444105" w:rsidRPr="00820357" w:rsidTr="00497053">
        <w:tc>
          <w:tcPr>
            <w:tcW w:w="3438" w:type="dxa"/>
            <w:gridSpan w:val="2"/>
            <w:shd w:val="clear" w:color="auto" w:fill="auto"/>
          </w:tcPr>
          <w:p w:rsidR="00444105" w:rsidRPr="00820357" w:rsidRDefault="00444105" w:rsidP="00497053">
            <w:pPr>
              <w:rPr>
                <w:u w:val="single"/>
              </w:rPr>
            </w:pPr>
            <w:r w:rsidRPr="00820357">
              <w:rPr>
                <w:u w:val="single"/>
              </w:rPr>
              <w:t xml:space="preserve">Monday, </w:t>
            </w:r>
            <w:r w:rsidR="00971480">
              <w:rPr>
                <w:u w:val="single"/>
              </w:rPr>
              <w:t>March 18, 2019</w:t>
            </w:r>
          </w:p>
          <w:p w:rsidR="00444105" w:rsidRPr="00820357" w:rsidRDefault="00444105" w:rsidP="00497053"/>
        </w:tc>
        <w:tc>
          <w:tcPr>
            <w:tcW w:w="6133" w:type="dxa"/>
            <w:shd w:val="clear" w:color="auto" w:fill="auto"/>
          </w:tcPr>
          <w:p w:rsidR="00444105" w:rsidRPr="00820357" w:rsidRDefault="00444105" w:rsidP="00497053"/>
        </w:tc>
      </w:tr>
      <w:tr w:rsidR="00444105" w:rsidRPr="00820357" w:rsidTr="00497053">
        <w:tc>
          <w:tcPr>
            <w:tcW w:w="2898" w:type="dxa"/>
            <w:shd w:val="clear" w:color="auto" w:fill="auto"/>
          </w:tcPr>
          <w:p w:rsidR="00444105" w:rsidRPr="00820357" w:rsidRDefault="00444105" w:rsidP="00497053">
            <w:pPr>
              <w:rPr>
                <w:u w:val="single"/>
              </w:rPr>
            </w:pPr>
          </w:p>
        </w:tc>
        <w:tc>
          <w:tcPr>
            <w:tcW w:w="6673" w:type="dxa"/>
            <w:gridSpan w:val="2"/>
            <w:shd w:val="clear" w:color="auto" w:fill="auto"/>
          </w:tcPr>
          <w:p w:rsidR="00444105" w:rsidRPr="00820357" w:rsidRDefault="00444105" w:rsidP="00497053"/>
        </w:tc>
      </w:tr>
      <w:tr w:rsidR="00444105" w:rsidRPr="00820357" w:rsidTr="00497053">
        <w:tc>
          <w:tcPr>
            <w:tcW w:w="2898" w:type="dxa"/>
            <w:shd w:val="clear" w:color="auto" w:fill="auto"/>
          </w:tcPr>
          <w:p w:rsidR="00444105" w:rsidRPr="00820357" w:rsidRDefault="00444105" w:rsidP="00497053">
            <w:r>
              <w:t>11.0</w:t>
            </w:r>
            <w:r w:rsidRPr="00820357">
              <w:t xml:space="preserve">0 </w:t>
            </w:r>
          </w:p>
        </w:tc>
        <w:tc>
          <w:tcPr>
            <w:tcW w:w="6673" w:type="dxa"/>
            <w:gridSpan w:val="2"/>
            <w:shd w:val="clear" w:color="auto" w:fill="auto"/>
          </w:tcPr>
          <w:p w:rsidR="00444105" w:rsidRPr="00820357" w:rsidRDefault="00444105" w:rsidP="00497053">
            <w:r w:rsidRPr="00820357">
              <w:t>Opening</w:t>
            </w:r>
          </w:p>
        </w:tc>
      </w:tr>
      <w:tr w:rsidR="00444105" w:rsidRPr="00820357" w:rsidTr="00497053">
        <w:tc>
          <w:tcPr>
            <w:tcW w:w="2898" w:type="dxa"/>
            <w:shd w:val="clear" w:color="auto" w:fill="auto"/>
          </w:tcPr>
          <w:p w:rsidR="00444105" w:rsidRPr="00820357" w:rsidRDefault="00444105" w:rsidP="00497053"/>
        </w:tc>
        <w:tc>
          <w:tcPr>
            <w:tcW w:w="6673" w:type="dxa"/>
            <w:gridSpan w:val="2"/>
            <w:shd w:val="clear" w:color="auto" w:fill="auto"/>
          </w:tcPr>
          <w:p w:rsidR="00444105" w:rsidRPr="00820357" w:rsidRDefault="00444105" w:rsidP="00497053"/>
        </w:tc>
      </w:tr>
      <w:tr w:rsidR="00444105" w:rsidRPr="00820357" w:rsidTr="00497053">
        <w:tc>
          <w:tcPr>
            <w:tcW w:w="2898" w:type="dxa"/>
            <w:shd w:val="clear" w:color="auto" w:fill="auto"/>
          </w:tcPr>
          <w:p w:rsidR="00444105" w:rsidRPr="00820357" w:rsidRDefault="00444105" w:rsidP="00497053"/>
        </w:tc>
        <w:tc>
          <w:tcPr>
            <w:tcW w:w="6673" w:type="dxa"/>
            <w:gridSpan w:val="2"/>
            <w:shd w:val="clear" w:color="auto" w:fill="auto"/>
          </w:tcPr>
          <w:p w:rsidR="00444105" w:rsidRPr="00820357" w:rsidRDefault="00444105" w:rsidP="00497053">
            <w:r w:rsidRPr="00820357">
              <w:t>Chair – (to be identified by the WIPO Indigenous Consultative Forum)</w:t>
            </w:r>
          </w:p>
        </w:tc>
      </w:tr>
      <w:tr w:rsidR="00444105" w:rsidRPr="00820357" w:rsidTr="00497053">
        <w:tc>
          <w:tcPr>
            <w:tcW w:w="2898" w:type="dxa"/>
            <w:shd w:val="clear" w:color="auto" w:fill="auto"/>
          </w:tcPr>
          <w:p w:rsidR="00444105" w:rsidRPr="00820357" w:rsidRDefault="00444105" w:rsidP="00497053"/>
        </w:tc>
        <w:tc>
          <w:tcPr>
            <w:tcW w:w="6673" w:type="dxa"/>
            <w:gridSpan w:val="2"/>
            <w:shd w:val="clear" w:color="auto" w:fill="auto"/>
          </w:tcPr>
          <w:p w:rsidR="00444105" w:rsidRPr="00820357" w:rsidRDefault="00444105" w:rsidP="00497053"/>
        </w:tc>
      </w:tr>
      <w:tr w:rsidR="00444105" w:rsidRPr="00820357" w:rsidTr="00497053">
        <w:tc>
          <w:tcPr>
            <w:tcW w:w="2898" w:type="dxa"/>
            <w:shd w:val="clear" w:color="auto" w:fill="auto"/>
          </w:tcPr>
          <w:p w:rsidR="00444105" w:rsidRPr="00820357" w:rsidRDefault="00444105" w:rsidP="00497053">
            <w:r>
              <w:t>11.00 – 11.1</w:t>
            </w:r>
            <w:r w:rsidRPr="00820357">
              <w:t>5</w:t>
            </w:r>
          </w:p>
        </w:tc>
        <w:tc>
          <w:tcPr>
            <w:tcW w:w="6673" w:type="dxa"/>
            <w:gridSpan w:val="2"/>
            <w:shd w:val="clear" w:color="auto" w:fill="auto"/>
          </w:tcPr>
          <w:p w:rsidR="00444105" w:rsidRPr="00820357" w:rsidRDefault="00971480" w:rsidP="00497053">
            <w:pPr>
              <w:rPr>
                <w:lang w:val="en-GB"/>
              </w:rPr>
            </w:pPr>
            <w:r w:rsidRPr="00971480">
              <w:t xml:space="preserve">Ms. Jennifer </w:t>
            </w:r>
            <w:proofErr w:type="spellStart"/>
            <w:r w:rsidRPr="00971480">
              <w:t>Tauli</w:t>
            </w:r>
            <w:proofErr w:type="spellEnd"/>
            <w:r w:rsidRPr="00971480">
              <w:t xml:space="preserve"> </w:t>
            </w:r>
            <w:proofErr w:type="spellStart"/>
            <w:r w:rsidRPr="00971480">
              <w:t>Corpuz</w:t>
            </w:r>
            <w:proofErr w:type="spellEnd"/>
            <w:r>
              <w:t>, who</w:t>
            </w:r>
            <w:r w:rsidRPr="00971480">
              <w:t xml:space="preserve"> is from the </w:t>
            </w:r>
            <w:proofErr w:type="spellStart"/>
            <w:r w:rsidRPr="00971480">
              <w:t>Kankana-ey</w:t>
            </w:r>
            <w:proofErr w:type="spellEnd"/>
            <w:r w:rsidRPr="00971480">
              <w:t xml:space="preserve"> Igorot People of the Mountain Province in the Philippines.  She currently coordinates the Legal Desk for the </w:t>
            </w:r>
            <w:proofErr w:type="spellStart"/>
            <w:r w:rsidRPr="00971480">
              <w:t>Tebtebba</w:t>
            </w:r>
            <w:proofErr w:type="spellEnd"/>
            <w:r w:rsidRPr="00971480">
              <w:t xml:space="preserve"> Indigenous Peoples’ </w:t>
            </w:r>
            <w:smartTag w:uri="urn:schemas-microsoft-com:office:smarttags" w:element="metricconverter">
              <w:smartTagPr>
                <w:attr w:name="ProductID" w:val="11.00 a"/>
              </w:smartTagPr>
              <w:smartTag w:uri="urn:schemas-microsoft-com:office:smarttags" w:element="metricconverter">
                <w:smartTagPr>
                  <w:attr w:name="ProductID" w:val="11.00 a"/>
                </w:smartTagPr>
                <w:r w:rsidRPr="00971480">
                  <w:t>International</w:t>
                </w:r>
              </w:smartTag>
              <w:r w:rsidRPr="00971480">
                <w:t xml:space="preserve"> </w:t>
              </w:r>
              <w:smartTag w:uri="urn:schemas-microsoft-com:office:smarttags" w:element="metricconverter">
                <w:smartTagPr>
                  <w:attr w:name="ProductID" w:val="11.00 a"/>
                </w:smartTagPr>
                <w:r w:rsidRPr="00971480">
                  <w:t>Center</w:t>
                </w:r>
              </w:smartTag>
            </w:smartTag>
            <w:r w:rsidRPr="00971480">
              <w:t xml:space="preserve"> for Policy Research and Education.</w:t>
            </w:r>
          </w:p>
        </w:tc>
      </w:tr>
      <w:tr w:rsidR="00444105" w:rsidRPr="00820357" w:rsidTr="00497053">
        <w:tc>
          <w:tcPr>
            <w:tcW w:w="2898" w:type="dxa"/>
            <w:shd w:val="clear" w:color="auto" w:fill="auto"/>
          </w:tcPr>
          <w:p w:rsidR="00444105" w:rsidRPr="00820357" w:rsidRDefault="00444105" w:rsidP="00497053"/>
        </w:tc>
        <w:tc>
          <w:tcPr>
            <w:tcW w:w="6673" w:type="dxa"/>
            <w:gridSpan w:val="2"/>
            <w:shd w:val="clear" w:color="auto" w:fill="auto"/>
          </w:tcPr>
          <w:p w:rsidR="00444105" w:rsidRPr="00820357" w:rsidRDefault="00444105" w:rsidP="00497053"/>
        </w:tc>
      </w:tr>
      <w:tr w:rsidR="00444105" w:rsidRPr="00820357" w:rsidTr="00497053">
        <w:tc>
          <w:tcPr>
            <w:tcW w:w="2898" w:type="dxa"/>
            <w:shd w:val="clear" w:color="auto" w:fill="auto"/>
          </w:tcPr>
          <w:p w:rsidR="00444105" w:rsidRPr="00820357" w:rsidRDefault="00444105" w:rsidP="00497053">
            <w:r>
              <w:t>11.15 – 11.30</w:t>
            </w:r>
          </w:p>
        </w:tc>
        <w:tc>
          <w:tcPr>
            <w:tcW w:w="6673" w:type="dxa"/>
            <w:gridSpan w:val="2"/>
            <w:shd w:val="clear" w:color="auto" w:fill="auto"/>
          </w:tcPr>
          <w:p w:rsidR="00444105" w:rsidRPr="00820357" w:rsidRDefault="00971480" w:rsidP="00497053">
            <w:r w:rsidRPr="00971480">
              <w:t>Mrs. Edith Bastidas</w:t>
            </w:r>
            <w:r>
              <w:t>, who</w:t>
            </w:r>
            <w:r w:rsidRPr="00971480">
              <w:t xml:space="preserve"> is an indigenous representative of </w:t>
            </w:r>
            <w:proofErr w:type="spellStart"/>
            <w:r w:rsidRPr="00971480">
              <w:rPr>
                <w:i/>
              </w:rPr>
              <w:t>Pastos</w:t>
            </w:r>
            <w:proofErr w:type="spellEnd"/>
            <w:r w:rsidRPr="00971480">
              <w:t xml:space="preserve"> Indigenous Peoples, </w:t>
            </w:r>
            <w:proofErr w:type="spellStart"/>
            <w:r w:rsidRPr="00971480">
              <w:rPr>
                <w:i/>
              </w:rPr>
              <w:t>Resguardo</w:t>
            </w:r>
            <w:proofErr w:type="spellEnd"/>
            <w:r w:rsidRPr="00971480">
              <w:rPr>
                <w:i/>
              </w:rPr>
              <w:t xml:space="preserve"> </w:t>
            </w:r>
            <w:proofErr w:type="spellStart"/>
            <w:r w:rsidRPr="00971480">
              <w:rPr>
                <w:i/>
              </w:rPr>
              <w:t>Indígena</w:t>
            </w:r>
            <w:proofErr w:type="spellEnd"/>
            <w:r w:rsidRPr="00971480">
              <w:rPr>
                <w:i/>
              </w:rPr>
              <w:t xml:space="preserve"> </w:t>
            </w:r>
            <w:proofErr w:type="spellStart"/>
            <w:r w:rsidRPr="00971480">
              <w:rPr>
                <w:i/>
              </w:rPr>
              <w:t>Ipiales</w:t>
            </w:r>
            <w:proofErr w:type="spellEnd"/>
            <w:r w:rsidRPr="00971480">
              <w:t>, Colombia.  She is a lawyer and specializes in indigenous peoples’ rights.</w:t>
            </w:r>
          </w:p>
          <w:p w:rsidR="00444105" w:rsidRPr="00820357" w:rsidRDefault="00444105" w:rsidP="00497053"/>
        </w:tc>
      </w:tr>
      <w:tr w:rsidR="00444105" w:rsidRPr="00971480" w:rsidTr="00497053">
        <w:tc>
          <w:tcPr>
            <w:tcW w:w="2898" w:type="dxa"/>
            <w:shd w:val="clear" w:color="auto" w:fill="auto"/>
          </w:tcPr>
          <w:p w:rsidR="00444105" w:rsidRPr="00820357" w:rsidRDefault="00444105" w:rsidP="00497053">
            <w:r>
              <w:t>11.30 – 11.45</w:t>
            </w:r>
          </w:p>
        </w:tc>
        <w:tc>
          <w:tcPr>
            <w:tcW w:w="6673" w:type="dxa"/>
            <w:gridSpan w:val="2"/>
            <w:shd w:val="clear" w:color="auto" w:fill="auto"/>
          </w:tcPr>
          <w:p w:rsidR="00444105" w:rsidRPr="00971480" w:rsidRDefault="00971480" w:rsidP="00497053">
            <w:pPr>
              <w:rPr>
                <w:bCs/>
                <w:szCs w:val="22"/>
              </w:rPr>
            </w:pPr>
            <w:r w:rsidRPr="00971480">
              <w:rPr>
                <w:bCs/>
                <w:szCs w:val="22"/>
              </w:rPr>
              <w:t xml:space="preserve">Mr. </w:t>
            </w:r>
            <w:proofErr w:type="spellStart"/>
            <w:r w:rsidRPr="00971480">
              <w:rPr>
                <w:bCs/>
                <w:szCs w:val="22"/>
              </w:rPr>
              <w:t>Áslat</w:t>
            </w:r>
            <w:proofErr w:type="spellEnd"/>
            <w:r w:rsidRPr="00971480">
              <w:rPr>
                <w:bCs/>
                <w:szCs w:val="22"/>
              </w:rPr>
              <w:t xml:space="preserve"> Holmberg</w:t>
            </w:r>
            <w:r>
              <w:rPr>
                <w:bCs/>
                <w:szCs w:val="22"/>
              </w:rPr>
              <w:t>, who</w:t>
            </w:r>
            <w:r w:rsidRPr="00971480">
              <w:rPr>
                <w:bCs/>
                <w:szCs w:val="22"/>
              </w:rPr>
              <w:t xml:space="preserve"> is a Saami from Finland.  He is the Vice President of the Saami Council, representing the Finnish Sámi Central Organization.</w:t>
            </w:r>
          </w:p>
          <w:p w:rsidR="00444105" w:rsidRPr="00971480" w:rsidRDefault="00444105" w:rsidP="00497053"/>
        </w:tc>
      </w:tr>
      <w:tr w:rsidR="00444105" w:rsidRPr="00820357" w:rsidTr="00497053">
        <w:tc>
          <w:tcPr>
            <w:tcW w:w="2898" w:type="dxa"/>
            <w:shd w:val="clear" w:color="auto" w:fill="auto"/>
          </w:tcPr>
          <w:p w:rsidR="00444105" w:rsidRPr="00820357" w:rsidRDefault="00444105" w:rsidP="00497053">
            <w:r>
              <w:t>11.45 – 12.0</w:t>
            </w:r>
            <w:r w:rsidRPr="00820357">
              <w:t xml:space="preserve">0 </w:t>
            </w:r>
          </w:p>
        </w:tc>
        <w:tc>
          <w:tcPr>
            <w:tcW w:w="6673" w:type="dxa"/>
            <w:gridSpan w:val="2"/>
            <w:shd w:val="clear" w:color="auto" w:fill="auto"/>
          </w:tcPr>
          <w:p w:rsidR="00444105" w:rsidRPr="00820357" w:rsidRDefault="00444105" w:rsidP="00497053">
            <w:r w:rsidRPr="00820357">
              <w:t xml:space="preserve">Floor discussion and closing of panel </w:t>
            </w:r>
          </w:p>
        </w:tc>
      </w:tr>
      <w:tr w:rsidR="00444105" w:rsidRPr="00820357" w:rsidTr="00497053">
        <w:tc>
          <w:tcPr>
            <w:tcW w:w="2898" w:type="dxa"/>
            <w:shd w:val="clear" w:color="auto" w:fill="auto"/>
          </w:tcPr>
          <w:p w:rsidR="00444105" w:rsidRPr="00820357" w:rsidRDefault="00444105" w:rsidP="00497053"/>
        </w:tc>
        <w:tc>
          <w:tcPr>
            <w:tcW w:w="6673" w:type="dxa"/>
            <w:gridSpan w:val="2"/>
            <w:shd w:val="clear" w:color="auto" w:fill="auto"/>
          </w:tcPr>
          <w:p w:rsidR="00444105" w:rsidRPr="00820357" w:rsidRDefault="00444105" w:rsidP="00497053"/>
        </w:tc>
      </w:tr>
      <w:tr w:rsidR="00444105" w:rsidRPr="00820357" w:rsidTr="00497053">
        <w:tc>
          <w:tcPr>
            <w:tcW w:w="2898" w:type="dxa"/>
            <w:shd w:val="clear" w:color="auto" w:fill="auto"/>
          </w:tcPr>
          <w:p w:rsidR="00444105" w:rsidRPr="00820357" w:rsidRDefault="00444105" w:rsidP="00497053"/>
        </w:tc>
        <w:tc>
          <w:tcPr>
            <w:tcW w:w="6673" w:type="dxa"/>
            <w:gridSpan w:val="2"/>
            <w:shd w:val="clear" w:color="auto" w:fill="auto"/>
          </w:tcPr>
          <w:p w:rsidR="00444105" w:rsidRPr="00820357" w:rsidRDefault="00444105" w:rsidP="00497053"/>
        </w:tc>
      </w:tr>
    </w:tbl>
    <w:p w:rsidR="00444105" w:rsidRPr="00820357" w:rsidRDefault="00444105" w:rsidP="00444105">
      <w:pPr>
        <w:ind w:left="5670"/>
      </w:pPr>
      <w:r w:rsidRPr="00820357">
        <w:t>[End of Annex and of document]</w:t>
      </w:r>
    </w:p>
    <w:p w:rsidR="002928D3" w:rsidRDefault="002928D3">
      <w:bookmarkStart w:id="4" w:name="_GoBack"/>
      <w:bookmarkEnd w:id="4"/>
    </w:p>
    <w:sectPr w:rsidR="002928D3" w:rsidSect="007D47C1">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7C1" w:rsidRDefault="007D47C1">
      <w:r>
        <w:separator/>
      </w:r>
    </w:p>
  </w:endnote>
  <w:endnote w:type="continuationSeparator" w:id="0">
    <w:p w:rsidR="007D47C1" w:rsidRDefault="007D47C1" w:rsidP="003B38C1">
      <w:r>
        <w:separator/>
      </w:r>
    </w:p>
    <w:p w:rsidR="007D47C1" w:rsidRPr="003B38C1" w:rsidRDefault="007D47C1" w:rsidP="003B38C1">
      <w:pPr>
        <w:spacing w:after="60"/>
        <w:rPr>
          <w:sz w:val="17"/>
        </w:rPr>
      </w:pPr>
      <w:r>
        <w:rPr>
          <w:sz w:val="17"/>
        </w:rPr>
        <w:t>[Endnote continued from previous page]</w:t>
      </w:r>
    </w:p>
  </w:endnote>
  <w:endnote w:type="continuationNotice" w:id="1">
    <w:p w:rsidR="007D47C1" w:rsidRPr="003B38C1" w:rsidRDefault="007D47C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7C1" w:rsidRDefault="007D47C1">
      <w:r>
        <w:separator/>
      </w:r>
    </w:p>
  </w:footnote>
  <w:footnote w:type="continuationSeparator" w:id="0">
    <w:p w:rsidR="007D47C1" w:rsidRDefault="007D47C1" w:rsidP="008B60B2">
      <w:r>
        <w:separator/>
      </w:r>
    </w:p>
    <w:p w:rsidR="007D47C1" w:rsidRPr="00ED77FB" w:rsidRDefault="007D47C1" w:rsidP="008B60B2">
      <w:pPr>
        <w:spacing w:after="60"/>
        <w:rPr>
          <w:sz w:val="17"/>
          <w:szCs w:val="17"/>
        </w:rPr>
      </w:pPr>
      <w:r w:rsidRPr="00ED77FB">
        <w:rPr>
          <w:sz w:val="17"/>
          <w:szCs w:val="17"/>
        </w:rPr>
        <w:t>[Footnote continued from previous page]</w:t>
      </w:r>
    </w:p>
  </w:footnote>
  <w:footnote w:type="continuationNotice" w:id="1">
    <w:p w:rsidR="007D47C1" w:rsidRPr="00ED77FB" w:rsidRDefault="007D47C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7D47C1" w:rsidP="00477D6B">
    <w:pPr>
      <w:jc w:val="right"/>
    </w:pPr>
    <w:bookmarkStart w:id="5" w:name="Code2"/>
    <w:bookmarkEnd w:id="5"/>
    <w:r>
      <w:t>WIPO/GRTKF/IC/39/INF/5</w:t>
    </w:r>
  </w:p>
  <w:p w:rsidR="00EC4E49" w:rsidRDefault="00971480" w:rsidP="00477D6B">
    <w:pPr>
      <w:jc w:val="right"/>
    </w:pPr>
    <w:r>
      <w:t>ANNEX</w:t>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C1"/>
    <w:rsid w:val="00043CAA"/>
    <w:rsid w:val="00075432"/>
    <w:rsid w:val="000968ED"/>
    <w:rsid w:val="000F5E56"/>
    <w:rsid w:val="001362EE"/>
    <w:rsid w:val="001647D5"/>
    <w:rsid w:val="001832A6"/>
    <w:rsid w:val="001E1BB2"/>
    <w:rsid w:val="0021217E"/>
    <w:rsid w:val="002634C4"/>
    <w:rsid w:val="002928D3"/>
    <w:rsid w:val="002F1FE6"/>
    <w:rsid w:val="002F4E68"/>
    <w:rsid w:val="00312F7F"/>
    <w:rsid w:val="00361450"/>
    <w:rsid w:val="003673CF"/>
    <w:rsid w:val="003845C1"/>
    <w:rsid w:val="003A6F89"/>
    <w:rsid w:val="003B38C1"/>
    <w:rsid w:val="00423E3E"/>
    <w:rsid w:val="00427AF4"/>
    <w:rsid w:val="00444105"/>
    <w:rsid w:val="004647DA"/>
    <w:rsid w:val="00474062"/>
    <w:rsid w:val="00477D6B"/>
    <w:rsid w:val="005019FF"/>
    <w:rsid w:val="0053057A"/>
    <w:rsid w:val="00560A29"/>
    <w:rsid w:val="005C6649"/>
    <w:rsid w:val="00605827"/>
    <w:rsid w:val="00646050"/>
    <w:rsid w:val="006713CA"/>
    <w:rsid w:val="00676C5C"/>
    <w:rsid w:val="006967DF"/>
    <w:rsid w:val="007D1613"/>
    <w:rsid w:val="007D47C1"/>
    <w:rsid w:val="007E4C0E"/>
    <w:rsid w:val="008A134B"/>
    <w:rsid w:val="008B2CC1"/>
    <w:rsid w:val="008B60B2"/>
    <w:rsid w:val="0090731E"/>
    <w:rsid w:val="00916EE2"/>
    <w:rsid w:val="00966A22"/>
    <w:rsid w:val="0096722F"/>
    <w:rsid w:val="00971480"/>
    <w:rsid w:val="00980843"/>
    <w:rsid w:val="009E2791"/>
    <w:rsid w:val="009E3F6F"/>
    <w:rsid w:val="009F499F"/>
    <w:rsid w:val="00A37342"/>
    <w:rsid w:val="00A42DAF"/>
    <w:rsid w:val="00A45BD8"/>
    <w:rsid w:val="00A869B7"/>
    <w:rsid w:val="00AC205C"/>
    <w:rsid w:val="00AC7148"/>
    <w:rsid w:val="00AF0A6B"/>
    <w:rsid w:val="00B05A69"/>
    <w:rsid w:val="00B9734B"/>
    <w:rsid w:val="00BA30E2"/>
    <w:rsid w:val="00C11BFE"/>
    <w:rsid w:val="00C5068F"/>
    <w:rsid w:val="00C86D74"/>
    <w:rsid w:val="00CD04F1"/>
    <w:rsid w:val="00D35CB4"/>
    <w:rsid w:val="00D45252"/>
    <w:rsid w:val="00D71B4D"/>
    <w:rsid w:val="00D93D55"/>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docId w15:val="{9073E9AB-3072-43BD-9ACD-E13E82FC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39 (E)</Template>
  <TotalTime>6</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WIPO/GRTKF/IC/39/</vt:lpstr>
    </vt:vector>
  </TitlesOfParts>
  <Company>WIPO</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WIPO/GRTKF/IC/39/INF/5</dc:title>
  <dc:creator>JIAO Fei</dc:creator>
  <cp:lastModifiedBy>MORENO PALESTINI Maria Del Pilar</cp:lastModifiedBy>
  <cp:revision>4</cp:revision>
  <cp:lastPrinted>2011-02-15T11:56:00Z</cp:lastPrinted>
  <dcterms:created xsi:type="dcterms:W3CDTF">2019-02-13T22:40:00Z</dcterms:created>
  <dcterms:modified xsi:type="dcterms:W3CDTF">2019-02-14T13:48:00Z</dcterms:modified>
</cp:coreProperties>
</file>