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1066BA"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5pt;height:104.2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3774F7">
              <w:rPr>
                <w:rFonts w:ascii="Arial Black" w:hAnsi="Arial Black"/>
                <w:caps/>
                <w:sz w:val="15"/>
              </w:rPr>
              <w:t>34</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D7013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70136">
              <w:rPr>
                <w:rFonts w:ascii="Arial Black" w:hAnsi="Arial Black"/>
                <w:caps/>
                <w:sz w:val="15"/>
              </w:rPr>
              <w:t>March 2</w:t>
            </w:r>
            <w:r w:rsidR="00A63943">
              <w:rPr>
                <w:rFonts w:ascii="Arial Black" w:hAnsi="Arial Black"/>
                <w:caps/>
                <w:sz w:val="15"/>
              </w:rPr>
              <w:t>, 201</w:t>
            </w:r>
            <w:r w:rsidR="003774F7">
              <w:rPr>
                <w:rFonts w:ascii="Arial Black" w:hAnsi="Arial Black"/>
                <w:caps/>
                <w:sz w:val="15"/>
              </w:rPr>
              <w:t>7</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bookmarkStart w:id="3" w:name="_GoBack"/>
      <w:bookmarkEnd w:id="3"/>
    </w:p>
    <w:p w:rsidR="00A63943" w:rsidRPr="00A63943" w:rsidRDefault="006758EC" w:rsidP="00A63943">
      <w:pPr>
        <w:rPr>
          <w:b/>
          <w:sz w:val="24"/>
          <w:szCs w:val="24"/>
        </w:rPr>
      </w:pPr>
      <w:r>
        <w:rPr>
          <w:b/>
          <w:sz w:val="24"/>
          <w:szCs w:val="24"/>
        </w:rPr>
        <w:t>Thirty-</w:t>
      </w:r>
      <w:r w:rsidR="003774F7">
        <w:rPr>
          <w:b/>
          <w:sz w:val="24"/>
          <w:szCs w:val="24"/>
        </w:rPr>
        <w:t>Fourth</w:t>
      </w:r>
      <w:r w:rsidR="002B50B4" w:rsidRPr="00A63943">
        <w:rPr>
          <w:b/>
          <w:sz w:val="24"/>
          <w:szCs w:val="24"/>
        </w:rPr>
        <w:t xml:space="preserve"> </w:t>
      </w:r>
      <w:proofErr w:type="gramStart"/>
      <w:r w:rsidR="002B50B4" w:rsidRPr="00A63943">
        <w:rPr>
          <w:b/>
          <w:sz w:val="24"/>
          <w:szCs w:val="24"/>
        </w:rPr>
        <w:t>Session</w:t>
      </w:r>
      <w:proofErr w:type="gramEnd"/>
    </w:p>
    <w:p w:rsidR="008B2CC1" w:rsidRPr="008B2CC1" w:rsidRDefault="00A63943" w:rsidP="00A63943">
      <w:r w:rsidRPr="00A63943">
        <w:rPr>
          <w:b/>
          <w:sz w:val="24"/>
          <w:szCs w:val="24"/>
        </w:rPr>
        <w:t xml:space="preserve">Geneva, </w:t>
      </w:r>
      <w:r w:rsidR="003774F7">
        <w:rPr>
          <w:b/>
          <w:sz w:val="24"/>
          <w:szCs w:val="24"/>
        </w:rPr>
        <w:t>June 12</w:t>
      </w:r>
      <w:r w:rsidR="00C05E73">
        <w:rPr>
          <w:b/>
          <w:sz w:val="24"/>
          <w:szCs w:val="24"/>
        </w:rPr>
        <w:t xml:space="preserve"> to</w:t>
      </w:r>
      <w:r w:rsidR="003774F7">
        <w:rPr>
          <w:b/>
          <w:sz w:val="24"/>
          <w:szCs w:val="24"/>
        </w:rPr>
        <w:t xml:space="preserve"> 16</w:t>
      </w:r>
      <w:r w:rsidR="00BB5344">
        <w:rPr>
          <w:b/>
          <w:sz w:val="24"/>
          <w:szCs w:val="24"/>
        </w:rPr>
        <w:t>, 2017</w:t>
      </w:r>
      <w:r w:rsidR="00676C5F">
        <w:rPr>
          <w:b/>
          <w:sz w:val="24"/>
          <w:szCs w:val="24"/>
        </w:rPr>
        <w:t xml:space="preserve"> </w:t>
      </w:r>
    </w:p>
    <w:p w:rsidR="008B2CC1" w:rsidRPr="008B2CC1" w:rsidRDefault="008B2CC1" w:rsidP="00D40928"/>
    <w:p w:rsidR="008B2CC1" w:rsidRPr="008B2CC1" w:rsidRDefault="008B2CC1" w:rsidP="00D40928"/>
    <w:p w:rsidR="008B2CC1" w:rsidRPr="00931A24" w:rsidRDefault="00931A24" w:rsidP="00D40928">
      <w:pPr>
        <w:rPr>
          <w:caps/>
          <w:sz w:val="24"/>
        </w:rPr>
      </w:pPr>
      <w:bookmarkStart w:id="4" w:name="TitleOfDoc"/>
      <w:bookmarkEnd w:id="4"/>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5" w:name="Prepared"/>
      <w:bookmarkEnd w:id="5"/>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lang w:eastAsia="en-US"/>
        </w:rPr>
      </w:pPr>
    </w:p>
    <w:p w:rsidR="00FF504A" w:rsidRDefault="001329AF" w:rsidP="002247F0">
      <w:pPr>
        <w:contextualSpacing/>
        <w:rPr>
          <w:szCs w:val="22"/>
          <w:lang w:eastAsia="en-US"/>
        </w:rPr>
      </w:pPr>
      <w:r>
        <w:rPr>
          <w:szCs w:val="22"/>
          <w:lang w:eastAsia="en-US"/>
        </w:rPr>
        <w:t>2</w:t>
      </w:r>
      <w:r w:rsidR="00931A24" w:rsidRPr="00F05DC0">
        <w:rPr>
          <w:szCs w:val="22"/>
          <w:lang w:eastAsia="en-US"/>
        </w:rPr>
        <w:t>.</w:t>
      </w:r>
      <w:r w:rsidR="00931A24" w:rsidRPr="00F05DC0">
        <w:rPr>
          <w:szCs w:val="22"/>
          <w:lang w:eastAsia="en-US"/>
        </w:rPr>
        <w:tab/>
      </w:r>
      <w:r w:rsidR="00FF504A" w:rsidRPr="00FF504A">
        <w:rPr>
          <w:szCs w:val="22"/>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w:t>
      </w:r>
      <w:r w:rsidR="00FF504A">
        <w:rPr>
          <w:szCs w:val="22"/>
          <w:lang w:eastAsia="en-US"/>
        </w:rPr>
        <w:t>r the next session of the IGC.”</w:t>
      </w:r>
      <w:r w:rsidR="00FF504A">
        <w:rPr>
          <w:rStyle w:val="FootnoteReference"/>
          <w:szCs w:val="22"/>
          <w:lang w:eastAsia="en-US"/>
        </w:rPr>
        <w:footnoteReference w:id="3"/>
      </w:r>
    </w:p>
    <w:p w:rsidR="00FF504A" w:rsidRDefault="00FF504A" w:rsidP="002247F0">
      <w:pPr>
        <w:contextualSpacing/>
        <w:rPr>
          <w:szCs w:val="22"/>
          <w:lang w:eastAsia="en-US"/>
        </w:rPr>
      </w:pPr>
    </w:p>
    <w:p w:rsidR="00F12D49" w:rsidRPr="00F05DC0" w:rsidRDefault="00FF504A" w:rsidP="002247F0">
      <w:pPr>
        <w:contextualSpacing/>
        <w:rPr>
          <w:szCs w:val="22"/>
        </w:rPr>
      </w:pPr>
      <w:r>
        <w:rPr>
          <w:szCs w:val="22"/>
        </w:rPr>
        <w:lastRenderedPageBreak/>
        <w:t>3.</w:t>
      </w:r>
      <w:r>
        <w:rPr>
          <w:szCs w:val="22"/>
        </w:rPr>
        <w:tab/>
        <w:t>Pursuant to that decision, and g</w:t>
      </w:r>
      <w:r w:rsidR="00931A24" w:rsidRPr="00F05DC0">
        <w:rPr>
          <w:szCs w:val="22"/>
        </w:rPr>
        <w:t>iven that some terms contained in the</w:t>
      </w:r>
      <w:r w:rsidR="00045C15">
        <w:rPr>
          <w:szCs w:val="22"/>
        </w:rPr>
        <w:t>se</w:t>
      </w:r>
      <w:r w:rsidR="00931A24" w:rsidRPr="00F05DC0">
        <w:rPr>
          <w:szCs w:val="22"/>
        </w:rPr>
        <w:t xml:space="preserve"> glossaries </w:t>
      </w:r>
      <w:r w:rsidR="00045C15">
        <w:rPr>
          <w:szCs w:val="22"/>
        </w:rPr>
        <w:t>were</w:t>
      </w:r>
      <w:r w:rsidR="00045C15" w:rsidRPr="00F05DC0">
        <w:rPr>
          <w:szCs w:val="22"/>
        </w:rPr>
        <w:t xml:space="preserve"> </w:t>
      </w:r>
      <w:r w:rsidR="00931A24" w:rsidRPr="00F05DC0">
        <w:rPr>
          <w:szCs w:val="22"/>
        </w:rPr>
        <w:t>related to all three themes, the Secretariat consolidated the three glossaries into one</w:t>
      </w:r>
      <w:r w:rsidR="00045C15">
        <w:rPr>
          <w:szCs w:val="22"/>
        </w:rPr>
        <w:t xml:space="preserve"> and</w:t>
      </w:r>
      <w:r w:rsidR="005B0A02">
        <w:rPr>
          <w:szCs w:val="22"/>
        </w:rPr>
        <w:t xml:space="preserve"> </w:t>
      </w:r>
      <w:r w:rsidR="005B0A02" w:rsidRPr="005B0A02">
        <w:rPr>
          <w:szCs w:val="22"/>
        </w:rPr>
        <w:t>updated some of the definitions included therein</w:t>
      </w:r>
      <w:r w:rsidR="00045C15">
        <w:rPr>
          <w:szCs w:val="22"/>
        </w:rPr>
        <w:t xml:space="preserve">. </w:t>
      </w:r>
      <w:r w:rsidR="00AF72C7">
        <w:rPr>
          <w:szCs w:val="22"/>
        </w:rPr>
        <w:t xml:space="preserve"> </w:t>
      </w:r>
      <w:r w:rsidR="00143933">
        <w:rPr>
          <w:rFonts w:hint="eastAsia"/>
          <w:szCs w:val="22"/>
        </w:rPr>
        <w:t xml:space="preserve">The </w:t>
      </w:r>
      <w:r w:rsidR="00045C15">
        <w:rPr>
          <w:szCs w:val="22"/>
        </w:rPr>
        <w:t xml:space="preserve">consolidated </w:t>
      </w:r>
      <w:r w:rsidR="00143933">
        <w:rPr>
          <w:rFonts w:hint="eastAsia"/>
          <w:szCs w:val="22"/>
        </w:rPr>
        <w:t>glossary</w:t>
      </w:r>
      <w:r w:rsidR="00FE3E98">
        <w:rPr>
          <w:szCs w:val="22"/>
        </w:rPr>
        <w:t xml:space="preserve"> </w:t>
      </w:r>
      <w:r w:rsidR="007D5783">
        <w:rPr>
          <w:szCs w:val="22"/>
        </w:rPr>
        <w:t>has been</w:t>
      </w:r>
      <w:r w:rsidR="00FE3E98">
        <w:rPr>
          <w:szCs w:val="22"/>
        </w:rPr>
        <w:t xml:space="preserve"> made available </w:t>
      </w:r>
      <w:r w:rsidR="00DE45E1">
        <w:rPr>
          <w:szCs w:val="22"/>
        </w:rPr>
        <w:t>as an information document for</w:t>
      </w:r>
      <w:r w:rsidR="00FE3E98">
        <w:rPr>
          <w:szCs w:val="22"/>
        </w:rPr>
        <w:t xml:space="preserve"> the previous IGC sessions.  The same glossary</w:t>
      </w:r>
      <w:r w:rsidR="00143933">
        <w:rPr>
          <w:rFonts w:hint="eastAsia"/>
          <w:szCs w:val="22"/>
        </w:rPr>
        <w:t xml:space="preserve"> </w:t>
      </w:r>
      <w:r w:rsidR="00143933" w:rsidRPr="00F05DC0">
        <w:rPr>
          <w:szCs w:val="22"/>
          <w:lang w:eastAsia="en-US"/>
        </w:rPr>
        <w:t>is contained in the Annex to the present document</w:t>
      </w:r>
      <w:r w:rsidR="00143933">
        <w:rPr>
          <w:szCs w:val="22"/>
          <w:lang w:eastAsia="en-US"/>
        </w:rPr>
        <w:t>.</w:t>
      </w:r>
    </w:p>
    <w:p w:rsidR="00931A24" w:rsidRPr="00F05DC0" w:rsidRDefault="00931A24" w:rsidP="00931A24">
      <w:pPr>
        <w:rPr>
          <w:szCs w:val="22"/>
          <w:lang w:eastAsia="en-US"/>
        </w:rPr>
      </w:pPr>
    </w:p>
    <w:p w:rsidR="00931A24" w:rsidRPr="00F05DC0" w:rsidRDefault="00FF504A" w:rsidP="00931A24">
      <w:pPr>
        <w:rPr>
          <w:szCs w:val="22"/>
        </w:rPr>
      </w:pPr>
      <w:r>
        <w:rPr>
          <w:szCs w:val="22"/>
          <w:lang w:eastAsia="en-US"/>
        </w:rPr>
        <w:t>4</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w:t>
      </w:r>
      <w:proofErr w:type="gramStart"/>
      <w:r w:rsidR="00931A24" w:rsidRPr="00F05DC0">
        <w:rPr>
          <w:szCs w:val="22"/>
        </w:rPr>
        <w:t>,</w:t>
      </w:r>
      <w:proofErr w:type="gramEnd"/>
      <w:r w:rsidR="00931A24" w:rsidRPr="00F05DC0">
        <w:rPr>
          <w:szCs w:val="22"/>
        </w:rPr>
        <w:t xml:space="preserve"> the proposed definitions are not exhaustive.  Other terms may also be relevant to intellectual property and genetic resources, traditional knowledge, and traditional cultural expressions and the terms selected may also be defined in other ways. </w:t>
      </w:r>
    </w:p>
    <w:p w:rsidR="00931A24" w:rsidRPr="00F05DC0" w:rsidRDefault="00931A24" w:rsidP="00931A24">
      <w:pPr>
        <w:rPr>
          <w:szCs w:val="22"/>
          <w:lang w:eastAsia="en-US"/>
        </w:rPr>
      </w:pPr>
    </w:p>
    <w:p w:rsidR="00F85B40" w:rsidRDefault="00FF504A" w:rsidP="00F85B40">
      <w:pPr>
        <w:contextualSpacing/>
        <w:rPr>
          <w:szCs w:val="22"/>
        </w:rPr>
      </w:pPr>
      <w:r>
        <w:rPr>
          <w:szCs w:val="22"/>
        </w:rPr>
        <w:t>5</w:t>
      </w:r>
      <w:r w:rsidR="00931A24" w:rsidRPr="00F05DC0">
        <w:rPr>
          <w:szCs w:val="22"/>
        </w:rPr>
        <w:t>.</w:t>
      </w:r>
      <w:r w:rsidR="00931A24" w:rsidRPr="00F05DC0">
        <w:rPr>
          <w:szCs w:val="22"/>
        </w:rPr>
        <w:tab/>
        <w:t xml:space="preserve">The selection of key terms is based on the terms used most frequently in the draft </w:t>
      </w:r>
      <w:r w:rsidR="007B6CB0">
        <w:rPr>
          <w:szCs w:val="22"/>
        </w:rPr>
        <w:t>IGC texts</w:t>
      </w:r>
      <w:r w:rsidR="00931A24"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F85B40" w:rsidRDefault="00F85B40" w:rsidP="00F85B40">
      <w:pPr>
        <w:contextualSpacing/>
        <w:rPr>
          <w:szCs w:val="22"/>
        </w:rPr>
      </w:pPr>
    </w:p>
    <w:p w:rsidR="00931A24" w:rsidRPr="00F05DC0" w:rsidRDefault="0080090B" w:rsidP="00931A24">
      <w:pPr>
        <w:pStyle w:val="DecisionInvitingPara"/>
        <w:ind w:left="5533"/>
        <w:rPr>
          <w:rFonts w:cs="Arial"/>
          <w:sz w:val="22"/>
          <w:szCs w:val="22"/>
        </w:rPr>
      </w:pPr>
      <w:r>
        <w:rPr>
          <w:rFonts w:cs="Arial"/>
          <w:sz w:val="22"/>
          <w:szCs w:val="22"/>
        </w:rPr>
        <w:t>6</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931A24" w:rsidP="00931A24">
      <w:pPr>
        <w:pStyle w:val="CommentText"/>
        <w:spacing w:line="260" w:lineRule="atLeast"/>
        <w:rPr>
          <w:snapToGrid w:val="0"/>
          <w:sz w:val="22"/>
          <w:szCs w:val="22"/>
        </w:rPr>
      </w:pPr>
      <w:r w:rsidRPr="00F05DC0">
        <w:rPr>
          <w:snapToGrid w:val="0"/>
          <w:sz w:val="22"/>
          <w:szCs w:val="22"/>
        </w:rPr>
        <w:t xml:space="preserve">The </w:t>
      </w:r>
      <w:r w:rsidRPr="00F05DC0">
        <w:rPr>
          <w:i/>
          <w:snapToGrid w:val="0"/>
          <w:sz w:val="22"/>
          <w:szCs w:val="22"/>
        </w:rPr>
        <w:t xml:space="preserve">Convention on Biological Diversity </w:t>
      </w:r>
      <w:r w:rsidRPr="00F05DC0">
        <w:rPr>
          <w:snapToGrid w:val="0"/>
          <w:sz w:val="22"/>
          <w:szCs w:val="22"/>
        </w:rPr>
        <w:t>(1992) prescribes “the fa</w:t>
      </w:r>
      <w:r w:rsidR="007C611B">
        <w:rPr>
          <w:snapToGrid w:val="0"/>
          <w:sz w:val="22"/>
          <w:szCs w:val="22"/>
        </w:rPr>
        <w:t>ir and equitable sharing of the </w:t>
      </w:r>
      <w:r w:rsidRPr="00F05DC0">
        <w:rPr>
          <w:snapToGrid w:val="0"/>
          <w:sz w:val="22"/>
          <w:szCs w:val="22"/>
        </w:rPr>
        <w:t xml:space="preserve">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proofErr w:type="gramStart"/>
      <w:r w:rsidRPr="00F05DC0">
        <w:rPr>
          <w:snapToGrid w:val="0"/>
          <w:sz w:val="22"/>
          <w:szCs w:val="22"/>
        </w:rPr>
        <w:t>(Article 1).</w:t>
      </w:r>
      <w:proofErr w:type="gramEnd"/>
      <w:r w:rsidRPr="00F05DC0">
        <w:rPr>
          <w:snapToGrid w:val="0"/>
          <w:sz w:val="22"/>
          <w:szCs w:val="22"/>
        </w:rPr>
        <w:t xml:space="preserve">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4"/>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5"/>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6" w:name="_Ref289433821"/>
      <w:r w:rsidRPr="00F05DC0">
        <w:rPr>
          <w:rStyle w:val="FootnoteReference"/>
          <w:szCs w:val="22"/>
        </w:rPr>
        <w:footnoteReference w:id="6"/>
      </w:r>
      <w:bookmarkEnd w:id="6"/>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w:t>
      </w:r>
      <w:r w:rsidRPr="00F05DC0">
        <w:rPr>
          <w:szCs w:val="22"/>
        </w:rPr>
        <w:lastRenderedPageBreak/>
        <w:t>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931A24" w:rsidRPr="00F05DC0" w:rsidRDefault="00931A24" w:rsidP="00931A24">
      <w:pPr>
        <w:spacing w:line="260" w:lineRule="atLeast"/>
        <w:rPr>
          <w:b/>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8"/>
      </w:r>
      <w:r w:rsidRPr="00F05DC0">
        <w:rPr>
          <w:szCs w:val="22"/>
        </w:rPr>
        <w:t xml:space="preserve">  </w:t>
      </w:r>
    </w:p>
    <w:p w:rsidR="00931A24" w:rsidRPr="00F05DC0" w:rsidRDefault="00931A24" w:rsidP="00931A24">
      <w:pPr>
        <w:spacing w:line="260" w:lineRule="atLeast"/>
        <w:rPr>
          <w:szCs w:val="22"/>
        </w:rPr>
      </w:pPr>
    </w:p>
    <w:p w:rsidR="00931A24" w:rsidRPr="004D06AD" w:rsidRDefault="00931A24" w:rsidP="00931A24">
      <w:pPr>
        <w:spacing w:line="260" w:lineRule="atLeast"/>
        <w:rPr>
          <w:b/>
          <w:szCs w:val="22"/>
        </w:rPr>
      </w:pPr>
      <w:r w:rsidRPr="004D06AD">
        <w:rPr>
          <w:b/>
          <w:szCs w:val="22"/>
        </w:rPr>
        <w:t>Associated Traditional Knowledge</w:t>
      </w:r>
    </w:p>
    <w:p w:rsidR="00931A24" w:rsidRPr="004D06AD" w:rsidRDefault="00931A24" w:rsidP="00931A24">
      <w:pPr>
        <w:spacing w:line="260" w:lineRule="atLeast"/>
        <w:rPr>
          <w:b/>
          <w:szCs w:val="22"/>
        </w:rPr>
      </w:pPr>
    </w:p>
    <w:p w:rsidR="00931A24" w:rsidRPr="00F05DC0" w:rsidRDefault="00931A24" w:rsidP="00931A24">
      <w:pPr>
        <w:spacing w:line="260" w:lineRule="atLeast"/>
        <w:rPr>
          <w:szCs w:val="22"/>
        </w:rPr>
      </w:pPr>
      <w:r w:rsidRPr="004D06AD">
        <w:rPr>
          <w:szCs w:val="22"/>
        </w:rPr>
        <w:t>The “</w:t>
      </w:r>
      <w:r w:rsidRPr="004D06AD">
        <w:rPr>
          <w:szCs w:val="22"/>
          <w:lang w:val="en"/>
        </w:rPr>
        <w:t xml:space="preserve">Like-Minded Countries Contribution to the Objectives and Principles on the Protection of Genetic Resources and Preliminary Draft Articles on the Protection of Genetic Resources” (document WIPO/GRTKF/IC/19/11) provides the following definition of </w:t>
      </w:r>
      <w:r w:rsidRPr="004D06AD">
        <w:rPr>
          <w:szCs w:val="22"/>
        </w:rPr>
        <w:t>“associated traditional knowledge” at Article 1(2)(a):  “knowledge which is dynamic and evolving, generated in a traditional context, collectively preserved and transmitted from generation to generation including but is not limited to know-how, skills, innovations, practices and learning, that subsist in genetic resources.”</w:t>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9"/>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 xml:space="preserve">Biological Diversity </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rStyle w:val="Strong"/>
          <w:szCs w:val="22"/>
        </w:rPr>
      </w:pPr>
    </w:p>
    <w:p w:rsidR="00931A24" w:rsidRPr="00F05DC0" w:rsidRDefault="00D41EAD" w:rsidP="00931A24">
      <w:pPr>
        <w:spacing w:line="260" w:lineRule="atLeast"/>
        <w:rPr>
          <w:b/>
          <w:snapToGrid w:val="0"/>
          <w:szCs w:val="22"/>
        </w:rPr>
      </w:pPr>
      <w:r>
        <w:rPr>
          <w:b/>
          <w:snapToGrid w:val="0"/>
          <w:szCs w:val="22"/>
        </w:rPr>
        <w:br w:type="page"/>
      </w:r>
      <w:r w:rsidR="00931A24" w:rsidRPr="00F05DC0">
        <w:rPr>
          <w:b/>
          <w:snapToGrid w:val="0"/>
          <w:szCs w:val="22"/>
        </w:rPr>
        <w:lastRenderedPageBreak/>
        <w:t>Biological Material</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lang w:bidi="th-TH"/>
        </w:rPr>
      </w:pPr>
      <w:r w:rsidRPr="00F05DC0">
        <w:rPr>
          <w:szCs w:val="22"/>
        </w:rPr>
        <w:t>The term is defined in t</w:t>
      </w:r>
      <w:r w:rsidR="00F81B09">
        <w:rPr>
          <w:szCs w:val="22"/>
        </w:rPr>
        <w:t xml:space="preserve">he </w:t>
      </w:r>
      <w:r w:rsidR="00F81B09" w:rsidRPr="00F81B09">
        <w:rPr>
          <w:i/>
          <w:szCs w:val="22"/>
        </w:rPr>
        <w:t>European Union Directive on the Legal Protection of Biotechnological I</w:t>
      </w:r>
      <w:r w:rsidRPr="00F81B09">
        <w:rPr>
          <w:i/>
          <w:szCs w:val="22"/>
        </w:rPr>
        <w:t>nventions</w:t>
      </w:r>
      <w:r w:rsidRPr="00F05DC0">
        <w:rPr>
          <w:szCs w:val="22"/>
        </w:rPr>
        <w:t xml:space="preserve"> as “material containing genetic information and capable of reproducing itself or being reproduced in a biological system</w:t>
      </w:r>
      <w:r w:rsidRPr="00F05DC0">
        <w:rPr>
          <w:i/>
          <w:szCs w:val="22"/>
        </w:rPr>
        <w:t>.</w:t>
      </w:r>
      <w:r w:rsidRPr="00F05DC0">
        <w:rPr>
          <w:szCs w:val="22"/>
        </w:rPr>
        <w:t>”</w:t>
      </w:r>
      <w:r w:rsidRPr="00F05DC0">
        <w:rPr>
          <w:rStyle w:val="FootnoteReference"/>
          <w:szCs w:val="22"/>
        </w:rPr>
        <w:footnoteReference w:id="10"/>
      </w:r>
      <w:r w:rsidRPr="00F05DC0">
        <w:rPr>
          <w:szCs w:val="22"/>
        </w:rPr>
        <w:t xml:space="preserve"> </w:t>
      </w:r>
      <w:r w:rsidR="006C379B">
        <w:rPr>
          <w:szCs w:val="22"/>
        </w:rPr>
        <w:t xml:space="preserve"> </w:t>
      </w:r>
      <w:r w:rsidRPr="00F05DC0">
        <w:rPr>
          <w:szCs w:val="22"/>
        </w:rPr>
        <w:t xml:space="preserve">According to the </w:t>
      </w:r>
      <w:r w:rsidRPr="00F05DC0">
        <w:rPr>
          <w:i/>
          <w:szCs w:val="22"/>
        </w:rPr>
        <w:t>United States Code of Federal Regulations</w:t>
      </w:r>
      <w:r w:rsidRPr="00F05DC0">
        <w:rPr>
          <w:szCs w:val="22"/>
        </w:rPr>
        <w:t>, this term shall include “material that is capable of self-replication either directly or indirectly</w:t>
      </w:r>
      <w:r w:rsidRPr="00F05DC0">
        <w:rPr>
          <w:i/>
          <w:szCs w:val="22"/>
        </w:rPr>
        <w:t>.</w:t>
      </w:r>
      <w:r w:rsidRPr="00F05DC0">
        <w:rPr>
          <w:szCs w:val="22"/>
        </w:rPr>
        <w:t>”</w:t>
      </w:r>
      <w:r w:rsidRPr="00F05DC0">
        <w:rPr>
          <w:rStyle w:val="FootnoteReference"/>
          <w:szCs w:val="22"/>
        </w:rPr>
        <w:footnoteReference w:id="11"/>
      </w:r>
      <w:r w:rsidRPr="00F05DC0">
        <w:rPr>
          <w:szCs w:val="22"/>
        </w:rPr>
        <w:t xml:space="preserve"> </w:t>
      </w:r>
      <w:r w:rsidR="006C379B">
        <w:rPr>
          <w:szCs w:val="22"/>
        </w:rPr>
        <w:t xml:space="preserve"> </w:t>
      </w:r>
      <w:r w:rsidRPr="00F05DC0">
        <w:rPr>
          <w:snapToGrid w:val="0"/>
          <w:szCs w:val="22"/>
        </w:rPr>
        <w:t xml:space="preserve">The </w:t>
      </w:r>
      <w:r w:rsidRPr="00F05DC0">
        <w:rPr>
          <w:i/>
          <w:snapToGrid w:val="0"/>
          <w:szCs w:val="22"/>
        </w:rPr>
        <w:t>Convention on Biological Diversity</w:t>
      </w:r>
      <w:r w:rsidRPr="00F05DC0">
        <w:rPr>
          <w:snapToGrid w:val="0"/>
          <w:szCs w:val="22"/>
        </w:rPr>
        <w:t xml:space="preserve"> (1992) uses the terms biological resources, genetic material and genetic resources.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2"/>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3"/>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proofErr w:type="gramStart"/>
      <w:r w:rsidRPr="00F05DC0">
        <w:rPr>
          <w:szCs w:val="22"/>
        </w:rPr>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w:t>
      </w:r>
      <w:proofErr w:type="gramEnd"/>
      <w:r w:rsidRPr="00F05DC0">
        <w:rPr>
          <w:iCs/>
          <w:szCs w:val="22"/>
          <w:lang w:eastAsia="en-US" w:bidi="th-TH"/>
        </w:rPr>
        <w:t xml:space="preserve">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4"/>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lastRenderedPageBreak/>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proofErr w:type="gramStart"/>
      <w:r w:rsidRPr="00F05DC0">
        <w:rPr>
          <w:snapToGrid w:val="0"/>
          <w:szCs w:val="22"/>
        </w:rPr>
        <w:t>a)  in</w:t>
      </w:r>
      <w:proofErr w:type="gramEnd"/>
      <w:r w:rsidRPr="00F05DC0">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w:t>
      </w:r>
      <w:proofErr w:type="spellStart"/>
      <w:r w:rsidR="00F81B09">
        <w:rPr>
          <w:rStyle w:val="Strong"/>
          <w:b w:val="0"/>
          <w:bCs w:val="0"/>
          <w:iCs/>
          <w:szCs w:val="22"/>
        </w:rPr>
        <w:t>nanobiotechnology</w:t>
      </w:r>
      <w:proofErr w:type="spellEnd"/>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5"/>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931A24" w:rsidRPr="00F05DC0" w:rsidRDefault="00931A24" w:rsidP="00F81B09">
      <w:pPr>
        <w:tabs>
          <w:tab w:val="num" w:pos="1440"/>
        </w:tabs>
        <w:spacing w:line="260" w:lineRule="atLeast"/>
        <w:rPr>
          <w:bCs/>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r w:rsidR="007C611B">
        <w:rPr>
          <w:i/>
          <w:szCs w:val="22"/>
        </w:rPr>
        <w:br/>
      </w:r>
      <w:r w:rsidR="00F81B09" w:rsidRPr="00F81B09">
        <w:rPr>
          <w:i/>
          <w:szCs w:val="22"/>
        </w:rPr>
        <w:t>the Benefits Arising out of their Utilization</w:t>
      </w:r>
      <w:r w:rsidR="00F81B09"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  The Guidelines are voluntary in nature and are addressed to a range of stakeholders.</w:t>
      </w:r>
      <w:r w:rsidRPr="00F05DC0">
        <w:rPr>
          <w:rStyle w:val="FootnoteReference"/>
          <w:szCs w:val="22"/>
        </w:rPr>
        <w:footnoteReference w:id="16"/>
      </w:r>
      <w:r w:rsidRPr="00F05DC0">
        <w:rPr>
          <w:szCs w:val="22"/>
        </w:rPr>
        <w:t xml:space="preserve">  They cover procedural and regulatory aspects, in particular, of prior informed consent, and identify monetary and non-monetary forms of benefit-sharing.</w:t>
      </w:r>
      <w:r w:rsidRPr="00F05DC0">
        <w:rPr>
          <w:rStyle w:val="FootnoteReference"/>
          <w:szCs w:val="22"/>
        </w:rPr>
        <w:footnoteReference w:id="17"/>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3B38" w:rsidRDefault="00931A24" w:rsidP="00931A24">
      <w:pPr>
        <w:pStyle w:val="FootnoteText"/>
        <w:spacing w:line="260" w:lineRule="atLeast"/>
        <w:rPr>
          <w:sz w:val="22"/>
          <w:szCs w:val="22"/>
        </w:rPr>
      </w:pPr>
      <w:r w:rsidRPr="007E3B38">
        <w:rPr>
          <w:rStyle w:val="contentpane"/>
          <w:sz w:val="22"/>
          <w:szCs w:val="22"/>
        </w:rPr>
        <w:t>According to a glossary used by the United Nations Environment Program (UNEP), a Clearing House Mechanism (CHM) is a mechanism which facilitates and simplifies exchange of information or transactions among multiple Parties.</w:t>
      </w:r>
      <w:r w:rsidRPr="007E3B38">
        <w:rPr>
          <w:rStyle w:val="FootnoteReference"/>
          <w:sz w:val="22"/>
          <w:szCs w:val="22"/>
        </w:rPr>
        <w:footnoteReference w:id="18"/>
      </w:r>
      <w:r w:rsidRPr="007E3B38">
        <w:rPr>
          <w:rStyle w:val="contentpane"/>
          <w:sz w:val="22"/>
          <w:szCs w:val="22"/>
        </w:rPr>
        <w:t xml:space="preserve"> </w:t>
      </w:r>
      <w:r w:rsidR="00044B01">
        <w:rPr>
          <w:rStyle w:val="contentpane"/>
          <w:sz w:val="22"/>
          <w:szCs w:val="22"/>
        </w:rPr>
        <w:t xml:space="preserve"> </w:t>
      </w:r>
      <w:r w:rsidRPr="007E3B38">
        <w:rPr>
          <w:sz w:val="22"/>
          <w:szCs w:val="22"/>
        </w:rPr>
        <w:t xml:space="preserve">The CHM of the </w:t>
      </w:r>
      <w:r w:rsidRPr="007E3B38">
        <w:rPr>
          <w:i/>
          <w:snapToGrid w:val="0"/>
          <w:sz w:val="22"/>
          <w:szCs w:val="22"/>
        </w:rPr>
        <w:t xml:space="preserve">Convention on Biological Diversity </w:t>
      </w:r>
      <w:r w:rsidRPr="007E3B38">
        <w:rPr>
          <w:snapToGrid w:val="0"/>
          <w:sz w:val="22"/>
          <w:szCs w:val="22"/>
        </w:rPr>
        <w:t xml:space="preserve">(1992) </w:t>
      </w:r>
      <w:r w:rsidRPr="007E3B38">
        <w:rPr>
          <w:sz w:val="22"/>
          <w:szCs w:val="22"/>
        </w:rPr>
        <w:t>was established further to Article 18.3 of the Convention.  Its mission is to contribute significantly to the implementation of the Convention through the promotion and facilitation of technical and scientific cooperation, among Parties, other Governments and stakeholders.</w:t>
      </w:r>
      <w:r w:rsidRPr="007E3B38">
        <w:rPr>
          <w:rStyle w:val="FootnoteReference"/>
          <w:sz w:val="22"/>
          <w:szCs w:val="22"/>
        </w:rPr>
        <w:footnoteReference w:id="19"/>
      </w:r>
    </w:p>
    <w:p w:rsidR="00931A24" w:rsidRPr="007E3B38"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20"/>
      </w:r>
    </w:p>
    <w:p w:rsidR="00931A24" w:rsidRDefault="00931A24" w:rsidP="00931A24">
      <w:pPr>
        <w:pStyle w:val="FootnoteText"/>
        <w:spacing w:line="260" w:lineRule="atLeast"/>
        <w:rPr>
          <w:sz w:val="22"/>
          <w:szCs w:val="22"/>
        </w:rPr>
      </w:pPr>
    </w:p>
    <w:p w:rsidR="00610F7E" w:rsidRPr="007E3B38" w:rsidRDefault="00610F7E"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sidR="007C611B">
        <w:rPr>
          <w:sz w:val="22"/>
          <w:szCs w:val="22"/>
        </w:rPr>
        <w:br/>
      </w:r>
      <w:r w:rsidRPr="007E3B38">
        <w:rPr>
          <w:sz w:val="22"/>
          <w:szCs w:val="22"/>
        </w:rPr>
        <w:t>e.g. Ayurveda disclosed in ancient Sanskrit scriptures</w:t>
      </w:r>
      <w:r w:rsidRPr="007E3B38">
        <w:rPr>
          <w:sz w:val="22"/>
          <w:szCs w:val="22"/>
          <w:vertAlign w:val="superscript"/>
        </w:rPr>
        <w:footnoteReference w:id="21"/>
      </w:r>
      <w:r w:rsidRPr="007E3B38">
        <w:rPr>
          <w:sz w:val="22"/>
          <w:szCs w:val="22"/>
        </w:rPr>
        <w:t xml:space="preserve"> or Traditional Chinese Medicine (TCM) disclosed in ancient Chinese medical texts</w:t>
      </w:r>
      <w:r w:rsidRPr="007E3B38">
        <w:rPr>
          <w:sz w:val="22"/>
          <w:szCs w:val="22"/>
          <w:vertAlign w:val="superscript"/>
        </w:rPr>
        <w:footnoteReference w:id="22"/>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r w:rsidRPr="007E3B38">
        <w:rPr>
          <w:sz w:val="22"/>
          <w:szCs w:val="22"/>
        </w:rPr>
        <w:t xml:space="preserve">South Asia,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is codified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Unani </w:t>
      </w:r>
      <w:proofErr w:type="spellStart"/>
      <w:r w:rsidRPr="007E3B38">
        <w:rPr>
          <w:sz w:val="22"/>
          <w:szCs w:val="22"/>
        </w:rPr>
        <w:t>Ti</w:t>
      </w:r>
      <w:r w:rsidR="007C611B">
        <w:rPr>
          <w:sz w:val="22"/>
          <w:szCs w:val="22"/>
        </w:rPr>
        <w:t>bb</w:t>
      </w:r>
      <w:proofErr w:type="spellEnd"/>
      <w:r w:rsidR="007C611B">
        <w:rPr>
          <w:sz w:val="22"/>
          <w:szCs w:val="22"/>
        </w:rPr>
        <w:t xml:space="preserve"> tradition, as codified in 13 </w:t>
      </w:r>
      <w:r w:rsidRPr="007E3B38">
        <w:rPr>
          <w:sz w:val="22"/>
          <w:szCs w:val="22"/>
        </w:rPr>
        <w:t>authoritative books.</w:t>
      </w:r>
      <w:r w:rsidRPr="007E3B38">
        <w:rPr>
          <w:sz w:val="22"/>
          <w:szCs w:val="22"/>
          <w:vertAlign w:val="superscript"/>
        </w:rPr>
        <w:footnoteReference w:id="23"/>
      </w:r>
      <w:r w:rsidRPr="007E3B38">
        <w:rPr>
          <w:sz w:val="22"/>
          <w:szCs w:val="22"/>
        </w:rPr>
        <w:t>.</w:t>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4"/>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 xml:space="preserve">According to Black’s Law Dictionary, consultation is the act of asking the advice or opinion of someone.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7" w:name="_Ref292464692"/>
      <w:r w:rsidRPr="007E3B38">
        <w:rPr>
          <w:rStyle w:val="FootnoteReference"/>
          <w:sz w:val="22"/>
          <w:szCs w:val="22"/>
          <w:lang w:val="en"/>
        </w:rPr>
        <w:footnoteReference w:id="25"/>
      </w:r>
      <w:bookmarkEnd w:id="7"/>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proofErr w:type="spellStart"/>
      <w:r w:rsidRPr="007E3B38">
        <w:rPr>
          <w:snapToGrid w:val="0"/>
          <w:sz w:val="22"/>
          <w:szCs w:val="22"/>
        </w:rPr>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610F7E" w:rsidRDefault="00610F7E" w:rsidP="00931A24">
      <w:pPr>
        <w:rPr>
          <w:szCs w:val="22"/>
        </w:rPr>
      </w:pPr>
    </w:p>
    <w:p w:rsidR="00610F7E" w:rsidRDefault="00610F7E" w:rsidP="00931A24">
      <w:pPr>
        <w:rPr>
          <w:szCs w:val="22"/>
        </w:rPr>
      </w:pPr>
    </w:p>
    <w:p w:rsidR="00610F7E" w:rsidRPr="007E3B38" w:rsidRDefault="00610F7E"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8" w:name="_Ref289689074"/>
      <w:r w:rsidRPr="007E3B38">
        <w:rPr>
          <w:rStyle w:val="FootnoteReference"/>
          <w:sz w:val="22"/>
          <w:szCs w:val="22"/>
          <w:lang w:val="en-GB"/>
        </w:rPr>
        <w:footnoteReference w:id="26"/>
      </w:r>
      <w:bookmarkEnd w:id="8"/>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7"/>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8"/>
      </w:r>
    </w:p>
    <w:p w:rsidR="00931A24" w:rsidRDefault="00931A24" w:rsidP="00931A24">
      <w:pPr>
        <w:rPr>
          <w:szCs w:val="22"/>
        </w:rPr>
      </w:pPr>
    </w:p>
    <w:p w:rsidR="002C5C3C" w:rsidRDefault="002C5C3C" w:rsidP="00931A24">
      <w:pPr>
        <w:rPr>
          <w:szCs w:val="22"/>
        </w:rPr>
      </w:pPr>
    </w:p>
    <w:p w:rsidR="002C5C3C" w:rsidRPr="007E3B38" w:rsidRDefault="002C5C3C"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007C611B">
        <w:rPr>
          <w:sz w:val="22"/>
          <w:szCs w:val="22"/>
        </w:rPr>
        <w:t xml:space="preserve"> (1972), the </w:t>
      </w:r>
      <w:r w:rsidRPr="007E3B38">
        <w:rPr>
          <w:sz w:val="22"/>
          <w:szCs w:val="22"/>
        </w:rPr>
        <w:t xml:space="preserve">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7C611B" w:rsidP="00F81B09">
      <w:pPr>
        <w:pStyle w:val="FootnoteText"/>
        <w:spacing w:line="260" w:lineRule="atLeast"/>
        <w:ind w:left="567"/>
        <w:rPr>
          <w:i/>
          <w:sz w:val="22"/>
          <w:szCs w:val="22"/>
        </w:rPr>
      </w:pPr>
      <w:r>
        <w:rPr>
          <w:i/>
          <w:sz w:val="22"/>
          <w:szCs w:val="22"/>
        </w:rPr>
        <w:t xml:space="preserve">(b)  </w:t>
      </w:r>
      <w:r w:rsidR="00931A24" w:rsidRPr="007E3B38">
        <w:rPr>
          <w:i/>
          <w:sz w:val="22"/>
          <w:szCs w:val="22"/>
        </w:rPr>
        <w:t>groups of building</w:t>
      </w:r>
      <w:r w:rsidR="006F4289">
        <w:rPr>
          <w:i/>
          <w:sz w:val="22"/>
          <w:szCs w:val="22"/>
        </w:rPr>
        <w:t>s</w:t>
      </w:r>
      <w:r w:rsidR="00931A24"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w:t>
      </w:r>
      <w:r w:rsidR="007C611B">
        <w:rPr>
          <w:i/>
          <w:sz w:val="22"/>
          <w:szCs w:val="22"/>
        </w:rPr>
        <w:t xml:space="preserve"> </w:t>
      </w:r>
      <w:r w:rsidRPr="007E3B38">
        <w:rPr>
          <w:i/>
          <w:sz w:val="22"/>
          <w:szCs w:val="22"/>
        </w:rPr>
        <w:t xml:space="preserve">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9"/>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30"/>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E522DD">
      <w:pPr>
        <w:pStyle w:val="FootnoteText"/>
        <w:spacing w:line="260" w:lineRule="atLeast"/>
        <w:rPr>
          <w:snapToGrid w:val="0"/>
          <w:sz w:val="22"/>
          <w:szCs w:val="22"/>
        </w:rPr>
      </w:pPr>
      <w:r w:rsidRPr="007E3B38">
        <w:rPr>
          <w:snapToGrid w:val="0"/>
          <w:sz w:val="22"/>
          <w:szCs w:val="22"/>
        </w:rPr>
        <w:t>(a)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xml:space="preserve">)  postage, revenue and similar stamps, singly or in collections;  (j)  archives, </w:t>
      </w:r>
      <w:r w:rsidRPr="007E3B38">
        <w:rPr>
          <w:snapToGrid w:val="0"/>
          <w:sz w:val="22"/>
          <w:szCs w:val="22"/>
        </w:rPr>
        <w:lastRenderedPageBreak/>
        <w:t xml:space="preserve">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Pr="007E3B38">
        <w:rPr>
          <w:sz w:val="22"/>
          <w:szCs w:val="22"/>
        </w:rPr>
        <w:t>”</w:t>
      </w:r>
      <w:r w:rsidR="00791275">
        <w:rPr>
          <w:sz w:val="22"/>
          <w:szCs w:val="22"/>
        </w:rPr>
        <w:t>.</w:t>
      </w:r>
      <w:r w:rsidRPr="007E3B38">
        <w:rPr>
          <w:sz w:val="22"/>
          <w:szCs w:val="22"/>
        </w:rPr>
        <w:t xml:space="preserve">  According to the same source, “custody” refers to the care and control of a thing or person for inspection, preservation, or security.  A “custodian” is defined in the Oxford English Dictionary as “</w:t>
      </w:r>
      <w:proofErr w:type="spellStart"/>
      <w:r w:rsidRPr="007E3B38">
        <w:rPr>
          <w:sz w:val="22"/>
          <w:szCs w:val="22"/>
        </w:rPr>
        <w:t>o</w:t>
      </w:r>
      <w:r w:rsidRPr="007E3B38">
        <w:rPr>
          <w:sz w:val="22"/>
          <w:szCs w:val="22"/>
          <w:lang w:val="en"/>
        </w:rPr>
        <w:t>ne</w:t>
      </w:r>
      <w:proofErr w:type="spellEnd"/>
      <w:r w:rsidRPr="007E3B38">
        <w:rPr>
          <w:sz w:val="22"/>
          <w:szCs w:val="22"/>
          <w:lang w:val="en"/>
        </w:rPr>
        <w:t xml:space="preserve"> who has the custody of a thing or person; </w:t>
      </w:r>
      <w:r w:rsidR="006F4289">
        <w:rPr>
          <w:sz w:val="22"/>
          <w:szCs w:val="22"/>
          <w:lang w:val="en"/>
        </w:rPr>
        <w:t xml:space="preserve"> </w:t>
      </w:r>
      <w:r w:rsidRPr="007E3B38">
        <w:rPr>
          <w:sz w:val="22"/>
          <w:szCs w:val="22"/>
          <w:lang w:val="en"/>
        </w:rPr>
        <w:t>a guardian, keeper.”</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31"/>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2"/>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3"/>
      </w:r>
      <w:r w:rsidRPr="007E3B38">
        <w:rPr>
          <w:sz w:val="22"/>
          <w:szCs w:val="22"/>
          <w:lang w:val="en"/>
        </w:rPr>
        <w:t xml:space="preserve">  </w:t>
      </w:r>
      <w:r w:rsidRPr="007E3B38">
        <w:rPr>
          <w:sz w:val="22"/>
          <w:szCs w:val="22"/>
        </w:rPr>
        <w:t xml:space="preserve">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w:t>
      </w:r>
      <w:r w:rsidRPr="007E3B38">
        <w:rPr>
          <w:sz w:val="22"/>
          <w:szCs w:val="22"/>
        </w:rPr>
        <w:lastRenderedPageBreak/>
        <w:t>Customary law is not static, but dynamic; its rules change from time to time to reflect changing social and economic conditions.</w:t>
      </w:r>
      <w:r w:rsidRPr="007E3B38">
        <w:rPr>
          <w:rStyle w:val="FootnoteReference"/>
          <w:sz w:val="22"/>
          <w:szCs w:val="22"/>
        </w:rPr>
        <w:footnoteReference w:id="34"/>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5"/>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6"/>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7"/>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4D06AD">
        <w:rPr>
          <w:szCs w:val="22"/>
        </w:rPr>
        <w:t>The “</w:t>
      </w:r>
      <w:r w:rsidRPr="004D06AD">
        <w:rPr>
          <w:szCs w:val="22"/>
          <w:lang w:val="en"/>
        </w:rPr>
        <w:t>Like-Minded Countries Contribution to the Objectives and Principles on the Protection of Genetic Resources and Preliminary Draft Articles on the Protection of Genetic Resources” (document WIPO/GRTKF/IC/19/11</w:t>
      </w:r>
      <w:r w:rsidR="004C606B">
        <w:rPr>
          <w:szCs w:val="22"/>
          <w:lang w:val="en"/>
        </w:rPr>
        <w:t>)</w:t>
      </w:r>
      <w:r w:rsidRPr="004D06AD">
        <w:rPr>
          <w:szCs w:val="22"/>
          <w:lang w:val="en"/>
        </w:rPr>
        <w:t xml:space="preserve"> provides the following definition of </w:t>
      </w:r>
      <w:r w:rsidRPr="004D06AD">
        <w:rPr>
          <w:szCs w:val="22"/>
        </w:rPr>
        <w:t xml:space="preserve">“derivative” at </w:t>
      </w:r>
      <w:r w:rsidRPr="004D06AD">
        <w:rPr>
          <w:szCs w:val="22"/>
        </w:rPr>
        <w:br/>
        <w:t>Article 1(2)(b):  “a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w:t>
      </w:r>
      <w:r w:rsidRPr="007E3B38">
        <w:rPr>
          <w:sz w:val="22"/>
          <w:szCs w:val="22"/>
        </w:rPr>
        <w:lastRenderedPageBreak/>
        <w:t>such without prejudice to the copyright in the preexisting works.</w:t>
      </w:r>
      <w:r w:rsidRPr="007E3B38">
        <w:rPr>
          <w:rStyle w:val="FootnoteReference"/>
          <w:sz w:val="22"/>
          <w:szCs w:val="22"/>
        </w:rPr>
        <w:footnoteReference w:id="38"/>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9"/>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40"/>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9" w:name="_Ref289432997"/>
      <w:bookmarkStart w:id="10" w:name="_Ref292464396"/>
      <w:r w:rsidRPr="007E3B38">
        <w:rPr>
          <w:rStyle w:val="FootnoteReference"/>
          <w:sz w:val="22"/>
          <w:szCs w:val="22"/>
        </w:rPr>
        <w:footnoteReference w:id="41"/>
      </w:r>
      <w:bookmarkEnd w:id="9"/>
      <w:bookmarkEnd w:id="10"/>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1" w:name="_Ref289689306"/>
      <w:r w:rsidRPr="007E3B38">
        <w:rPr>
          <w:rStyle w:val="FootnoteReference"/>
          <w:sz w:val="22"/>
          <w:szCs w:val="22"/>
        </w:rPr>
        <w:footnoteReference w:id="42"/>
      </w:r>
      <w:bookmarkEnd w:id="11"/>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3"/>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4"/>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5"/>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6"/>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7"/>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A1610E" w:rsidRDefault="00931A24" w:rsidP="00A1610E">
      <w:pPr>
        <w:numPr>
          <w:ilvl w:val="0"/>
          <w:numId w:val="16"/>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A1610E" w:rsidRDefault="00A1610E" w:rsidP="00A1610E">
      <w:pPr>
        <w:spacing w:line="260" w:lineRule="exact"/>
        <w:ind w:left="1287"/>
        <w:rPr>
          <w:szCs w:val="22"/>
        </w:rPr>
      </w:pPr>
    </w:p>
    <w:p w:rsidR="00A1610E" w:rsidRDefault="00931A24" w:rsidP="00A1610E">
      <w:pPr>
        <w:numPr>
          <w:ilvl w:val="0"/>
          <w:numId w:val="16"/>
        </w:numPr>
        <w:spacing w:line="260" w:lineRule="exact"/>
        <w:rPr>
          <w:szCs w:val="22"/>
        </w:rPr>
      </w:pPr>
      <w:r w:rsidRPr="00A1610E">
        <w:rPr>
          <w:szCs w:val="22"/>
        </w:rPr>
        <w:t xml:space="preserve">to disclose the actual source of the genetic resources/traditional knowledge </w:t>
      </w:r>
      <w:r w:rsidR="00A1610E">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sidR="00A1610E">
        <w:rPr>
          <w:szCs w:val="22"/>
        </w:rPr>
        <w:t xml:space="preserve"> </w:t>
      </w:r>
    </w:p>
    <w:p w:rsidR="00A1610E" w:rsidRDefault="00A1610E" w:rsidP="00A1610E">
      <w:pPr>
        <w:pStyle w:val="ListParagraph"/>
        <w:rPr>
          <w:szCs w:val="22"/>
        </w:rPr>
      </w:pPr>
    </w:p>
    <w:p w:rsidR="00931A24" w:rsidRPr="00A1610E" w:rsidRDefault="00931A24" w:rsidP="00A1610E">
      <w:pPr>
        <w:numPr>
          <w:ilvl w:val="0"/>
          <w:numId w:val="16"/>
        </w:numPr>
        <w:spacing w:line="260" w:lineRule="exact"/>
        <w:rPr>
          <w:szCs w:val="22"/>
        </w:rPr>
      </w:pPr>
      <w:r w:rsidRPr="00A1610E">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w:t>
      </w:r>
      <w:r w:rsidRPr="00A1610E">
        <w:rPr>
          <w:szCs w:val="22"/>
        </w:rPr>
        <w:lastRenderedPageBreak/>
        <w:t>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At the invitation of the Conference of the Parties of the </w:t>
      </w:r>
      <w:r w:rsidRPr="007E3B38">
        <w:rPr>
          <w:i/>
          <w:szCs w:val="22"/>
        </w:rPr>
        <w:t xml:space="preserve">Convention on Biological Diversity </w:t>
      </w:r>
      <w:r w:rsidRPr="007E3B38">
        <w:rPr>
          <w:szCs w:val="22"/>
        </w:rPr>
        <w:t>(1992), the IGC prepared a technical study on this issue, as well as an examination of issues regarding the interrelation of access to genetic resources and disclosure requirements in intellectual property rights applications, which have been made available to the Convention.</w:t>
      </w:r>
      <w:r w:rsidRPr="007E3B38">
        <w:rPr>
          <w:szCs w:val="22"/>
          <w:vertAlign w:val="superscript"/>
        </w:rPr>
        <w:footnoteReference w:id="50"/>
      </w:r>
    </w:p>
    <w:p w:rsidR="00931A24" w:rsidRPr="007E3B38" w:rsidRDefault="00931A24" w:rsidP="00931A24">
      <w:pPr>
        <w:spacing w:line="260" w:lineRule="atLeast"/>
        <w:rPr>
          <w:szCs w:val="22"/>
        </w:rPr>
      </w:pPr>
    </w:p>
    <w:p w:rsidR="00931A24" w:rsidRPr="007E3B38" w:rsidRDefault="00931A24" w:rsidP="00933F72">
      <w:pPr>
        <w:spacing w:line="260" w:lineRule="atLeast"/>
        <w:rPr>
          <w:szCs w:val="22"/>
        </w:rPr>
      </w:pPr>
      <w:r w:rsidRPr="00933F72">
        <w:rPr>
          <w:szCs w:val="22"/>
        </w:rPr>
        <w:t xml:space="preserve">Several proposals have been made to the IGC.  The Swiss proposal aims to introduce a disclosure requirement in the </w:t>
      </w:r>
      <w:r w:rsidRPr="005E29EA">
        <w:rPr>
          <w:i/>
          <w:szCs w:val="22"/>
        </w:rPr>
        <w:t>Patent Cooperation Treaty</w:t>
      </w:r>
      <w:r w:rsidRPr="00933F72">
        <w:rPr>
          <w:szCs w:val="22"/>
        </w:rPr>
        <w:t xml:space="preserve"> (PCT) applying to both international and national applications and requiring the patent applicants to disclose the source of genetic resources and/or traditional knowledge.</w:t>
      </w:r>
      <w:r w:rsidRPr="00933F72">
        <w:rPr>
          <w:szCs w:val="22"/>
          <w:vertAlign w:val="superscript"/>
        </w:rPr>
        <w:footnoteReference w:id="51"/>
      </w:r>
      <w:r w:rsidRPr="00933F72">
        <w:rPr>
          <w:szCs w:val="22"/>
        </w:rPr>
        <w:t xml:space="preserve">  The proposal made by the European Union and its </w:t>
      </w:r>
      <w:smartTag w:uri="urn:schemas-microsoft-com:office:smarttags" w:element="place">
        <w:smartTag w:uri="urn:schemas-microsoft-com:office:smarttags" w:element="PlaceName">
          <w:r w:rsidRPr="00933F72">
            <w:rPr>
              <w:szCs w:val="22"/>
            </w:rPr>
            <w:t>Member</w:t>
          </w:r>
        </w:smartTag>
        <w:r w:rsidRPr="00933F72">
          <w:rPr>
            <w:szCs w:val="22"/>
          </w:rPr>
          <w:t xml:space="preserve"> </w:t>
        </w:r>
        <w:smartTag w:uri="urn:schemas-microsoft-com:office:smarttags" w:element="PlaceType">
          <w:r w:rsidRPr="00933F72">
            <w:rPr>
              <w:szCs w:val="22"/>
            </w:rPr>
            <w:t>States</w:t>
          </w:r>
        </w:smartTag>
      </w:smartTag>
      <w:r w:rsidRPr="00933F72">
        <w:rPr>
          <w:szCs w:val="22"/>
        </w:rPr>
        <w:t xml:space="preserve"> includes an obligation to implement a mandatory requirement to disclose the country of origin or source of genetic resources for all international, regional and national patent applications.</w:t>
      </w:r>
      <w:r w:rsidRPr="00933F72">
        <w:rPr>
          <w:szCs w:val="22"/>
          <w:vertAlign w:val="superscript"/>
        </w:rPr>
        <w:footnoteReference w:id="52"/>
      </w:r>
      <w:r w:rsidRPr="00933F72">
        <w:rPr>
          <w:szCs w:val="22"/>
        </w:rPr>
        <w:t xml:space="preserve">  The proposal made by the African Group builds on the proposals made by Switzerland and the European Union and also includes incorporation of the internationally recognized certificate of compliance as stipulated in the </w:t>
      </w:r>
      <w:r w:rsidRPr="00933F72">
        <w:rPr>
          <w:i/>
          <w:szCs w:val="22"/>
        </w:rPr>
        <w:t>Nagoya Protocol on Access to Genetic Resources and the Fair and Equitable Sharing of Benefits Arising from their Utilization to the Convention on Biological Diversity</w:t>
      </w:r>
      <w:r w:rsidRPr="00933F72">
        <w:rPr>
          <w:szCs w:val="22"/>
        </w:rPr>
        <w:t xml:space="preserve"> (2010).</w:t>
      </w:r>
      <w:r w:rsidRPr="00933F72">
        <w:rPr>
          <w:rStyle w:val="FootnoteReference"/>
          <w:szCs w:val="22"/>
        </w:rPr>
        <w:footnoteReference w:id="53"/>
      </w:r>
      <w:r w:rsidRPr="00933F72">
        <w:rPr>
          <w:szCs w:val="22"/>
        </w:rPr>
        <w:t xml:space="preserve">  The Like-Minded Countries</w:t>
      </w:r>
      <w:r w:rsidR="00933F72" w:rsidRPr="00933F72">
        <w:rPr>
          <w:szCs w:val="22"/>
        </w:rPr>
        <w:t>’</w:t>
      </w:r>
      <w:r w:rsidRPr="00933F72">
        <w:rPr>
          <w:szCs w:val="22"/>
        </w:rPr>
        <w:t xml:space="preserve"> proposal concerns the mandatory disclosure of information in the intellectual property application, which involves genetic resources, their derivatives and associated traditional knowledge.  Such information should include the country of origin and source, evidence of prior informed consent, evidence of benefit-sharing under mutually agreed terms, and written and oral information for enabling search and examination of the intellectual property application.</w:t>
      </w:r>
      <w:r w:rsidR="004C606B">
        <w:rPr>
          <w:rStyle w:val="FootnoteReference"/>
          <w:szCs w:val="22"/>
        </w:rPr>
        <w:footnoteReference w:id="54"/>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55"/>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56"/>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The Oxford English Dictionary defines “documentation” as the accumulation, classification and dissemination of information; the material as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r w:rsidRPr="007E3B38">
        <w:rPr>
          <w:rStyle w:val="FootnoteReference"/>
          <w:sz w:val="22"/>
          <w:szCs w:val="22"/>
        </w:rPr>
        <w:footnoteReference w:id="57"/>
      </w:r>
      <w:r w:rsidRPr="007E3B38">
        <w:rPr>
          <w:sz w:val="22"/>
          <w:szCs w:val="22"/>
        </w:rPr>
        <w:t xml:space="preserve">  </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lastRenderedPageBreak/>
        <w:t>Documentation is especially important because it is often the way people beyond the traditional circle get access to traditional knowledge.</w:t>
      </w:r>
      <w:r w:rsidRPr="007E3B38">
        <w:rPr>
          <w:sz w:val="22"/>
          <w:szCs w:val="22"/>
          <w:vertAlign w:val="superscript"/>
        </w:rPr>
        <w:footnoteReference w:id="58"/>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9"/>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60"/>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61"/>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62"/>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63"/>
      </w:r>
    </w:p>
    <w:p w:rsidR="00931A24" w:rsidRDefault="00931A24"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lastRenderedPageBreak/>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64"/>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9A736D" w:rsidRDefault="00931A24" w:rsidP="00931A24">
      <w:pPr>
        <w:spacing w:line="260" w:lineRule="atLeast"/>
        <w:rPr>
          <w:b/>
          <w:i/>
          <w:szCs w:val="22"/>
        </w:rPr>
      </w:pPr>
      <w:r w:rsidRPr="009A736D">
        <w:rPr>
          <w:b/>
          <w:i/>
          <w:szCs w:val="22"/>
        </w:rPr>
        <w:t>Ex-situ</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lang w:val="en"/>
        </w:rPr>
      </w:pPr>
      <w:r w:rsidRPr="007E3B38">
        <w:rPr>
          <w:b/>
          <w:szCs w:val="22"/>
          <w:lang w:val="en"/>
        </w:rPr>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sidR="00A1610E">
        <w:rPr>
          <w:szCs w:val="22"/>
        </w:rPr>
        <w:br/>
      </w:r>
      <w:r w:rsidRPr="007E3B38">
        <w:rPr>
          <w:szCs w:val="22"/>
        </w:rPr>
        <w:t>(see 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65"/>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w:t>
      </w:r>
      <w:r w:rsidRPr="007E3B38">
        <w:rPr>
          <w:szCs w:val="22"/>
        </w:rPr>
        <w:lastRenderedPageBreak/>
        <w:t xml:space="preserve">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66"/>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67"/>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2" w:name="_Ref289444051"/>
      <w:r w:rsidRPr="007E3B38">
        <w:rPr>
          <w:rStyle w:val="FootnoteReference"/>
          <w:szCs w:val="22"/>
        </w:rPr>
        <w:footnoteReference w:id="68"/>
      </w:r>
      <w:bookmarkEnd w:id="12"/>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9"/>
      </w:r>
    </w:p>
    <w:p w:rsidR="006B0EBA" w:rsidRPr="007E3B38" w:rsidRDefault="006B0EBA" w:rsidP="00931A24">
      <w:pPr>
        <w:spacing w:line="260" w:lineRule="atLeast"/>
        <w:rPr>
          <w:szCs w:val="22"/>
          <w:lang w:val="en"/>
        </w:rPr>
      </w:pPr>
    </w:p>
    <w:p w:rsidR="00931A24" w:rsidRPr="007E3B38" w:rsidRDefault="00931A24" w:rsidP="00931A24">
      <w:pPr>
        <w:spacing w:line="260" w:lineRule="atLeast"/>
        <w:rPr>
          <w:b/>
          <w:snapToGrid w:val="0"/>
          <w:szCs w:val="22"/>
        </w:rPr>
      </w:pPr>
      <w:r w:rsidRPr="007E3B38">
        <w:rPr>
          <w:b/>
          <w:snapToGrid w:val="0"/>
          <w:szCs w:val="22"/>
        </w:rPr>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"communities"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w:t>
      </w:r>
      <w:r w:rsidRPr="007E3B38">
        <w:rPr>
          <w:szCs w:val="22"/>
        </w:rPr>
        <w:lastRenderedPageBreak/>
        <w:t xml:space="preserve">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70"/>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Black’s Law Dictionary defines a formality as a small point of practice that, though seemingly unimportant, must usually be observed to achieve a particular legal result.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71"/>
      </w:r>
      <w:r w:rsidRPr="007E3B38">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72"/>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73"/>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931A24" w:rsidRDefault="00931A24"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Pr="007E3B38" w:rsidRDefault="00A740AB"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lastRenderedPageBreak/>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Code of Conduct for Plant Germplasm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1D6663" w:rsidRPr="007E3B38" w:rsidRDefault="001D6663" w:rsidP="00931A24">
      <w:pPr>
        <w:spacing w:line="260" w:lineRule="atLeast"/>
        <w:rPr>
          <w:szCs w:val="22"/>
        </w:rPr>
      </w:pPr>
    </w:p>
    <w:p w:rsidR="00931A24" w:rsidRPr="007E3B38" w:rsidRDefault="00931A24" w:rsidP="00931A24">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931A24" w:rsidRPr="007E3B38" w:rsidRDefault="00931A24" w:rsidP="00931A24">
      <w:pPr>
        <w:spacing w:line="260" w:lineRule="atLeast"/>
        <w:rPr>
          <w:szCs w:val="22"/>
        </w:rPr>
      </w:pPr>
    </w:p>
    <w:p w:rsidR="00931A24" w:rsidRPr="007E3B38" w:rsidRDefault="00931A24" w:rsidP="00931A24">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sidR="00814E7C">
        <w:rPr>
          <w:szCs w:val="22"/>
        </w:rPr>
        <w:t>include</w:t>
      </w:r>
      <w:r w:rsidRPr="007E3B38">
        <w:rPr>
          <w:szCs w:val="22"/>
        </w:rPr>
        <w:t xml:space="preserve"> </w:t>
      </w:r>
      <w:r w:rsidR="00814E7C">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 xml:space="preserve">re based upon their heritage”.  </w:t>
      </w:r>
      <w:r w:rsidRPr="007E3B38">
        <w:rPr>
          <w:szCs w:val="22"/>
        </w:rPr>
        <w:t>Paragraph 13 is to t</w:t>
      </w:r>
      <w:r w:rsidR="00814E7C">
        <w:rPr>
          <w:szCs w:val="22"/>
        </w:rPr>
        <w:t>he effect that:  “[t]</w:t>
      </w:r>
      <w:r w:rsidRPr="007E3B38">
        <w:rPr>
          <w:szCs w:val="22"/>
        </w:rPr>
        <w:t xml:space="preserve">he heritage of indigenous peoples includes all moveable cultural property as defined by the relevant conventions of UNESCO; </w:t>
      </w:r>
      <w:r w:rsidR="00A740AB">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w:t>
      </w:r>
      <w:r w:rsidRPr="007E3B38">
        <w:rPr>
          <w:szCs w:val="22"/>
        </w:rPr>
        <w:lastRenderedPageBreak/>
        <w:t>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74"/>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75"/>
      </w:r>
      <w:r w:rsidRPr="007E3B38">
        <w:rPr>
          <w:szCs w:val="22"/>
        </w:rPr>
        <w:t xml:space="preserve"> </w:t>
      </w:r>
      <w:r w:rsidR="00814E7C">
        <w:rPr>
          <w:szCs w:val="22"/>
        </w:rPr>
        <w:t xml:space="preserve"> </w:t>
      </w:r>
      <w:r w:rsidRPr="007E3B38">
        <w:rPr>
          <w:szCs w:val="22"/>
          <w:lang w:val="en"/>
        </w:rPr>
        <w:t xml:space="preserve">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6"/>
      </w:r>
    </w:p>
    <w:p w:rsidR="00931A24" w:rsidRPr="007E3B38" w:rsidRDefault="00931A24" w:rsidP="00931A24">
      <w:pPr>
        <w:rPr>
          <w:szCs w:val="22"/>
          <w:lang w:val="en"/>
        </w:rPr>
      </w:pPr>
    </w:p>
    <w:p w:rsidR="00931A24" w:rsidRPr="007E3B38" w:rsidRDefault="00931A24" w:rsidP="00931A24">
      <w:pPr>
        <w:rPr>
          <w:szCs w:val="22"/>
        </w:rPr>
      </w:pPr>
      <w:r w:rsidRPr="004C606B">
        <w:rPr>
          <w:szCs w:val="22"/>
          <w:lang w:val="en"/>
        </w:rPr>
        <w:t xml:space="preserve">The term “local communities” is used in the documents “Like-Minded Countries Contribution to the Draft Articles on the Protection of Traditional Cultural Expressions” (document WIPO/GRTKF/IC/19/9) and in </w:t>
      </w:r>
      <w:r w:rsidR="004C606B" w:rsidRPr="004C606B">
        <w:rPr>
          <w:szCs w:val="22"/>
          <w:lang w:val="en"/>
        </w:rPr>
        <w:t>“</w:t>
      </w:r>
      <w:r w:rsidRPr="004C606B">
        <w:rPr>
          <w:szCs w:val="22"/>
          <w:lang w:val="en"/>
        </w:rPr>
        <w:t xml:space="preserve">Like-Minded Countries Contribution to the Draft Articles on the Protection of Traditional Knowledge” (document WIPO/GRTKF/IC/19/10). </w:t>
      </w:r>
      <w:r w:rsidR="006B0EBA" w:rsidRPr="004C606B">
        <w:rPr>
          <w:szCs w:val="22"/>
          <w:lang w:val="en"/>
        </w:rPr>
        <w:t xml:space="preserve"> </w:t>
      </w:r>
      <w:r w:rsidRPr="004C606B">
        <w:rPr>
          <w:szCs w:val="22"/>
          <w:lang w:val="en"/>
        </w:rPr>
        <w:t xml:space="preserve">Article 2(2) of both documents stipulates that: </w:t>
      </w:r>
      <w:r w:rsidR="006B0EBA" w:rsidRPr="004C606B">
        <w:rPr>
          <w:szCs w:val="22"/>
          <w:lang w:val="en"/>
        </w:rPr>
        <w:t xml:space="preserve"> </w:t>
      </w:r>
      <w:r w:rsidR="00814E7C">
        <w:rPr>
          <w:szCs w:val="22"/>
          <w:lang w:val="en"/>
        </w:rPr>
        <w:t>“[f]</w:t>
      </w:r>
      <w:r w:rsidRPr="004C606B">
        <w:rPr>
          <w:szCs w:val="22"/>
          <w:lang w:val="en"/>
        </w:rPr>
        <w:t>or the purp</w:t>
      </w:r>
      <w:r w:rsidR="00814E7C">
        <w:rPr>
          <w:szCs w:val="22"/>
          <w:lang w:val="en"/>
        </w:rPr>
        <w:t>oses of this article, the term ‘local communities’</w:t>
      </w:r>
      <w:r w:rsidRPr="004C606B">
        <w:rPr>
          <w:szCs w:val="22"/>
          <w:lang w:val="en"/>
        </w:rPr>
        <w:t xml:space="preserve"> shall include any classification of social and cultural identity of a member state as defined by domestic law.”</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sidR="00004809">
        <w:rPr>
          <w:szCs w:val="22"/>
        </w:rPr>
        <w:t>icular, as appropriate:  … (c) </w:t>
      </w:r>
      <w:r w:rsidR="00451286">
        <w:rPr>
          <w:szCs w:val="22"/>
        </w:rPr>
        <w:t>[p]</w:t>
      </w:r>
      <w:proofErr w:type="spellStart"/>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7E3B38">
        <w:rPr>
          <w:i/>
          <w:szCs w:val="22"/>
        </w:rPr>
        <w:t>‘community’, where the context so permits, includes a local or traditional community.</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7"/>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r>
      <w:r w:rsidRPr="007E3B38">
        <w:rPr>
          <w:szCs w:val="22"/>
        </w:rPr>
        <w:lastRenderedPageBreak/>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8"/>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9"/>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004809">
      <w:pPr>
        <w:pStyle w:val="Default"/>
        <w:numPr>
          <w:ilvl w:val="0"/>
          <w:numId w:val="7"/>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80"/>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lastRenderedPageBreak/>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81"/>
      </w:r>
      <w:r w:rsidRPr="007E3B38">
        <w:rPr>
          <w:iCs/>
          <w:szCs w:val="22"/>
          <w:lang w:val="en-GB"/>
        </w:rPr>
        <w:t xml:space="preserve"> and 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82"/>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83"/>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and (3) “</w:t>
      </w:r>
      <w:r w:rsidRPr="007E3B38">
        <w:rPr>
          <w:i/>
          <w:szCs w:val="22"/>
        </w:rPr>
        <w:t xml:space="preserve">[…] of, relating to, or characteristic of the Aborigines of </w:t>
      </w:r>
      <w:smartTag w:uri="urn:schemas-microsoft-com:office:smarttags" w:element="place">
        <w:smartTag w:uri="urn:schemas-microsoft-com:office:smarttags" w:element="country-region">
          <w:r w:rsidRPr="007E3B38">
            <w:rPr>
              <w:i/>
              <w:szCs w:val="22"/>
            </w:rPr>
            <w:t>Australia</w:t>
          </w:r>
        </w:smartTag>
      </w:smartTag>
      <w:r w:rsidRPr="007E3B38">
        <w:rPr>
          <w:i/>
          <w:szCs w:val="22"/>
        </w:rPr>
        <w:t xml:space="preserve">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84"/>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85"/>
      </w:r>
    </w:p>
    <w:p w:rsidR="00931A24" w:rsidRPr="007E3B38" w:rsidRDefault="00931A24" w:rsidP="00931A24">
      <w:pPr>
        <w:rPr>
          <w:szCs w:val="22"/>
          <w:lang w:val="en"/>
        </w:rPr>
      </w:pPr>
    </w:p>
    <w:p w:rsidR="00931A24" w:rsidRPr="00920AF8" w:rsidRDefault="00931A24" w:rsidP="00931A24">
      <w:pPr>
        <w:spacing w:line="260" w:lineRule="atLeast"/>
        <w:rPr>
          <w:b/>
          <w:i/>
          <w:snapToGrid w:val="0"/>
          <w:szCs w:val="22"/>
        </w:rPr>
      </w:pPr>
      <w:r w:rsidRPr="00920AF8">
        <w:rPr>
          <w:b/>
          <w:i/>
          <w:snapToGrid w:val="0"/>
          <w:szCs w:val="22"/>
        </w:rPr>
        <w:t>In-situ</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corporeal; capable of being touched and seen; perceptible.”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931A24" w:rsidRPr="007E3B38" w:rsidRDefault="00931A24" w:rsidP="00931A24">
      <w:pPr>
        <w:spacing w:line="260" w:lineRule="atLeast"/>
        <w:rPr>
          <w:b/>
          <w:szCs w:val="22"/>
          <w:lang w:val="en-GB"/>
        </w:rPr>
      </w:pPr>
      <w:r w:rsidRPr="007E3B38">
        <w:rPr>
          <w:b/>
          <w:szCs w:val="22"/>
          <w:lang w:val="en-GB"/>
        </w:rPr>
        <w:lastRenderedPageBreak/>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6"/>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7"/>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8"/>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9"/>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90"/>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91"/>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92"/>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93"/>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004934AB">
        <w:rPr>
          <w:szCs w:val="22"/>
        </w:rPr>
        <w:br/>
      </w:r>
      <w:r w:rsidRPr="007E3B38">
        <w:rPr>
          <w:szCs w:val="22"/>
        </w:rPr>
        <w:lastRenderedPageBreak/>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9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sidR="004934AB">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sidR="004934AB">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sidR="004934AB">
        <w:rPr>
          <w:szCs w:val="22"/>
          <w:lang w:val="en"/>
        </w:rPr>
        <w:t xml:space="preserve"> </w:t>
      </w:r>
      <w:r w:rsidRPr="007E3B38">
        <w:rPr>
          <w:szCs w:val="22"/>
          <w:lang w:val="en"/>
        </w:rPr>
        <w:t>the amendments made thereafter in accordance with Article 5 which enter into force pursuant to the provisions of Article 6.”</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5"/>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6"/>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state of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7"/>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8"/>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9"/>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100"/>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101"/>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102"/>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103"/>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4"/>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Pr="007E3B38">
        <w:rPr>
          <w:szCs w:val="22"/>
          <w:lang w:eastAsia="en-US" w:bidi="th-TH"/>
        </w:rPr>
        <w:t>“.</w:t>
      </w:r>
      <w:r w:rsidRPr="007E3B38">
        <w:rPr>
          <w:rStyle w:val="FootnoteReference"/>
          <w:szCs w:val="22"/>
          <w:lang w:eastAsia="en-US" w:bidi="th-TH"/>
        </w:rPr>
        <w:footnoteReference w:id="105"/>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7E3B38">
        <w:rPr>
          <w:szCs w:val="22"/>
        </w:rPr>
        <w:t>”.</w:t>
      </w:r>
      <w:r w:rsidRPr="007E3B38">
        <w:rPr>
          <w:rStyle w:val="FootnoteReference"/>
          <w:szCs w:val="22"/>
        </w:rPr>
        <w:footnoteReference w:id="106"/>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7"/>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 xml:space="preserve">A minority is a group which is numerically inferior to the rest of the population of a State and in a </w:t>
      </w:r>
      <w:proofErr w:type="spellStart"/>
      <w:r w:rsidRPr="007E3B38">
        <w:rPr>
          <w:iCs/>
          <w:szCs w:val="22"/>
        </w:rPr>
        <w:t>non dominant</w:t>
      </w:r>
      <w:proofErr w:type="spellEnd"/>
      <w:r w:rsidRPr="007E3B38">
        <w:rPr>
          <w:iCs/>
          <w:szCs w:val="22"/>
        </w:rPr>
        <w:t xml:space="preserve">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8"/>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9"/>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10"/>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11"/>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In the field of intellectual property, Black’s Law Dictionary defines “misappropriation” as “the common-law tort of using the </w:t>
      </w:r>
      <w:proofErr w:type="spellStart"/>
      <w:r w:rsidRPr="007E3B38">
        <w:rPr>
          <w:szCs w:val="22"/>
        </w:rPr>
        <w:t>noncopyrightable</w:t>
      </w:r>
      <w:proofErr w:type="spellEnd"/>
      <w:r w:rsidRPr="007E3B38">
        <w:rPr>
          <w:szCs w:val="22"/>
        </w:rPr>
        <w:t xml:space="preserve"> information or ideas that an organization collects and disseminates for a profit to compete unfairly against that organization, or copying a work whose creator has not yet claimed or been granted exclusive rights in the work. […] The elements of misappropriation are:  (1)</w:t>
      </w:r>
      <w:r w:rsidR="004934AB">
        <w:rPr>
          <w:szCs w:val="22"/>
        </w:rPr>
        <w:t xml:space="preserve"> </w:t>
      </w:r>
      <w:r w:rsidRPr="007E3B38">
        <w:rPr>
          <w:szCs w:val="22"/>
        </w:rPr>
        <w:t xml:space="preserve"> the plaintiff must have invested time, money, or effort to extract the information, (2) </w:t>
      </w:r>
      <w:r w:rsidR="004934AB">
        <w:rPr>
          <w:szCs w:val="22"/>
        </w:rPr>
        <w:t xml:space="preserve"> </w:t>
      </w:r>
      <w:r w:rsidRPr="007E3B38">
        <w:rPr>
          <w:szCs w:val="22"/>
        </w:rPr>
        <w:t xml:space="preserve">the defendant must have taken the information with no similar investment, and (3) </w:t>
      </w:r>
      <w:r w:rsidR="004934AB">
        <w:rPr>
          <w:szCs w:val="22"/>
        </w:rPr>
        <w:t xml:space="preserve"> </w:t>
      </w:r>
      <w:r w:rsidRPr="007E3B38">
        <w:rPr>
          <w:szCs w:val="22"/>
        </w:rPr>
        <w:t>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sidR="004934AB">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sidR="004934AB">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sidR="004934AB">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12"/>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lastRenderedPageBreak/>
        <w:t>Misuse</w:t>
      </w:r>
      <w:r w:rsidRPr="00AF287D">
        <w:rPr>
          <w:rStyle w:val="FootnoteReference"/>
          <w:szCs w:val="22"/>
        </w:rPr>
        <w:footnoteReference w:id="113"/>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 xml:space="preserve">use of a patent either to improperly extend the granted monopoly to </w:t>
      </w:r>
      <w:proofErr w:type="spellStart"/>
      <w:r w:rsidRPr="007E3B38">
        <w:rPr>
          <w:szCs w:val="22"/>
        </w:rPr>
        <w:t>nonpatented</w:t>
      </w:r>
      <w:proofErr w:type="spellEnd"/>
      <w:r w:rsidRPr="007E3B38">
        <w:rPr>
          <w:szCs w:val="22"/>
        </w:rPr>
        <w:t xml:space="preserve"> goods or to violate antitrust laws.” </w:t>
      </w:r>
      <w:r w:rsidR="00281E50">
        <w:rPr>
          <w:szCs w:val="22"/>
        </w:rPr>
        <w:t xml:space="preserve"> </w:t>
      </w:r>
      <w:r w:rsidRPr="007E3B38">
        <w:rPr>
          <w:szCs w:val="22"/>
        </w:rPr>
        <w:t xml:space="preserve">In 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 xml:space="preserve">Musical expression </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Musical expressions are expressions by musical sounds.</w:t>
      </w:r>
      <w:r w:rsidRPr="007E3B38">
        <w:rPr>
          <w:rStyle w:val="FootnoteReference"/>
          <w:szCs w:val="22"/>
        </w:rPr>
        <w:footnoteReference w:id="114"/>
      </w:r>
      <w:r w:rsidRPr="007E3B38">
        <w:rPr>
          <w:szCs w:val="22"/>
        </w:rPr>
        <w:t xml:space="preserve">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5"/>
      </w:r>
      <w:r w:rsidRPr="007E3B38">
        <w:rPr>
          <w:szCs w:val="22"/>
          <w:lang w:val="en-GB"/>
        </w:rPr>
        <w:t xml:space="preserve">  </w:t>
      </w:r>
      <w:r w:rsidRPr="007E3B38">
        <w:rPr>
          <w:szCs w:val="22"/>
        </w:rPr>
        <w:t xml:space="preserve">The </w:t>
      </w:r>
      <w:r w:rsidRPr="00793EDE">
        <w:rPr>
          <w:rStyle w:val="Strong"/>
          <w:b w:val="0"/>
          <w:i/>
          <w:szCs w:val="22"/>
        </w:rPr>
        <w:t xml:space="preserve">Bonn Guidelines on Access to Genetic Resources </w:t>
      </w:r>
      <w:r w:rsidRPr="00793EDE">
        <w:rPr>
          <w:rStyle w:val="Strong"/>
          <w:b w:val="0"/>
          <w:i/>
          <w:szCs w:val="22"/>
        </w:rPr>
        <w:lastRenderedPageBreak/>
        <w:t>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specifically deals with compliance with mutually agreed terms, providing that “1.  In the implementation of Article 6, paragraph 3 (g)(</w:t>
      </w:r>
      <w:proofErr w:type="spellStart"/>
      <w:r w:rsidRPr="007E3B38">
        <w:rPr>
          <w:szCs w:val="22"/>
        </w:rPr>
        <w:t>i</w:t>
      </w:r>
      <w:proofErr w:type="spellEnd"/>
      <w:r w:rsidRPr="007E3B38">
        <w:rPr>
          <w:szCs w:val="22"/>
        </w:rPr>
        <w:t xml:space="preserve">)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931A24" w:rsidRPr="007E3B38"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smartTag w:uri="urn:schemas-microsoft-com:office:smarttags" w:element="City">
        <w:smartTag w:uri="urn:schemas-microsoft-com:office:smarttags" w:element="place">
          <w:r w:rsidRPr="007E3B38">
            <w:rPr>
              <w:b/>
              <w:szCs w:val="22"/>
              <w:lang w:val="en-GB"/>
            </w:rPr>
            <w:t>Nagoya</w:t>
          </w:r>
        </w:smartTag>
      </w:smartTag>
      <w:r w:rsidRPr="007E3B38">
        <w:rPr>
          <w:b/>
          <w:szCs w:val="22"/>
          <w:lang w:val="en-GB"/>
        </w:rPr>
        <w:t xml:space="preserve">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Several articles are specifically related to traditional knowledge associated with genetic resources, such as Article 3 (Access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3" w:name="_Ref289681765"/>
      <w:r w:rsidRPr="007E3B38">
        <w:rPr>
          <w:rStyle w:val="FootnoteReference"/>
          <w:szCs w:val="22"/>
          <w:lang w:val="en"/>
        </w:rPr>
        <w:footnoteReference w:id="116"/>
      </w:r>
      <w:bookmarkEnd w:id="13"/>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7"/>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8"/>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9"/>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006D2D46">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and loss of right to patent] defines the concept of novelty as follows:  “</w:t>
      </w:r>
      <w:r w:rsidR="00793EDE">
        <w:rPr>
          <w:iCs/>
          <w:szCs w:val="22"/>
          <w:lang w:eastAsia="en-US" w:bidi="th-TH"/>
        </w:rPr>
        <w:t>[a]</w:t>
      </w:r>
      <w:r w:rsidRPr="007E3B38">
        <w:rPr>
          <w:iCs/>
          <w:szCs w:val="22"/>
          <w:lang w:eastAsia="en-US" w:bidi="th-TH"/>
        </w:rPr>
        <w:t xml:space="preserve"> person shall be entitled to a patent unless — the invention was 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2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 xml:space="preserve">states that “[…] patents shall be available for any inventions, whether products or processes, in all fields of technology, provided that they are new, involve an inventive step and are capable of industrial application.  […] patents shall be </w:t>
      </w:r>
      <w:r w:rsidRPr="007E3B38">
        <w:rPr>
          <w:szCs w:val="22"/>
        </w:rPr>
        <w:lastRenderedPageBreak/>
        <w:t>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22"/>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 xml:space="preserve">n all cases of research, treatment or diagnosis affecting an individual’s genome the potential risks and benefits should be assessed </w:t>
      </w:r>
      <w:r w:rsidRPr="007E3B38">
        <w:rPr>
          <w:rStyle w:val="longdesc"/>
          <w:szCs w:val="22"/>
        </w:rPr>
        <w:lastRenderedPageBreak/>
        <w:t>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23"/>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4"/>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w:t>
      </w:r>
      <w:r w:rsidRPr="007E3B38">
        <w:rPr>
          <w:iCs/>
          <w:szCs w:val="22"/>
        </w:rPr>
        <w:lastRenderedPageBreak/>
        <w:t>stipulated for the documents or other sources of the information.  However certain specific exclusions exist (see IV, 8).</w:t>
      </w:r>
      <w:r w:rsidRPr="007E3B38">
        <w:rPr>
          <w:szCs w:val="22"/>
        </w:rPr>
        <w:t>”</w:t>
      </w:r>
      <w:r w:rsidRPr="007E3B38">
        <w:rPr>
          <w:rStyle w:val="FootnoteReference"/>
          <w:szCs w:val="22"/>
        </w:rPr>
        <w:footnoteReference w:id="126"/>
      </w:r>
      <w:r w:rsidRPr="007E3B38">
        <w:rPr>
          <w:szCs w:val="22"/>
        </w:rPr>
        <w:t xml:space="preserve">  </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defines prior art indirectly through the concept of novelty as anything ”</w:t>
      </w:r>
      <w:r w:rsidRPr="007E3B38">
        <w:rPr>
          <w:iCs/>
          <w:szCs w:val="22"/>
          <w:lang w:eastAsia="en-US" w:bidi="th-TH"/>
        </w:rPr>
        <w:t xml:space="preserve">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sidR="00F902F6">
        <w:rPr>
          <w:lang w:eastAsia="en-US" w:bidi="th-TH"/>
        </w:rPr>
        <w:t xml:space="preserve"> </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sidR="00F902F6">
        <w:rPr>
          <w:lang w:eastAsia="en-US" w:bidi="th-TH"/>
        </w:rPr>
        <w:t xml:space="preserve"> </w:t>
      </w:r>
      <w:r w:rsidRPr="007E3B38">
        <w:rPr>
          <w:lang w:eastAsia="en-US" w:bidi="th-TH"/>
        </w:rPr>
        <w:t xml:space="preserve">inventions that were publicly worked in Japan or a foreign country, prior to the filing of the patent application; or  (iii) </w:t>
      </w:r>
      <w:r w:rsidR="00F902F6">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p>
    <w:p w:rsidR="00BD225A" w:rsidRPr="00BD225A" w:rsidRDefault="00BD225A"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7"/>
      </w:r>
      <w:r w:rsidR="00F902F6">
        <w:rPr>
          <w:szCs w:val="22"/>
        </w:rPr>
        <w:t xml:space="preserve">  Two </w:t>
      </w:r>
      <w:r w:rsidRPr="007E3B38">
        <w:rPr>
          <w:szCs w:val="22"/>
        </w:rPr>
        <w:t>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8"/>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9"/>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30"/>
      </w:r>
      <w:r w:rsidRPr="007E3B38">
        <w:rPr>
          <w:szCs w:val="22"/>
        </w:rPr>
        <w:t xml:space="preserve"> Defensive protection of traditional knowledge includes measures to preempt or to invalidate patents that illegitimately claim pre-existing traditional knowledge as inventions.</w:t>
      </w:r>
    </w:p>
    <w:p w:rsidR="00931A24" w:rsidRDefault="00931A24" w:rsidP="00931A24">
      <w:pPr>
        <w:rPr>
          <w:b/>
          <w:szCs w:val="22"/>
        </w:rPr>
      </w:pPr>
    </w:p>
    <w:p w:rsidR="00355D03" w:rsidRDefault="00355D03" w:rsidP="00931A24">
      <w:pPr>
        <w:rPr>
          <w:b/>
          <w:szCs w:val="22"/>
        </w:rPr>
      </w:pPr>
    </w:p>
    <w:p w:rsidR="00355D03" w:rsidRDefault="00355D03" w:rsidP="00931A24">
      <w:pPr>
        <w:rPr>
          <w:b/>
          <w:szCs w:val="22"/>
        </w:rPr>
      </w:pPr>
    </w:p>
    <w:p w:rsidR="003F5C8A" w:rsidRDefault="003F5C8A"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b/>
          <w:szCs w:val="22"/>
          <w:lang w:val="en"/>
        </w:rPr>
      </w:pPr>
      <w:r w:rsidRPr="007E3B38">
        <w:rPr>
          <w:b/>
          <w:szCs w:val="22"/>
          <w:lang w:val="en"/>
        </w:rPr>
        <w:lastRenderedPageBreak/>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31"/>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t>.</w:t>
      </w:r>
      <w:r w:rsidRPr="007E3B38">
        <w:rPr>
          <w:rStyle w:val="FootnoteReference"/>
          <w:szCs w:val="22"/>
          <w:lang w:val="en"/>
        </w:rPr>
        <w:footnoteReference w:id="132"/>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3"/>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r w:rsidRPr="007E3B38">
        <w:rPr>
          <w:szCs w:val="22"/>
          <w:vertAlign w:val="superscript"/>
        </w:rPr>
        <w:footnoteReference w:id="134"/>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6"/>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szCs w:val="22"/>
        </w:rPr>
      </w:pPr>
      <w:r w:rsidRPr="007E3B38">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7"/>
      </w:r>
    </w:p>
    <w:p w:rsidR="00281E50" w:rsidRPr="007E3B38" w:rsidRDefault="00281E50" w:rsidP="00931A24">
      <w:pPr>
        <w:spacing w:line="260" w:lineRule="atLeast"/>
        <w:rPr>
          <w:szCs w:val="22"/>
        </w:rPr>
      </w:pPr>
    </w:p>
    <w:p w:rsidR="00931A24" w:rsidRDefault="00931A24" w:rsidP="00931A24">
      <w:pPr>
        <w:spacing w:line="260" w:lineRule="atLeast"/>
        <w:rPr>
          <w:szCs w:val="22"/>
        </w:rPr>
      </w:pPr>
      <w:r w:rsidRPr="007E3B38">
        <w:rPr>
          <w:szCs w:val="22"/>
        </w:rPr>
        <w:t>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8"/>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 declaratory regime relating to traditional knowledge recognizes that the rights over traditional knowledge do not arise due to any act of governmen</w:t>
      </w:r>
      <w:r w:rsidR="00F902F6">
        <w:rPr>
          <w:szCs w:val="22"/>
        </w:rPr>
        <w:t>t but rather are based upon pre-</w:t>
      </w:r>
      <w:r w:rsidRPr="007E3B38">
        <w:rPr>
          <w:szCs w:val="22"/>
        </w:rPr>
        <w:t xml:space="preserv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w:t>
      </w:r>
      <w:r w:rsidRPr="007E3B38">
        <w:rPr>
          <w:szCs w:val="22"/>
        </w:rPr>
        <w:lastRenderedPageBreak/>
        <w:t>valid when carrying out searches related to novelty and inventiveness.  A third function that these registers may have is to facilitate benefit–sharing between users and providers.</w:t>
      </w:r>
      <w:r w:rsidRPr="007E3B38">
        <w:rPr>
          <w:rStyle w:val="FootnoteReference"/>
          <w:szCs w:val="22"/>
        </w:rPr>
        <w:footnoteReference w:id="13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4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w:t>
      </w:r>
      <w:r w:rsidR="00F902F6">
        <w:rPr>
          <w:szCs w:val="22"/>
        </w:rPr>
        <w:t xml:space="preserve"> </w:t>
      </w:r>
      <w:r w:rsidRPr="007E3B38">
        <w:rPr>
          <w:szCs w:val="22"/>
        </w:rPr>
        <w:t xml:space="preserve"> to preserve and safeguard the collective knowledge of indigenous peoples and their rights therein;  (b) </w:t>
      </w:r>
      <w:r w:rsidR="00F902F6">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41"/>
      </w:r>
      <w:r w:rsidRPr="007E3B38">
        <w:rPr>
          <w:szCs w:val="22"/>
        </w:rPr>
        <w:t xml:space="preserve">  Article 15 also provides that “[t]he collective knowledge of indigenous peoples may be entered in three types of register:  (a) </w:t>
      </w:r>
      <w:r w:rsidR="00F902F6">
        <w:rPr>
          <w:szCs w:val="22"/>
        </w:rPr>
        <w:t xml:space="preserve"> </w:t>
      </w:r>
      <w:r w:rsidRPr="007E3B38">
        <w:rPr>
          <w:szCs w:val="22"/>
        </w:rPr>
        <w:t>Public National Register of Collective Knowledge of Indigenous Peoples;  (b)</w:t>
      </w:r>
      <w:r w:rsidR="00F902F6">
        <w:rPr>
          <w:szCs w:val="22"/>
        </w:rPr>
        <w:t xml:space="preserve"> </w:t>
      </w:r>
      <w:r w:rsidRPr="007E3B38">
        <w:rPr>
          <w:szCs w:val="22"/>
        </w:rPr>
        <w:t xml:space="preserve"> Confidential National Register of Collective Knowledge of Indigenous Peoples;  (c) </w:t>
      </w:r>
      <w:r w:rsidR="00F902F6">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42"/>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43"/>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4"/>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lastRenderedPageBreak/>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5"/>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6"/>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7"/>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8"/>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9"/>
      </w:r>
      <w:r w:rsidR="00931A24" w:rsidRPr="007E3B38">
        <w:rPr>
          <w:szCs w:val="22"/>
        </w:rPr>
        <w:t xml:space="preserve"> </w:t>
      </w:r>
    </w:p>
    <w:p w:rsidR="0018544D" w:rsidRDefault="0018544D"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r w:rsidRPr="007E3B38">
        <w:rPr>
          <w:rStyle w:val="FootnoteReference"/>
          <w:szCs w:val="22"/>
          <w:lang w:val="en-GB"/>
        </w:rPr>
        <w:footnoteReference w:id="150"/>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51"/>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52"/>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53"/>
      </w:r>
      <w:r w:rsidRPr="007E3B38">
        <w:rPr>
          <w:iCs/>
          <w:szCs w:val="22"/>
        </w:rPr>
        <w:t xml:space="preserve"> indigenous and local communities</w:t>
      </w:r>
      <w:r w:rsidRPr="007E3B38">
        <w:rPr>
          <w:rStyle w:val="FootnoteReference"/>
          <w:iCs/>
          <w:szCs w:val="22"/>
        </w:rPr>
        <w:footnoteReference w:id="154"/>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5"/>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w:t>
      </w:r>
      <w:r w:rsidR="00F902F6">
        <w:rPr>
          <w:i/>
          <w:szCs w:val="22"/>
        </w:rPr>
        <w:br/>
      </w:r>
      <w:r w:rsidRPr="00813660">
        <w:rPr>
          <w:i/>
          <w:szCs w:val="22"/>
        </w:rPr>
        <w:t xml:space="preserve">26 June 2000 on the Special Intellectual Property Regime with Respect to the Collective Rights </w:t>
      </w:r>
      <w:r w:rsidRPr="00813660">
        <w:rPr>
          <w:i/>
          <w:szCs w:val="22"/>
        </w:rPr>
        <w:lastRenderedPageBreak/>
        <w:t>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proofErr w:type="spellStart"/>
      <w:r w:rsidRPr="007E3B38">
        <w:rPr>
          <w:b/>
          <w:szCs w:val="22"/>
        </w:rPr>
        <w:t>Swakopmund</w:t>
      </w:r>
      <w:proofErr w:type="spellEnd"/>
      <w:r w:rsidRPr="007E3B38">
        <w:rPr>
          <w:b/>
          <w:szCs w:val="22"/>
        </w:rPr>
        <w:t xml:space="preserve">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proofErr w:type="spellStart"/>
      <w:smartTag w:uri="urn:schemas-microsoft-com:office:smarttags" w:element="place">
        <w:smartTag w:uri="urn:schemas-microsoft-com:office:smarttags" w:element="City">
          <w:r w:rsidRPr="007E3B38">
            <w:rPr>
              <w:szCs w:val="22"/>
            </w:rPr>
            <w:t>Swakopmund</w:t>
          </w:r>
        </w:smartTag>
        <w:proofErr w:type="spellEnd"/>
        <w:r w:rsidRPr="007E3B38">
          <w:rPr>
            <w:szCs w:val="22"/>
          </w:rPr>
          <w:t xml:space="preserve">, </w:t>
        </w:r>
        <w:smartTag w:uri="urn:schemas-microsoft-com:office:smarttags" w:element="country-region">
          <w:r w:rsidRPr="007E3B38">
            <w:rPr>
              <w:szCs w:val="22"/>
            </w:rPr>
            <w:t>Namibia</w:t>
          </w:r>
        </w:smartTag>
      </w:smartTag>
      <w:r w:rsidRPr="007E3B38">
        <w:rPr>
          <w:szCs w:val="22"/>
        </w:rPr>
        <w:t>.  According to Article 1.1, this Protocol aims:  “</w:t>
      </w:r>
      <w:r w:rsidRPr="007E3B38">
        <w:rPr>
          <w:i/>
          <w:szCs w:val="22"/>
        </w:rPr>
        <w:t>(a) to protect traditional knowledge holders against any infringement of their rights as recognized by this Protocol; and (b) to protect expressions of folklore against misappropriation, misuse and unlawful exploitation beyond their traditional context</w:t>
      </w:r>
      <w:r w:rsidRPr="007E3B38">
        <w:rPr>
          <w:szCs w:val="22"/>
        </w:rPr>
        <w:t xml:space="preserve">”.  </w:t>
      </w:r>
      <w:r w:rsidRPr="00216931">
        <w:rPr>
          <w:szCs w:val="22"/>
        </w:rPr>
        <w:t>The Protocol will enter into force when six Member States of the ARIPO either deposit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6"/>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7"/>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8"/>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9"/>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w:t>
      </w:r>
      <w:r w:rsidRPr="007E3B38">
        <w:rPr>
          <w:szCs w:val="22"/>
        </w:rPr>
        <w:lastRenderedPageBreak/>
        <w:t xml:space="preserve">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60"/>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61"/>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931A24" w:rsidRPr="007E3B38"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62"/>
      </w:r>
    </w:p>
    <w:p w:rsidR="00931A24" w:rsidRPr="007E3B38" w:rsidRDefault="00931A24"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63"/>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 xml:space="preserve">Further, TEK is an </w:t>
      </w:r>
      <w:r w:rsidRPr="007E3B38">
        <w:rPr>
          <w:szCs w:val="22"/>
        </w:rPr>
        <w:lastRenderedPageBreak/>
        <w:t>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64"/>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5"/>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Traditional Knowledge Digital Library (TKDL) is a collaborative project between the Council of Scientific and Industrial Research (CSIR), Ministry of Science and Technology, and the Department of AYUSH, Ministry of Health and Family Welfare, of </w:t>
      </w:r>
      <w:smartTag w:uri="urn:schemas-microsoft-com:office:smarttags" w:element="country-region">
        <w:smartTag w:uri="urn:schemas-microsoft-com:office:smarttags" w:element="place">
          <w:r w:rsidRPr="007E3B38">
            <w:rPr>
              <w:szCs w:val="22"/>
            </w:rPr>
            <w:t>India</w:t>
          </w:r>
        </w:smartTag>
      </w:smartTag>
      <w:r w:rsidRPr="007E3B38">
        <w:rPr>
          <w:szCs w:val="22"/>
        </w:rPr>
        <w:t>, and is being implemented at CSIR.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6"/>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7"/>
      </w:r>
    </w:p>
    <w:p w:rsidR="00931A24" w:rsidRDefault="00931A24" w:rsidP="00931A24">
      <w:pPr>
        <w:rPr>
          <w:b/>
          <w:szCs w:val="22"/>
        </w:rPr>
      </w:pPr>
    </w:p>
    <w:p w:rsidR="00931A24" w:rsidRPr="007E3B38" w:rsidRDefault="00931A24" w:rsidP="00931A24">
      <w:pPr>
        <w:rPr>
          <w:b/>
          <w:szCs w:val="22"/>
        </w:rPr>
      </w:pPr>
      <w:r w:rsidRPr="007E3B38">
        <w:rPr>
          <w:b/>
          <w:szCs w:val="22"/>
        </w:rPr>
        <w:t>Traditional Knowledge Holder</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sidR="00911384">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168"/>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931A24" w:rsidRPr="007E3B38" w:rsidRDefault="00931A24" w:rsidP="00931A24">
      <w:pPr>
        <w:rPr>
          <w:szCs w:val="22"/>
        </w:rPr>
      </w:pPr>
    </w:p>
    <w:p w:rsidR="00931A24" w:rsidRPr="007E3B38" w:rsidRDefault="00931A24" w:rsidP="00931A24">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169"/>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70"/>
      </w:r>
      <w:r w:rsidRPr="007E3B38">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71"/>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72"/>
      </w:r>
      <w:r w:rsidRPr="007E3B38">
        <w:rPr>
          <w:szCs w:val="22"/>
        </w:rPr>
        <w:t xml:space="preserve"> </w:t>
      </w:r>
      <w:r w:rsidR="0079064A">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73"/>
      </w:r>
    </w:p>
    <w:p w:rsidR="00931A24" w:rsidRDefault="00931A24"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931A24" w:rsidRPr="007E3B38" w:rsidRDefault="00931A24" w:rsidP="00931A24">
      <w:pPr>
        <w:rPr>
          <w:b/>
          <w:szCs w:val="22"/>
        </w:rPr>
      </w:pPr>
      <w:r w:rsidRPr="007E3B38">
        <w:rPr>
          <w:b/>
          <w:szCs w:val="22"/>
        </w:rPr>
        <w:lastRenderedPageBreak/>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Pr="007E3B38">
        <w:rPr>
          <w:rStyle w:val="FootnoteReference"/>
          <w:szCs w:val="22"/>
          <w:lang w:val="en-GB"/>
        </w:rPr>
        <w:footnoteReference w:id="174"/>
      </w:r>
      <w:r w:rsidRPr="007E3B38">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75"/>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76"/>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77"/>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 and innovation further.</w:t>
      </w:r>
      <w:r w:rsidRPr="007E3B38">
        <w:rPr>
          <w:rStyle w:val="FootnoteReference"/>
          <w:szCs w:val="22"/>
          <w:lang w:val="en"/>
        </w:rPr>
        <w:footnoteReference w:id="178"/>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lastRenderedPageBreak/>
        <w:t>The Convention has several objectives set out in Article 1, namely (a)</w:t>
      </w:r>
      <w:r w:rsidR="001A5A5F">
        <w:rPr>
          <w:szCs w:val="22"/>
        </w:rPr>
        <w:t xml:space="preserve"> </w:t>
      </w:r>
      <w:r w:rsidRPr="007E3B38">
        <w:rPr>
          <w:szCs w:val="22"/>
        </w:rPr>
        <w:t xml:space="preserve"> to protect and promote the diversity of cultural expressions; </w:t>
      </w:r>
      <w:r w:rsidR="0079064A">
        <w:rPr>
          <w:szCs w:val="22"/>
        </w:rPr>
        <w:t xml:space="preserve"> </w:t>
      </w:r>
      <w:r w:rsidRPr="007E3B38">
        <w:rPr>
          <w:szCs w:val="22"/>
        </w:rPr>
        <w:t>(b)</w:t>
      </w:r>
      <w:r w:rsidR="001A5A5F">
        <w:rPr>
          <w:szCs w:val="22"/>
        </w:rPr>
        <w:t xml:space="preserve"> </w:t>
      </w:r>
      <w:r w:rsidRPr="007E3B38">
        <w:rPr>
          <w:szCs w:val="22"/>
        </w:rPr>
        <w:t xml:space="preserve"> to create the conditions for cultures to flourish and to freely interact in a mutually beneficial manner; </w:t>
      </w:r>
      <w:r w:rsidR="0079064A">
        <w:rPr>
          <w:szCs w:val="22"/>
        </w:rPr>
        <w:t xml:space="preserve"> </w:t>
      </w:r>
      <w:r w:rsidRPr="007E3B38">
        <w:rPr>
          <w:szCs w:val="22"/>
        </w:rPr>
        <w:t>(c)</w:t>
      </w:r>
      <w:r w:rsidR="001A5A5F">
        <w:rPr>
          <w:szCs w:val="22"/>
        </w:rPr>
        <w:t xml:space="preserve"> </w:t>
      </w:r>
      <w:r w:rsidRPr="007E3B38">
        <w:rPr>
          <w:szCs w:val="22"/>
        </w:rPr>
        <w:t xml:space="preserve">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sidR="0079064A">
        <w:rPr>
          <w:szCs w:val="22"/>
        </w:rPr>
        <w:t xml:space="preserve"> </w:t>
      </w:r>
      <w:r w:rsidRPr="007E3B38">
        <w:rPr>
          <w:szCs w:val="22"/>
        </w:rPr>
        <w:t>(d)</w:t>
      </w:r>
      <w:r w:rsidR="001A5A5F">
        <w:rPr>
          <w:szCs w:val="22"/>
        </w:rPr>
        <w:t xml:space="preserve"> </w:t>
      </w:r>
      <w:r w:rsidRPr="007E3B38">
        <w:rPr>
          <w:szCs w:val="22"/>
        </w:rPr>
        <w:t xml:space="preserve">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sidR="0079064A">
        <w:rPr>
          <w:szCs w:val="22"/>
        </w:rPr>
        <w:t xml:space="preserve"> </w:t>
      </w:r>
      <w:r w:rsidRPr="007E3B38">
        <w:rPr>
          <w:szCs w:val="22"/>
        </w:rPr>
        <w:t>(e)</w:t>
      </w:r>
      <w:r w:rsidR="001A5A5F">
        <w:rPr>
          <w:szCs w:val="22"/>
        </w:rPr>
        <w:t xml:space="preserve"> </w:t>
      </w:r>
      <w:r w:rsidRPr="007E3B38">
        <w:rPr>
          <w:szCs w:val="22"/>
        </w:rPr>
        <w:t xml:space="preserv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w:t>
      </w:r>
      <w:r w:rsidR="001A5A5F">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 xml:space="preserve">(g) </w:t>
      </w:r>
      <w:r w:rsidR="001A5A5F">
        <w:rPr>
          <w:szCs w:val="22"/>
        </w:rPr>
        <w:t xml:space="preserve"> </w:t>
      </w:r>
      <w:r w:rsidRPr="007E3B38">
        <w:rPr>
          <w:szCs w:val="22"/>
        </w:rPr>
        <w:t>to give recognition to the distinctive nature of cultural activities, goods and services as vehicles of identity, values and meaning;</w:t>
      </w:r>
      <w:r w:rsidR="0079064A">
        <w:rPr>
          <w:szCs w:val="22"/>
        </w:rPr>
        <w:t xml:space="preserve"> </w:t>
      </w:r>
      <w:r w:rsidRPr="007E3B38">
        <w:rPr>
          <w:szCs w:val="22"/>
        </w:rPr>
        <w:t xml:space="preserve"> (h)</w:t>
      </w:r>
      <w:r w:rsidR="001A5A5F">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 xml:space="preserve">[and] </w:t>
      </w:r>
      <w:r w:rsidR="001A5A5F">
        <w:rPr>
          <w:szCs w:val="22"/>
        </w:rPr>
        <w:t xml:space="preserve"> </w:t>
      </w:r>
      <w:r w:rsidRPr="007E3B38">
        <w:rPr>
          <w:szCs w:val="22"/>
        </w:rPr>
        <w:t>(</w:t>
      </w:r>
      <w:proofErr w:type="spellStart"/>
      <w:r w:rsidRPr="007E3B38">
        <w:rPr>
          <w:szCs w:val="22"/>
        </w:rPr>
        <w:t>i</w:t>
      </w:r>
      <w:proofErr w:type="spellEnd"/>
      <w:r w:rsidRPr="007E3B38">
        <w:rPr>
          <w:szCs w:val="22"/>
        </w:rPr>
        <w:t xml:space="preserve">) </w:t>
      </w:r>
      <w:r w:rsidR="001A5A5F">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sidR="001A5A5F">
        <w:rPr>
          <w:szCs w:val="22"/>
        </w:rPr>
        <w:t xml:space="preserve"> </w:t>
      </w:r>
      <w:r w:rsidRPr="007E3B38">
        <w:rPr>
          <w:szCs w:val="22"/>
        </w:rPr>
        <w:t>all acts of such a nature as to create confusion by any means whatever with the establishment, the goods, or the industrial or commercial activities, of a competitor;  (ii)</w:t>
      </w:r>
      <w:r w:rsidR="001A5A5F">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sidR="001A5A5F">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w:t>
      </w:r>
      <w:r w:rsidRPr="007E3B38">
        <w:rPr>
          <w:bCs/>
          <w:szCs w:val="22"/>
        </w:rPr>
        <w:lastRenderedPageBreak/>
        <w:t>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Pr="007E3B38" w:rsidRDefault="00931A24"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  domestic”.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216931">
        <w:rPr>
          <w:szCs w:val="22"/>
        </w:rPr>
        <w:t>The “</w:t>
      </w:r>
      <w:r w:rsidRPr="00216931">
        <w:rPr>
          <w:szCs w:val="22"/>
          <w:lang w:val="en"/>
        </w:rPr>
        <w:t>Like-Minded Countries Contribution to the Objectives and Principles on the Protection of Genetic Resources and Preliminary Draft Articles on the Protection of Genetic Resources” (document WIPO/GRTKF/IC/19/11</w:t>
      </w:r>
      <w:r w:rsidR="00216931">
        <w:rPr>
          <w:szCs w:val="22"/>
          <w:lang w:val="en"/>
        </w:rPr>
        <w:t>)</w:t>
      </w:r>
      <w:r w:rsidRPr="00216931">
        <w:rPr>
          <w:szCs w:val="22"/>
          <w:lang w:val="en"/>
        </w:rPr>
        <w:t xml:space="preserve"> provides the following definition of </w:t>
      </w:r>
      <w:r w:rsidRPr="00216931">
        <w:rPr>
          <w:szCs w:val="22"/>
        </w:rPr>
        <w:t xml:space="preserve">“utilization of genetic resources” at Article 1(2)(e):” </w:t>
      </w:r>
      <w:r w:rsidR="0079064A" w:rsidRPr="00216931">
        <w:rPr>
          <w:szCs w:val="22"/>
        </w:rPr>
        <w:t xml:space="preserve"> </w:t>
      </w:r>
      <w:r w:rsidRPr="00216931">
        <w:rPr>
          <w:szCs w:val="22"/>
        </w:rPr>
        <w:t>to conduct research and development on the genetic and/or biochemical composition of genetic resources, their derivatives and associated traditional knowledge including through the application of biotechnology</w:t>
      </w:r>
      <w:r w:rsidR="00216931">
        <w:rPr>
          <w:szCs w:val="22"/>
        </w:rPr>
        <w:t>”</w:t>
      </w:r>
      <w:r w:rsidRPr="00216931">
        <w:rPr>
          <w:szCs w:val="22"/>
        </w:rPr>
        <w:t>.</w:t>
      </w:r>
    </w:p>
    <w:p w:rsidR="00931A24" w:rsidRPr="007E3B38" w:rsidRDefault="00931A24" w:rsidP="00931A24">
      <w:pPr>
        <w:rPr>
          <w:b/>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consultation</w:t>
      </w:r>
      <w:r w:rsidRPr="007E3B38">
        <w:rPr>
          <w:szCs w:val="22"/>
        </w:rPr>
        <w:t xml:space="preserve"> </w:t>
      </w:r>
      <w:r w:rsidR="00A44DD8">
        <w:rPr>
          <w:szCs w:val="22"/>
        </w:rPr>
        <w:t>draft</w:t>
      </w:r>
      <w:r w:rsidR="00226719">
        <w:rPr>
          <w:szCs w:val="22"/>
        </w:rPr>
        <w:t xml:space="preserve"> of the</w:t>
      </w:r>
      <w:r w:rsidR="00A44DD8">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process, and also takes the documentation process as a starting point for a more beneficial management of traditional knowledge as a community’s intellectual and cultural asset.  The </w:t>
      </w:r>
      <w:r w:rsidR="00226719">
        <w:rPr>
          <w:szCs w:val="22"/>
        </w:rPr>
        <w:t xml:space="preserve">consultation </w:t>
      </w:r>
      <w:r w:rsidR="00313812">
        <w:rPr>
          <w:szCs w:val="22"/>
        </w:rPr>
        <w:t>draft</w:t>
      </w:r>
      <w:r w:rsidR="00226719">
        <w:rPr>
          <w:szCs w:val="22"/>
        </w:rPr>
        <w:t xml:space="preserve"> of the</w:t>
      </w:r>
      <w:r w:rsidR="00313812">
        <w:rPr>
          <w:szCs w:val="22"/>
        </w:rPr>
        <w:t xml:space="preserve"> </w:t>
      </w:r>
      <w:r w:rsidRPr="007E3B38">
        <w:rPr>
          <w:szCs w:val="22"/>
        </w:rPr>
        <w:t xml:space="preserve">WIPO Traditional Knowledge </w:t>
      </w:r>
      <w:r w:rsidR="00313812">
        <w:rPr>
          <w:szCs w:val="22"/>
        </w:rPr>
        <w:t xml:space="preserve">Documentation </w:t>
      </w:r>
      <w:r w:rsidRPr="007E3B38">
        <w:rPr>
          <w:szCs w:val="22"/>
        </w:rPr>
        <w:t>Toolkit is structured according to three phases of documentation, namely before documentation, during documentation and after documentation, so as to illustrate more clearly the diverse intellectual property issues that arise at each stage of documentation.</w:t>
      </w:r>
      <w:r w:rsidRPr="007E3B38">
        <w:rPr>
          <w:szCs w:val="22"/>
          <w:vertAlign w:val="superscript"/>
        </w:rPr>
        <w:footnoteReference w:id="179"/>
      </w:r>
    </w:p>
    <w:p w:rsidR="00931A24" w:rsidRPr="007E3B38" w:rsidRDefault="00931A24" w:rsidP="00931A24">
      <w:pPr>
        <w:rPr>
          <w:szCs w:val="22"/>
        </w:rPr>
      </w:pPr>
    </w:p>
    <w:p w:rsidR="00931A24" w:rsidRPr="007E3B38" w:rsidRDefault="00226719" w:rsidP="00313812">
      <w:pPr>
        <w:rPr>
          <w:szCs w:val="22"/>
        </w:rPr>
      </w:pPr>
      <w:r>
        <w:rPr>
          <w:szCs w:val="22"/>
        </w:rPr>
        <w:t xml:space="preserve">The consultation draft of 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 xml:space="preserve">Intellectual property rights and other legal tools may be available to protect the knowledge when it is documented, but only if the right steps are taken during documentation.  The </w:t>
      </w:r>
      <w:r w:rsidR="00226719">
        <w:rPr>
          <w:szCs w:val="22"/>
        </w:rPr>
        <w:t xml:space="preserve">consultation </w:t>
      </w:r>
      <w:r w:rsidR="00226719">
        <w:rPr>
          <w:szCs w:val="22"/>
        </w:rPr>
        <w:lastRenderedPageBreak/>
        <w:t xml:space="preserve">draft of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BA" w:rsidRDefault="001066BA">
      <w:r>
        <w:separator/>
      </w:r>
    </w:p>
  </w:endnote>
  <w:endnote w:type="continuationSeparator" w:id="0">
    <w:p w:rsidR="001066BA" w:rsidRDefault="001066BA" w:rsidP="003B38C1">
      <w:r>
        <w:separator/>
      </w:r>
    </w:p>
    <w:p w:rsidR="001066BA" w:rsidRPr="003B38C1" w:rsidRDefault="001066BA" w:rsidP="003B38C1">
      <w:pPr>
        <w:spacing w:after="60"/>
        <w:rPr>
          <w:sz w:val="17"/>
        </w:rPr>
      </w:pPr>
      <w:r>
        <w:rPr>
          <w:sz w:val="17"/>
        </w:rPr>
        <w:t>[Endnote continued from previous page]</w:t>
      </w:r>
    </w:p>
  </w:endnote>
  <w:endnote w:type="continuationNotice" w:id="1">
    <w:p w:rsidR="001066BA" w:rsidRPr="003B38C1" w:rsidRDefault="001066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BA" w:rsidRDefault="001066BA">
      <w:r>
        <w:separator/>
      </w:r>
    </w:p>
  </w:footnote>
  <w:footnote w:type="continuationSeparator" w:id="0">
    <w:p w:rsidR="001066BA" w:rsidRDefault="001066BA" w:rsidP="008B60B2">
      <w:r>
        <w:separator/>
      </w:r>
    </w:p>
    <w:p w:rsidR="001066BA" w:rsidRPr="00ED77FB" w:rsidRDefault="001066BA" w:rsidP="008B60B2">
      <w:pPr>
        <w:spacing w:after="60"/>
        <w:rPr>
          <w:sz w:val="17"/>
          <w:szCs w:val="17"/>
        </w:rPr>
      </w:pPr>
      <w:r w:rsidRPr="00ED77FB">
        <w:rPr>
          <w:sz w:val="17"/>
          <w:szCs w:val="17"/>
        </w:rPr>
        <w:t>[Footnote continued from previous page]</w:t>
      </w:r>
    </w:p>
  </w:footnote>
  <w:footnote w:type="continuationNotice" w:id="1">
    <w:p w:rsidR="001066BA" w:rsidRPr="00ED77FB" w:rsidRDefault="001066BA" w:rsidP="008B60B2">
      <w:pPr>
        <w:spacing w:before="60"/>
        <w:jc w:val="right"/>
        <w:rPr>
          <w:sz w:val="17"/>
          <w:szCs w:val="17"/>
        </w:rPr>
      </w:pPr>
      <w:r w:rsidRPr="00ED77FB">
        <w:rPr>
          <w:sz w:val="17"/>
          <w:szCs w:val="17"/>
        </w:rPr>
        <w:t>[Footnote continued on next page]</w:t>
      </w:r>
    </w:p>
  </w:footnote>
  <w:footnote w:id="2">
    <w:p w:rsidR="001066BA" w:rsidRPr="00420EF9" w:rsidRDefault="001066BA" w:rsidP="008113D4">
      <w:pPr>
        <w:pStyle w:val="FootnoteText"/>
        <w:ind w:left="540" w:hanging="540"/>
        <w:rPr>
          <w:rStyle w:val="FooterChar"/>
          <w:sz w:val="18"/>
          <w:szCs w:val="18"/>
        </w:rPr>
      </w:pPr>
      <w:r w:rsidRPr="00420EF9">
        <w:rPr>
          <w:rStyle w:val="FootnoteReference"/>
          <w:szCs w:val="18"/>
        </w:rPr>
        <w:footnoteRef/>
      </w:r>
      <w:r>
        <w:rPr>
          <w:szCs w:val="18"/>
        </w:rPr>
        <w:t xml:space="preserve"> </w:t>
      </w:r>
      <w:r>
        <w:rPr>
          <w:szCs w:val="18"/>
        </w:rPr>
        <w:tab/>
      </w:r>
      <w:proofErr w:type="gramStart"/>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Report of the Seventeenth Session of the Committee (WIPO/GRTKF/IC/17/12)</w:t>
      </w:r>
      <w:r>
        <w:rPr>
          <w:rStyle w:val="FooterChar"/>
          <w:sz w:val="18"/>
        </w:rPr>
        <w:t>.</w:t>
      </w:r>
      <w:proofErr w:type="gramEnd"/>
      <w:r>
        <w:rPr>
          <w:rStyle w:val="FooterChar"/>
          <w:sz w:val="18"/>
        </w:rPr>
        <w:t xml:space="preserve"> </w:t>
      </w:r>
    </w:p>
  </w:footnote>
  <w:footnote w:id="3">
    <w:p w:rsidR="001066BA" w:rsidRDefault="001066BA">
      <w:pPr>
        <w:pStyle w:val="FootnoteText"/>
      </w:pPr>
      <w:r>
        <w:rPr>
          <w:rStyle w:val="FootnoteReference"/>
        </w:rPr>
        <w:footnoteRef/>
      </w:r>
      <w:r>
        <w:t xml:space="preserve"> </w:t>
      </w:r>
      <w:r>
        <w:tab/>
      </w:r>
      <w:proofErr w:type="gramStart"/>
      <w:r w:rsidRPr="00FF504A">
        <w:t>Report of the Nineteenth Session of the Committee (WIPO/GRTKF/IC/19/12).</w:t>
      </w:r>
      <w:proofErr w:type="gramEnd"/>
    </w:p>
  </w:footnote>
  <w:footnote w:id="4">
    <w:p w:rsidR="001066BA" w:rsidRPr="00A94A92" w:rsidRDefault="001066BA"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proofErr w:type="gramStart"/>
      <w:r w:rsidRPr="00420EF9">
        <w:rPr>
          <w:szCs w:val="18"/>
        </w:rPr>
        <w:t>Nagoya Protocol on Access to Genetic Resources and the Fair and Equitable Sharing of Benefits Arising from their Utilization to the Convention on Biological Diversity, Art.</w:t>
      </w:r>
      <w:proofErr w:type="gramEnd"/>
      <w:r w:rsidRPr="00420EF9">
        <w:rPr>
          <w:szCs w:val="18"/>
        </w:rPr>
        <w:t xml:space="preserve"> </w:t>
      </w:r>
      <w:proofErr w:type="gramStart"/>
      <w:r w:rsidRPr="00420EF9">
        <w:rPr>
          <w:szCs w:val="18"/>
        </w:rPr>
        <w:t>5(4).</w:t>
      </w:r>
      <w:proofErr w:type="gramEnd"/>
    </w:p>
  </w:footnote>
  <w:footnote w:id="5">
    <w:p w:rsidR="001066BA" w:rsidRPr="00420EF9" w:rsidRDefault="001066BA"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Bonn Guidelines on Access to Genetic Resources and Fair and Equitable Sharing of the Benefits Arising out of their utilization, para. 23.</w:t>
      </w:r>
    </w:p>
  </w:footnote>
  <w:footnote w:id="6">
    <w:p w:rsidR="001066BA" w:rsidRPr="00420EF9" w:rsidRDefault="001066BA"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7">
    <w:p w:rsidR="001066BA" w:rsidRPr="00420EF9" w:rsidRDefault="001066BA"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The edition used for this do</w:t>
      </w:r>
      <w:smartTag w:uri="urn:schemas-microsoft-com:office:smarttags" w:element="PersonName">
        <w:r w:rsidRPr="00420EF9">
          <w:rPr>
            <w:szCs w:val="18"/>
          </w:rPr>
          <w:t>c</w:t>
        </w:r>
      </w:smartTag>
      <w:r w:rsidRPr="00420EF9">
        <w:rPr>
          <w:szCs w:val="18"/>
        </w:rPr>
        <w:t>ument is the 8</w:t>
      </w:r>
      <w:r w:rsidRPr="00420EF9">
        <w:rPr>
          <w:szCs w:val="18"/>
          <w:vertAlign w:val="superscript"/>
        </w:rPr>
        <w:t xml:space="preserve">th </w:t>
      </w:r>
      <w:r w:rsidRPr="00420EF9">
        <w:rPr>
          <w:szCs w:val="18"/>
        </w:rPr>
        <w:t>edition</w:t>
      </w:r>
      <w:smartTag w:uri="urn:schemas-microsoft-com:office:smarttags" w:element="PersonName">
        <w:r w:rsidRPr="00420EF9">
          <w:rPr>
            <w:szCs w:val="18"/>
          </w:rPr>
          <w:t>,</w:t>
        </w:r>
      </w:smartTag>
      <w:r w:rsidRPr="00420EF9">
        <w:rPr>
          <w:szCs w:val="18"/>
        </w:rPr>
        <w:t xml:space="preserve"> by Bryan A. Garner.</w:t>
      </w:r>
    </w:p>
  </w:footnote>
  <w:footnote w:id="8">
    <w:p w:rsidR="001066BA" w:rsidRPr="00420EF9" w:rsidRDefault="001066BA"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9">
    <w:p w:rsidR="001066BA" w:rsidRPr="00420EF9" w:rsidRDefault="001066BA"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w:t>
      </w:r>
      <w:r>
        <w:rPr>
          <w:szCs w:val="18"/>
        </w:rPr>
        <w:t>.</w:t>
      </w:r>
      <w:proofErr w:type="gramEnd"/>
    </w:p>
  </w:footnote>
  <w:footnote w:id="10">
    <w:p w:rsidR="001066BA" w:rsidRPr="00420EF9" w:rsidRDefault="001066BA"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2.1(a) of the Dire</w:t>
      </w:r>
      <w:smartTag w:uri="urn:schemas-microsoft-com:office:smarttags" w:element="PersonName">
        <w:r w:rsidRPr="00420EF9">
          <w:rPr>
            <w:szCs w:val="18"/>
          </w:rPr>
          <w:t>c</w:t>
        </w:r>
      </w:smartTag>
      <w:r w:rsidRPr="00420EF9">
        <w:rPr>
          <w:szCs w:val="18"/>
        </w:rPr>
        <w:t>tive 98/44/EC of the European Parliament and of the Coun</w:t>
      </w:r>
      <w:smartTag w:uri="urn:schemas-microsoft-com:office:smarttags" w:element="PersonName">
        <w:r w:rsidRPr="00420EF9">
          <w:rPr>
            <w:szCs w:val="18"/>
          </w:rPr>
          <w:t>c</w:t>
        </w:r>
      </w:smartTag>
      <w:r w:rsidRPr="00420EF9">
        <w:rPr>
          <w:szCs w:val="18"/>
        </w:rPr>
        <w:t>il of 6 July 1998 on the legal prote</w:t>
      </w:r>
      <w:smartTag w:uri="urn:schemas-microsoft-com:office:smarttags" w:element="PersonName">
        <w:r w:rsidRPr="00420EF9">
          <w:rPr>
            <w:szCs w:val="18"/>
          </w:rPr>
          <w:t>c</w:t>
        </w:r>
      </w:smartTag>
      <w:r w:rsidRPr="00420EF9">
        <w:rPr>
          <w:szCs w:val="18"/>
        </w:rPr>
        <w:t>tion of biote</w:t>
      </w:r>
      <w:smartTag w:uri="urn:schemas-microsoft-com:office:smarttags" w:element="PersonName">
        <w:r w:rsidRPr="00420EF9">
          <w:rPr>
            <w:szCs w:val="18"/>
          </w:rPr>
          <w:t>c</w:t>
        </w:r>
      </w:smartTag>
      <w:r w:rsidRPr="00420EF9">
        <w:rPr>
          <w:szCs w:val="18"/>
        </w:rPr>
        <w:t>hnologi</w:t>
      </w:r>
      <w:smartTag w:uri="urn:schemas-microsoft-com:office:smarttags" w:element="PersonName">
        <w:r w:rsidRPr="00420EF9">
          <w:rPr>
            <w:szCs w:val="18"/>
          </w:rPr>
          <w:t>c</w:t>
        </w:r>
      </w:smartTag>
      <w:r w:rsidRPr="00420EF9">
        <w:rPr>
          <w:szCs w:val="18"/>
        </w:rPr>
        <w:t>al inventions.</w:t>
      </w:r>
    </w:p>
  </w:footnote>
  <w:footnote w:id="11">
    <w:p w:rsidR="001066BA" w:rsidRPr="00420EF9" w:rsidRDefault="001066BA"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w:t>
      </w:r>
      <w:smartTag w:uri="urn:schemas-microsoft-com:office:smarttags" w:element="PersonName">
        <w:r w:rsidRPr="00420EF9">
          <w:rPr>
            <w:szCs w:val="18"/>
          </w:rPr>
          <w:t>c</w:t>
        </w:r>
      </w:smartTag>
      <w:r w:rsidRPr="00420EF9">
        <w:rPr>
          <w:szCs w:val="18"/>
        </w:rPr>
        <w:t>tion 1.801 of Chapter 37 of the Code of Federal Regulations (CFR)</w:t>
      </w:r>
      <w:r w:rsidRPr="00420EF9">
        <w:rPr>
          <w:snapToGrid w:val="0"/>
          <w:szCs w:val="18"/>
        </w:rPr>
        <w:t xml:space="preserve"> and USPTO </w:t>
      </w:r>
      <w:r w:rsidRPr="00420EF9">
        <w:rPr>
          <w:szCs w:val="18"/>
        </w:rPr>
        <w:t>Manual of Patent Examining Pro</w:t>
      </w:r>
      <w:smartTag w:uri="urn:schemas-microsoft-com:office:smarttags" w:element="PersonName">
        <w:r w:rsidRPr="00420EF9">
          <w:rPr>
            <w:szCs w:val="18"/>
          </w:rPr>
          <w:t>c</w:t>
        </w:r>
      </w:smartTag>
      <w:r w:rsidRPr="00420EF9">
        <w:rPr>
          <w:szCs w:val="18"/>
        </w:rPr>
        <w:t>edure (MPEP): 2403.01.</w:t>
      </w:r>
    </w:p>
  </w:footnote>
  <w:footnote w:id="12">
    <w:p w:rsidR="001066BA" w:rsidRPr="00420EF9" w:rsidRDefault="001066BA"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Article 3.1 of the Directive 98/44/EC of the European Parliament and of the Council of 6 July, 1998 on the legal protection of biotechnological inventions</w:t>
      </w:r>
      <w:r>
        <w:rPr>
          <w:szCs w:val="18"/>
        </w:rPr>
        <w:t>.</w:t>
      </w:r>
      <w:proofErr w:type="gramEnd"/>
    </w:p>
  </w:footnote>
  <w:footnote w:id="13">
    <w:p w:rsidR="001066BA" w:rsidRPr="00420EF9" w:rsidRDefault="001066BA"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para. 16</w:t>
      </w:r>
      <w:r>
        <w:rPr>
          <w:szCs w:val="18"/>
        </w:rPr>
        <w:t>.</w:t>
      </w:r>
    </w:p>
  </w:footnote>
  <w:footnote w:id="14">
    <w:p w:rsidR="001066BA" w:rsidRPr="00420EF9" w:rsidRDefault="001066BA" w:rsidP="00825B2C">
      <w:pPr>
        <w:pStyle w:val="FootnoteText"/>
        <w:ind w:left="55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w:t>
      </w:r>
      <w:smartTag w:uri="urn:schemas-microsoft-com:office:smarttags" w:element="PersonName">
        <w:r w:rsidRPr="00420EF9">
          <w:rPr>
            <w:szCs w:val="18"/>
          </w:rPr>
          <w:t>c</w:t>
        </w:r>
      </w:smartTag>
      <w:r w:rsidRPr="00420EF9">
        <w:rPr>
          <w:szCs w:val="18"/>
        </w:rPr>
        <w:t>hnology</w:t>
      </w:r>
      <w:smartTag w:uri="urn:schemas-microsoft-com:office:smarttags" w:element="PersonName">
        <w:r w:rsidRPr="00420EF9">
          <w:rPr>
            <w:szCs w:val="18"/>
          </w:rPr>
          <w:t>,</w:t>
        </w:r>
      </w:smartTag>
      <w:r w:rsidRPr="00420EF9">
        <w:rPr>
          <w:szCs w:val="18"/>
        </w:rPr>
        <w:t xml:space="preserve"> available at: </w:t>
      </w:r>
      <w:r w:rsidRPr="00772BA5">
        <w:rPr>
          <w:szCs w:val="18"/>
        </w:rPr>
        <w:t>http://www.fao.org/biote</w:t>
      </w:r>
      <w:smartTag w:uri="urn:schemas-microsoft-com:office:smarttags" w:element="PersonName">
        <w:r w:rsidRPr="00772BA5">
          <w:rPr>
            <w:szCs w:val="18"/>
          </w:rPr>
          <w:t>c</w:t>
        </w:r>
      </w:smartTag>
      <w:r w:rsidRPr="00772BA5">
        <w:rPr>
          <w:szCs w:val="18"/>
        </w:rPr>
        <w:t>h/stat.asp</w:t>
      </w:r>
      <w:r>
        <w:rPr>
          <w:szCs w:val="18"/>
        </w:rPr>
        <w:t>.</w:t>
      </w:r>
      <w:r w:rsidRPr="00420EF9">
        <w:rPr>
          <w:szCs w:val="18"/>
        </w:rPr>
        <w:t xml:space="preserve"> </w:t>
      </w:r>
    </w:p>
  </w:footnote>
  <w:footnote w:id="15">
    <w:p w:rsidR="001066BA" w:rsidRPr="00966E9B" w:rsidRDefault="001066BA"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6">
    <w:p w:rsidR="001066BA" w:rsidRPr="00420EF9" w:rsidRDefault="001066BA"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7">
    <w:p w:rsidR="001066BA" w:rsidRPr="00420EF9" w:rsidRDefault="001066BA"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8">
    <w:p w:rsidR="001066BA" w:rsidRPr="00420EF9" w:rsidRDefault="001066BA"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r>
        <w:rPr>
          <w:szCs w:val="18"/>
        </w:rPr>
        <w:t>.</w:t>
      </w:r>
    </w:p>
  </w:footnote>
  <w:footnote w:id="19">
    <w:p w:rsidR="001066BA" w:rsidRPr="00420EF9" w:rsidRDefault="001066BA"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 xml:space="preserve">Further information available at:  </w:t>
      </w:r>
      <w:r w:rsidRPr="00772BA5">
        <w:rPr>
          <w:szCs w:val="18"/>
        </w:rPr>
        <w:t>http://www.</w:t>
      </w:r>
      <w:smartTag w:uri="urn:schemas-microsoft-com:office:smarttags" w:element="PersonName">
        <w:r w:rsidRPr="00772BA5">
          <w:rPr>
            <w:szCs w:val="18"/>
          </w:rPr>
          <w:t>c</w:t>
        </w:r>
      </w:smartTag>
      <w:r w:rsidRPr="00772BA5">
        <w:rPr>
          <w:szCs w:val="18"/>
        </w:rPr>
        <w:t>bd.int/</w:t>
      </w:r>
      <w:smartTag w:uri="urn:schemas-microsoft-com:office:smarttags" w:element="PersonName">
        <w:r w:rsidRPr="00772BA5">
          <w:rPr>
            <w:szCs w:val="18"/>
          </w:rPr>
          <w:t>c</w:t>
        </w:r>
      </w:smartTag>
      <w:r w:rsidRPr="00772BA5">
        <w:rPr>
          <w:szCs w:val="18"/>
        </w:rPr>
        <w:t>hm/</w:t>
      </w:r>
      <w:r>
        <w:rPr>
          <w:szCs w:val="18"/>
        </w:rPr>
        <w:t>.</w:t>
      </w:r>
    </w:p>
  </w:footnote>
  <w:footnote w:id="20">
    <w:p w:rsidR="001066BA" w:rsidRDefault="001066BA"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w:t>
      </w:r>
      <w:r>
        <w:rPr>
          <w:szCs w:val="18"/>
        </w:rPr>
        <w:t>ditional Knowledge may be Found</w:t>
      </w:r>
    </w:p>
    <w:p w:rsidR="001066BA" w:rsidRPr="00420EF9" w:rsidRDefault="001066BA" w:rsidP="000B42B0">
      <w:pPr>
        <w:pStyle w:val="FootnoteText"/>
        <w:ind w:left="1117" w:hanging="550"/>
        <w:rPr>
          <w:szCs w:val="18"/>
        </w:rPr>
      </w:pPr>
      <w:r w:rsidRPr="00930CA3">
        <w:rPr>
          <w:szCs w:val="18"/>
          <w:lang w:val="es-ES"/>
        </w:rPr>
        <w:t xml:space="preserve">(WIPO/GRTKF/IC/17/INF/9), para. </w:t>
      </w:r>
      <w:proofErr w:type="gramStart"/>
      <w:r w:rsidRPr="00420EF9">
        <w:rPr>
          <w:szCs w:val="18"/>
        </w:rPr>
        <w:t>16 of Annex</w:t>
      </w:r>
      <w:r>
        <w:rPr>
          <w:szCs w:val="18"/>
        </w:rPr>
        <w:t>.</w:t>
      </w:r>
      <w:proofErr w:type="gramEnd"/>
    </w:p>
  </w:footnote>
  <w:footnote w:id="21">
    <w:p w:rsidR="001066BA" w:rsidRPr="00420EF9" w:rsidRDefault="001066BA"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r w:rsidRPr="00420EF9">
        <w:rPr>
          <w:i/>
          <w:szCs w:val="18"/>
        </w:rPr>
        <w:t>Rigveda</w:t>
      </w:r>
      <w:r w:rsidRPr="00420EF9">
        <w:rPr>
          <w:szCs w:val="18"/>
        </w:rPr>
        <w:t xml:space="preserve"> and the </w:t>
      </w:r>
      <w:r w:rsidRPr="00420EF9">
        <w:rPr>
          <w:i/>
          <w:szCs w:val="18"/>
        </w:rPr>
        <w:t>Atharvaveda</w:t>
      </w:r>
      <w:r>
        <w:rPr>
          <w:i/>
          <w:szCs w:val="18"/>
        </w:rPr>
        <w:t>.</w:t>
      </w:r>
    </w:p>
  </w:footnote>
  <w:footnote w:id="22">
    <w:p w:rsidR="001066BA" w:rsidRPr="00420EF9" w:rsidRDefault="001066BA"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3">
    <w:p w:rsidR="001066BA" w:rsidRPr="00420EF9" w:rsidRDefault="001066BA"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 xml:space="preserve">ifies the authoritative books of the </w:t>
      </w:r>
      <w:proofErr w:type="spellStart"/>
      <w:r w:rsidRPr="00420EF9">
        <w:rPr>
          <w:szCs w:val="18"/>
        </w:rPr>
        <w:t>Ayurvedi</w:t>
      </w:r>
      <w:smartTag w:uri="urn:schemas-microsoft-com:office:smarttags" w:element="PersonName">
        <w:r w:rsidRPr="00420EF9">
          <w:rPr>
            <w:szCs w:val="18"/>
          </w:rPr>
          <w:t>c</w:t>
        </w:r>
      </w:smartTag>
      <w:proofErr w:type="spellEnd"/>
      <w:smartTag w:uri="urn:schemas-microsoft-com:office:smarttags" w:element="PersonName">
        <w:r w:rsidRPr="00420EF9">
          <w:rPr>
            <w:szCs w:val="18"/>
          </w:rPr>
          <w:t>,</w:t>
        </w:r>
      </w:smartTag>
      <w:r w:rsidRPr="00420EF9">
        <w:rPr>
          <w:szCs w:val="18"/>
        </w:rPr>
        <w:t xml:space="preserve"> Siddha and Unani </w:t>
      </w:r>
      <w:proofErr w:type="spellStart"/>
      <w:r w:rsidRPr="00420EF9">
        <w:rPr>
          <w:szCs w:val="18"/>
        </w:rPr>
        <w:t>Tibb</w:t>
      </w:r>
      <w:proofErr w:type="spellEnd"/>
      <w:r w:rsidRPr="00420EF9">
        <w:rPr>
          <w:szCs w:val="18"/>
        </w:rPr>
        <w:t xml:space="preserve">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para. 8.  Also see Karin Timmermans and </w:t>
      </w:r>
      <w:proofErr w:type="spellStart"/>
      <w:r w:rsidRPr="00420EF9">
        <w:rPr>
          <w:szCs w:val="18"/>
        </w:rPr>
        <w:t>Togi</w:t>
      </w:r>
      <w:proofErr w:type="spellEnd"/>
      <w:r w:rsidRPr="00420EF9">
        <w:rPr>
          <w:szCs w:val="18"/>
        </w:rPr>
        <w:t xml:space="preserve"> </w:t>
      </w:r>
      <w:proofErr w:type="spellStart"/>
      <w:r w:rsidRPr="00420EF9">
        <w:rPr>
          <w:szCs w:val="18"/>
        </w:rPr>
        <w:t>Hutadjulu</w:t>
      </w:r>
      <w:proofErr w:type="spellEnd"/>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4">
    <w:p w:rsidR="001066BA" w:rsidRPr="00420EF9" w:rsidRDefault="001066BA"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Intervention of the Delegation of Canada, Report of the Second Session (WIPO/GRTKF/IC/2/16), para.</w:t>
      </w:r>
      <w:proofErr w:type="gramEnd"/>
      <w:r w:rsidRPr="00420EF9">
        <w:rPr>
          <w:szCs w:val="18"/>
        </w:rPr>
        <w:t xml:space="preserve"> 131</w:t>
      </w:r>
      <w:r>
        <w:rPr>
          <w:szCs w:val="18"/>
        </w:rPr>
        <w:t>.</w:t>
      </w:r>
    </w:p>
  </w:footnote>
  <w:footnote w:id="25">
    <w:p w:rsidR="001066BA" w:rsidRPr="00D41EAD" w:rsidRDefault="001066BA"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sidRPr="00D41EAD">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6">
    <w:p w:rsidR="001066BA" w:rsidRPr="00420EF9" w:rsidRDefault="001066BA"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7">
    <w:p w:rsidR="001066BA" w:rsidRPr="00BD225A" w:rsidRDefault="001066BA"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Convention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Promotion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Diversity</w:t>
      </w:r>
      <w:proofErr w:type="spellEnd"/>
      <w:r w:rsidRPr="00BD225A">
        <w:rPr>
          <w:rStyle w:val="FootnoteReference"/>
          <w:szCs w:val="18"/>
          <w:vertAlign w:val="baseline"/>
          <w:lang w:val="es-ES_tradnl"/>
        </w:rPr>
        <w:t xml:space="preserve"> of Cultural </w:t>
      </w:r>
      <w:proofErr w:type="spellStart"/>
      <w:r w:rsidRPr="00BD225A">
        <w:rPr>
          <w:rStyle w:val="FootnoteReference"/>
          <w:szCs w:val="18"/>
          <w:vertAlign w:val="baseline"/>
          <w:lang w:val="es-ES_tradnl"/>
        </w:rPr>
        <w:t>Expressions</w:t>
      </w:r>
      <w:proofErr w:type="spellEnd"/>
      <w:proofErr w:type="gramStart"/>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roofErr w:type="gramEnd"/>
    </w:p>
  </w:footnote>
  <w:footnote w:id="28">
    <w:p w:rsidR="001066BA" w:rsidRPr="00BD225A" w:rsidRDefault="001066BA"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w:t>
      </w:r>
      <w:proofErr w:type="spellStart"/>
      <w:r w:rsidRPr="00BD225A">
        <w:rPr>
          <w:rStyle w:val="FootnoteReference"/>
          <w:szCs w:val="18"/>
          <w:vertAlign w:val="baseline"/>
          <w:lang w:val="es-ES"/>
        </w:rPr>
        <w:t>Convention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Promotion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Diversity</w:t>
      </w:r>
      <w:proofErr w:type="spellEnd"/>
      <w:r w:rsidRPr="00BD225A">
        <w:rPr>
          <w:rStyle w:val="FootnoteReference"/>
          <w:szCs w:val="18"/>
          <w:vertAlign w:val="baseline"/>
          <w:lang w:val="es-ES"/>
        </w:rPr>
        <w:t xml:space="preserve"> of Cultural </w:t>
      </w:r>
      <w:proofErr w:type="spellStart"/>
      <w:r w:rsidRPr="00BD225A">
        <w:rPr>
          <w:rStyle w:val="FootnoteReference"/>
          <w:szCs w:val="18"/>
          <w:vertAlign w:val="baseline"/>
          <w:lang w:val="es-ES"/>
        </w:rPr>
        <w:t>Expressions</w:t>
      </w:r>
      <w:proofErr w:type="spellEnd"/>
      <w:proofErr w:type="gramStart"/>
      <w:r w:rsidRPr="00BD225A">
        <w:rPr>
          <w:szCs w:val="18"/>
          <w:lang w:val="es-ES"/>
        </w:rPr>
        <w:t>,</w:t>
      </w:r>
      <w:r w:rsidRPr="00BD225A">
        <w:rPr>
          <w:rStyle w:val="FootnoteReference"/>
          <w:szCs w:val="18"/>
          <w:vertAlign w:val="baseline"/>
          <w:lang w:val="es-ES"/>
        </w:rPr>
        <w:t xml:space="preserve"> 2005</w:t>
      </w:r>
      <w:r w:rsidRPr="00BD225A">
        <w:rPr>
          <w:szCs w:val="18"/>
          <w:lang w:val="es-ES"/>
        </w:rPr>
        <w:t>.</w:t>
      </w:r>
      <w:proofErr w:type="gramEnd"/>
    </w:p>
  </w:footnote>
  <w:footnote w:id="29">
    <w:p w:rsidR="001066BA" w:rsidRPr="0002073E" w:rsidRDefault="001066BA"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w:t>
      </w:r>
      <w:proofErr w:type="gramStart"/>
      <w:r w:rsidRPr="00772BA5">
        <w:rPr>
          <w:szCs w:val="18"/>
        </w:rPr>
        <w:t>available</w:t>
      </w:r>
      <w:proofErr w:type="gramEnd"/>
      <w:r w:rsidRPr="00772BA5">
        <w:rPr>
          <w:szCs w:val="18"/>
        </w:rPr>
        <w:t xml:space="preserve"> at</w:t>
      </w:r>
      <w:r w:rsidRPr="00772BA5">
        <w:rPr>
          <w:rStyle w:val="FootnoteReference"/>
          <w:szCs w:val="18"/>
        </w:rPr>
        <w:t xml:space="preserve"> </w:t>
      </w:r>
      <w:r w:rsidRPr="0002073E">
        <w:rPr>
          <w:rStyle w:val="FootnoteReference"/>
          <w:szCs w:val="18"/>
          <w:vertAlign w:val="baseline"/>
        </w:rPr>
        <w:t>http://www.vocabularyserver.com/unesco/en/index.php?setLang=en&amp;tema=2822</w:t>
      </w:r>
      <w:r>
        <w:rPr>
          <w:szCs w:val="18"/>
        </w:rPr>
        <w:t>.</w:t>
      </w:r>
    </w:p>
  </w:footnote>
  <w:footnote w:id="30">
    <w:p w:rsidR="001066BA" w:rsidRPr="00420EF9" w:rsidRDefault="001066BA"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ILO Convention 169 Concerning Indigenous and Tribal Peoples in Independent Countries, 1989, </w:t>
      </w:r>
      <w:r w:rsidRPr="00420EF9">
        <w:rPr>
          <w:szCs w:val="18"/>
        </w:rPr>
        <w:br/>
        <w:t>Art.</w:t>
      </w:r>
      <w:proofErr w:type="gramEnd"/>
      <w:r w:rsidRPr="00420EF9">
        <w:rPr>
          <w:szCs w:val="18"/>
        </w:rPr>
        <w:t xml:space="preserve"> 2(2</w:t>
      </w:r>
      <w:proofErr w:type="gramStart"/>
      <w:r w:rsidRPr="00420EF9">
        <w:rPr>
          <w:szCs w:val="18"/>
        </w:rPr>
        <w:t>)(</w:t>
      </w:r>
      <w:proofErr w:type="gramEnd"/>
      <w:r w:rsidRPr="00420EF9">
        <w:rPr>
          <w:szCs w:val="18"/>
        </w:rPr>
        <w:t>b).</w:t>
      </w:r>
    </w:p>
  </w:footnote>
  <w:footnote w:id="31">
    <w:p w:rsidR="001066BA" w:rsidRPr="00420EF9" w:rsidRDefault="001066BA"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rStyle w:val="FootnoteTextChar"/>
          <w:sz w:val="18"/>
          <w:szCs w:val="18"/>
        </w:rPr>
        <w:t>Model Provisions for National Laws on the Protection of Expressions of Folklore against Illicit Exploitation and Other Prejudicial Actions, 1982, Part III, para.</w:t>
      </w:r>
      <w:proofErr w:type="gramEnd"/>
      <w:r w:rsidRPr="00420EF9">
        <w:rPr>
          <w:rStyle w:val="FootnoteTextChar"/>
          <w:sz w:val="18"/>
          <w:szCs w:val="18"/>
        </w:rPr>
        <w:t xml:space="preserve"> 42.</w:t>
      </w:r>
    </w:p>
  </w:footnote>
  <w:footnote w:id="32">
    <w:p w:rsidR="001066BA" w:rsidRPr="00420EF9" w:rsidRDefault="001066BA"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3">
    <w:p w:rsidR="001066BA" w:rsidRPr="00420EF9" w:rsidRDefault="001066BA" w:rsidP="00C33191">
      <w:pPr>
        <w:pStyle w:val="FootnoteText"/>
        <w:tabs>
          <w:tab w:val="left" w:pos="500"/>
        </w:tabs>
        <w:ind w:left="499" w:hanging="499"/>
        <w:rPr>
          <w:rStyle w:val="FootnoteReference"/>
          <w:szCs w:val="18"/>
        </w:rPr>
      </w:pPr>
      <w:r w:rsidRPr="00420EF9">
        <w:rPr>
          <w:rStyle w:val="FootnoteReference"/>
          <w:szCs w:val="18"/>
          <w:lang w:val="en"/>
        </w:rPr>
        <w:footnoteRef/>
      </w:r>
      <w:r w:rsidRPr="00420EF9">
        <w:rPr>
          <w:szCs w:val="18"/>
        </w:rPr>
        <w:tab/>
      </w:r>
      <w:proofErr w:type="gramStart"/>
      <w:r w:rsidRPr="00420EF9">
        <w:rPr>
          <w:szCs w:val="18"/>
        </w:rPr>
        <w:t>Draft Customary Law and Intellectual Property Issues Paper – version 3.0 (December 2006)</w:t>
      </w:r>
      <w:r w:rsidRPr="00420EF9">
        <w:rPr>
          <w:rStyle w:val="FootnoteReference"/>
          <w:szCs w:val="18"/>
        </w:rPr>
        <w:t xml:space="preserve"> </w:t>
      </w:r>
      <w:r w:rsidRPr="00772BA5">
        <w:rPr>
          <w:rStyle w:val="FootnoteReference"/>
          <w:szCs w:val="18"/>
          <w:vertAlign w:val="baseline"/>
        </w:rPr>
        <w:t>www.wipo.int/tk/en/consultations/customary_law/index.html</w:t>
      </w:r>
      <w:r w:rsidRPr="00420EF9">
        <w:rPr>
          <w:szCs w:val="18"/>
        </w:rPr>
        <w:t>.</w:t>
      </w:r>
      <w:proofErr w:type="gramEnd"/>
      <w:r w:rsidRPr="00420EF9">
        <w:rPr>
          <w:szCs w:val="18"/>
        </w:rPr>
        <w:t xml:space="preserve"> </w:t>
      </w:r>
    </w:p>
  </w:footnote>
  <w:footnote w:id="34">
    <w:p w:rsidR="001066BA" w:rsidRPr="00420EF9" w:rsidRDefault="001066BA"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 xml:space="preserve">Paul </w:t>
      </w:r>
      <w:proofErr w:type="spellStart"/>
      <w:r w:rsidRPr="00420EF9">
        <w:rPr>
          <w:szCs w:val="18"/>
        </w:rPr>
        <w:t>Kuruk</w:t>
      </w:r>
      <w:proofErr w:type="spellEnd"/>
      <w:r w:rsidRPr="00420EF9">
        <w:rPr>
          <w:szCs w:val="18"/>
        </w:rPr>
        <w:t>,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 xml:space="preserve">p. 6, quoting, in part, Paris, 15 June 1982, Gazette du </w:t>
      </w:r>
      <w:proofErr w:type="spellStart"/>
      <w:r w:rsidRPr="00420EF9">
        <w:rPr>
          <w:szCs w:val="18"/>
        </w:rPr>
        <w:t>Palais</w:t>
      </w:r>
      <w:proofErr w:type="spellEnd"/>
      <w:r w:rsidRPr="00420EF9">
        <w:rPr>
          <w:szCs w:val="18"/>
        </w:rPr>
        <w:t xml:space="preserve">, 1982.2, Summary, p. 378, or Paris, 25 April 1978, Gazette du </w:t>
      </w:r>
      <w:proofErr w:type="spellStart"/>
      <w:r w:rsidRPr="00420EF9">
        <w:rPr>
          <w:szCs w:val="18"/>
        </w:rPr>
        <w:t>Palais</w:t>
      </w:r>
      <w:proofErr w:type="spellEnd"/>
      <w:r w:rsidRPr="00420EF9">
        <w:rPr>
          <w:szCs w:val="18"/>
        </w:rPr>
        <w:t>, 1978.2, p. 448.</w:t>
      </w:r>
    </w:p>
  </w:footnote>
  <w:footnote w:id="35">
    <w:p w:rsidR="001066BA" w:rsidRPr="00420EF9" w:rsidRDefault="001066BA" w:rsidP="00931A24">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WIPO, Customary Law &amp; the Intelle</w:t>
      </w:r>
      <w:smartTag w:uri="urn:schemas-microsoft-com:office:smarttags" w:element="PersonName">
        <w:r w:rsidRPr="00420EF9">
          <w:rPr>
            <w:szCs w:val="18"/>
          </w:rPr>
          <w:t>c</w:t>
        </w:r>
      </w:smartTag>
      <w:r w:rsidRPr="00420EF9">
        <w:rPr>
          <w:szCs w:val="18"/>
        </w:rPr>
        <w:t>tual Property System in the Prote</w:t>
      </w:r>
      <w:smartTag w:uri="urn:schemas-microsoft-com:office:smarttags" w:element="PersonName">
        <w:r w:rsidRPr="00420EF9">
          <w:rPr>
            <w:szCs w:val="18"/>
          </w:rPr>
          <w:t>c</w:t>
        </w:r>
      </w:smartTag>
      <w:r w:rsidRPr="00420EF9">
        <w:rPr>
          <w:szCs w:val="18"/>
        </w:rPr>
        <w:t>tion of Traditional Cultural Expressions and Traditional Knowledge—Issues Paper – version 3.0 (De</w:t>
      </w:r>
      <w:smartTag w:uri="urn:schemas-microsoft-com:office:smarttags" w:element="PersonName">
        <w:r w:rsidRPr="00420EF9">
          <w:rPr>
            <w:szCs w:val="18"/>
          </w:rPr>
          <w:t>c</w:t>
        </w:r>
      </w:smartTag>
      <w:r w:rsidRPr="00420EF9">
        <w:rPr>
          <w:szCs w:val="18"/>
        </w:rPr>
        <w:t xml:space="preserve">ember 2006), available online at </w:t>
      </w:r>
      <w:r w:rsidRPr="00772BA5">
        <w:rPr>
          <w:szCs w:val="18"/>
        </w:rPr>
        <w:t>http://www.wipo.int/export/sites/www/tk/en/</w:t>
      </w:r>
      <w:smartTag w:uri="urn:schemas-microsoft-com:office:smarttags" w:element="PersonName">
        <w:r w:rsidRPr="00772BA5">
          <w:rPr>
            <w:szCs w:val="18"/>
          </w:rPr>
          <w:t>c</w:t>
        </w:r>
      </w:smartTag>
      <w:r w:rsidRPr="00772BA5">
        <w:rPr>
          <w:szCs w:val="18"/>
        </w:rPr>
        <w:t>onsultations/</w:t>
      </w:r>
      <w:smartTag w:uri="urn:schemas-microsoft-com:office:smarttags" w:element="PersonName">
        <w:r w:rsidRPr="00772BA5">
          <w:rPr>
            <w:szCs w:val="18"/>
          </w:rPr>
          <w:t>c</w:t>
        </w:r>
      </w:smartTag>
      <w:r w:rsidRPr="00772BA5">
        <w:rPr>
          <w:szCs w:val="18"/>
        </w:rPr>
        <w:t>ustomary_law/issues-revised.pdf</w:t>
      </w:r>
      <w:r w:rsidRPr="00420EF9">
        <w:rPr>
          <w:szCs w:val="18"/>
        </w:rPr>
        <w:t xml:space="preserve"> </w:t>
      </w:r>
    </w:p>
  </w:footnote>
  <w:footnote w:id="36">
    <w:p w:rsidR="001066BA" w:rsidRPr="00420EF9" w:rsidRDefault="001066BA"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para.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7">
    <w:p w:rsidR="001066BA" w:rsidRPr="00420EF9" w:rsidRDefault="001066BA"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8">
    <w:p w:rsidR="001066BA" w:rsidRPr="00BD225A" w:rsidRDefault="001066BA"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9">
    <w:p w:rsidR="001066BA" w:rsidRPr="00420EF9" w:rsidRDefault="001066BA"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40">
    <w:p w:rsidR="001066BA" w:rsidRPr="00BD225A" w:rsidRDefault="001066BA"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41">
    <w:p w:rsidR="001066BA" w:rsidRPr="00BD225A" w:rsidRDefault="001066BA"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2">
    <w:p w:rsidR="001066BA" w:rsidRPr="00BD225A" w:rsidRDefault="001066BA"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BD225A">
        <w:rPr>
          <w:szCs w:val="18"/>
        </w:rPr>
        <w:t xml:space="preserve">Pacific </w:t>
      </w:r>
      <w:proofErr w:type="gramEnd"/>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3">
    <w:p w:rsidR="001066BA" w:rsidRPr="00BD225A" w:rsidRDefault="001066BA"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4">
    <w:p w:rsidR="001066BA" w:rsidRPr="00420EF9" w:rsidRDefault="001066BA"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 of Annex.</w:t>
      </w:r>
      <w:proofErr w:type="gramEnd"/>
      <w:r w:rsidRPr="00420EF9">
        <w:rPr>
          <w:szCs w:val="18"/>
        </w:rPr>
        <w:t xml:space="preserve"> </w:t>
      </w:r>
    </w:p>
  </w:footnote>
  <w:footnote w:id="45">
    <w:p w:rsidR="001066BA" w:rsidRPr="00BD225A" w:rsidRDefault="001066BA"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6">
    <w:p w:rsidR="001066BA" w:rsidRPr="00BD225A" w:rsidRDefault="001066BA"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7">
    <w:p w:rsidR="001066BA" w:rsidRPr="00420EF9" w:rsidRDefault="001066BA"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See document WIPO/GA/32/8, Annex, p. 32</w:t>
      </w:r>
      <w:r>
        <w:rPr>
          <w:szCs w:val="18"/>
        </w:rPr>
        <w:t>.</w:t>
      </w:r>
      <w:proofErr w:type="gramEnd"/>
    </w:p>
  </w:footnote>
  <w:footnote w:id="48">
    <w:p w:rsidR="001066BA" w:rsidRPr="00BD225A" w:rsidRDefault="001066BA"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For further information see do</w:t>
      </w:r>
      <w:smartTag w:uri="urn:schemas-microsoft-com:office:smarttags" w:element="PersonName">
        <w:r w:rsidRPr="00420EF9">
          <w:rPr>
            <w:szCs w:val="18"/>
          </w:rPr>
          <w:t>c</w:t>
        </w:r>
      </w:smartTag>
      <w:r w:rsidRPr="00420EF9">
        <w:rPr>
          <w:szCs w:val="18"/>
        </w:rPr>
        <w:t xml:space="preserve">ument WIPO/GRTKF/IC/16/6, Annex I, pages 7 to 11 and WIPO, TK Division, database on national and regional legislative measures in patent law, available at:  </w:t>
      </w:r>
      <w:r w:rsidRPr="00BD225A">
        <w:rPr>
          <w:szCs w:val="18"/>
        </w:rPr>
        <w:t>http://www.wipo.int/tk/en/laws/geneti</w:t>
      </w:r>
      <w:smartTag w:uri="urn:schemas-microsoft-com:office:smarttags" w:element="PersonName">
        <w:r w:rsidRPr="00BD225A">
          <w:rPr>
            <w:szCs w:val="18"/>
          </w:rPr>
          <w:t>c</w:t>
        </w:r>
      </w:smartTag>
      <w:r w:rsidRPr="00BD225A">
        <w:rPr>
          <w:szCs w:val="18"/>
        </w:rPr>
        <w:t>.html</w:t>
      </w:r>
    </w:p>
  </w:footnote>
  <w:footnote w:id="49">
    <w:p w:rsidR="001066BA" w:rsidRPr="00420EF9" w:rsidRDefault="001066BA"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w:t>
      </w:r>
    </w:p>
  </w:footnote>
  <w:footnote w:id="50">
    <w:p w:rsidR="001066BA" w:rsidRPr="00420EF9" w:rsidRDefault="001066BA"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WIPO/GA/32/8 (“Examination of Issues regarding the Interrelation of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Dis</w:t>
      </w:r>
      <w:smartTag w:uri="urn:schemas-microsoft-com:office:smarttags" w:element="PersonName">
        <w:r w:rsidRPr="00420EF9">
          <w:rPr>
            <w:szCs w:val="18"/>
          </w:rPr>
          <w:t>c</w:t>
        </w:r>
      </w:smartTag>
      <w:r w:rsidRPr="00420EF9">
        <w:rPr>
          <w:szCs w:val="18"/>
        </w:rPr>
        <w:t>losure Requirements in Intelle</w:t>
      </w:r>
      <w:smartTag w:uri="urn:schemas-microsoft-com:office:smarttags" w:element="PersonName">
        <w:r w:rsidRPr="00420EF9">
          <w:rPr>
            <w:szCs w:val="18"/>
          </w:rPr>
          <w:t>c</w:t>
        </w:r>
      </w:smartTag>
      <w:r w:rsidRPr="00420EF9">
        <w:rPr>
          <w:szCs w:val="18"/>
        </w:rPr>
        <w:t>tual Property Rights Appli</w:t>
      </w:r>
      <w:smartTag w:uri="urn:schemas-microsoft-com:office:smarttags" w:element="PersonName">
        <w:r w:rsidRPr="00420EF9">
          <w:rPr>
            <w:szCs w:val="18"/>
          </w:rPr>
          <w:t>c</w:t>
        </w:r>
      </w:smartTag>
      <w:r w:rsidRPr="00420EF9">
        <w:rPr>
          <w:szCs w:val="18"/>
        </w:rPr>
        <w:t>ations”), 2005</w:t>
      </w:r>
      <w:r>
        <w:rPr>
          <w:szCs w:val="18"/>
        </w:rPr>
        <w:t>.</w:t>
      </w:r>
    </w:p>
  </w:footnote>
  <w:footnote w:id="51">
    <w:p w:rsidR="001066BA" w:rsidRPr="00420EF9" w:rsidRDefault="001066BA"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WIPO/GRTKF/IC/11/10 (Swiss Proposal) and do</w:t>
      </w:r>
      <w:smartTag w:uri="urn:schemas-microsoft-com:office:smarttags" w:element="PersonName">
        <w:r w:rsidRPr="00420EF9">
          <w:rPr>
            <w:szCs w:val="18"/>
          </w:rPr>
          <w:t>c</w:t>
        </w:r>
      </w:smartTag>
      <w:r w:rsidRPr="00420EF9">
        <w:rPr>
          <w:szCs w:val="18"/>
        </w:rPr>
        <w:t>ument WIPO/GRTKF/IC/16/6 Annex, p. 13</w:t>
      </w:r>
      <w:r>
        <w:rPr>
          <w:szCs w:val="18"/>
        </w:rPr>
        <w:t>.</w:t>
      </w:r>
    </w:p>
  </w:footnote>
  <w:footnote w:id="52">
    <w:p w:rsidR="001066BA" w:rsidRPr="00420EF9" w:rsidRDefault="001066BA"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WIPO/GRTKF/IC/8/11 (EU Proposal) and do</w:t>
      </w:r>
      <w:smartTag w:uri="urn:schemas-microsoft-com:office:smarttags" w:element="PersonName">
        <w:r w:rsidRPr="00420EF9">
          <w:rPr>
            <w:szCs w:val="18"/>
          </w:rPr>
          <w:t>c</w:t>
        </w:r>
      </w:smartTag>
      <w:r w:rsidRPr="00420EF9">
        <w:rPr>
          <w:szCs w:val="18"/>
        </w:rPr>
        <w:t>ument WIPO/GRTKF/IC/16/6 Annex, p. 14</w:t>
      </w:r>
      <w:r>
        <w:rPr>
          <w:szCs w:val="18"/>
        </w:rPr>
        <w:t>.</w:t>
      </w:r>
    </w:p>
  </w:footnote>
  <w:footnote w:id="53">
    <w:p w:rsidR="001066BA" w:rsidRPr="00420EF9" w:rsidRDefault="001066BA"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WIPO/GRTKF/IC/17/10, p. 2 of the Annex</w:t>
      </w:r>
      <w:r>
        <w:rPr>
          <w:szCs w:val="18"/>
        </w:rPr>
        <w:t>.</w:t>
      </w:r>
      <w:proofErr w:type="gramEnd"/>
    </w:p>
  </w:footnote>
  <w:footnote w:id="54">
    <w:p w:rsidR="001066BA" w:rsidRPr="009A0842" w:rsidRDefault="001066BA" w:rsidP="00C33191">
      <w:pPr>
        <w:pStyle w:val="FootnoteText"/>
        <w:ind w:left="601" w:hanging="601"/>
        <w:rPr>
          <w:szCs w:val="18"/>
          <w:lang w:val="fr-FR"/>
        </w:rPr>
      </w:pPr>
      <w:r w:rsidRPr="004C606B">
        <w:rPr>
          <w:rStyle w:val="FootnoteReference"/>
        </w:rPr>
        <w:footnoteRef/>
      </w:r>
      <w:r w:rsidRPr="009A0842">
        <w:rPr>
          <w:rStyle w:val="FootnoteReference"/>
          <w:lang w:val="fr-FR"/>
        </w:rPr>
        <w:t xml:space="preserve"> </w:t>
      </w:r>
      <w:r w:rsidRPr="009A0842">
        <w:rPr>
          <w:szCs w:val="18"/>
          <w:lang w:val="fr-FR"/>
        </w:rPr>
        <w:tab/>
        <w:t>Document WIPO/GRTKF/IC/19/11, Article 3.</w:t>
      </w:r>
    </w:p>
  </w:footnote>
  <w:footnote w:id="55">
    <w:p w:rsidR="001066BA" w:rsidRPr="00420EF9" w:rsidRDefault="001066BA"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WIPO/GRTKF/IC/9/13 (Alternative Proposal)</w:t>
      </w:r>
      <w:r>
        <w:rPr>
          <w:szCs w:val="18"/>
        </w:rPr>
        <w:t>.</w:t>
      </w:r>
      <w:proofErr w:type="gramEnd"/>
    </w:p>
  </w:footnote>
  <w:footnote w:id="56">
    <w:p w:rsidR="001066BA" w:rsidRPr="00420EF9" w:rsidRDefault="001066BA"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roofErr w:type="gramEnd"/>
    </w:p>
  </w:footnote>
  <w:footnote w:id="57">
    <w:p w:rsidR="001066BA" w:rsidRPr="00420EF9" w:rsidRDefault="001066BA"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Summary and Introduction to the Toolkit for Managing Intellectual Property when Documenting Traditional Knowledge and Genetic Resources, document WIPO/GRTKF/IC/5/5.</w:t>
      </w:r>
      <w:proofErr w:type="gramEnd"/>
    </w:p>
  </w:footnote>
  <w:footnote w:id="58">
    <w:p w:rsidR="001066BA" w:rsidRPr="00420EF9" w:rsidRDefault="001066BA"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9">
    <w:p w:rsidR="001066BA" w:rsidRPr="00420EF9" w:rsidRDefault="001066BA"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60">
    <w:p w:rsidR="001066BA" w:rsidRPr="00BD225A" w:rsidRDefault="001066BA" w:rsidP="00931A24">
      <w:pPr>
        <w:pStyle w:val="FootnoteText"/>
        <w:ind w:left="600" w:hanging="600"/>
        <w:jc w:val="both"/>
        <w:rPr>
          <w:bCs/>
          <w:szCs w:val="18"/>
        </w:rPr>
      </w:pPr>
      <w:r w:rsidRPr="00420EF9">
        <w:rPr>
          <w:rStyle w:val="FootnoteReference"/>
          <w:bCs/>
          <w:szCs w:val="18"/>
        </w:rPr>
        <w:footnoteRef/>
      </w:r>
      <w:r w:rsidRPr="00420EF9">
        <w:rPr>
          <w:rStyle w:val="FootnoteReference"/>
          <w:bCs/>
          <w:szCs w:val="18"/>
        </w:rPr>
        <w:t xml:space="preserve"> </w:t>
      </w:r>
      <w:r w:rsidRPr="00420EF9">
        <w:rPr>
          <w:bCs/>
          <w:szCs w:val="18"/>
        </w:rPr>
        <w:tab/>
      </w:r>
      <w:r w:rsidRPr="00BD225A">
        <w:rPr>
          <w:rStyle w:val="FootnoteReference"/>
          <w:bCs/>
          <w:szCs w:val="18"/>
          <w:vertAlign w:val="baseline"/>
        </w:rPr>
        <w:t>Exceptions and Limits to Copyright and Neighboring Rights,</w:t>
      </w:r>
      <w:r w:rsidRPr="00BD225A">
        <w:rPr>
          <w:bCs/>
          <w:szCs w:val="18"/>
        </w:rPr>
        <w:t xml:space="preserve"> study prepared by Pierre </w:t>
      </w:r>
      <w:proofErr w:type="spellStart"/>
      <w:r w:rsidRPr="00BD225A">
        <w:rPr>
          <w:bCs/>
          <w:szCs w:val="18"/>
        </w:rPr>
        <w:t>Sirinelli</w:t>
      </w:r>
      <w:proofErr w:type="spellEnd"/>
      <w:smartTag w:uri="urn:schemas-microsoft-com:office:smarttags" w:element="PersonName">
        <w:r w:rsidRPr="00BD225A">
          <w:rPr>
            <w:bCs/>
            <w:szCs w:val="18"/>
          </w:rPr>
          <w:t>,</w:t>
        </w:r>
      </w:smartTag>
      <w:r w:rsidRPr="00BD225A">
        <w:rPr>
          <w:bCs/>
          <w:szCs w:val="18"/>
        </w:rPr>
        <w:t xml:space="preserve"> </w:t>
      </w:r>
    </w:p>
    <w:p w:rsidR="001066BA" w:rsidRPr="00BD225A" w:rsidRDefault="001066BA" w:rsidP="00931A24">
      <w:pPr>
        <w:pStyle w:val="FootnoteText"/>
        <w:ind w:left="600" w:hanging="33"/>
        <w:jc w:val="both"/>
        <w:rPr>
          <w:rStyle w:val="FootnoteReference"/>
          <w:b/>
          <w:bCs/>
          <w:szCs w:val="18"/>
          <w:vertAlign w:val="baseline"/>
        </w:rPr>
      </w:pPr>
      <w:r w:rsidRPr="00BD225A">
        <w:rPr>
          <w:rStyle w:val="FootnoteReference"/>
          <w:bCs/>
          <w:szCs w:val="18"/>
          <w:vertAlign w:val="baseline"/>
        </w:rPr>
        <w:t xml:space="preserve">WCT-WPPT/IMP/1, </w:t>
      </w:r>
      <w:r w:rsidRPr="00BD225A">
        <w:rPr>
          <w:bCs/>
          <w:szCs w:val="18"/>
        </w:rPr>
        <w:t>1999</w:t>
      </w:r>
      <w:proofErr w:type="gramStart"/>
      <w:r w:rsidRPr="00BD225A">
        <w:rPr>
          <w:bCs/>
          <w:szCs w:val="18"/>
        </w:rPr>
        <w:t xml:space="preserve">, </w:t>
      </w:r>
      <w:proofErr w:type="gramEnd"/>
      <w:r w:rsidRPr="00BD225A">
        <w:rPr>
          <w:rStyle w:val="FootnoteReference"/>
          <w:bCs/>
          <w:szCs w:val="18"/>
          <w:vertAlign w:val="baseline"/>
        </w:rPr>
        <w:t>p.2</w:t>
      </w:r>
      <w:r w:rsidRPr="00BD225A">
        <w:rPr>
          <w:bCs/>
          <w:szCs w:val="18"/>
        </w:rPr>
        <w:t>.</w:t>
      </w:r>
      <w:r w:rsidRPr="00BD225A">
        <w:rPr>
          <w:rStyle w:val="FootnoteReference"/>
          <w:bCs/>
          <w:szCs w:val="18"/>
          <w:vertAlign w:val="baseline"/>
        </w:rPr>
        <w:t xml:space="preserve"> </w:t>
      </w:r>
    </w:p>
  </w:footnote>
  <w:footnote w:id="61">
    <w:p w:rsidR="001066BA" w:rsidRPr="00BD225A" w:rsidRDefault="001066BA"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62">
    <w:p w:rsidR="001066BA" w:rsidRPr="00BD225A" w:rsidRDefault="001066BA"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proofErr w:type="spellStart"/>
      <w:r w:rsidRPr="00BD225A">
        <w:rPr>
          <w:rStyle w:val="FootnoteReference"/>
          <w:szCs w:val="18"/>
          <w:vertAlign w:val="baseline"/>
          <w:lang w:val="es-ES_tradnl"/>
        </w:rPr>
        <w:t>Model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Provisions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for</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National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Laws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Expressions</w:t>
      </w:r>
      <w:proofErr w:type="spellEnd"/>
      <w:r w:rsidRPr="00BD225A">
        <w:rPr>
          <w:rStyle w:val="FootnoteReference"/>
          <w:szCs w:val="18"/>
          <w:vertAlign w:val="baseline"/>
          <w:lang w:val="es-ES_tradnl"/>
        </w:rPr>
        <w:t xml:space="preserve"> of Folklore </w:t>
      </w:r>
      <w:proofErr w:type="spellStart"/>
      <w:r w:rsidRPr="00BD225A">
        <w:rPr>
          <w:rStyle w:val="FootnoteReference"/>
          <w:szCs w:val="18"/>
          <w:vertAlign w:val="baseline"/>
          <w:lang w:val="es-ES_tradnl"/>
        </w:rPr>
        <w:t>against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Illicit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Exploitation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Other</w:t>
      </w:r>
      <w:proofErr w:type="spellEnd"/>
      <w:r w:rsidRPr="00BD225A">
        <w:rPr>
          <w:rStyle w:val="FootnoteReference"/>
          <w:szCs w:val="18"/>
          <w:vertAlign w:val="baseline"/>
          <w:lang w:val="es-ES_tradnl"/>
        </w:rPr>
        <w:t xml:space="preserve"> Prejudicial </w:t>
      </w:r>
      <w:proofErr w:type="spellStart"/>
      <w:r w:rsidRPr="00BD225A">
        <w:rPr>
          <w:rStyle w:val="FootnoteReference"/>
          <w:szCs w:val="18"/>
          <w:vertAlign w:val="baseline"/>
          <w:lang w:val="es-ES_tradnl"/>
        </w:rPr>
        <w:t>Actions</w:t>
      </w:r>
      <w:proofErr w:type="spellEnd"/>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63">
    <w:p w:rsidR="001066BA" w:rsidRPr="00BD225A" w:rsidRDefault="001066BA"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r w:rsidRPr="00BD225A">
        <w:rPr>
          <w:i/>
          <w:szCs w:val="18"/>
          <w:lang w:val="es-ES"/>
        </w:rPr>
        <w:t xml:space="preserve">, </w:t>
      </w:r>
      <w:r w:rsidRPr="00BD225A">
        <w:rPr>
          <w:szCs w:val="18"/>
          <w:lang w:val="es-ES"/>
        </w:rPr>
        <w:t>para. 37.</w:t>
      </w:r>
    </w:p>
  </w:footnote>
  <w:footnote w:id="64">
    <w:p w:rsidR="001066BA" w:rsidRPr="00BD225A" w:rsidRDefault="001066BA"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smartTag w:uri="urn:schemas-microsoft-com:office:smarttags" w:element="PersonName">
        <w:r w:rsidRPr="00BD225A">
          <w:rPr>
            <w:szCs w:val="18"/>
            <w:lang w:val="es-ES"/>
          </w:rPr>
          <w:t>,</w:t>
        </w:r>
      </w:smartTag>
      <w:r w:rsidRPr="00BD225A">
        <w:rPr>
          <w:szCs w:val="18"/>
          <w:lang w:val="es-ES"/>
        </w:rPr>
        <w:t xml:space="preserve"> </w:t>
      </w:r>
      <w:r w:rsidRPr="00BD225A">
        <w:rPr>
          <w:rStyle w:val="FootnoteReference"/>
          <w:szCs w:val="18"/>
          <w:vertAlign w:val="baseline"/>
          <w:lang w:val="es-ES"/>
        </w:rPr>
        <w:t>Sect</w:t>
      </w:r>
      <w:proofErr w:type="gramStart"/>
      <w:r w:rsidRPr="00BD225A">
        <w:rPr>
          <w:szCs w:val="18"/>
          <w:lang w:val="es-ES"/>
        </w:rPr>
        <w:t xml:space="preserve">ion </w:t>
      </w:r>
      <w:proofErr w:type="gramEnd"/>
      <w:r w:rsidRPr="00BD225A">
        <w:rPr>
          <w:rStyle w:val="FootnoteReference"/>
          <w:szCs w:val="18"/>
          <w:vertAlign w:val="baseline"/>
          <w:lang w:val="es-ES"/>
        </w:rPr>
        <w:t>2</w:t>
      </w:r>
      <w:r w:rsidRPr="00BD225A">
        <w:rPr>
          <w:szCs w:val="18"/>
          <w:lang w:val="es-ES"/>
        </w:rPr>
        <w:t>.</w:t>
      </w:r>
    </w:p>
  </w:footnote>
  <w:footnote w:id="65">
    <w:p w:rsidR="001066BA" w:rsidRPr="00BD225A" w:rsidRDefault="001066BA"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 xml:space="preserve">WIPO </w:t>
      </w:r>
      <w:proofErr w:type="spellStart"/>
      <w:r w:rsidRPr="00BD225A">
        <w:rPr>
          <w:rStyle w:val="FootnoteReference"/>
          <w:szCs w:val="18"/>
          <w:vertAlign w:val="baseline"/>
          <w:lang w:val="es-ES"/>
        </w:rPr>
        <w:t>Guide</w:t>
      </w:r>
      <w:proofErr w:type="spellEnd"/>
      <w:r w:rsidRPr="00BD225A">
        <w:rPr>
          <w:rStyle w:val="FootnoteReference"/>
          <w:szCs w:val="18"/>
          <w:vertAlign w:val="baseline"/>
          <w:lang w:val="es-ES"/>
        </w:rPr>
        <w:t xml:space="preserv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szCs w:val="18"/>
          <w:lang w:val="es-ES"/>
        </w:rPr>
        <w:t>, p. 289.</w:t>
      </w:r>
    </w:p>
  </w:footnote>
  <w:footnote w:id="66">
    <w:p w:rsidR="001066BA" w:rsidRPr="00BD225A" w:rsidRDefault="001066BA"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 xml:space="preserve">WIPO </w:t>
      </w:r>
      <w:proofErr w:type="spellStart"/>
      <w:r w:rsidRPr="00BD225A">
        <w:rPr>
          <w:rStyle w:val="FootnoteReference"/>
          <w:szCs w:val="18"/>
          <w:vertAlign w:val="baseline"/>
          <w:lang w:val="es-ES"/>
        </w:rPr>
        <w:t>Guide</w:t>
      </w:r>
      <w:proofErr w:type="spellEnd"/>
      <w:r w:rsidRPr="00BD225A">
        <w:rPr>
          <w:rStyle w:val="FootnoteReference"/>
          <w:szCs w:val="18"/>
          <w:vertAlign w:val="baseline"/>
          <w:lang w:val="es-ES"/>
        </w:rPr>
        <w:t xml:space="preserv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rStyle w:val="FootnoteReference"/>
          <w:szCs w:val="18"/>
          <w:vertAlign w:val="baseline"/>
          <w:lang w:val="nl-NL"/>
        </w:rPr>
        <w:t>, p. 290</w:t>
      </w:r>
      <w:r w:rsidRPr="00BD225A">
        <w:rPr>
          <w:szCs w:val="18"/>
          <w:lang w:val="nl-NL"/>
        </w:rPr>
        <w:t>.</w:t>
      </w:r>
    </w:p>
  </w:footnote>
  <w:footnote w:id="67">
    <w:p w:rsidR="001066BA" w:rsidRPr="00BD225A" w:rsidRDefault="001066BA"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8">
    <w:p w:rsidR="001066BA" w:rsidRPr="00420EF9" w:rsidRDefault="001066BA"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 xml:space="preserve">Terri </w:t>
        </w:r>
        <w:proofErr w:type="spellStart"/>
        <w:r w:rsidRPr="00420EF9">
          <w:rPr>
            <w:szCs w:val="18"/>
          </w:rPr>
          <w:t>Janke</w:t>
        </w:r>
      </w:smartTag>
      <w:proofErr w:type="spellEnd"/>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9">
    <w:p w:rsidR="001066BA" w:rsidRPr="00420EF9" w:rsidRDefault="001066BA"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 para.</w:t>
      </w:r>
      <w:proofErr w:type="gramEnd"/>
      <w:r w:rsidRPr="00420EF9">
        <w:rPr>
          <w:szCs w:val="18"/>
        </w:rPr>
        <w:t xml:space="preserve"> 50.</w:t>
      </w:r>
    </w:p>
  </w:footnote>
  <w:footnote w:id="70">
    <w:p w:rsidR="001066BA" w:rsidRPr="00772BA5" w:rsidRDefault="001066BA"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szCs w:val="18"/>
        </w:rPr>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Part I, para. 5</w:t>
      </w:r>
      <w:r w:rsidRPr="00772BA5">
        <w:rPr>
          <w:szCs w:val="18"/>
        </w:rPr>
        <w:t>-7.</w:t>
      </w:r>
      <w:proofErr w:type="gramEnd"/>
    </w:p>
  </w:footnote>
  <w:footnote w:id="71">
    <w:p w:rsidR="001066BA" w:rsidRPr="00BD225A" w:rsidRDefault="001066BA"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72">
    <w:p w:rsidR="001066BA" w:rsidRPr="00BD225A" w:rsidRDefault="001066BA"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w:t>
      </w:r>
      <w:proofErr w:type="gramStart"/>
      <w:r w:rsidRPr="00BD225A">
        <w:rPr>
          <w:szCs w:val="18"/>
        </w:rPr>
        <w:t xml:space="preserve">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w:t>
      </w:r>
      <w:proofErr w:type="gramEnd"/>
      <w:r w:rsidRPr="00BD225A">
        <w:rPr>
          <w:szCs w:val="18"/>
        </w:rPr>
        <w:t xml:space="preserve">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proofErr w:type="gramStart"/>
      <w:r w:rsidRPr="00BD225A">
        <w:rPr>
          <w:i/>
          <w:szCs w:val="18"/>
        </w:rPr>
        <w:t>See</w:t>
      </w:r>
      <w:r w:rsidRPr="00BD225A">
        <w:rPr>
          <w:szCs w:val="18"/>
        </w:rPr>
        <w:t xml:space="preserve"> </w:t>
      </w:r>
      <w:r w:rsidRPr="00BD225A">
        <w:rPr>
          <w:rStyle w:val="FootnoteReference"/>
          <w:szCs w:val="18"/>
          <w:vertAlign w:val="baseline"/>
        </w:rPr>
        <w:t>W</w:t>
      </w:r>
      <w:proofErr w:type="gramEnd"/>
      <w:r w:rsidRPr="00BD225A">
        <w:rPr>
          <w:rStyle w:val="FootnoteReference"/>
          <w:szCs w:val="18"/>
          <w:vertAlign w:val="baseline"/>
        </w:rPr>
        <w:t>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73">
    <w:p w:rsidR="001066BA" w:rsidRPr="00420EF9" w:rsidRDefault="001066BA"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74">
    <w:p w:rsidR="001066BA" w:rsidRPr="00420EF9" w:rsidRDefault="001066BA"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w:t>
      </w:r>
      <w:proofErr w:type="spellStart"/>
      <w:r w:rsidRPr="00420EF9">
        <w:rPr>
          <w:szCs w:val="18"/>
        </w:rPr>
        <w:t>Yozo</w:t>
      </w:r>
      <w:proofErr w:type="spellEnd"/>
      <w:r w:rsidRPr="00420EF9">
        <w:rPr>
          <w:szCs w:val="18"/>
        </w:rPr>
        <w:t xml:space="preserve"> Yokota and the Saami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75">
    <w:p w:rsidR="001066BA" w:rsidRPr="00420EF9" w:rsidRDefault="001066BA"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 xml:space="preserve">retariat of the Permanent Forum on Indigenous Issues for the Expert Workshop on the </w:t>
      </w:r>
      <w:proofErr w:type="spellStart"/>
      <w:r w:rsidRPr="00420EF9">
        <w:rPr>
          <w:szCs w:val="18"/>
        </w:rPr>
        <w:t>Dissaggregation</w:t>
      </w:r>
      <w:proofErr w:type="spellEnd"/>
      <w:r w:rsidRPr="00420EF9">
        <w:rPr>
          <w:szCs w:val="18"/>
        </w:rPr>
        <w:t xml:space="preserve">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6">
    <w:p w:rsidR="001066BA" w:rsidRPr="00420EF9" w:rsidRDefault="001066BA"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7">
    <w:p w:rsidR="001066BA" w:rsidRPr="00420EF9" w:rsidRDefault="001066BA"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41 of Annex.</w:t>
      </w:r>
      <w:proofErr w:type="gramEnd"/>
    </w:p>
  </w:footnote>
  <w:footnote w:id="78">
    <w:p w:rsidR="001066BA" w:rsidRPr="00BD225A" w:rsidRDefault="001066BA"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9">
    <w:p w:rsidR="001066BA" w:rsidRPr="00C82BBD" w:rsidRDefault="001066BA"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p>
  </w:footnote>
  <w:footnote w:id="80">
    <w:p w:rsidR="001066BA" w:rsidRPr="00BD225A" w:rsidRDefault="001066BA"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Operational Policy 4.10 on Indigenous Peoples, World Bank 2005; John </w:t>
      </w:r>
      <w:proofErr w:type="spellStart"/>
      <w:r w:rsidRPr="00BD225A">
        <w:rPr>
          <w:rStyle w:val="FootnoteReference"/>
          <w:szCs w:val="18"/>
          <w:vertAlign w:val="baseline"/>
        </w:rPr>
        <w:t>Henriksen</w:t>
      </w:r>
      <w:proofErr w:type="spellEnd"/>
      <w:r w:rsidRPr="00BD225A">
        <w:rPr>
          <w:rStyle w:val="FootnoteReference"/>
          <w:szCs w:val="18"/>
          <w:vertAlign w:val="baseline"/>
        </w:rPr>
        <w:t>: Key Principles in Implementing ILO Convention No. 169, 2008.</w:t>
      </w:r>
      <w:r w:rsidRPr="00BD225A">
        <w:rPr>
          <w:szCs w:val="18"/>
        </w:rPr>
        <w:t xml:space="preserve"> </w:t>
      </w:r>
    </w:p>
  </w:footnote>
  <w:footnote w:id="81">
    <w:p w:rsidR="001066BA" w:rsidRPr="00420EF9" w:rsidRDefault="001066BA" w:rsidP="00931A24">
      <w:pPr>
        <w:pStyle w:val="FootnoteText"/>
        <w:ind w:left="500" w:hanging="500"/>
        <w:rPr>
          <w:szCs w:val="18"/>
          <w:lang w:val="en-GB"/>
        </w:rPr>
      </w:pPr>
      <w:r w:rsidRPr="00420EF9">
        <w:rPr>
          <w:rStyle w:val="FootnoteReference"/>
          <w:szCs w:val="18"/>
        </w:rPr>
        <w:footnoteRef/>
      </w:r>
      <w:r w:rsidRPr="00420EF9">
        <w:rPr>
          <w:szCs w:val="18"/>
        </w:rPr>
        <w:t xml:space="preserve"> </w:t>
      </w:r>
      <w:r w:rsidRPr="00420EF9">
        <w:rPr>
          <w:szCs w:val="18"/>
        </w:rPr>
        <w:tab/>
      </w:r>
      <w:r w:rsidRPr="00BD225A">
        <w:rPr>
          <w:szCs w:val="18"/>
        </w:rPr>
        <w:t xml:space="preserve">[This footnote is part of the definition] </w:t>
      </w:r>
      <w:r w:rsidRPr="00BD225A">
        <w:rPr>
          <w:rStyle w:val="FootnoteReference"/>
          <w:szCs w:val="18"/>
          <w:vertAlign w:val="baseline"/>
        </w:rPr>
        <w:t xml:space="preserve">International </w:t>
      </w:r>
      <w:proofErr w:type="spellStart"/>
      <w:r w:rsidRPr="00BD225A">
        <w:rPr>
          <w:rStyle w:val="FootnoteReference"/>
          <w:szCs w:val="18"/>
          <w:vertAlign w:val="baseline"/>
        </w:rPr>
        <w:t>Labour</w:t>
      </w:r>
      <w:proofErr w:type="spellEnd"/>
      <w:r w:rsidRPr="00BD225A">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BD225A">
        <w:rPr>
          <w:szCs w:val="18"/>
        </w:rPr>
        <w:t xml:space="preserve"> </w:t>
      </w:r>
      <w:r w:rsidRPr="00BD225A">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BD225A">
        <w:rPr>
          <w:iCs/>
          <w:szCs w:val="18"/>
          <w:lang w:val="en-GB"/>
        </w:rPr>
        <w:t xml:space="preserve"> The same </w:t>
      </w:r>
      <w:smartTag w:uri="urn:schemas-microsoft-com:office:smarttags" w:element="PersonName">
        <w:r w:rsidRPr="00BD225A">
          <w:rPr>
            <w:iCs/>
            <w:szCs w:val="18"/>
            <w:lang w:val="en-GB"/>
          </w:rPr>
          <w:t>c</w:t>
        </w:r>
      </w:smartTag>
      <w:r w:rsidRPr="00BD225A">
        <w:rPr>
          <w:iCs/>
          <w:szCs w:val="18"/>
          <w:lang w:val="en-GB"/>
        </w:rPr>
        <w:t>riteria are used by the FAO in its poli</w:t>
      </w:r>
      <w:smartTag w:uri="urn:schemas-microsoft-com:office:smarttags" w:element="PersonName">
        <w:r w:rsidRPr="00BD225A">
          <w:rPr>
            <w:iCs/>
            <w:szCs w:val="18"/>
            <w:lang w:val="en-GB"/>
          </w:rPr>
          <w:t>c</w:t>
        </w:r>
      </w:smartTag>
      <w:r w:rsidRPr="00BD225A">
        <w:rPr>
          <w:iCs/>
          <w:szCs w:val="18"/>
          <w:lang w:val="en-GB"/>
        </w:rPr>
        <w:t>y</w:t>
      </w:r>
      <w:r w:rsidRPr="00420EF9">
        <w:rPr>
          <w:iCs/>
          <w:szCs w:val="18"/>
          <w:lang w:val="en-GB"/>
        </w:rPr>
        <w:t xml:space="preserve"> on indigenous and tribal peoples (</w:t>
      </w:r>
      <w:r w:rsidRPr="00420EF9">
        <w:rPr>
          <w:szCs w:val="18"/>
        </w:rPr>
        <w:t xml:space="preserve">Available at </w:t>
      </w:r>
      <w:hyperlink r:id="rId1" w:tooltip="http://www.fao.org/docrep/013/i1857e/i1857e00.pdf" w:history="1">
        <w:r w:rsidRPr="00420EF9">
          <w:rPr>
            <w:iCs/>
            <w:szCs w:val="18"/>
            <w:lang w:val="en-GB"/>
          </w:rPr>
          <w:t>http://www.fao.org/docrep/013/i1857e/i1857e00.pdf</w:t>
        </w:r>
      </w:hyperlink>
      <w:r w:rsidRPr="00420EF9">
        <w:rPr>
          <w:iCs/>
          <w:szCs w:val="18"/>
          <w:lang w:val="en-GB"/>
        </w:rPr>
        <w:t>)</w:t>
      </w:r>
    </w:p>
  </w:footnote>
  <w:footnote w:id="82">
    <w:p w:rsidR="001066BA" w:rsidRPr="00420EF9" w:rsidRDefault="001066BA"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420EF9">
        <w:rPr>
          <w:iCs/>
          <w:szCs w:val="18"/>
          <w:lang w:val="en-GB"/>
        </w:rPr>
        <w:t>http://www.ifad.org/english/indigenous/documents/ip_policy_e.pdf</w:t>
      </w:r>
      <w:r>
        <w:rPr>
          <w:iCs/>
          <w:szCs w:val="18"/>
          <w:lang w:val="en-GB"/>
        </w:rPr>
        <w:t>.</w:t>
      </w:r>
      <w:proofErr w:type="gramEnd"/>
    </w:p>
  </w:footnote>
  <w:footnote w:id="83">
    <w:p w:rsidR="001066BA" w:rsidRPr="00420EF9" w:rsidRDefault="001066BA"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772BA5">
        <w:rPr>
          <w:iCs/>
          <w:szCs w:val="18"/>
          <w:lang w:val="en-GB"/>
        </w:rPr>
        <w:t>http://www.hreoc.gov.au/social_justice/conference/engaging_communities/unpan021101.pdf</w:t>
      </w:r>
      <w:r>
        <w:rPr>
          <w:iCs/>
          <w:szCs w:val="18"/>
          <w:lang w:val="en-GB"/>
        </w:rPr>
        <w:t>.</w:t>
      </w:r>
      <w:proofErr w:type="gramEnd"/>
    </w:p>
  </w:footnote>
  <w:footnote w:id="84">
    <w:p w:rsidR="001066BA" w:rsidRPr="00420EF9" w:rsidRDefault="001066BA"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85">
    <w:p w:rsidR="001066BA" w:rsidRPr="009A2EAC" w:rsidRDefault="001066BA"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6">
    <w:p w:rsidR="001066BA" w:rsidRPr="009A2EAC" w:rsidRDefault="001066BA"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 xml:space="preserve">Sam </w:t>
      </w:r>
      <w:proofErr w:type="spellStart"/>
      <w:r w:rsidRPr="009A2EAC">
        <w:rPr>
          <w:rStyle w:val="FootnoteReference"/>
          <w:szCs w:val="18"/>
          <w:vertAlign w:val="baseline"/>
        </w:rPr>
        <w:t>Ricketson</w:t>
      </w:r>
      <w:proofErr w:type="spellEnd"/>
      <w:r w:rsidRPr="009A2EAC">
        <w:rPr>
          <w:szCs w:val="18"/>
        </w:rPr>
        <w:t xml:space="preserve"> </w:t>
      </w:r>
      <w:proofErr w:type="gramStart"/>
      <w:r w:rsidRPr="009A2EAC">
        <w:rPr>
          <w:szCs w:val="18"/>
        </w:rPr>
        <w:t>and</w:t>
      </w:r>
      <w:proofErr w:type="gramEnd"/>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7">
    <w:p w:rsidR="001066BA" w:rsidRPr="00420EF9" w:rsidRDefault="001066BA"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para. 133. </w:t>
      </w:r>
    </w:p>
  </w:footnote>
  <w:footnote w:id="88">
    <w:p w:rsidR="001066BA" w:rsidRPr="00420EF9" w:rsidRDefault="001066BA"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9">
    <w:p w:rsidR="001066BA" w:rsidRPr="00420EF9" w:rsidRDefault="001066BA"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90">
    <w:p w:rsidR="001066BA" w:rsidRPr="00420EF9" w:rsidRDefault="001066BA"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91">
    <w:p w:rsidR="001066BA" w:rsidRPr="00BD225A" w:rsidRDefault="001066BA"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92">
    <w:p w:rsidR="001066BA" w:rsidRPr="00420EF9" w:rsidRDefault="001066BA" w:rsidP="00C33191">
      <w:pPr>
        <w:pStyle w:val="FootnoteText"/>
        <w:ind w:left="499" w:hanging="499"/>
        <w:rPr>
          <w:szCs w:val="18"/>
        </w:rPr>
      </w:pPr>
      <w:r w:rsidRPr="00BD225A">
        <w:rPr>
          <w:rStyle w:val="FootnoteReference"/>
          <w:szCs w:val="18"/>
        </w:rPr>
        <w:footnoteRef/>
      </w:r>
      <w:r w:rsidRPr="00420EF9">
        <w:rPr>
          <w:szCs w:val="18"/>
        </w:rPr>
        <w:tab/>
      </w:r>
      <w:proofErr w:type="gramStart"/>
      <w:r w:rsidRPr="00114C4C">
        <w:rPr>
          <w:i/>
          <w:szCs w:val="18"/>
        </w:rPr>
        <w:t>Id</w:t>
      </w:r>
      <w:r w:rsidRPr="00420EF9">
        <w:rPr>
          <w:szCs w:val="18"/>
        </w:rPr>
        <w:t>, page 4 of Annex</w:t>
      </w:r>
      <w:r>
        <w:rPr>
          <w:szCs w:val="18"/>
        </w:rPr>
        <w:t>.</w:t>
      </w:r>
      <w:proofErr w:type="gramEnd"/>
    </w:p>
  </w:footnote>
  <w:footnote w:id="93">
    <w:p w:rsidR="001066BA" w:rsidRPr="00420EF9" w:rsidRDefault="001066BA"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4">
    <w:p w:rsidR="001066BA" w:rsidRPr="00420EF9" w:rsidRDefault="001066BA"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95">
    <w:p w:rsidR="001066BA" w:rsidRPr="004C606B" w:rsidRDefault="001066BA"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6">
    <w:p w:rsidR="001066BA" w:rsidRPr="004C606B" w:rsidRDefault="001066BA"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7">
    <w:p w:rsidR="001066BA" w:rsidRPr="004C606B" w:rsidRDefault="001066BA"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proofErr w:type="gramStart"/>
      <w:r w:rsidRPr="004C606B">
        <w:rPr>
          <w:bCs/>
          <w:szCs w:val="18"/>
        </w:rPr>
        <w:t>t</w:t>
      </w:r>
      <w:proofErr w:type="gramEnd"/>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 xml:space="preserve">study prepared by Pierre </w:t>
      </w:r>
      <w:proofErr w:type="spellStart"/>
      <w:r w:rsidRPr="004C606B">
        <w:rPr>
          <w:bCs/>
          <w:szCs w:val="18"/>
        </w:rPr>
        <w:t>Sirinelli</w:t>
      </w:r>
      <w:proofErr w:type="spellEnd"/>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8">
    <w:p w:rsidR="001066BA" w:rsidRPr="004C606B" w:rsidRDefault="001066BA"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t>
      </w:r>
      <w:proofErr w:type="gramStart"/>
      <w:r w:rsidRPr="004C606B">
        <w:rPr>
          <w:szCs w:val="18"/>
        </w:rPr>
        <w:t>website</w:t>
      </w:r>
      <w:proofErr w:type="gramEnd"/>
      <w:r w:rsidRPr="004C606B">
        <w:rPr>
          <w:rStyle w:val="FootnoteReference"/>
          <w:szCs w:val="18"/>
          <w:vertAlign w:val="baseline"/>
        </w:rPr>
        <w:t>, http://www.wipo.int/copyright/en/limitations/index.html</w:t>
      </w:r>
      <w:r w:rsidRPr="004C606B">
        <w:rPr>
          <w:szCs w:val="18"/>
        </w:rPr>
        <w:t>.</w:t>
      </w:r>
    </w:p>
  </w:footnote>
  <w:footnote w:id="99">
    <w:p w:rsidR="001066BA" w:rsidRPr="004C606B" w:rsidRDefault="001066BA"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100">
    <w:p w:rsidR="001066BA" w:rsidRPr="00BD225A" w:rsidRDefault="001066BA"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101">
    <w:p w:rsidR="001066BA" w:rsidRPr="00BD225A" w:rsidRDefault="001066BA"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102">
    <w:p w:rsidR="001066BA" w:rsidRPr="00420EF9" w:rsidRDefault="001066BA"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103">
    <w:p w:rsidR="001066BA" w:rsidRPr="00420EF9" w:rsidRDefault="001066BA"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4">
    <w:p w:rsidR="001066BA" w:rsidRPr="00420EF9" w:rsidRDefault="001066BA"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bCs/>
          <w:szCs w:val="18"/>
        </w:rPr>
        <w:t>ftp://ftp.fao.org/ag/</w:t>
      </w:r>
      <w:smartTag w:uri="urn:schemas-microsoft-com:office:smarttags" w:element="PersonName">
        <w:r w:rsidRPr="00772BA5">
          <w:rPr>
            <w:bCs/>
            <w:szCs w:val="18"/>
          </w:rPr>
          <w:t>c</w:t>
        </w:r>
      </w:smartTag>
      <w:r w:rsidRPr="00772BA5">
        <w:rPr>
          <w:bCs/>
          <w:szCs w:val="18"/>
        </w:rPr>
        <w:t>grfa/gb1/SMTAe.pdf</w:t>
      </w:r>
      <w:r>
        <w:rPr>
          <w:bCs/>
          <w:szCs w:val="18"/>
        </w:rPr>
        <w:t>.</w:t>
      </w:r>
    </w:p>
  </w:footnote>
  <w:footnote w:id="105">
    <w:p w:rsidR="001066BA" w:rsidRPr="00420EF9" w:rsidRDefault="001066BA"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6">
    <w:p w:rsidR="001066BA" w:rsidRPr="00420EF9" w:rsidRDefault="001066BA"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Para IX-2.1, PCT International Search Guidelines (as in force from 18 September 1998)</w:t>
      </w:r>
      <w:r>
        <w:rPr>
          <w:szCs w:val="18"/>
        </w:rPr>
        <w:t>.</w:t>
      </w:r>
      <w:proofErr w:type="gramEnd"/>
    </w:p>
  </w:footnote>
  <w:footnote w:id="107">
    <w:p w:rsidR="001066BA" w:rsidRPr="00420EF9" w:rsidRDefault="001066BA"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8">
    <w:p w:rsidR="001066BA" w:rsidRPr="00BD225A" w:rsidRDefault="001066BA"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9">
    <w:p w:rsidR="001066BA" w:rsidRPr="00BD225A" w:rsidRDefault="001066BA"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10">
    <w:p w:rsidR="001066BA" w:rsidRPr="00BD225A" w:rsidRDefault="001066BA"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11">
    <w:p w:rsidR="001066BA" w:rsidRPr="00BD225A" w:rsidRDefault="001066BA"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12">
    <w:p w:rsidR="001066BA" w:rsidRPr="00420EF9" w:rsidRDefault="001066BA"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13">
    <w:p w:rsidR="001066BA" w:rsidRPr="00420EF9" w:rsidRDefault="001066BA"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4">
    <w:p w:rsidR="001066BA" w:rsidRPr="00BD225A" w:rsidRDefault="001066BA" w:rsidP="00916CEA">
      <w:pPr>
        <w:pStyle w:val="FootnoteText"/>
        <w:ind w:left="550" w:hanging="550"/>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Sect.</w:t>
      </w:r>
      <w:r w:rsidRPr="00BD225A">
        <w:rPr>
          <w:szCs w:val="18"/>
        </w:rPr>
        <w:t xml:space="preserve"> </w:t>
      </w:r>
      <w:r w:rsidRPr="00BD225A">
        <w:rPr>
          <w:rStyle w:val="FootnoteReference"/>
          <w:szCs w:val="18"/>
          <w:vertAlign w:val="baseline"/>
        </w:rPr>
        <w:t xml:space="preserve">2, </w:t>
      </w:r>
      <w:r w:rsidRPr="00BD225A">
        <w:rPr>
          <w:rStyle w:val="FootnoteReference"/>
          <w:iCs/>
          <w:szCs w:val="18"/>
          <w:vertAlign w:val="baseline"/>
        </w:rPr>
        <w:t>Model Provisions for National Laws on the Protection of Expressions of Folklore against Illicit Exploitation and Other Prejudicial Actions, 1982</w:t>
      </w:r>
      <w:r w:rsidRPr="00BD225A">
        <w:rPr>
          <w:iCs/>
          <w:szCs w:val="18"/>
        </w:rPr>
        <w:t>.</w:t>
      </w:r>
    </w:p>
  </w:footnote>
  <w:footnote w:id="115">
    <w:p w:rsidR="001066BA" w:rsidRPr="00420EF9" w:rsidRDefault="001066BA"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para. 32</w:t>
      </w:r>
    </w:p>
  </w:footnote>
  <w:footnote w:id="116">
    <w:p w:rsidR="001066BA" w:rsidRPr="00BD225A" w:rsidRDefault="001066BA"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Daniel Gervais,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7">
    <w:p w:rsidR="001066BA" w:rsidRPr="00BD225A" w:rsidRDefault="001066BA"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8">
    <w:p w:rsidR="001066BA" w:rsidRPr="00420EF9" w:rsidRDefault="001066BA"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9">
    <w:p w:rsidR="001066BA" w:rsidRPr="00420EF9" w:rsidRDefault="001066BA"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0">
    <w:p w:rsidR="001066BA" w:rsidRPr="00420EF9" w:rsidRDefault="001066BA"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121">
    <w:p w:rsidR="001066BA" w:rsidRPr="00420EF9" w:rsidRDefault="001066BA"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1066BA" w:rsidRPr="00420EF9" w:rsidRDefault="001066BA" w:rsidP="00316BB8">
      <w:pPr>
        <w:pStyle w:val="FootnoteText"/>
        <w:ind w:left="550"/>
        <w:rPr>
          <w:szCs w:val="18"/>
        </w:rPr>
      </w:pPr>
      <w:proofErr w:type="gramStart"/>
      <w:r w:rsidRPr="00420EF9">
        <w:rPr>
          <w:szCs w:val="18"/>
        </w:rPr>
        <w:t>para</w:t>
      </w:r>
      <w:proofErr w:type="gramEnd"/>
      <w:r w:rsidRPr="00420EF9">
        <w:rPr>
          <w:szCs w:val="18"/>
        </w:rPr>
        <w:t>. 37.</w:t>
      </w:r>
    </w:p>
  </w:footnote>
  <w:footnote w:id="122">
    <w:p w:rsidR="001066BA" w:rsidRPr="00BD225A" w:rsidRDefault="001066BA"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tion of Traditional Knowledge: Draft Gap Analysis: Revision</w:t>
      </w:r>
      <w:proofErr w:type="gramStart"/>
      <w:r w:rsidRPr="00420EF9">
        <w:rPr>
          <w:szCs w:val="18"/>
        </w:rPr>
        <w:t xml:space="preserve">, </w:t>
      </w:r>
      <w:proofErr w:type="gramEnd"/>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23">
    <w:p w:rsidR="001066BA" w:rsidRPr="00BD225A" w:rsidRDefault="001066BA"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4">
    <w:p w:rsidR="001066BA" w:rsidRPr="00BD225A" w:rsidRDefault="001066BA"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w:t>
      </w:r>
      <w:proofErr w:type="spellStart"/>
      <w:r w:rsidRPr="00BD225A">
        <w:rPr>
          <w:rStyle w:val="FootnoteReference"/>
          <w:szCs w:val="18"/>
          <w:vertAlign w:val="baseline"/>
        </w:rPr>
        <w:t>Xanthaki</w:t>
      </w:r>
      <w:proofErr w:type="spellEnd"/>
      <w:r w:rsidRPr="00BD225A">
        <w:rPr>
          <w:rStyle w:val="FootnoteReference"/>
          <w:szCs w:val="18"/>
          <w:vertAlign w:val="baseline"/>
        </w:rPr>
        <w:t xml:space="preserve">, </w:t>
      </w:r>
      <w:r w:rsidRPr="00BD225A">
        <w:rPr>
          <w:szCs w:val="18"/>
        </w:rPr>
        <w:t>“</w:t>
      </w:r>
      <w:r w:rsidRPr="00BD225A">
        <w:rPr>
          <w:rStyle w:val="FootnoteReference"/>
          <w:szCs w:val="18"/>
          <w:vertAlign w:val="baseline"/>
        </w:rPr>
        <w:t>Reflections on the UN Declaration on the Rights of Indigenous Peoples</w:t>
      </w:r>
      <w:r w:rsidRPr="00BD225A">
        <w:rPr>
          <w:szCs w:val="18"/>
        </w:rPr>
        <w:t>”</w:t>
      </w:r>
      <w:proofErr w:type="gramStart"/>
      <w:r w:rsidRPr="00BD225A">
        <w:rPr>
          <w:szCs w:val="18"/>
        </w:rPr>
        <w:t xml:space="preserve">, </w:t>
      </w:r>
      <w:proofErr w:type="gramEnd"/>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5">
    <w:p w:rsidR="001066BA" w:rsidRPr="00420EF9" w:rsidRDefault="001066BA"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6">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See </w:t>
      </w:r>
      <w:r w:rsidRPr="004E73B1">
        <w:rPr>
          <w:iCs/>
          <w:szCs w:val="18"/>
        </w:rPr>
        <w:t>Guidelines for Examination in the European Patent Offi</w:t>
      </w:r>
      <w:smartTag w:uri="urn:schemas-microsoft-com:office:smarttags" w:element="PersonName">
        <w:r w:rsidRPr="004E73B1">
          <w:rPr>
            <w:iCs/>
            <w:szCs w:val="18"/>
          </w:rPr>
          <w:t>c</w:t>
        </w:r>
      </w:smartTag>
      <w:r w:rsidRPr="004E73B1">
        <w:rPr>
          <w:iCs/>
          <w:szCs w:val="18"/>
        </w:rPr>
        <w:t>e</w:t>
      </w:r>
      <w:smartTag w:uri="urn:schemas-microsoft-com:office:smarttags" w:element="PersonName">
        <w:r w:rsidRPr="004E73B1">
          <w:rPr>
            <w:iCs/>
            <w:szCs w:val="18"/>
          </w:rPr>
          <w:t>,</w:t>
        </w:r>
      </w:smartTag>
      <w:r w:rsidRPr="004E73B1">
        <w:rPr>
          <w:iCs/>
          <w:szCs w:val="18"/>
        </w:rPr>
        <w:t xml:space="preserve"> Part</w:t>
      </w:r>
      <w:r w:rsidRPr="00420EF9">
        <w:rPr>
          <w:szCs w:val="18"/>
        </w:rPr>
        <w:t xml:space="preserve"> C</w:t>
      </w:r>
      <w:smartTag w:uri="urn:schemas-microsoft-com:office:smarttags" w:element="PersonName">
        <w:r w:rsidRPr="00420EF9">
          <w:rPr>
            <w:szCs w:val="18"/>
          </w:rPr>
          <w:t>,</w:t>
        </w:r>
      </w:smartTag>
      <w:r w:rsidRPr="00420EF9">
        <w:rPr>
          <w:szCs w:val="18"/>
        </w:rPr>
        <w:t xml:space="preserve"> Chapter IV</w:t>
      </w:r>
      <w:smartTag w:uri="urn:schemas-microsoft-com:office:smarttags" w:element="PersonName">
        <w:r w:rsidRPr="00420EF9">
          <w:rPr>
            <w:szCs w:val="18"/>
          </w:rPr>
          <w:t>,</w:t>
        </w:r>
      </w:smartTag>
      <w:r w:rsidRPr="00420EF9">
        <w:rPr>
          <w:szCs w:val="18"/>
        </w:rPr>
        <w:t xml:space="preserve"> para 5.1</w:t>
      </w:r>
      <w:r>
        <w:rPr>
          <w:szCs w:val="18"/>
        </w:rPr>
        <w:t>.</w:t>
      </w:r>
    </w:p>
  </w:footnote>
  <w:footnote w:id="127">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1066BA" w:rsidRPr="00420EF9" w:rsidRDefault="001066BA" w:rsidP="00CF0EF8">
      <w:pPr>
        <w:pStyle w:val="FootnoteText"/>
        <w:ind w:left="499"/>
        <w:rPr>
          <w:szCs w:val="18"/>
          <w:lang w:val="es-ES"/>
        </w:rPr>
      </w:pPr>
      <w:r w:rsidRPr="00420EF9">
        <w:rPr>
          <w:szCs w:val="18"/>
          <w:lang w:val="es-ES"/>
        </w:rPr>
        <w:t>para. 20.</w:t>
      </w:r>
    </w:p>
  </w:footnote>
  <w:footnote w:id="128">
    <w:p w:rsidR="001066BA" w:rsidRPr="00420EF9" w:rsidRDefault="001066BA"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9">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30">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i/>
          <w:szCs w:val="18"/>
        </w:rPr>
        <w:t>Id</w:t>
      </w:r>
      <w:r w:rsidRPr="00420EF9">
        <w:rPr>
          <w:szCs w:val="18"/>
        </w:rPr>
        <w:t>, para.</w:t>
      </w:r>
      <w:proofErr w:type="gramEnd"/>
      <w:r w:rsidRPr="00420EF9">
        <w:rPr>
          <w:szCs w:val="18"/>
        </w:rPr>
        <w:t xml:space="preserve"> 28.</w:t>
      </w:r>
    </w:p>
  </w:footnote>
  <w:footnote w:id="131">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32">
    <w:p w:rsidR="001066BA" w:rsidRPr="00420EF9" w:rsidRDefault="001066BA"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3">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4">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216931">
        <w:rPr>
          <w:szCs w:val="18"/>
        </w:rPr>
        <w:t>Bla</w:t>
      </w:r>
      <w:smartTag w:uri="urn:schemas-microsoft-com:office:smarttags" w:element="PersonName">
        <w:r w:rsidRPr="00216931">
          <w:rPr>
            <w:szCs w:val="18"/>
          </w:rPr>
          <w:t>c</w:t>
        </w:r>
      </w:smartTag>
      <w:r w:rsidRPr="00216931">
        <w:rPr>
          <w:szCs w:val="18"/>
        </w:rPr>
        <w:t>k's Law Di</w:t>
      </w:r>
      <w:smartTag w:uri="urn:schemas-microsoft-com:office:smarttags" w:element="PersonName">
        <w:r w:rsidRPr="00216931">
          <w:rPr>
            <w:szCs w:val="18"/>
          </w:rPr>
          <w:t>c</w:t>
        </w:r>
      </w:smartTag>
      <w:r w:rsidRPr="00216931">
        <w:rPr>
          <w:szCs w:val="18"/>
        </w:rPr>
        <w:t>tionary</w:t>
      </w:r>
      <w:r>
        <w:rPr>
          <w:szCs w:val="18"/>
        </w:rPr>
        <w:t>,</w:t>
      </w:r>
      <w:r w:rsidRPr="00216931">
        <w:rPr>
          <w:szCs w:val="18"/>
        </w:rPr>
        <w:t xml:space="preserve"> </w:t>
      </w:r>
      <w:r>
        <w:rPr>
          <w:szCs w:val="18"/>
        </w:rPr>
        <w:t xml:space="preserve">p. </w:t>
      </w:r>
      <w:r w:rsidRPr="00216931">
        <w:rPr>
          <w:szCs w:val="18"/>
        </w:rPr>
        <w:t>1027 (8th ed.</w:t>
      </w:r>
      <w:r>
        <w:rPr>
          <w:szCs w:val="18"/>
        </w:rPr>
        <w:t xml:space="preserve">, </w:t>
      </w:r>
      <w:r w:rsidRPr="00216931">
        <w:rPr>
          <w:szCs w:val="18"/>
        </w:rPr>
        <w:t>2005)</w:t>
      </w:r>
      <w:r>
        <w:rPr>
          <w:szCs w:val="18"/>
        </w:rPr>
        <w:t>.</w:t>
      </w:r>
    </w:p>
  </w:footnote>
  <w:footnote w:id="135">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Guide to the Copyright and Related Rights Treaties by WIPO and Glossary of Copyright and Related Rights Terms</w:t>
      </w:r>
      <w:r>
        <w:rPr>
          <w:szCs w:val="18"/>
        </w:rPr>
        <w:t>.</w:t>
      </w:r>
      <w:proofErr w:type="gramEnd"/>
    </w:p>
  </w:footnote>
  <w:footnote w:id="136">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7">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8">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9">
    <w:p w:rsidR="001066BA" w:rsidRPr="00CF0EF8" w:rsidRDefault="001066BA"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0">
    <w:p w:rsidR="001066BA" w:rsidRPr="00CF0EF8" w:rsidRDefault="001066BA"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1">
    <w:p w:rsidR="001066BA" w:rsidRPr="00420EF9" w:rsidRDefault="001066BA"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42">
    <w:p w:rsidR="001066BA" w:rsidRPr="004E73B1" w:rsidRDefault="001066BA"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43">
    <w:p w:rsidR="001066BA" w:rsidRPr="004E73B1" w:rsidRDefault="001066BA"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 xml:space="preserve">Sam </w:t>
      </w:r>
      <w:proofErr w:type="spellStart"/>
      <w:r w:rsidRPr="004E73B1">
        <w:rPr>
          <w:rStyle w:val="FootnoteReference"/>
          <w:szCs w:val="18"/>
          <w:vertAlign w:val="baseline"/>
        </w:rPr>
        <w:t>Ricketson</w:t>
      </w:r>
      <w:proofErr w:type="spellEnd"/>
      <w:r w:rsidRPr="004E73B1">
        <w:rPr>
          <w:szCs w:val="18"/>
        </w:rPr>
        <w:t xml:space="preserve"> </w:t>
      </w:r>
      <w:proofErr w:type="gramStart"/>
      <w:r w:rsidRPr="004E73B1">
        <w:rPr>
          <w:szCs w:val="18"/>
        </w:rPr>
        <w:t>and</w:t>
      </w:r>
      <w:proofErr w:type="gramEnd"/>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4">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Daniel J. Gervais,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5">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6">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7">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New Zealand during the eleventh session of the Committee.</w:t>
      </w:r>
      <w:proofErr w:type="gramEnd"/>
      <w:r w:rsidRPr="00420EF9">
        <w:rPr>
          <w:szCs w:val="18"/>
        </w:rPr>
        <w:t xml:space="preserve">  See Adopted Report of the Eleventh Session (WIPO/GRTKF/IC/11/15), paragraph 220</w:t>
      </w:r>
      <w:r>
        <w:rPr>
          <w:szCs w:val="18"/>
        </w:rPr>
        <w:t>.</w:t>
      </w:r>
    </w:p>
  </w:footnote>
  <w:footnote w:id="148">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Japan during the eleventh session of the Committee.</w:t>
      </w:r>
      <w:proofErr w:type="gramEnd"/>
      <w:r w:rsidRPr="00420EF9">
        <w:rPr>
          <w:szCs w:val="18"/>
        </w:rPr>
        <w:t xml:space="preserve">  See Adopted Report of the Eleventh Session (WIPO/GRTKF/IC/11/15), paragraph 296</w:t>
      </w:r>
      <w:r>
        <w:rPr>
          <w:szCs w:val="18"/>
        </w:rPr>
        <w:t>.</w:t>
      </w:r>
    </w:p>
  </w:footnote>
  <w:footnote w:id="149">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1066BA" w:rsidRPr="00420EF9" w:rsidRDefault="001066BA" w:rsidP="00CF0EF8">
      <w:pPr>
        <w:pStyle w:val="FootnoteText"/>
        <w:ind w:left="499"/>
        <w:rPr>
          <w:szCs w:val="18"/>
        </w:rPr>
      </w:pPr>
      <w:r w:rsidRPr="00420EF9">
        <w:rPr>
          <w:szCs w:val="18"/>
        </w:rPr>
        <w:t>p. 23 of Annex I, pages 11 and 16 of Annex II</w:t>
      </w:r>
      <w:r>
        <w:rPr>
          <w:szCs w:val="18"/>
        </w:rPr>
        <w:t>.</w:t>
      </w:r>
    </w:p>
  </w:footnote>
  <w:footnote w:id="150">
    <w:p w:rsidR="001066BA" w:rsidRPr="004E73B1" w:rsidRDefault="001066BA"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smartTag w:uri="urn:schemas-microsoft-com:office:smarttags" w:element="PersonName">
        <w:r w:rsidRPr="004E73B1">
          <w:rPr>
            <w:szCs w:val="18"/>
          </w:rPr>
          <w:t>,</w:t>
        </w:r>
      </w:smartTag>
      <w:r w:rsidRPr="004E73B1">
        <w:rPr>
          <w:szCs w:val="18"/>
        </w:rPr>
        <w:t xml:space="preserve"> National Commission for UNESCO</w:t>
      </w:r>
      <w:r w:rsidRPr="004E73B1">
        <w:rPr>
          <w:rStyle w:val="FootnoteReference"/>
          <w:szCs w:val="18"/>
          <w:vertAlign w:val="baseline"/>
        </w:rPr>
        <w:t>.</w:t>
      </w:r>
    </w:p>
  </w:footnote>
  <w:footnote w:id="151">
    <w:p w:rsidR="001066BA" w:rsidRPr="004E73B1" w:rsidRDefault="001066BA"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52">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53">
    <w:p w:rsidR="001066BA" w:rsidRPr="00420EF9" w:rsidRDefault="001066BA"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54">
    <w:p w:rsidR="001066BA" w:rsidRPr="00420EF9" w:rsidRDefault="001066BA"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5">
    <w:p w:rsidR="001066BA" w:rsidRPr="00420EF9" w:rsidRDefault="001066BA"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6">
    <w:p w:rsidR="001066BA" w:rsidRPr="004E73B1" w:rsidRDefault="001066BA"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7">
    <w:p w:rsidR="001066BA" w:rsidRPr="004E73B1" w:rsidRDefault="001066BA"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8">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Nino </w:t>
      </w:r>
      <w:proofErr w:type="spellStart"/>
      <w:r w:rsidRPr="00420EF9">
        <w:rPr>
          <w:szCs w:val="18"/>
        </w:rPr>
        <w:t>Pires</w:t>
      </w:r>
      <w:proofErr w:type="spellEnd"/>
      <w:r w:rsidRPr="00420EF9">
        <w:rPr>
          <w:szCs w:val="18"/>
        </w:rPr>
        <w:t xml:space="preserve"> de </w:t>
      </w:r>
      <w:proofErr w:type="spellStart"/>
      <w:r w:rsidRPr="00420EF9">
        <w:rPr>
          <w:szCs w:val="18"/>
        </w:rPr>
        <w:t>Carvalho</w:t>
      </w:r>
      <w:proofErr w:type="spellEnd"/>
      <w:r w:rsidRPr="00420EF9">
        <w:rPr>
          <w:szCs w:val="18"/>
        </w:rPr>
        <w:t>, From the Shaman’s Hut to the Patent Offi</w:t>
      </w:r>
      <w:smartTag w:uri="urn:schemas-microsoft-com:office:smarttags" w:element="PersonName">
        <w:r w:rsidRPr="00420EF9">
          <w:rPr>
            <w:szCs w:val="18"/>
          </w:rPr>
          <w:t>c</w:t>
        </w:r>
      </w:smartTag>
      <w:r w:rsidRPr="00420EF9">
        <w:rPr>
          <w:szCs w:val="18"/>
        </w:rPr>
        <w:t xml:space="preserve">e: A Road </w:t>
      </w:r>
      <w:proofErr w:type="gramStart"/>
      <w:r w:rsidRPr="00420EF9">
        <w:rPr>
          <w:szCs w:val="18"/>
        </w:rPr>
        <w:t>Under</w:t>
      </w:r>
      <w:proofErr w:type="gramEnd"/>
      <w:r w:rsidRPr="00420EF9">
        <w:rPr>
          <w:szCs w:val="18"/>
        </w:rPr>
        <w:t xml:space="preserve">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9">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Protection of Traditional Cultural Expressions,</w:t>
      </w:r>
      <w:r>
        <w:rPr>
          <w:szCs w:val="18"/>
        </w:rPr>
        <w:t xml:space="preserve"> WIPO/GRTKF/IC/5/3, </w:t>
      </w:r>
      <w:proofErr w:type="gramStart"/>
      <w:r>
        <w:rPr>
          <w:szCs w:val="18"/>
        </w:rPr>
        <w:t>para</w:t>
      </w:r>
      <w:proofErr w:type="gramEnd"/>
      <w:r>
        <w:rPr>
          <w:szCs w:val="18"/>
        </w:rPr>
        <w:t>. </w:t>
      </w:r>
      <w:r w:rsidRPr="00420EF9">
        <w:rPr>
          <w:szCs w:val="18"/>
        </w:rPr>
        <w:t>53</w:t>
      </w:r>
      <w:r>
        <w:rPr>
          <w:szCs w:val="18"/>
        </w:rPr>
        <w:t>.</w:t>
      </w:r>
    </w:p>
  </w:footnote>
  <w:footnote w:id="160">
    <w:p w:rsidR="001066BA" w:rsidRPr="004E73B1" w:rsidRDefault="001066BA"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 xml:space="preserve">Model Provisions for National Laws on the Protection of Expressions of Folklore against Illicit Exploitation and Other Prejudicial Actions, 1982,, </w:t>
      </w:r>
      <w:r w:rsidRPr="004E73B1">
        <w:rPr>
          <w:iCs/>
          <w:szCs w:val="18"/>
        </w:rPr>
        <w:t>,</w:t>
      </w:r>
      <w:r w:rsidRPr="004E73B1">
        <w:rPr>
          <w:rStyle w:val="FootnoteReference"/>
          <w:iCs/>
          <w:szCs w:val="18"/>
          <w:vertAlign w:val="baseline"/>
        </w:rPr>
        <w:t xml:space="preserve"> Part III. 42</w:t>
      </w:r>
      <w:r>
        <w:rPr>
          <w:iCs/>
          <w:szCs w:val="18"/>
        </w:rPr>
        <w:t>.</w:t>
      </w:r>
    </w:p>
  </w:footnote>
  <w:footnote w:id="161">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Elements of a Sui Generis System for the Protection of Traditional Knowledge (WIPO/GRTKF/IC/4/8), para.</w:t>
      </w:r>
      <w:proofErr w:type="gramEnd"/>
      <w:r w:rsidRPr="00420EF9">
        <w:rPr>
          <w:szCs w:val="18"/>
        </w:rPr>
        <w:t xml:space="preserve"> 27</w:t>
      </w:r>
      <w:r>
        <w:rPr>
          <w:szCs w:val="18"/>
        </w:rPr>
        <w:t>.</w:t>
      </w:r>
    </w:p>
  </w:footnote>
  <w:footnote w:id="162">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proofErr w:type="gramStart"/>
      <w:r w:rsidRPr="00420EF9">
        <w:rPr>
          <w:szCs w:val="18"/>
        </w:rPr>
        <w:t>para</w:t>
      </w:r>
      <w:proofErr w:type="gramEnd"/>
      <w:r w:rsidRPr="00420EF9">
        <w:rPr>
          <w:szCs w:val="18"/>
        </w:rPr>
        <w:t>. 54</w:t>
      </w:r>
      <w:r>
        <w:rPr>
          <w:szCs w:val="18"/>
        </w:rPr>
        <w:t>.</w:t>
      </w:r>
    </w:p>
  </w:footnote>
  <w:footnote w:id="163">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64">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spellStart"/>
      <w:r w:rsidRPr="00420EF9">
        <w:rPr>
          <w:szCs w:val="18"/>
        </w:rPr>
        <w:t>Fikret</w:t>
      </w:r>
      <w:proofErr w:type="spellEnd"/>
      <w:r w:rsidRPr="00420EF9">
        <w:rPr>
          <w:szCs w:val="18"/>
        </w:rPr>
        <w:t xml:space="preserve"> </w:t>
      </w:r>
      <w:proofErr w:type="spellStart"/>
      <w:r w:rsidRPr="00420EF9">
        <w:rPr>
          <w:szCs w:val="18"/>
        </w:rPr>
        <w:t>Berkes</w:t>
      </w:r>
      <w:proofErr w:type="spellEnd"/>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 xml:space="preserve">epts and Cases.  </w:t>
      </w:r>
      <w:proofErr w:type="gramStart"/>
      <w:r w:rsidRPr="00420EF9">
        <w:rPr>
          <w:szCs w:val="18"/>
        </w:rPr>
        <w:t>International Program on Traditional Ecological Knowledge and International Development Research Centre, Ottawa</w:t>
      </w:r>
      <w:r>
        <w:rPr>
          <w:szCs w:val="18"/>
        </w:rPr>
        <w:t>.</w:t>
      </w:r>
      <w:proofErr w:type="gramEnd"/>
    </w:p>
  </w:footnote>
  <w:footnote w:id="165">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at p. 25, available at </w:t>
      </w:r>
      <w:r w:rsidRPr="00772BA5">
        <w:rPr>
          <w:szCs w:val="18"/>
        </w:rPr>
        <w:t>http://www.wipo.int/tk/en/tk/ffm/report/index.html</w:t>
      </w:r>
      <w:r>
        <w:rPr>
          <w:szCs w:val="18"/>
        </w:rPr>
        <w:t>.</w:t>
      </w:r>
      <w:r w:rsidRPr="00420EF9">
        <w:rPr>
          <w:szCs w:val="18"/>
        </w:rPr>
        <w:t xml:space="preserve"> </w:t>
      </w:r>
    </w:p>
  </w:footnote>
  <w:footnote w:id="166">
    <w:p w:rsidR="001066BA" w:rsidRPr="00420EF9" w:rsidRDefault="001066BA"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7">
    <w:p w:rsidR="001066BA" w:rsidRPr="00420EF9" w:rsidRDefault="001066BA"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8">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169">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w:t>
      </w:r>
      <w:r>
        <w:rPr>
          <w:szCs w:val="18"/>
        </w:rPr>
        <w:t>IC/17/INF/9)</w:t>
      </w:r>
      <w:proofErr w:type="gramStart"/>
      <w:r>
        <w:rPr>
          <w:szCs w:val="18"/>
        </w:rPr>
        <w:t>,</w:t>
      </w:r>
      <w:r w:rsidRPr="00420EF9">
        <w:rPr>
          <w:szCs w:val="18"/>
        </w:rPr>
        <w:t>paras</w:t>
      </w:r>
      <w:proofErr w:type="gramEnd"/>
      <w:r w:rsidRPr="00420EF9">
        <w:rPr>
          <w:szCs w:val="18"/>
        </w:rPr>
        <w:t xml:space="preserve">. </w:t>
      </w:r>
      <w:proofErr w:type="gramStart"/>
      <w:r w:rsidRPr="00420EF9">
        <w:rPr>
          <w:szCs w:val="18"/>
        </w:rPr>
        <w:t>43 and 44 of Annex</w:t>
      </w:r>
      <w:r>
        <w:rPr>
          <w:szCs w:val="18"/>
        </w:rPr>
        <w:t>.</w:t>
      </w:r>
      <w:proofErr w:type="gramEnd"/>
    </w:p>
  </w:footnote>
  <w:footnote w:id="170">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p>
  </w:footnote>
  <w:footnote w:id="171">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72">
    <w:p w:rsidR="001066BA" w:rsidRPr="00420EF9" w:rsidRDefault="001066BA"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73">
    <w:p w:rsidR="001066BA" w:rsidRPr="00420EF9" w:rsidRDefault="001066BA"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74">
    <w:p w:rsidR="001066BA" w:rsidRPr="004E73B1" w:rsidRDefault="001066BA" w:rsidP="00CF0EF8">
      <w:pPr>
        <w:pStyle w:val="FootnoteText"/>
        <w:ind w:left="499" w:hanging="493"/>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r w:rsidRPr="004E73B1">
        <w:rPr>
          <w:szCs w:val="18"/>
        </w:rPr>
        <w:t>, National Commission for UNESCO</w:t>
      </w:r>
      <w:r w:rsidRPr="004E73B1">
        <w:rPr>
          <w:rStyle w:val="FootnoteReference"/>
          <w:szCs w:val="18"/>
          <w:vertAlign w:val="baseline"/>
        </w:rPr>
        <w:t>.</w:t>
      </w:r>
    </w:p>
  </w:footnote>
  <w:footnote w:id="175">
    <w:p w:rsidR="001066BA" w:rsidRPr="00420EF9" w:rsidRDefault="001066BA"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76">
    <w:p w:rsidR="001066BA" w:rsidRPr="00420EF9" w:rsidRDefault="001066BA"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77">
    <w:p w:rsidR="001066BA" w:rsidRPr="00420EF9" w:rsidRDefault="001066BA"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proofErr w:type="gramStart"/>
      <w:r w:rsidRPr="00420EF9">
        <w:rPr>
          <w:szCs w:val="18"/>
        </w:rPr>
        <w:t>para</w:t>
      </w:r>
      <w:proofErr w:type="gramEnd"/>
      <w:r w:rsidRPr="00420EF9">
        <w:rPr>
          <w:szCs w:val="18"/>
        </w:rPr>
        <w:t>. 57</w:t>
      </w:r>
      <w:r>
        <w:rPr>
          <w:szCs w:val="18"/>
        </w:rPr>
        <w:t>.</w:t>
      </w:r>
    </w:p>
  </w:footnote>
  <w:footnote w:id="178">
    <w:p w:rsidR="001066BA" w:rsidRPr="004E73B1" w:rsidRDefault="001066BA"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Daniel Gervais, The TRIPS Agreement. Drafting and Analysis, 3rd Edition</w:t>
      </w:r>
      <w:proofErr w:type="gramStart"/>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w:t>
      </w:r>
      <w:proofErr w:type="gramEnd"/>
      <w:r w:rsidRPr="004E73B1">
        <w:rPr>
          <w:szCs w:val="18"/>
        </w:rPr>
        <w:t xml:space="preserve"> p.</w:t>
      </w:r>
      <w:r w:rsidRPr="004E73B1">
        <w:rPr>
          <w:rStyle w:val="FootnoteReference"/>
          <w:szCs w:val="18"/>
          <w:vertAlign w:val="baseline"/>
        </w:rPr>
        <w:t xml:space="preserve"> 132</w:t>
      </w:r>
      <w:r w:rsidRPr="004E73B1">
        <w:rPr>
          <w:szCs w:val="18"/>
        </w:rPr>
        <w:t>.</w:t>
      </w:r>
    </w:p>
  </w:footnote>
  <w:footnote w:id="179">
    <w:p w:rsidR="001066BA" w:rsidRPr="00D352A1" w:rsidRDefault="001066BA"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The World Intellectual Property Organization Traditional</w:t>
      </w:r>
      <w:r w:rsidRPr="00420EF9">
        <w:rPr>
          <w:szCs w:val="18"/>
        </w:rPr>
        <w:t xml:space="preserve"> Knowledge</w:t>
      </w:r>
      <w:r>
        <w:rPr>
          <w:szCs w:val="18"/>
        </w:rPr>
        <w:t xml:space="preserve"> Documentation Toolkit – Consultation Draft is available at:  </w:t>
      </w:r>
      <w:hyperlink r:id="rId2" w:history="1">
        <w:r w:rsidRPr="00E13FAB">
          <w:rPr>
            <w:rStyle w:val="Hyperlink"/>
            <w:color w:val="auto"/>
            <w:szCs w:val="18"/>
            <w:u w:val="none"/>
          </w:rPr>
          <w:t>http://www.wipo.int/tk/en/resources/tkdocumentation.html</w:t>
        </w:r>
      </w:hyperlink>
      <w:r>
        <w:rPr>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BA" w:rsidRDefault="001066BA" w:rsidP="00B64E92">
    <w:pPr>
      <w:pStyle w:val="Header"/>
      <w:jc w:val="right"/>
    </w:pPr>
    <w:r>
      <w:t>WIPO/GRTKF/IC/34/INF/7</w:t>
    </w:r>
  </w:p>
  <w:p w:rsidR="001066BA" w:rsidRDefault="001066BA" w:rsidP="00743012">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BA7B77">
      <w:rPr>
        <w:rStyle w:val="PageNumber"/>
        <w:noProof/>
      </w:rPr>
      <w:t>2</w:t>
    </w:r>
    <w:r>
      <w:rPr>
        <w:rStyle w:val="PageNumber"/>
      </w:rPr>
      <w:fldChar w:fldCharType="end"/>
    </w:r>
  </w:p>
  <w:p w:rsidR="001066BA" w:rsidRDefault="001066BA"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BA" w:rsidRDefault="001066BA" w:rsidP="00A610A6">
    <w:pPr>
      <w:pStyle w:val="Header"/>
      <w:jc w:val="right"/>
    </w:pPr>
    <w:r>
      <w:t>WIPO/GRTKF/IC/34/INF/7</w:t>
    </w:r>
  </w:p>
  <w:p w:rsidR="001066BA" w:rsidRDefault="001066BA"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BA7B77">
      <w:rPr>
        <w:rStyle w:val="PageNumber"/>
        <w:noProof/>
      </w:rPr>
      <w:t>46</w:t>
    </w:r>
    <w:r>
      <w:rPr>
        <w:rStyle w:val="PageNumber"/>
      </w:rPr>
      <w:fldChar w:fldCharType="end"/>
    </w:r>
  </w:p>
  <w:p w:rsidR="001066BA" w:rsidRDefault="001066BA"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BA" w:rsidRDefault="001066BA" w:rsidP="00A610A6">
    <w:pPr>
      <w:pStyle w:val="Header"/>
      <w:jc w:val="right"/>
    </w:pPr>
    <w:r>
      <w:t>WIPO/GRTKF/IC/34/INF/7</w:t>
    </w:r>
  </w:p>
  <w:p w:rsidR="001066BA" w:rsidRDefault="001066BA" w:rsidP="006B30AB">
    <w:pPr>
      <w:pStyle w:val="Header"/>
      <w:jc w:val="right"/>
    </w:pPr>
    <w:r>
      <w:t>ANNEX</w:t>
    </w:r>
  </w:p>
  <w:p w:rsidR="001066BA" w:rsidRDefault="001066BA"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177D5000"/>
    <w:multiLevelType w:val="singleLevel"/>
    <w:tmpl w:val="0409000F"/>
    <w:lvl w:ilvl="0">
      <w:start w:val="1"/>
      <w:numFmt w:val="decimal"/>
      <w:pStyle w:val="Para1"/>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7">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9"/>
  </w:num>
  <w:num w:numId="6">
    <w:abstractNumId w:val="7"/>
  </w:num>
  <w:num w:numId="7">
    <w:abstractNumId w:val="13"/>
  </w:num>
  <w:num w:numId="8">
    <w:abstractNumId w:val="6"/>
  </w:num>
  <w:num w:numId="9">
    <w:abstractNumId w:val="0"/>
  </w:num>
  <w:num w:numId="10">
    <w:abstractNumId w:val="2"/>
  </w:num>
  <w:num w:numId="11">
    <w:abstractNumId w:val="12"/>
  </w:num>
  <w:num w:numId="12">
    <w:abstractNumId w:val="8"/>
  </w:num>
  <w:num w:numId="13">
    <w:abstractNumId w:val="14"/>
  </w:num>
  <w:num w:numId="14">
    <w:abstractNumId w:val="15"/>
  </w:num>
  <w:num w:numId="15">
    <w:abstractNumId w:val="11"/>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45C15"/>
    <w:rsid w:val="00052B6A"/>
    <w:rsid w:val="00055665"/>
    <w:rsid w:val="00056C8B"/>
    <w:rsid w:val="0006766C"/>
    <w:rsid w:val="000704DC"/>
    <w:rsid w:val="00070A8B"/>
    <w:rsid w:val="00070FD7"/>
    <w:rsid w:val="00075432"/>
    <w:rsid w:val="000764B5"/>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0F7B6D"/>
    <w:rsid w:val="00101E5C"/>
    <w:rsid w:val="00102F58"/>
    <w:rsid w:val="001066BA"/>
    <w:rsid w:val="00106F0A"/>
    <w:rsid w:val="00110E90"/>
    <w:rsid w:val="00110F4C"/>
    <w:rsid w:val="00114C4C"/>
    <w:rsid w:val="00123DFC"/>
    <w:rsid w:val="00124610"/>
    <w:rsid w:val="001329AF"/>
    <w:rsid w:val="001362EE"/>
    <w:rsid w:val="00140DB9"/>
    <w:rsid w:val="00143933"/>
    <w:rsid w:val="0014403B"/>
    <w:rsid w:val="00145714"/>
    <w:rsid w:val="0014576C"/>
    <w:rsid w:val="00146A19"/>
    <w:rsid w:val="00155F25"/>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9E1"/>
    <w:rsid w:val="001F4A49"/>
    <w:rsid w:val="001F57D0"/>
    <w:rsid w:val="001F622B"/>
    <w:rsid w:val="001F779A"/>
    <w:rsid w:val="0020191A"/>
    <w:rsid w:val="0021693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20F"/>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33B15"/>
    <w:rsid w:val="005439A0"/>
    <w:rsid w:val="00547DDA"/>
    <w:rsid w:val="0055087C"/>
    <w:rsid w:val="00553A21"/>
    <w:rsid w:val="00555E1D"/>
    <w:rsid w:val="00560A29"/>
    <w:rsid w:val="00566827"/>
    <w:rsid w:val="005700A4"/>
    <w:rsid w:val="0057333D"/>
    <w:rsid w:val="0057472B"/>
    <w:rsid w:val="00586AC7"/>
    <w:rsid w:val="00590B07"/>
    <w:rsid w:val="005B08F5"/>
    <w:rsid w:val="005B0A02"/>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E4D7A"/>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467BE"/>
    <w:rsid w:val="007500FD"/>
    <w:rsid w:val="007665D4"/>
    <w:rsid w:val="007673D1"/>
    <w:rsid w:val="0077160A"/>
    <w:rsid w:val="00772BA5"/>
    <w:rsid w:val="0077385E"/>
    <w:rsid w:val="007743D0"/>
    <w:rsid w:val="00775955"/>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D5783"/>
    <w:rsid w:val="007E3B38"/>
    <w:rsid w:val="007E6998"/>
    <w:rsid w:val="007F0D9F"/>
    <w:rsid w:val="007F3282"/>
    <w:rsid w:val="007F3C50"/>
    <w:rsid w:val="0080090B"/>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7C7"/>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0628"/>
    <w:rsid w:val="00B94A29"/>
    <w:rsid w:val="00B9734B"/>
    <w:rsid w:val="00BA2378"/>
    <w:rsid w:val="00BA367F"/>
    <w:rsid w:val="00BA59E4"/>
    <w:rsid w:val="00BA60CF"/>
    <w:rsid w:val="00BA7B77"/>
    <w:rsid w:val="00BA7F46"/>
    <w:rsid w:val="00BB5344"/>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F0E15"/>
    <w:rsid w:val="00CF0EF8"/>
    <w:rsid w:val="00CF2C11"/>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455DF"/>
    <w:rsid w:val="00D51FEE"/>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45E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959A6"/>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22E2"/>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C227F"/>
    <w:rsid w:val="00FD0372"/>
    <w:rsid w:val="00FD7C1E"/>
    <w:rsid w:val="00FE041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tk/en/resources/tkdocumentation.html" TargetMode="External"/><Relationship Id="rId1"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AA2F-C85D-40EA-A933-8A5490E7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48</Pages>
  <Words>21512</Words>
  <Characters>122620</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143845</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14</cp:revision>
  <cp:lastPrinted>2017-03-02T16:31:00Z</cp:lastPrinted>
  <dcterms:created xsi:type="dcterms:W3CDTF">2016-12-05T15:52:00Z</dcterms:created>
  <dcterms:modified xsi:type="dcterms:W3CDTF">2017-03-02T16:42:00Z</dcterms:modified>
</cp:coreProperties>
</file>