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bookmarkStart w:id="0" w:name="_GoBack"/>
            <w:bookmarkEnd w:id="0"/>
          </w:p>
        </w:tc>
        <w:tc>
          <w:tcPr>
            <w:tcW w:w="4337" w:type="dxa"/>
            <w:tcBorders>
              <w:bottom w:val="single" w:sz="4" w:space="0" w:color="auto"/>
            </w:tcBorders>
            <w:tcMar>
              <w:left w:w="0" w:type="dxa"/>
              <w:right w:w="0" w:type="dxa"/>
            </w:tcMar>
          </w:tcPr>
          <w:p w:rsidR="00EC4E49" w:rsidRPr="008B2CC1" w:rsidRDefault="008A076B"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4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1" w:name="Code"/>
            <w:bookmarkEnd w:id="1"/>
            <w:r>
              <w:rPr>
                <w:rFonts w:ascii="Arial Black" w:hAnsi="Arial Black"/>
                <w:caps/>
                <w:sz w:val="15"/>
              </w:rPr>
              <w:t>WIPO/GRTKF/IC/</w:t>
            </w:r>
            <w:r w:rsidR="00444CC6">
              <w:rPr>
                <w:rFonts w:ascii="Arial Black" w:hAnsi="Arial Black"/>
                <w:caps/>
                <w:sz w:val="15"/>
              </w:rPr>
              <w:t>2</w:t>
            </w:r>
            <w:r w:rsidR="00A63943">
              <w:rPr>
                <w:rFonts w:ascii="Arial Black" w:hAnsi="Arial Black"/>
                <w:caps/>
                <w:sz w:val="15"/>
              </w:rPr>
              <w:t>9</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CF74B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B6CB0">
              <w:rPr>
                <w:rFonts w:ascii="Arial Black" w:hAnsi="Arial Black"/>
                <w:caps/>
                <w:sz w:val="15"/>
              </w:rPr>
              <w:t>november 30</w:t>
            </w:r>
            <w:r w:rsidR="00A63943">
              <w:rPr>
                <w:rFonts w:ascii="Arial Black" w:hAnsi="Arial Black"/>
                <w:caps/>
                <w:sz w:val="15"/>
              </w:rPr>
              <w:t>, 2015</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A63943" w:rsidP="00A63943">
      <w:pPr>
        <w:rPr>
          <w:b/>
          <w:sz w:val="24"/>
          <w:szCs w:val="24"/>
        </w:rPr>
      </w:pPr>
      <w:r w:rsidRPr="00A63943">
        <w:rPr>
          <w:b/>
          <w:sz w:val="24"/>
          <w:szCs w:val="24"/>
        </w:rPr>
        <w:t xml:space="preserve">Twenty-Ninth </w:t>
      </w:r>
      <w:proofErr w:type="gramStart"/>
      <w:r w:rsidRPr="00A63943">
        <w:rPr>
          <w:b/>
          <w:sz w:val="24"/>
          <w:szCs w:val="24"/>
        </w:rPr>
        <w:t>Session</w:t>
      </w:r>
      <w:proofErr w:type="gramEnd"/>
    </w:p>
    <w:p w:rsidR="008B2CC1" w:rsidRPr="008B2CC1" w:rsidRDefault="00A63943" w:rsidP="00A63943">
      <w:r w:rsidRPr="00A63943">
        <w:rPr>
          <w:b/>
          <w:sz w:val="24"/>
          <w:szCs w:val="24"/>
        </w:rPr>
        <w:t>Geneva, February 15 to 19, 2016</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4" w:name="TitleOfDoc"/>
      <w:bookmarkEnd w:id="4"/>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5" w:name="Prepared"/>
      <w:bookmarkEnd w:id="5"/>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rPr>
      </w:pPr>
    </w:p>
    <w:p w:rsidR="00931A24" w:rsidRPr="00F05DC0" w:rsidRDefault="00D771DD" w:rsidP="00931A24">
      <w:pPr>
        <w:rPr>
          <w:szCs w:val="22"/>
          <w:lang w:eastAsia="en-US"/>
        </w:rPr>
      </w:pPr>
      <w:r>
        <w:rPr>
          <w:szCs w:val="22"/>
        </w:rPr>
        <w:t>2.</w:t>
      </w:r>
      <w:r>
        <w:rPr>
          <w:szCs w:val="22"/>
        </w:rPr>
        <w:tab/>
      </w:r>
      <w:r>
        <w:rPr>
          <w:szCs w:val="22"/>
          <w:lang w:eastAsia="en-US"/>
        </w:rPr>
        <w:t>At its Nineteenth S</w:t>
      </w:r>
      <w:r w:rsidR="00931A24" w:rsidRPr="00F05DC0">
        <w:rPr>
          <w:szCs w:val="22"/>
          <w:lang w:eastAsia="en-US"/>
        </w:rPr>
        <w:t xml:space="preserve">ession, held from July 18 to 22, 2011, the IGC “invited the Secretariat to update the glossaries available in documents </w:t>
      </w:r>
      <w:r w:rsidR="007B0610">
        <w:rPr>
          <w:szCs w:val="22"/>
          <w:lang w:eastAsia="en-US"/>
        </w:rPr>
        <w:t>W</w:t>
      </w:r>
      <w:r w:rsidR="00931A24" w:rsidRPr="00F05DC0">
        <w:rPr>
          <w:szCs w:val="22"/>
          <w:lang w:eastAsia="en-US"/>
        </w:rPr>
        <w:t>IPO/GRTKF/IC/19/INF/7</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 xml:space="preserve">Glossary of </w:t>
      </w:r>
      <w:r w:rsidR="002D5E7F">
        <w:rPr>
          <w:szCs w:val="22"/>
          <w:lang w:eastAsia="en-US"/>
        </w:rPr>
        <w:br/>
      </w:r>
      <w:r w:rsidR="007B0610" w:rsidRPr="00F05DC0">
        <w:rPr>
          <w:szCs w:val="22"/>
          <w:lang w:eastAsia="en-US"/>
        </w:rPr>
        <w:t>Key Terms Related to Intellectual Property and T</w:t>
      </w:r>
      <w:r w:rsidR="00BD7B73">
        <w:rPr>
          <w:szCs w:val="22"/>
          <w:lang w:eastAsia="en-US"/>
        </w:rPr>
        <w:t>raditional Cultural Expressions</w:t>
      </w:r>
      <w:r w:rsidR="00BD7B73">
        <w:rPr>
          <w:szCs w:val="22"/>
        </w:rPr>
        <w:t>’</w:t>
      </w:r>
      <w:r w:rsidR="007B0610" w:rsidRPr="00F05DC0">
        <w:rPr>
          <w:szCs w:val="22"/>
          <w:lang w:eastAsia="en-US"/>
        </w:rPr>
        <w:t>)</w:t>
      </w:r>
      <w:r w:rsidR="007B0610" w:rsidRPr="00F05DC0">
        <w:rPr>
          <w:szCs w:val="22"/>
        </w:rPr>
        <w:t>,</w:t>
      </w:r>
      <w:r w:rsidR="007B0610">
        <w:rPr>
          <w:szCs w:val="22"/>
          <w:lang w:eastAsia="en-US"/>
        </w:rPr>
        <w:t xml:space="preserve"> </w:t>
      </w:r>
      <w:r w:rsidR="00931A24" w:rsidRPr="00F05DC0">
        <w:rPr>
          <w:szCs w:val="22"/>
          <w:lang w:eastAsia="en-US"/>
        </w:rPr>
        <w:t xml:space="preserve">WIPO/GRTKF/IC/19/INF/8 </w:t>
      </w:r>
      <w:r w:rsidR="00BD7B73">
        <w:rPr>
          <w:szCs w:val="22"/>
          <w:lang w:eastAsia="en-US"/>
        </w:rPr>
        <w:t>(</w:t>
      </w:r>
      <w:r w:rsidR="00BD7B73">
        <w:rPr>
          <w:szCs w:val="22"/>
        </w:rPr>
        <w:t>‘</w:t>
      </w:r>
      <w:r w:rsidR="007B0610" w:rsidRPr="00F05DC0">
        <w:rPr>
          <w:szCs w:val="22"/>
          <w:lang w:eastAsia="en-US"/>
        </w:rPr>
        <w:t>Glossary of Key Terms Related to Intellectual Pro</w:t>
      </w:r>
      <w:r w:rsidR="00BD7B73">
        <w:rPr>
          <w:szCs w:val="22"/>
          <w:lang w:eastAsia="en-US"/>
        </w:rPr>
        <w:t>perty and Traditional Knowledge</w:t>
      </w:r>
      <w:r w:rsidR="00BD7B73">
        <w:rPr>
          <w:szCs w:val="22"/>
        </w:rPr>
        <w:t>’</w:t>
      </w:r>
      <w:r w:rsidR="007B0610" w:rsidRPr="00F05DC0">
        <w:rPr>
          <w:szCs w:val="22"/>
          <w:lang w:eastAsia="en-US"/>
        </w:rPr>
        <w:t>)</w:t>
      </w:r>
      <w:r w:rsidR="007B0610">
        <w:rPr>
          <w:szCs w:val="22"/>
          <w:lang w:eastAsia="en-US"/>
        </w:rPr>
        <w:t xml:space="preserve"> </w:t>
      </w:r>
      <w:r w:rsidR="00931A24" w:rsidRPr="00F05DC0">
        <w:rPr>
          <w:szCs w:val="22"/>
          <w:lang w:eastAsia="en-US"/>
        </w:rPr>
        <w:t>and WIPO/GRTKF/IC/19/INF/9</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Glossary of Key Terms Related to Intellectual</w:t>
      </w:r>
      <w:r w:rsidR="00BD7B73">
        <w:rPr>
          <w:szCs w:val="22"/>
          <w:lang w:eastAsia="en-US"/>
        </w:rPr>
        <w:t xml:space="preserve"> Property and Genetic Resources</w:t>
      </w:r>
      <w:r w:rsidR="00BD7B73">
        <w:rPr>
          <w:szCs w:val="22"/>
        </w:rPr>
        <w:t>’</w:t>
      </w:r>
      <w:r w:rsidR="007B0610" w:rsidRPr="00F05DC0">
        <w:rPr>
          <w:szCs w:val="22"/>
          <w:lang w:eastAsia="en-US"/>
        </w:rPr>
        <w:t>)</w:t>
      </w:r>
      <w:r w:rsidR="00931A24" w:rsidRPr="00F05DC0">
        <w:rPr>
          <w:szCs w:val="22"/>
          <w:lang w:eastAsia="en-US"/>
        </w:rPr>
        <w:t>, to combine them in a single document and to publish that glossary as an information document for the next session of the IGC.”</w:t>
      </w:r>
      <w:r w:rsidR="00931A24" w:rsidRPr="00F05DC0">
        <w:rPr>
          <w:rStyle w:val="FootnoteReference"/>
          <w:szCs w:val="22"/>
          <w:lang w:eastAsia="en-US"/>
        </w:rPr>
        <w:footnoteReference w:id="3"/>
      </w:r>
    </w:p>
    <w:p w:rsidR="00931A24" w:rsidRPr="00F05DC0" w:rsidRDefault="00931A24" w:rsidP="00931A24">
      <w:pPr>
        <w:rPr>
          <w:szCs w:val="22"/>
          <w:lang w:eastAsia="en-US"/>
        </w:rPr>
      </w:pPr>
    </w:p>
    <w:p w:rsidR="00396645" w:rsidRDefault="005B1D12" w:rsidP="00931A24">
      <w:pPr>
        <w:rPr>
          <w:szCs w:val="22"/>
        </w:rPr>
      </w:pPr>
      <w:r>
        <w:rPr>
          <w:szCs w:val="22"/>
          <w:lang w:eastAsia="en-US"/>
        </w:rPr>
        <w:lastRenderedPageBreak/>
        <w:t>3</w:t>
      </w:r>
      <w:r w:rsidR="00931A24" w:rsidRPr="00F05DC0">
        <w:rPr>
          <w:szCs w:val="22"/>
          <w:lang w:eastAsia="en-US"/>
        </w:rPr>
        <w:t>.</w:t>
      </w:r>
      <w:r w:rsidR="00931A24" w:rsidRPr="00F05DC0">
        <w:rPr>
          <w:szCs w:val="22"/>
          <w:lang w:eastAsia="en-US"/>
        </w:rPr>
        <w:tab/>
      </w:r>
      <w:r w:rsidR="00931A24" w:rsidRPr="00F05DC0">
        <w:rPr>
          <w:szCs w:val="22"/>
        </w:rPr>
        <w:t>Pursuant to th</w:t>
      </w:r>
      <w:r>
        <w:rPr>
          <w:szCs w:val="22"/>
        </w:rPr>
        <w:t>at</w:t>
      </w:r>
      <w:r w:rsidR="00931A24" w:rsidRPr="00F05DC0">
        <w:rPr>
          <w:szCs w:val="22"/>
        </w:rPr>
        <w:t xml:space="preserve"> de</w:t>
      </w:r>
      <w:r w:rsidR="00D771DD">
        <w:rPr>
          <w:szCs w:val="22"/>
        </w:rPr>
        <w:t>cision</w:t>
      </w:r>
      <w:r w:rsidR="00931A24" w:rsidRPr="00F05DC0">
        <w:rPr>
          <w:szCs w:val="22"/>
        </w:rPr>
        <w:t>, and given that some terms contained in the glossaries are related to all three themes, the Secretariat consolidated the three glossaries into one, and updated some of the definitions included therein</w:t>
      </w:r>
      <w:r w:rsidR="00396645">
        <w:rPr>
          <w:szCs w:val="22"/>
        </w:rPr>
        <w:t xml:space="preserve">, taking </w:t>
      </w:r>
      <w:r w:rsidR="00931A24" w:rsidRPr="00F05DC0">
        <w:rPr>
          <w:szCs w:val="22"/>
        </w:rPr>
        <w:t xml:space="preserve">into account </w:t>
      </w:r>
      <w:r w:rsidR="00931A24">
        <w:rPr>
          <w:szCs w:val="22"/>
        </w:rPr>
        <w:t xml:space="preserve">instruments and other materials </w:t>
      </w:r>
      <w:r w:rsidR="00931A24" w:rsidRPr="00F05DC0">
        <w:rPr>
          <w:szCs w:val="22"/>
        </w:rPr>
        <w:t xml:space="preserve">that </w:t>
      </w:r>
      <w:r w:rsidR="00396645">
        <w:rPr>
          <w:szCs w:val="22"/>
        </w:rPr>
        <w:t>had co</w:t>
      </w:r>
      <w:r w:rsidR="00931A24" w:rsidRPr="00F05DC0">
        <w:rPr>
          <w:szCs w:val="22"/>
        </w:rPr>
        <w:t xml:space="preserve">me into existence after </w:t>
      </w:r>
      <w:r>
        <w:rPr>
          <w:szCs w:val="22"/>
        </w:rPr>
        <w:t xml:space="preserve">the publication of the previous, individual </w:t>
      </w:r>
      <w:r w:rsidR="00931A24" w:rsidRPr="00F05DC0">
        <w:rPr>
          <w:szCs w:val="22"/>
        </w:rPr>
        <w:t xml:space="preserve">versions of the glossaries.  In that respect, new terms </w:t>
      </w:r>
      <w:r w:rsidR="00396645">
        <w:rPr>
          <w:szCs w:val="22"/>
        </w:rPr>
        <w:t>were</w:t>
      </w:r>
      <w:r w:rsidR="00931A24" w:rsidRPr="00F05DC0">
        <w:rPr>
          <w:szCs w:val="22"/>
        </w:rPr>
        <w:t xml:space="preserve"> added and defined, while other terms </w:t>
      </w:r>
      <w:r w:rsidR="00396645">
        <w:rPr>
          <w:szCs w:val="22"/>
        </w:rPr>
        <w:t>were</w:t>
      </w:r>
      <w:r w:rsidR="00931A24" w:rsidRPr="00F05DC0">
        <w:rPr>
          <w:szCs w:val="22"/>
        </w:rPr>
        <w:t xml:space="preserve"> eliminated for the sake of conciseness.  Some definitions </w:t>
      </w:r>
      <w:r w:rsidR="00396645">
        <w:rPr>
          <w:szCs w:val="22"/>
        </w:rPr>
        <w:t>were</w:t>
      </w:r>
      <w:r w:rsidR="00931A24" w:rsidRPr="00F05DC0">
        <w:rPr>
          <w:szCs w:val="22"/>
        </w:rPr>
        <w:t xml:space="preserve"> redrafted.  </w:t>
      </w:r>
    </w:p>
    <w:p w:rsidR="00396645" w:rsidRDefault="00396645" w:rsidP="00931A24">
      <w:pPr>
        <w:rPr>
          <w:szCs w:val="22"/>
        </w:rPr>
      </w:pPr>
    </w:p>
    <w:p w:rsidR="00F12D49" w:rsidRPr="00F05DC0" w:rsidRDefault="00396645" w:rsidP="002247F0">
      <w:pPr>
        <w:contextualSpacing/>
        <w:rPr>
          <w:szCs w:val="22"/>
        </w:rPr>
      </w:pPr>
      <w:r>
        <w:rPr>
          <w:szCs w:val="22"/>
        </w:rPr>
        <w:t>4.</w:t>
      </w:r>
      <w:r>
        <w:rPr>
          <w:szCs w:val="22"/>
        </w:rPr>
        <w:tab/>
      </w:r>
      <w:r w:rsidR="00931A24" w:rsidRPr="00F05DC0">
        <w:rPr>
          <w:szCs w:val="22"/>
          <w:lang w:eastAsia="en-US"/>
        </w:rPr>
        <w:t xml:space="preserve">The updated, consolidated glossary </w:t>
      </w:r>
      <w:r w:rsidRPr="00DD49DC">
        <w:rPr>
          <w:szCs w:val="18"/>
        </w:rPr>
        <w:t>was made available as</w:t>
      </w:r>
      <w:r>
        <w:rPr>
          <w:szCs w:val="18"/>
        </w:rPr>
        <w:t xml:space="preserve"> an information document </w:t>
      </w:r>
      <w:r w:rsidR="009A0842">
        <w:rPr>
          <w:szCs w:val="18"/>
        </w:rPr>
        <w:br/>
      </w:r>
      <w:r>
        <w:rPr>
          <w:szCs w:val="18"/>
        </w:rPr>
        <w:t>for the Twentieth</w:t>
      </w:r>
      <w:r w:rsidR="00A610A6">
        <w:rPr>
          <w:szCs w:val="18"/>
        </w:rPr>
        <w:t>,</w:t>
      </w:r>
      <w:r>
        <w:rPr>
          <w:szCs w:val="18"/>
        </w:rPr>
        <w:t xml:space="preserve"> Twenty-First </w:t>
      </w:r>
      <w:r w:rsidR="00A610A6">
        <w:rPr>
          <w:szCs w:val="18"/>
        </w:rPr>
        <w:t xml:space="preserve">and Twenty-Second </w:t>
      </w:r>
      <w:r>
        <w:rPr>
          <w:szCs w:val="18"/>
        </w:rPr>
        <w:t>S</w:t>
      </w:r>
      <w:r w:rsidRPr="00DD49DC">
        <w:rPr>
          <w:szCs w:val="18"/>
        </w:rPr>
        <w:t>ession</w:t>
      </w:r>
      <w:r>
        <w:rPr>
          <w:szCs w:val="18"/>
        </w:rPr>
        <w:t>s</w:t>
      </w:r>
      <w:r w:rsidRPr="00DD49DC">
        <w:rPr>
          <w:szCs w:val="18"/>
        </w:rPr>
        <w:t xml:space="preserve"> of the IGC, he</w:t>
      </w:r>
      <w:r>
        <w:rPr>
          <w:szCs w:val="18"/>
        </w:rPr>
        <w:t xml:space="preserve">ld from </w:t>
      </w:r>
      <w:r w:rsidR="009A0842">
        <w:rPr>
          <w:szCs w:val="18"/>
        </w:rPr>
        <w:br/>
      </w:r>
      <w:r>
        <w:rPr>
          <w:szCs w:val="18"/>
        </w:rPr>
        <w:t>February 14 to 22, 2012</w:t>
      </w:r>
      <w:r w:rsidR="00A610A6">
        <w:rPr>
          <w:szCs w:val="18"/>
        </w:rPr>
        <w:t>,</w:t>
      </w:r>
      <w:r>
        <w:rPr>
          <w:szCs w:val="18"/>
        </w:rPr>
        <w:t xml:space="preserve"> from April 16 to 20, 2012, </w:t>
      </w:r>
      <w:r w:rsidR="00A610A6">
        <w:rPr>
          <w:szCs w:val="18"/>
        </w:rPr>
        <w:t xml:space="preserve">and from July 9 to 13, 2012, </w:t>
      </w:r>
      <w:r>
        <w:rPr>
          <w:szCs w:val="18"/>
        </w:rPr>
        <w:t>respectively</w:t>
      </w:r>
      <w:proofErr w:type="gramStart"/>
      <w:r>
        <w:rPr>
          <w:szCs w:val="18"/>
        </w:rPr>
        <w:t>,</w:t>
      </w:r>
      <w:proofErr w:type="gramEnd"/>
      <w:r w:rsidR="009A0842">
        <w:rPr>
          <w:szCs w:val="18"/>
        </w:rPr>
        <w:br/>
      </w:r>
      <w:r>
        <w:rPr>
          <w:szCs w:val="18"/>
        </w:rPr>
        <w:t>as documents WIPO/GRTKF/IC/20/INF/13</w:t>
      </w:r>
      <w:r w:rsidR="00A610A6">
        <w:rPr>
          <w:szCs w:val="18"/>
        </w:rPr>
        <w:t>,</w:t>
      </w:r>
      <w:r>
        <w:rPr>
          <w:szCs w:val="18"/>
        </w:rPr>
        <w:t xml:space="preserve"> WIPO/GRTKF/IC/21/INF/8, </w:t>
      </w:r>
      <w:r w:rsidR="00B94A29">
        <w:rPr>
          <w:szCs w:val="18"/>
        </w:rPr>
        <w:t xml:space="preserve">and </w:t>
      </w:r>
      <w:r w:rsidR="00A610A6">
        <w:rPr>
          <w:szCs w:val="18"/>
        </w:rPr>
        <w:t xml:space="preserve">WIPO/GRTKF/IC/22/INF/8, </w:t>
      </w:r>
      <w:r>
        <w:rPr>
          <w:szCs w:val="18"/>
        </w:rPr>
        <w:t xml:space="preserve">respectively. </w:t>
      </w:r>
      <w:r w:rsidR="00B94A29">
        <w:rPr>
          <w:szCs w:val="18"/>
        </w:rPr>
        <w:t xml:space="preserve"> </w:t>
      </w:r>
      <w:r>
        <w:rPr>
          <w:szCs w:val="18"/>
        </w:rPr>
        <w:t xml:space="preserve">The </w:t>
      </w:r>
      <w:r w:rsidR="00143933">
        <w:rPr>
          <w:rFonts w:hint="eastAsia"/>
          <w:szCs w:val="18"/>
        </w:rPr>
        <w:t>revised</w:t>
      </w:r>
      <w:r>
        <w:rPr>
          <w:szCs w:val="18"/>
        </w:rPr>
        <w:t xml:space="preserve"> version</w:t>
      </w:r>
      <w:r w:rsidR="00DE2433">
        <w:rPr>
          <w:szCs w:val="18"/>
        </w:rPr>
        <w:t xml:space="preserve"> of the glossary</w:t>
      </w:r>
      <w:r w:rsidR="00F12D49">
        <w:rPr>
          <w:szCs w:val="18"/>
        </w:rPr>
        <w:t xml:space="preserve"> </w:t>
      </w:r>
      <w:r w:rsidR="006A6CCE">
        <w:rPr>
          <w:szCs w:val="18"/>
        </w:rPr>
        <w:t>was</w:t>
      </w:r>
      <w:r w:rsidR="00143933">
        <w:rPr>
          <w:rFonts w:hint="eastAsia"/>
          <w:szCs w:val="18"/>
        </w:rPr>
        <w:t xml:space="preserve"> made available as information document</w:t>
      </w:r>
      <w:r w:rsidR="00366719">
        <w:rPr>
          <w:szCs w:val="18"/>
        </w:rPr>
        <w:t>s</w:t>
      </w:r>
      <w:r w:rsidR="00143933">
        <w:rPr>
          <w:rFonts w:hint="eastAsia"/>
          <w:szCs w:val="18"/>
        </w:rPr>
        <w:t xml:space="preserve"> for the Twenty-Third</w:t>
      </w:r>
      <w:r w:rsidR="00AF72C7">
        <w:rPr>
          <w:szCs w:val="18"/>
        </w:rPr>
        <w:t>,</w:t>
      </w:r>
      <w:r w:rsidR="00143933">
        <w:rPr>
          <w:rFonts w:hint="eastAsia"/>
          <w:szCs w:val="18"/>
        </w:rPr>
        <w:t xml:space="preserve"> </w:t>
      </w:r>
      <w:r w:rsidR="00D840BF">
        <w:rPr>
          <w:szCs w:val="18"/>
        </w:rPr>
        <w:t>Twenty-Fourth</w:t>
      </w:r>
      <w:r w:rsidR="004B06C0">
        <w:rPr>
          <w:szCs w:val="18"/>
        </w:rPr>
        <w:t xml:space="preserve">, </w:t>
      </w:r>
      <w:r w:rsidR="00AF72C7">
        <w:rPr>
          <w:szCs w:val="18"/>
        </w:rPr>
        <w:t>Twenty-Fifth</w:t>
      </w:r>
      <w:r w:rsidR="00633306">
        <w:rPr>
          <w:szCs w:val="18"/>
        </w:rPr>
        <w:t xml:space="preserve">, </w:t>
      </w:r>
      <w:r w:rsidR="007C611B">
        <w:rPr>
          <w:szCs w:val="18"/>
        </w:rPr>
        <w:br/>
      </w:r>
      <w:r w:rsidR="00633306">
        <w:rPr>
          <w:szCs w:val="18"/>
        </w:rPr>
        <w:t>Twent</w:t>
      </w:r>
      <w:r w:rsidR="00A63943">
        <w:rPr>
          <w:szCs w:val="18"/>
        </w:rPr>
        <w:t>y-Sixth,</w:t>
      </w:r>
      <w:r w:rsidR="00633306">
        <w:rPr>
          <w:szCs w:val="18"/>
        </w:rPr>
        <w:t xml:space="preserve"> Twenty-Seventh</w:t>
      </w:r>
      <w:r w:rsidR="00A63943">
        <w:rPr>
          <w:szCs w:val="18"/>
        </w:rPr>
        <w:t xml:space="preserve"> and Twenty-Eighth</w:t>
      </w:r>
      <w:r w:rsidR="00D840BF">
        <w:rPr>
          <w:szCs w:val="18"/>
        </w:rPr>
        <w:t xml:space="preserve"> </w:t>
      </w:r>
      <w:r w:rsidR="00143933">
        <w:rPr>
          <w:rFonts w:hint="eastAsia"/>
          <w:szCs w:val="18"/>
        </w:rPr>
        <w:t>Session</w:t>
      </w:r>
      <w:r w:rsidR="00D840BF">
        <w:rPr>
          <w:szCs w:val="18"/>
        </w:rPr>
        <w:t>s</w:t>
      </w:r>
      <w:r w:rsidR="00143933">
        <w:rPr>
          <w:rFonts w:hint="eastAsia"/>
          <w:szCs w:val="18"/>
        </w:rPr>
        <w:t xml:space="preserve"> of the IGC</w:t>
      </w:r>
      <w:r w:rsidR="004B06C0">
        <w:rPr>
          <w:rFonts w:hint="eastAsia"/>
          <w:szCs w:val="18"/>
        </w:rPr>
        <w:t>.</w:t>
      </w:r>
      <w:r w:rsidR="00F8098A">
        <w:rPr>
          <w:szCs w:val="18"/>
        </w:rPr>
        <w:t xml:space="preserve">  </w:t>
      </w:r>
      <w:r w:rsidR="00143933">
        <w:rPr>
          <w:rFonts w:hint="eastAsia"/>
          <w:szCs w:val="22"/>
        </w:rPr>
        <w:t>Th</w:t>
      </w:r>
      <w:r w:rsidR="002F62B1">
        <w:rPr>
          <w:szCs w:val="22"/>
        </w:rPr>
        <w:t>e</w:t>
      </w:r>
      <w:r w:rsidR="00F12D49">
        <w:rPr>
          <w:szCs w:val="22"/>
        </w:rPr>
        <w:t xml:space="preserve"> </w:t>
      </w:r>
      <w:r w:rsidR="002F62B1">
        <w:rPr>
          <w:szCs w:val="22"/>
        </w:rPr>
        <w:t xml:space="preserve">revised </w:t>
      </w:r>
      <w:r w:rsidR="00F12D49">
        <w:rPr>
          <w:szCs w:val="22"/>
        </w:rPr>
        <w:t xml:space="preserve">version </w:t>
      </w:r>
      <w:r w:rsidR="00ED1311">
        <w:rPr>
          <w:szCs w:val="22"/>
        </w:rPr>
        <w:t>no longer</w:t>
      </w:r>
      <w:r w:rsidR="00F12D49">
        <w:rPr>
          <w:szCs w:val="22"/>
        </w:rPr>
        <w:t xml:space="preserve"> contain</w:t>
      </w:r>
      <w:r w:rsidR="00ED1311">
        <w:rPr>
          <w:szCs w:val="22"/>
        </w:rPr>
        <w:t>s</w:t>
      </w:r>
      <w:r w:rsidR="00F12D49">
        <w:rPr>
          <w:szCs w:val="22"/>
        </w:rPr>
        <w:t xml:space="preserve"> any references to the texts being negotiated </w:t>
      </w:r>
      <w:r w:rsidR="00ED1311">
        <w:rPr>
          <w:szCs w:val="22"/>
        </w:rPr>
        <w:t>in</w:t>
      </w:r>
      <w:r w:rsidR="00F12D49">
        <w:rPr>
          <w:szCs w:val="22"/>
        </w:rPr>
        <w:t xml:space="preserve"> the IGC, to prevent </w:t>
      </w:r>
      <w:r w:rsidR="00ED1311">
        <w:rPr>
          <w:szCs w:val="22"/>
        </w:rPr>
        <w:t>the glossary becoming outdated</w:t>
      </w:r>
      <w:r w:rsidR="00F12D49">
        <w:rPr>
          <w:szCs w:val="22"/>
        </w:rPr>
        <w:t xml:space="preserve"> after each IGC session. </w:t>
      </w:r>
      <w:r w:rsidR="00AF72C7">
        <w:rPr>
          <w:szCs w:val="22"/>
        </w:rPr>
        <w:t xml:space="preserve"> </w:t>
      </w:r>
      <w:r w:rsidR="00143933">
        <w:rPr>
          <w:rFonts w:hint="eastAsia"/>
          <w:szCs w:val="22"/>
        </w:rPr>
        <w:t xml:space="preserve">The same version of the glossary </w:t>
      </w:r>
      <w:r w:rsidR="00143933" w:rsidRPr="00F05DC0">
        <w:rPr>
          <w:szCs w:val="22"/>
          <w:lang w:eastAsia="en-US"/>
        </w:rPr>
        <w:t xml:space="preserve">is </w:t>
      </w:r>
      <w:smartTag w:uri="urn:schemas-microsoft-com:office:smarttags" w:element="PersonName">
        <w:r w:rsidR="00143933" w:rsidRPr="00F05DC0">
          <w:rPr>
            <w:szCs w:val="22"/>
            <w:lang w:eastAsia="en-US"/>
          </w:rPr>
          <w:t>c</w:t>
        </w:r>
      </w:smartTag>
      <w:r w:rsidR="00143933" w:rsidRPr="00F05DC0">
        <w:rPr>
          <w:szCs w:val="22"/>
          <w:lang w:eastAsia="en-US"/>
        </w:rPr>
        <w:t>ontained in the Annex to the present do</w:t>
      </w:r>
      <w:smartTag w:uri="urn:schemas-microsoft-com:office:smarttags" w:element="PersonName">
        <w:r w:rsidR="00143933" w:rsidRPr="00F05DC0">
          <w:rPr>
            <w:szCs w:val="22"/>
            <w:lang w:eastAsia="en-US"/>
          </w:rPr>
          <w:t>c</w:t>
        </w:r>
      </w:smartTag>
      <w:r w:rsidR="00143933" w:rsidRPr="00F05DC0">
        <w:rPr>
          <w:szCs w:val="22"/>
          <w:lang w:eastAsia="en-US"/>
        </w:rPr>
        <w:t>ument</w:t>
      </w:r>
      <w:r w:rsidR="00143933">
        <w:rPr>
          <w:szCs w:val="22"/>
          <w:lang w:eastAsia="en-US"/>
        </w:rPr>
        <w:t xml:space="preserve">.  </w:t>
      </w:r>
    </w:p>
    <w:p w:rsidR="00931A24" w:rsidRPr="00F05DC0" w:rsidRDefault="00931A24" w:rsidP="00931A24">
      <w:pPr>
        <w:rPr>
          <w:szCs w:val="22"/>
          <w:lang w:eastAsia="en-US"/>
        </w:rPr>
      </w:pPr>
    </w:p>
    <w:p w:rsidR="00931A24" w:rsidRPr="00F05DC0" w:rsidRDefault="00396645" w:rsidP="00931A24">
      <w:pPr>
        <w:rPr>
          <w:szCs w:val="22"/>
        </w:rPr>
      </w:pPr>
      <w:r>
        <w:rPr>
          <w:szCs w:val="22"/>
          <w:lang w:eastAsia="en-US"/>
        </w:rPr>
        <w:t>5</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396645" w:rsidP="00F85B40">
      <w:pPr>
        <w:contextualSpacing/>
        <w:rPr>
          <w:szCs w:val="22"/>
        </w:rPr>
      </w:pPr>
      <w:r>
        <w:rPr>
          <w:szCs w:val="22"/>
        </w:rPr>
        <w:t>6</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396645" w:rsidP="00931A24">
      <w:pPr>
        <w:pStyle w:val="DecisionInvitingPara"/>
        <w:ind w:left="5533"/>
        <w:rPr>
          <w:rFonts w:cs="Arial"/>
          <w:sz w:val="22"/>
          <w:szCs w:val="22"/>
        </w:rPr>
      </w:pPr>
      <w:r>
        <w:rPr>
          <w:rFonts w:cs="Arial"/>
          <w:sz w:val="22"/>
          <w:szCs w:val="22"/>
        </w:rPr>
        <w:t>7</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6"/>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”nanobiotechnology</w:t>
      </w:r>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6"/>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South Asia, for instance, the codified knowledge systems include the Ayurvedic system of medicine, which is codified in the 54 authoritative books of the Ayurvedic System, the Siddha system, as codified in 29 authoritative books, and the Unani Ti</w:t>
      </w:r>
      <w:r w:rsidR="007C611B">
        <w:rPr>
          <w:sz w:val="22"/>
          <w:szCs w:val="22"/>
        </w:rPr>
        <w:t>bb tradition, as codified in 13 </w:t>
      </w:r>
      <w:r w:rsidRPr="007E3B38">
        <w:rPr>
          <w:sz w:val="22"/>
          <w:szCs w:val="22"/>
        </w:rPr>
        <w:t>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(i)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5"/>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r w:rsidRPr="007E3B38">
        <w:rPr>
          <w:snapToGrid w:val="0"/>
          <w:sz w:val="22"/>
          <w:szCs w:val="22"/>
        </w:rPr>
        <w:t>T</w:t>
      </w:r>
      <w:r w:rsidRPr="007E3B38">
        <w:rPr>
          <w:sz w:val="22"/>
          <w:szCs w:val="22"/>
          <w:lang w:val="en"/>
        </w:rPr>
        <w:t xml:space="preserve">he 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6"/>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(i)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(i)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“o</w:t>
      </w:r>
      <w:r w:rsidRPr="007E3B38">
        <w:rPr>
          <w:sz w:val="22"/>
          <w:szCs w:val="22"/>
          <w:lang w:val="en"/>
        </w:rPr>
        <w:t xml:space="preserve">ne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1"/>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2"/>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(i)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centres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protectability,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8"/>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defines the term as “the reproductive or vegetative propagating material of the following categories of plants:  i)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Daes.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fisherfolk,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r w:rsidRPr="007E3B38">
        <w:rPr>
          <w:szCs w:val="22"/>
        </w:rPr>
        <w:t>romote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r w:rsidRPr="007E3B38">
        <w:rPr>
          <w:i/>
          <w:szCs w:val="22"/>
        </w:rPr>
        <w:t>Swakopmund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Self-identification, as well as recognition by other groups, or by state authorities, as a distinct collectivity;</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xml:space="preserve">[...] Aboriginal Peoples of </w:t>
      </w:r>
      <w:smartTag w:uri="urn:schemas-microsoft-com:office:smarttags" w:element="country-region">
        <w:r w:rsidRPr="007E3B38">
          <w:rPr>
            <w:i/>
            <w:szCs w:val="22"/>
          </w:rPr>
          <w:t>Canada</w:t>
        </w:r>
      </w:smartTag>
      <w:r w:rsidRPr="007E3B38">
        <w:rPr>
          <w:i/>
          <w:szCs w:val="22"/>
        </w:rPr>
        <w:t xml:space="preserve"> includes the Indian, Inuit and Métis peoples of </w:t>
      </w:r>
      <w:smartTag w:uri="urn:schemas-microsoft-com:office:smarttags" w:element="place">
        <w:smartTag w:uri="urn:schemas-microsoft-com:office:smarttags" w:element="country-region">
          <w:r w:rsidRPr="007E3B38">
            <w:rPr>
              <w:i/>
              <w:szCs w:val="22"/>
            </w:rPr>
            <w:t>Canada</w:t>
          </w:r>
        </w:smartTag>
      </w:smartTag>
      <w:r w:rsidRPr="007E3B38">
        <w:rPr>
          <w:i/>
          <w:szCs w:val="22"/>
        </w:rPr>
        <w:t>.</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(i)</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 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“(i)</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nonpatented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 xml:space="preserve">specifically deals with compliance with mutually agreed terms, providing that “1.  In the implementation of Article 6, paragraph 3 (g)(i)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6"/>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281E50" w:rsidRPr="007E3B38" w:rsidRDefault="00281E50"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w:t>
      </w:r>
      <w:r w:rsidRPr="007E3B38">
        <w:rPr>
          <w:szCs w:val="22"/>
        </w:rPr>
        <w:lastRenderedPageBreak/>
        <w:t>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w:t>
      </w:r>
      <w:r w:rsidRPr="007E3B38">
        <w:rPr>
          <w:rStyle w:val="longdesc"/>
          <w:szCs w:val="22"/>
        </w:rPr>
        <w:lastRenderedPageBreak/>
        <w:t>diagnosis affecting an individual’s genome the potential risks and benefits should be assessed 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“(i)</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Knowledge, ideas and innovations are in the public domain if there are no legal restrictions of use (varying in different legislations and forming, therefore, different public domains), after expiration of patents (regularly 20 years), in consequence of non renewal,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non formal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Swakopmund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smartTag w:uri="urn:schemas-microsoft-com:office:smarttags" w:element="place">
        <w:smartTag w:uri="urn:schemas-microsoft-com:office:smarttags" w:element="City">
          <w:r w:rsidRPr="007E3B38">
            <w:rPr>
              <w:szCs w:val="22"/>
            </w:rPr>
            <w:t>Swakopmund</w:t>
          </w:r>
        </w:smartTag>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Productions of folk art, in particular, drawings, paintings, carvings, sculptures, pottery, terracotta, mosaic, woodwork, metalware, jewellery,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7E3B38">
        <w:rPr>
          <w:i/>
          <w:szCs w:val="22"/>
        </w:rPr>
        <w:t>stricto sensu</w:t>
      </w:r>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r w:rsidRPr="007E3B38">
        <w:rPr>
          <w:i/>
          <w:szCs w:val="22"/>
        </w:rPr>
        <w:t>lato sensu</w:t>
      </w:r>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r w:rsidRPr="007E3B38">
        <w:rPr>
          <w:i/>
          <w:szCs w:val="22"/>
        </w:rPr>
        <w:t>stricto sensu</w:t>
      </w:r>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favour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interculturality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 xml:space="preserve">(i)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 xml:space="preserve">provides that “[a]ny act of competition contrary to honest practices in industrial or commercial matters constitutes an act of unfair competition”.  Paragraph 3 of Article 10bis further provides that “ [t]he following in particular shall be prohibited:  (i)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r w:rsidRPr="007E3B38">
        <w:rPr>
          <w:bCs/>
          <w:szCs w:val="22"/>
        </w:rPr>
        <w:t xml:space="preserve">i]ndigenous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“[i]n conjunction with indigenous peoples, States shall take effective measures to recognize and protect the exercise of these rights.”  On traditional medicine, Article 24 provides that “</w:t>
      </w:r>
      <w:r w:rsidRPr="007E3B38">
        <w:rPr>
          <w:iCs/>
          <w:szCs w:val="22"/>
        </w:rPr>
        <w:t>[i]ndigenous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 xml:space="preserve">as “[b]elong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1B" w:rsidRDefault="007C611B">
      <w:r>
        <w:separator/>
      </w:r>
    </w:p>
  </w:endnote>
  <w:endnote w:type="continuationSeparator" w:id="0">
    <w:p w:rsidR="007C611B" w:rsidRDefault="007C611B" w:rsidP="003B38C1">
      <w:r>
        <w:separator/>
      </w:r>
    </w:p>
    <w:p w:rsidR="007C611B" w:rsidRPr="003B38C1" w:rsidRDefault="007C611B" w:rsidP="003B38C1">
      <w:pPr>
        <w:spacing w:after="60"/>
        <w:rPr>
          <w:sz w:val="17"/>
        </w:rPr>
      </w:pPr>
      <w:r>
        <w:rPr>
          <w:sz w:val="17"/>
        </w:rPr>
        <w:t>[Endnote continued from previous page]</w:t>
      </w:r>
    </w:p>
  </w:endnote>
  <w:endnote w:type="continuationNotice" w:id="1">
    <w:p w:rsidR="007C611B" w:rsidRPr="003B38C1" w:rsidRDefault="007C61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1B" w:rsidRDefault="007C611B">
      <w:r>
        <w:separator/>
      </w:r>
    </w:p>
  </w:footnote>
  <w:footnote w:type="continuationSeparator" w:id="0">
    <w:p w:rsidR="007C611B" w:rsidRDefault="007C611B" w:rsidP="008B60B2">
      <w:r>
        <w:separator/>
      </w:r>
    </w:p>
    <w:p w:rsidR="007C611B" w:rsidRPr="00ED77FB" w:rsidRDefault="007C611B" w:rsidP="008B60B2">
      <w:pPr>
        <w:spacing w:after="60"/>
        <w:rPr>
          <w:sz w:val="17"/>
          <w:szCs w:val="17"/>
        </w:rPr>
      </w:pPr>
      <w:r w:rsidRPr="00ED77FB">
        <w:rPr>
          <w:sz w:val="17"/>
          <w:szCs w:val="17"/>
        </w:rPr>
        <w:t>[Footnote continued from previous page]</w:t>
      </w:r>
    </w:p>
  </w:footnote>
  <w:footnote w:type="continuationNotice" w:id="1">
    <w:p w:rsidR="007C611B" w:rsidRPr="00ED77FB" w:rsidRDefault="007C611B" w:rsidP="008B60B2">
      <w:pPr>
        <w:spacing w:before="60"/>
        <w:jc w:val="right"/>
        <w:rPr>
          <w:sz w:val="17"/>
          <w:szCs w:val="17"/>
        </w:rPr>
      </w:pPr>
      <w:r w:rsidRPr="00ED77FB">
        <w:rPr>
          <w:sz w:val="17"/>
          <w:szCs w:val="17"/>
        </w:rPr>
        <w:t>[Footnote continued on next page]</w:t>
      </w:r>
    </w:p>
  </w:footnote>
  <w:footnote w:id="2">
    <w:p w:rsidR="007C611B" w:rsidRPr="00420EF9" w:rsidRDefault="007C611B"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proofErr w:type="gramStart"/>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w:t>
      </w:r>
      <w:proofErr w:type="gramEnd"/>
      <w:r>
        <w:rPr>
          <w:rStyle w:val="FooterChar"/>
          <w:sz w:val="18"/>
        </w:rPr>
        <w:t xml:space="preserve"> </w:t>
      </w:r>
    </w:p>
  </w:footnote>
  <w:footnote w:id="3">
    <w:p w:rsidR="007C611B" w:rsidRPr="00420EF9" w:rsidRDefault="007C611B" w:rsidP="000B42B0">
      <w:pPr>
        <w:pStyle w:val="FootnoteText"/>
        <w:rPr>
          <w:szCs w:val="18"/>
        </w:rPr>
      </w:pPr>
      <w:r w:rsidRPr="00420EF9">
        <w:rPr>
          <w:rStyle w:val="FootnoteReference"/>
          <w:szCs w:val="18"/>
        </w:rPr>
        <w:footnoteRef/>
      </w:r>
      <w:r>
        <w:rPr>
          <w:szCs w:val="18"/>
        </w:rPr>
        <w:t xml:space="preserve"> </w:t>
      </w:r>
      <w:r>
        <w:rPr>
          <w:szCs w:val="18"/>
        </w:rPr>
        <w:tab/>
      </w:r>
      <w:proofErr w:type="gramStart"/>
      <w:r w:rsidRPr="00420EF9">
        <w:rPr>
          <w:szCs w:val="18"/>
        </w:rPr>
        <w:t>Report of the Nineteenth Session of the Com</w:t>
      </w:r>
      <w:r>
        <w:rPr>
          <w:szCs w:val="18"/>
        </w:rPr>
        <w:t>mittee (WIPO/GRTKF/IC/19/12</w:t>
      </w:r>
      <w:r w:rsidRPr="00420EF9">
        <w:rPr>
          <w:szCs w:val="18"/>
        </w:rPr>
        <w:t>)</w:t>
      </w:r>
      <w:r>
        <w:rPr>
          <w:szCs w:val="18"/>
        </w:rPr>
        <w:t>.</w:t>
      </w:r>
      <w:proofErr w:type="gramEnd"/>
    </w:p>
  </w:footnote>
  <w:footnote w:id="4">
    <w:p w:rsidR="007C611B" w:rsidRPr="00A94A92" w:rsidRDefault="007C611B"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5">
    <w:p w:rsidR="007C611B" w:rsidRPr="00420EF9" w:rsidRDefault="007C611B"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7C611B" w:rsidRPr="00420EF9" w:rsidRDefault="007C611B"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7C611B" w:rsidRPr="00420EF9" w:rsidRDefault="007C611B"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10">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7C611B" w:rsidRPr="00420EF9" w:rsidRDefault="007C611B"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3">
    <w:p w:rsidR="007C611B" w:rsidRPr="00420EF9" w:rsidRDefault="007C611B"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4">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7C611B" w:rsidRPr="00966E9B"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7C611B" w:rsidRPr="00420EF9" w:rsidRDefault="007C611B"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7C611B" w:rsidRPr="00420EF9"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7C611B" w:rsidRPr="00420EF9" w:rsidRDefault="007C611B"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7C611B"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7C611B" w:rsidRPr="00420EF9" w:rsidRDefault="007C611B"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1">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2">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ifies the authoritative books of the Ayurvedi</w:t>
      </w:r>
      <w:smartTag w:uri="urn:schemas-microsoft-com:office:smarttags" w:element="PersonName">
        <w:r w:rsidRPr="00420EF9">
          <w:rPr>
            <w:szCs w:val="18"/>
          </w:rPr>
          <w:t>c</w:t>
        </w:r>
      </w:smartTag>
      <w:smartTag w:uri="urn:schemas-microsoft-com:office:smarttags" w:element="PersonName">
        <w:r w:rsidRPr="00420EF9">
          <w:rPr>
            <w:szCs w:val="18"/>
          </w:rPr>
          <w:t>,</w:t>
        </w:r>
      </w:smartTag>
      <w:r w:rsidRPr="00420EF9">
        <w:rPr>
          <w:szCs w:val="18"/>
        </w:rPr>
        <w:t xml:space="preserve"> Siddha and Unani Tibb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Togi Hutadjulu</w:t>
      </w:r>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5">
    <w:p w:rsidR="007C611B" w:rsidRPr="00D41EAD" w:rsidRDefault="007C611B"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7C611B" w:rsidRPr="00420EF9" w:rsidRDefault="007C611B"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7C611B" w:rsidRPr="00BD225A" w:rsidRDefault="007C611B"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Convention on the Protection and Promotion of the Diversity of Cultural Expressions</w:t>
      </w:r>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8">
    <w:p w:rsidR="007C611B" w:rsidRPr="00BD225A" w:rsidRDefault="007C611B"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Convention on the Protection and Promotion of the Diversity of Cultural Expressions</w:t>
      </w:r>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9">
    <w:p w:rsidR="007C611B" w:rsidRPr="0002073E" w:rsidRDefault="007C611B"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1">
    <w:p w:rsidR="007C611B" w:rsidRPr="00420EF9" w:rsidRDefault="007C611B"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2">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7C611B" w:rsidRPr="00420EF9" w:rsidRDefault="007C611B"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4">
    <w:p w:rsidR="007C611B" w:rsidRPr="00420EF9" w:rsidRDefault="007C611B"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Paul Kuruk,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p. 6, quoting, in part, Paris, 15 June 1982, Gazette du Palais, 1982.2, Summary, p. 378, or Paris, 25 April 1978, Gazette du Palais, 1978.2, p. 448.</w:t>
      </w:r>
    </w:p>
  </w:footnote>
  <w:footnote w:id="35">
    <w:p w:rsidR="007C611B" w:rsidRPr="00420EF9" w:rsidRDefault="007C611B"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7C611B" w:rsidRPr="00420EF9" w:rsidRDefault="007C611B"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7C611B" w:rsidRPr="00420EF9" w:rsidRDefault="007C611B"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7C611B" w:rsidRPr="00BD225A" w:rsidRDefault="007C611B"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7C611B" w:rsidRPr="00420EF9" w:rsidRDefault="007C611B"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Ricketson</w:t>
      </w:r>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7C611B" w:rsidRPr="00BD225A" w:rsidRDefault="007C611B"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7C611B" w:rsidRPr="00BD225A" w:rsidRDefault="007C611B"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Sam Ricketson</w:t>
      </w:r>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7C611B" w:rsidRPr="00420EF9" w:rsidRDefault="007C611B"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5">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Ricketson</w:t>
      </w:r>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8">
    <w:p w:rsidR="007C611B" w:rsidRPr="00BD225A"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4">
    <w:p w:rsidR="007C611B" w:rsidRPr="009A0842" w:rsidRDefault="007C611B"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6">
    <w:p w:rsidR="007C611B" w:rsidRPr="00420EF9" w:rsidRDefault="007C611B"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7">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7C611B" w:rsidRPr="00BD225A" w:rsidRDefault="007C611B"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Sirinelli</w:t>
      </w:r>
      <w:smartTag w:uri="urn:schemas-microsoft-com:office:smarttags" w:element="PersonName">
        <w:r w:rsidRPr="00BD225A">
          <w:rPr>
            <w:bCs/>
            <w:szCs w:val="18"/>
          </w:rPr>
          <w:t>,</w:t>
        </w:r>
      </w:smartTag>
      <w:r w:rsidRPr="00BD225A">
        <w:rPr>
          <w:bCs/>
          <w:szCs w:val="18"/>
        </w:rPr>
        <w:t xml:space="preserve"> </w:t>
      </w:r>
    </w:p>
    <w:p w:rsidR="007C611B" w:rsidRPr="00BD225A" w:rsidRDefault="007C611B"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r w:rsidRPr="00BD225A">
        <w:rPr>
          <w:rStyle w:val="FootnoteReference"/>
          <w:szCs w:val="18"/>
          <w:vertAlign w:val="baseline"/>
          <w:lang w:val="es-ES_tradnl"/>
        </w:rPr>
        <w:t>Model Provisions for National Laws on the Protection of Expressions of Folklore against Illicit Exploitation and Other Prejudicial Actions</w:t>
      </w:r>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r w:rsidRPr="00BD225A">
        <w:rPr>
          <w:i/>
          <w:szCs w:val="18"/>
          <w:lang w:val="es-ES"/>
        </w:rPr>
        <w:t xml:space="preserve">, </w:t>
      </w:r>
      <w:r w:rsidRPr="00BD225A">
        <w:rPr>
          <w:szCs w:val="18"/>
          <w:lang w:val="es-ES"/>
        </w:rPr>
        <w:t>para. 37.</w:t>
      </w:r>
    </w:p>
  </w:footnote>
  <w:footnote w:id="64">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65">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szCs w:val="18"/>
          <w:lang w:val="es-ES"/>
        </w:rPr>
        <w:t>, p. 289.</w:t>
      </w:r>
    </w:p>
  </w:footnote>
  <w:footnote w:id="66">
    <w:p w:rsidR="007C611B" w:rsidRPr="00BD225A" w:rsidRDefault="007C611B"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rStyle w:val="FootnoteReference"/>
          <w:szCs w:val="18"/>
          <w:vertAlign w:val="baseline"/>
          <w:lang w:val="nl-NL"/>
        </w:rPr>
        <w:t>, p. 290</w:t>
      </w:r>
      <w:r w:rsidRPr="00BD225A">
        <w:rPr>
          <w:szCs w:val="18"/>
          <w:lang w:val="nl-NL"/>
        </w:rPr>
        <w:t>.</w:t>
      </w:r>
    </w:p>
  </w:footnote>
  <w:footnote w:id="67">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7C611B" w:rsidRPr="00420EF9" w:rsidRDefault="007C611B"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Terri Janke</w:t>
        </w:r>
      </w:smartTag>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70">
    <w:p w:rsidR="007C611B" w:rsidRPr="00772BA5"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71">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7C611B" w:rsidRPr="00420EF9" w:rsidRDefault="007C611B"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Yozo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retariat of the Permanent Forum on Indigenous Issues for the Expert Workshop on the Dissaggregation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7C611B" w:rsidRPr="00420EF9" w:rsidRDefault="007C611B"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8">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7C611B" w:rsidRPr="00C82BBD"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Henriksen: Key Principles in Implementing ILO Convention No. 169, 2008.</w:t>
      </w:r>
      <w:r w:rsidRPr="00BD225A">
        <w:rPr>
          <w:szCs w:val="18"/>
        </w:rPr>
        <w:t xml:space="preserve"> </w:t>
      </w:r>
    </w:p>
  </w:footnote>
  <w:footnote w:id="81">
    <w:p w:rsidR="007C611B" w:rsidRPr="00420EF9" w:rsidRDefault="007C611B"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International Labour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3">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4">
    <w:p w:rsidR="007C611B" w:rsidRPr="00420EF9" w:rsidRDefault="007C611B"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7C611B" w:rsidRPr="009A2EAC" w:rsidRDefault="007C611B"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7C611B" w:rsidRPr="009A2EAC"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Sam Ricketson</w:t>
      </w:r>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8">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7C611B" w:rsidRPr="00420EF9" w:rsidRDefault="007C611B"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7C611B" w:rsidRPr="00BD225A" w:rsidRDefault="007C611B"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7C611B" w:rsidRPr="00420EF9" w:rsidRDefault="007C611B"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3">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5">
    <w:p w:rsidR="007C611B" w:rsidRPr="004C606B"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7C611B" w:rsidRPr="004C606B" w:rsidRDefault="007C611B"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7C611B" w:rsidRPr="004C606B" w:rsidRDefault="007C611B"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study prepared by Pierre Sirinelli</w:t>
      </w:r>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7C611B" w:rsidRPr="004C606B" w:rsidRDefault="007C611B"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9">
    <w:p w:rsidR="007C611B" w:rsidRPr="004C606B"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7C611B" w:rsidRPr="00BD225A"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7C611B" w:rsidRPr="00420EF9" w:rsidRDefault="007C611B"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7">
    <w:p w:rsidR="007C611B" w:rsidRPr="00420EF9" w:rsidRDefault="007C611B"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r>
      <w:r w:rsidRPr="00420EF9">
        <w:rPr>
          <w:szCs w:val="18"/>
          <w:lang w:val="it-IT"/>
        </w:rPr>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7C611B" w:rsidRPr="00420EF9" w:rsidRDefault="007C611B"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7C611B" w:rsidRPr="00BD225A" w:rsidRDefault="007C611B"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6">
    <w:p w:rsidR="007C611B" w:rsidRPr="00BD225A" w:rsidRDefault="007C611B"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7C611B" w:rsidRPr="00BD225A" w:rsidRDefault="007C611B"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7C611B" w:rsidRPr="00420EF9" w:rsidRDefault="007C611B"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1">
    <w:p w:rsidR="007C611B" w:rsidRPr="00420EF9" w:rsidRDefault="007C611B"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316BB8">
      <w:pPr>
        <w:pStyle w:val="FootnoteText"/>
        <w:ind w:left="550"/>
        <w:rPr>
          <w:szCs w:val="18"/>
        </w:rPr>
      </w:pPr>
      <w:proofErr w:type="gramStart"/>
      <w:r w:rsidRPr="00420EF9">
        <w:rPr>
          <w:szCs w:val="18"/>
        </w:rPr>
        <w:t>para</w:t>
      </w:r>
      <w:proofErr w:type="gramEnd"/>
      <w:r w:rsidRPr="00420EF9">
        <w:rPr>
          <w:szCs w:val="18"/>
        </w:rPr>
        <w:t>. 37.</w:t>
      </w:r>
    </w:p>
  </w:footnote>
  <w:footnote w:id="122">
    <w:p w:rsidR="007C611B" w:rsidRPr="00BD225A" w:rsidRDefault="007C611B"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Xanthaki,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CF0EF8">
      <w:pPr>
        <w:pStyle w:val="FootnoteText"/>
        <w:ind w:left="499"/>
        <w:rPr>
          <w:szCs w:val="18"/>
          <w:lang w:val="es-ES"/>
        </w:rPr>
      </w:pPr>
      <w:r w:rsidRPr="00420EF9">
        <w:rPr>
          <w:szCs w:val="18"/>
          <w:lang w:val="es-ES"/>
        </w:rPr>
        <w:t>para. 20.</w:t>
      </w:r>
    </w:p>
  </w:footnote>
  <w:footnote w:id="128">
    <w:p w:rsidR="007C611B" w:rsidRPr="00420EF9" w:rsidRDefault="007C611B"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3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7C611B" w:rsidRPr="00420EF9" w:rsidRDefault="007C611B"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r>
      <w:r w:rsidRPr="00420EF9">
        <w:rPr>
          <w:szCs w:val="18"/>
          <w:lang w:val="nl-NL"/>
        </w:rPr>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7C611B" w:rsidRPr="00420EF9" w:rsidRDefault="007C611B"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Sam Ricketson</w:t>
      </w:r>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7C611B" w:rsidRPr="00420EF9" w:rsidRDefault="007C611B" w:rsidP="00CF0EF8">
      <w:pPr>
        <w:pStyle w:val="FootnoteText"/>
        <w:ind w:left="499"/>
        <w:rPr>
          <w:szCs w:val="18"/>
        </w:rPr>
      </w:pPr>
      <w:r w:rsidRPr="00420EF9">
        <w:rPr>
          <w:szCs w:val="18"/>
        </w:rPr>
        <w:t>p. 23 of Annex I, pages 11 and 16 of Annex II</w:t>
      </w:r>
      <w:r>
        <w:rPr>
          <w:szCs w:val="18"/>
        </w:rPr>
        <w:t>.</w:t>
      </w:r>
    </w:p>
  </w:footnote>
  <w:footnote w:id="150">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Nino Pires de Carvalho,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sidR="00F902F6">
        <w:rPr>
          <w:szCs w:val="18"/>
        </w:rPr>
        <w:t xml:space="preserve"> WIPO/GRTKF/IC/5/3, </w:t>
      </w:r>
      <w:proofErr w:type="gramStart"/>
      <w:r w:rsidR="00F902F6">
        <w:rPr>
          <w:szCs w:val="18"/>
        </w:rPr>
        <w:t>para</w:t>
      </w:r>
      <w:proofErr w:type="gramEnd"/>
      <w:r w:rsidR="00F902F6">
        <w:rPr>
          <w:szCs w:val="18"/>
        </w:rPr>
        <w:t>. </w:t>
      </w:r>
      <w:r w:rsidRPr="00420EF9">
        <w:rPr>
          <w:szCs w:val="18"/>
        </w:rPr>
        <w:t>53</w:t>
      </w:r>
      <w:r>
        <w:rPr>
          <w:szCs w:val="18"/>
        </w:rPr>
        <w:t>.</w:t>
      </w:r>
    </w:p>
  </w:footnote>
  <w:footnote w:id="160">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6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6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Fikret Berkes</w:t>
      </w:r>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7C611B" w:rsidRPr="00420EF9" w:rsidRDefault="007C611B"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r w:rsidRPr="00420EF9">
        <w:rPr>
          <w:szCs w:val="18"/>
        </w:rPr>
        <w:t>paras</w:t>
      </w:r>
      <w:proofErr w:type="gramEnd"/>
      <w:r w:rsidRPr="00420EF9">
        <w:rPr>
          <w:szCs w:val="18"/>
        </w:rPr>
        <w:t xml:space="preserve">. </w:t>
      </w:r>
      <w:proofErr w:type="gramStart"/>
      <w:r w:rsidRPr="00420EF9">
        <w:rPr>
          <w:szCs w:val="18"/>
        </w:rPr>
        <w:t>43 and 44 of Annex</w:t>
      </w:r>
      <w:r>
        <w:rPr>
          <w:szCs w:val="18"/>
        </w:rPr>
        <w:t>.</w:t>
      </w:r>
      <w:proofErr w:type="gramEnd"/>
    </w:p>
  </w:footnote>
  <w:footnote w:id="17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7C611B" w:rsidRPr="00420EF9" w:rsidRDefault="007C611B"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7C611B" w:rsidRPr="00420EF9" w:rsidRDefault="007C611B"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8">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9">
    <w:p w:rsidR="007C611B" w:rsidRPr="00D352A1" w:rsidRDefault="007C611B"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B64E92">
    <w:pPr>
      <w:pStyle w:val="Header"/>
      <w:jc w:val="right"/>
    </w:pPr>
    <w:r>
      <w:t>WIPO/GRTKF/IC/29/INF/7</w:t>
    </w:r>
  </w:p>
  <w:p w:rsidR="007C611B" w:rsidRDefault="007C611B"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8A076B">
      <w:rPr>
        <w:rStyle w:val="PageNumber"/>
        <w:noProof/>
      </w:rPr>
      <w:t>2</w:t>
    </w:r>
    <w:r>
      <w:rPr>
        <w:rStyle w:val="PageNumber"/>
      </w:rPr>
      <w:fldChar w:fldCharType="end"/>
    </w:r>
  </w:p>
  <w:p w:rsidR="007C611B" w:rsidRDefault="007C611B"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WIPO/GRTKF/IC/29/INF/7</w:t>
    </w:r>
  </w:p>
  <w:p w:rsidR="007C611B" w:rsidRDefault="007C611B"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8A076B">
      <w:rPr>
        <w:rStyle w:val="PageNumber"/>
        <w:noProof/>
      </w:rPr>
      <w:t>46</w:t>
    </w:r>
    <w:r>
      <w:rPr>
        <w:rStyle w:val="PageNumber"/>
      </w:rPr>
      <w:fldChar w:fldCharType="end"/>
    </w:r>
  </w:p>
  <w:p w:rsidR="007C611B" w:rsidRDefault="007C611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WIPO/GRTKF/IC/29/INF/7</w:t>
    </w:r>
  </w:p>
  <w:p w:rsidR="007C611B" w:rsidRDefault="007C611B" w:rsidP="006B30AB">
    <w:pPr>
      <w:pStyle w:val="Header"/>
      <w:jc w:val="right"/>
    </w:pPr>
    <w:r>
      <w:t>ANNEX</w:t>
    </w:r>
  </w:p>
  <w:p w:rsidR="007C611B" w:rsidRDefault="007C611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5849-636E-49F7-8072-3224CF5D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48</Pages>
  <Words>21044</Words>
  <Characters>124043</Characters>
  <Application>Microsoft Office Word</Application>
  <DocSecurity>0</DocSecurity>
  <Lines>1033</Lines>
  <Paragraphs>289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144798</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16</cp:revision>
  <cp:lastPrinted>2015-11-26T16:17:00Z</cp:lastPrinted>
  <dcterms:created xsi:type="dcterms:W3CDTF">2015-11-23T10:23:00Z</dcterms:created>
  <dcterms:modified xsi:type="dcterms:W3CDTF">2015-11-26T16:17:00Z</dcterms:modified>
</cp:coreProperties>
</file>