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677D25"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15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444CC6">
              <w:rPr>
                <w:rFonts w:ascii="Arial Black" w:hAnsi="Arial Black"/>
                <w:caps/>
                <w:sz w:val="15"/>
              </w:rPr>
              <w:t>2</w:t>
            </w:r>
            <w:r w:rsidR="00633306">
              <w:rPr>
                <w:rFonts w:ascii="Arial Black" w:hAnsi="Arial Black"/>
                <w:caps/>
                <w:sz w:val="15"/>
              </w:rPr>
              <w:t>8</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63330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47B16">
              <w:rPr>
                <w:rFonts w:ascii="Arial Black" w:hAnsi="Arial Black"/>
                <w:caps/>
                <w:sz w:val="15"/>
              </w:rPr>
              <w:t>May 19</w:t>
            </w:r>
            <w:r w:rsidR="00BF2D35">
              <w:rPr>
                <w:rFonts w:ascii="Arial Black" w:hAnsi="Arial Black"/>
                <w:caps/>
                <w:sz w:val="15"/>
              </w:rPr>
              <w:t>, 2014</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8B2CC1" w:rsidRPr="003845C1" w:rsidRDefault="002B2C82" w:rsidP="00A610A6">
      <w:pPr>
        <w:rPr>
          <w:b/>
          <w:sz w:val="24"/>
          <w:szCs w:val="24"/>
        </w:rPr>
      </w:pPr>
      <w:r>
        <w:rPr>
          <w:b/>
          <w:sz w:val="24"/>
          <w:szCs w:val="24"/>
        </w:rPr>
        <w:t>Twent</w:t>
      </w:r>
      <w:r>
        <w:rPr>
          <w:rFonts w:hint="eastAsia"/>
          <w:b/>
          <w:sz w:val="24"/>
          <w:szCs w:val="24"/>
        </w:rPr>
        <w:t>y-</w:t>
      </w:r>
      <w:r w:rsidR="00633306">
        <w:rPr>
          <w:b/>
          <w:sz w:val="24"/>
          <w:szCs w:val="24"/>
        </w:rPr>
        <w:t>Eigh</w:t>
      </w:r>
      <w:r w:rsidR="00143933">
        <w:rPr>
          <w:b/>
          <w:sz w:val="24"/>
          <w:szCs w:val="24"/>
        </w:rPr>
        <w:t>th</w:t>
      </w:r>
      <w:r w:rsidR="00BA59E4">
        <w:rPr>
          <w:b/>
          <w:sz w:val="24"/>
          <w:szCs w:val="24"/>
        </w:rPr>
        <w:t xml:space="preserve"> </w:t>
      </w:r>
      <w:proofErr w:type="gramStart"/>
      <w:r w:rsidR="00BA59E4">
        <w:rPr>
          <w:b/>
          <w:sz w:val="24"/>
          <w:szCs w:val="24"/>
        </w:rPr>
        <w:t>Session</w:t>
      </w:r>
      <w:proofErr w:type="gramEnd"/>
    </w:p>
    <w:p w:rsidR="00BA59E4" w:rsidRPr="003845C1" w:rsidRDefault="00BA59E4" w:rsidP="00A610A6">
      <w:pPr>
        <w:rPr>
          <w:b/>
          <w:sz w:val="24"/>
          <w:szCs w:val="24"/>
        </w:rPr>
      </w:pPr>
      <w:r>
        <w:rPr>
          <w:b/>
          <w:sz w:val="24"/>
          <w:szCs w:val="24"/>
        </w:rPr>
        <w:t xml:space="preserve">Geneva, </w:t>
      </w:r>
      <w:r w:rsidR="00633306">
        <w:rPr>
          <w:b/>
          <w:sz w:val="24"/>
          <w:szCs w:val="24"/>
        </w:rPr>
        <w:t>July 7 to 9</w:t>
      </w:r>
      <w:r>
        <w:rPr>
          <w:b/>
          <w:sz w:val="24"/>
          <w:szCs w:val="24"/>
        </w:rPr>
        <w:t>, 201</w:t>
      </w:r>
      <w:r w:rsidR="00C8076B">
        <w:rPr>
          <w:b/>
          <w:sz w:val="24"/>
          <w:szCs w:val="24"/>
        </w:rPr>
        <w:t>4</w:t>
      </w:r>
    </w:p>
    <w:p w:rsidR="008B2CC1" w:rsidRPr="008B2CC1" w:rsidRDefault="008B2CC1" w:rsidP="00D40928"/>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rPr>
      </w:pPr>
    </w:p>
    <w:p w:rsidR="00931A24" w:rsidRPr="00F05DC0" w:rsidRDefault="00D771DD" w:rsidP="00931A24">
      <w:pPr>
        <w:rPr>
          <w:szCs w:val="22"/>
          <w:lang w:eastAsia="en-US"/>
        </w:rPr>
      </w:pPr>
      <w:r>
        <w:rPr>
          <w:szCs w:val="22"/>
        </w:rPr>
        <w:t>2.</w:t>
      </w:r>
      <w:r>
        <w:rPr>
          <w:szCs w:val="22"/>
        </w:rPr>
        <w:tab/>
      </w:r>
      <w:r>
        <w:rPr>
          <w:szCs w:val="22"/>
          <w:lang w:eastAsia="en-US"/>
        </w:rPr>
        <w:t>At its Nineteenth S</w:t>
      </w:r>
      <w:r w:rsidR="00931A24" w:rsidRPr="00F05DC0">
        <w:rPr>
          <w:szCs w:val="22"/>
          <w:lang w:eastAsia="en-US"/>
        </w:rPr>
        <w:t xml:space="preserve">ession, held from July 18 to 22, 2011, the IGC “invited the Secretariat to update the glossaries available in documents </w:t>
      </w:r>
      <w:r w:rsidR="007B0610">
        <w:rPr>
          <w:szCs w:val="22"/>
          <w:lang w:eastAsia="en-US"/>
        </w:rPr>
        <w:t>W</w:t>
      </w:r>
      <w:r w:rsidR="00931A24" w:rsidRPr="00F05DC0">
        <w:rPr>
          <w:szCs w:val="22"/>
          <w:lang w:eastAsia="en-US"/>
        </w:rPr>
        <w:t>IPO/GRTKF/IC/19/INF/7</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 xml:space="preserve">Glossary of </w:t>
      </w:r>
      <w:r w:rsidR="002D5E7F">
        <w:rPr>
          <w:szCs w:val="22"/>
          <w:lang w:eastAsia="en-US"/>
        </w:rPr>
        <w:br/>
      </w:r>
      <w:r w:rsidR="007B0610" w:rsidRPr="00F05DC0">
        <w:rPr>
          <w:szCs w:val="22"/>
          <w:lang w:eastAsia="en-US"/>
        </w:rPr>
        <w:t>Key Terms Related to Intellectual Property and T</w:t>
      </w:r>
      <w:r w:rsidR="00BD7B73">
        <w:rPr>
          <w:szCs w:val="22"/>
          <w:lang w:eastAsia="en-US"/>
        </w:rPr>
        <w:t>raditional Cultural Expressions</w:t>
      </w:r>
      <w:r w:rsidR="00BD7B73">
        <w:rPr>
          <w:szCs w:val="22"/>
        </w:rPr>
        <w:t>’</w:t>
      </w:r>
      <w:r w:rsidR="007B0610" w:rsidRPr="00F05DC0">
        <w:rPr>
          <w:szCs w:val="22"/>
          <w:lang w:eastAsia="en-US"/>
        </w:rPr>
        <w:t>)</w:t>
      </w:r>
      <w:r w:rsidR="007B0610" w:rsidRPr="00F05DC0">
        <w:rPr>
          <w:szCs w:val="22"/>
        </w:rPr>
        <w:t>,</w:t>
      </w:r>
      <w:r w:rsidR="007B0610">
        <w:rPr>
          <w:szCs w:val="22"/>
          <w:lang w:eastAsia="en-US"/>
        </w:rPr>
        <w:t xml:space="preserve"> </w:t>
      </w:r>
      <w:r w:rsidR="00931A24" w:rsidRPr="00F05DC0">
        <w:rPr>
          <w:szCs w:val="22"/>
          <w:lang w:eastAsia="en-US"/>
        </w:rPr>
        <w:t xml:space="preserve">WIPO/GRTKF/IC/19/INF/8 </w:t>
      </w:r>
      <w:r w:rsidR="00BD7B73">
        <w:rPr>
          <w:szCs w:val="22"/>
          <w:lang w:eastAsia="en-US"/>
        </w:rPr>
        <w:t>(</w:t>
      </w:r>
      <w:r w:rsidR="00BD7B73">
        <w:rPr>
          <w:szCs w:val="22"/>
        </w:rPr>
        <w:t>‘</w:t>
      </w:r>
      <w:r w:rsidR="007B0610" w:rsidRPr="00F05DC0">
        <w:rPr>
          <w:szCs w:val="22"/>
          <w:lang w:eastAsia="en-US"/>
        </w:rPr>
        <w:t>Glossary of Key Terms Related to Intellectual Pro</w:t>
      </w:r>
      <w:r w:rsidR="00BD7B73">
        <w:rPr>
          <w:szCs w:val="22"/>
          <w:lang w:eastAsia="en-US"/>
        </w:rPr>
        <w:t>perty and Traditional Knowledge</w:t>
      </w:r>
      <w:r w:rsidR="00BD7B73">
        <w:rPr>
          <w:szCs w:val="22"/>
        </w:rPr>
        <w:t>’</w:t>
      </w:r>
      <w:r w:rsidR="007B0610" w:rsidRPr="00F05DC0">
        <w:rPr>
          <w:szCs w:val="22"/>
          <w:lang w:eastAsia="en-US"/>
        </w:rPr>
        <w:t>)</w:t>
      </w:r>
      <w:r w:rsidR="007B0610">
        <w:rPr>
          <w:szCs w:val="22"/>
          <w:lang w:eastAsia="en-US"/>
        </w:rPr>
        <w:t xml:space="preserve"> </w:t>
      </w:r>
      <w:r w:rsidR="00931A24" w:rsidRPr="00F05DC0">
        <w:rPr>
          <w:szCs w:val="22"/>
          <w:lang w:eastAsia="en-US"/>
        </w:rPr>
        <w:t>and WIPO/GRTKF/IC/19/INF/9</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Glossary of Key Terms Related to Intellectual</w:t>
      </w:r>
      <w:r w:rsidR="00BD7B73">
        <w:rPr>
          <w:szCs w:val="22"/>
          <w:lang w:eastAsia="en-US"/>
        </w:rPr>
        <w:t xml:space="preserve"> Property and Genetic Resources</w:t>
      </w:r>
      <w:r w:rsidR="00BD7B73">
        <w:rPr>
          <w:szCs w:val="22"/>
        </w:rPr>
        <w:t>’</w:t>
      </w:r>
      <w:r w:rsidR="007B0610" w:rsidRPr="00F05DC0">
        <w:rPr>
          <w:szCs w:val="22"/>
          <w:lang w:eastAsia="en-US"/>
        </w:rPr>
        <w:t>)</w:t>
      </w:r>
      <w:r w:rsidR="00931A24" w:rsidRPr="00F05DC0">
        <w:rPr>
          <w:szCs w:val="22"/>
          <w:lang w:eastAsia="en-US"/>
        </w:rPr>
        <w:t>, to combine them in a single document and to publish that glossary as an information document for the next session of the IGC.”</w:t>
      </w:r>
      <w:r w:rsidR="00931A24" w:rsidRPr="00F05DC0">
        <w:rPr>
          <w:rStyle w:val="FootnoteReference"/>
          <w:szCs w:val="22"/>
          <w:lang w:eastAsia="en-US"/>
        </w:rPr>
        <w:footnoteReference w:id="3"/>
      </w:r>
    </w:p>
    <w:p w:rsidR="00931A24" w:rsidRPr="00F05DC0" w:rsidRDefault="00931A24" w:rsidP="00931A24">
      <w:pPr>
        <w:rPr>
          <w:szCs w:val="22"/>
          <w:lang w:eastAsia="en-US"/>
        </w:rPr>
      </w:pPr>
    </w:p>
    <w:p w:rsidR="00396645" w:rsidRDefault="005B1D12" w:rsidP="00931A24">
      <w:pPr>
        <w:rPr>
          <w:szCs w:val="22"/>
        </w:rPr>
      </w:pPr>
      <w:r>
        <w:rPr>
          <w:szCs w:val="22"/>
          <w:lang w:eastAsia="en-US"/>
        </w:rPr>
        <w:lastRenderedPageBreak/>
        <w:t>3</w:t>
      </w:r>
      <w:r w:rsidR="00931A24" w:rsidRPr="00F05DC0">
        <w:rPr>
          <w:szCs w:val="22"/>
          <w:lang w:eastAsia="en-US"/>
        </w:rPr>
        <w:t>.</w:t>
      </w:r>
      <w:r w:rsidR="00931A24" w:rsidRPr="00F05DC0">
        <w:rPr>
          <w:szCs w:val="22"/>
          <w:lang w:eastAsia="en-US"/>
        </w:rPr>
        <w:tab/>
      </w:r>
      <w:r w:rsidR="00931A24" w:rsidRPr="00F05DC0">
        <w:rPr>
          <w:szCs w:val="22"/>
        </w:rPr>
        <w:t>Pursuant to th</w:t>
      </w:r>
      <w:r>
        <w:rPr>
          <w:szCs w:val="22"/>
        </w:rPr>
        <w:t>at</w:t>
      </w:r>
      <w:r w:rsidR="00931A24" w:rsidRPr="00F05DC0">
        <w:rPr>
          <w:szCs w:val="22"/>
        </w:rPr>
        <w:t xml:space="preserve"> de</w:t>
      </w:r>
      <w:r w:rsidR="00D771DD">
        <w:rPr>
          <w:szCs w:val="22"/>
        </w:rPr>
        <w:t>cision</w:t>
      </w:r>
      <w:r w:rsidR="00931A24" w:rsidRPr="00F05DC0">
        <w:rPr>
          <w:szCs w:val="22"/>
        </w:rPr>
        <w:t>, and given that some terms contained in the glossaries are related to all three themes, the Secretariat consolidated the three glossaries into one, and updated some of the definitions included therein</w:t>
      </w:r>
      <w:r w:rsidR="00396645">
        <w:rPr>
          <w:szCs w:val="22"/>
        </w:rPr>
        <w:t xml:space="preserve">, taking </w:t>
      </w:r>
      <w:r w:rsidR="00931A24" w:rsidRPr="00F05DC0">
        <w:rPr>
          <w:szCs w:val="22"/>
        </w:rPr>
        <w:t xml:space="preserve">into account </w:t>
      </w:r>
      <w:r w:rsidR="00931A24">
        <w:rPr>
          <w:szCs w:val="22"/>
        </w:rPr>
        <w:t xml:space="preserve">instruments and other materials </w:t>
      </w:r>
      <w:r w:rsidR="00931A24" w:rsidRPr="00F05DC0">
        <w:rPr>
          <w:szCs w:val="22"/>
        </w:rPr>
        <w:t xml:space="preserve">that </w:t>
      </w:r>
      <w:r w:rsidR="00396645">
        <w:rPr>
          <w:szCs w:val="22"/>
        </w:rPr>
        <w:t>had co</w:t>
      </w:r>
      <w:r w:rsidR="00931A24" w:rsidRPr="00F05DC0">
        <w:rPr>
          <w:szCs w:val="22"/>
        </w:rPr>
        <w:t xml:space="preserve">me into existence after </w:t>
      </w:r>
      <w:r>
        <w:rPr>
          <w:szCs w:val="22"/>
        </w:rPr>
        <w:t xml:space="preserve">the publication of the previous, individual </w:t>
      </w:r>
      <w:r w:rsidR="00931A24" w:rsidRPr="00F05DC0">
        <w:rPr>
          <w:szCs w:val="22"/>
        </w:rPr>
        <w:t xml:space="preserve">versions of the glossaries.  In that respect, new terms </w:t>
      </w:r>
      <w:r w:rsidR="00396645">
        <w:rPr>
          <w:szCs w:val="22"/>
        </w:rPr>
        <w:t>were</w:t>
      </w:r>
      <w:r w:rsidR="00931A24" w:rsidRPr="00F05DC0">
        <w:rPr>
          <w:szCs w:val="22"/>
        </w:rPr>
        <w:t xml:space="preserve"> added and defined, while other terms </w:t>
      </w:r>
      <w:r w:rsidR="00396645">
        <w:rPr>
          <w:szCs w:val="22"/>
        </w:rPr>
        <w:t>were</w:t>
      </w:r>
      <w:r w:rsidR="00931A24" w:rsidRPr="00F05DC0">
        <w:rPr>
          <w:szCs w:val="22"/>
        </w:rPr>
        <w:t xml:space="preserve"> eliminated for the sake of conciseness.  Some definitions </w:t>
      </w:r>
      <w:r w:rsidR="00396645">
        <w:rPr>
          <w:szCs w:val="22"/>
        </w:rPr>
        <w:t>were</w:t>
      </w:r>
      <w:r w:rsidR="00931A24" w:rsidRPr="00F05DC0">
        <w:rPr>
          <w:szCs w:val="22"/>
        </w:rPr>
        <w:t xml:space="preserve"> redrafted.  </w:t>
      </w:r>
    </w:p>
    <w:p w:rsidR="00396645" w:rsidRDefault="00396645" w:rsidP="00931A24">
      <w:pPr>
        <w:rPr>
          <w:szCs w:val="22"/>
        </w:rPr>
      </w:pPr>
    </w:p>
    <w:p w:rsidR="00F12D49" w:rsidRPr="00F05DC0" w:rsidRDefault="00396645" w:rsidP="002247F0">
      <w:pPr>
        <w:contextualSpacing/>
        <w:rPr>
          <w:szCs w:val="22"/>
        </w:rPr>
      </w:pPr>
      <w:r>
        <w:rPr>
          <w:szCs w:val="22"/>
        </w:rPr>
        <w:t>4.</w:t>
      </w:r>
      <w:r>
        <w:rPr>
          <w:szCs w:val="22"/>
        </w:rPr>
        <w:tab/>
      </w:r>
      <w:r w:rsidR="00931A24" w:rsidRPr="00F05DC0">
        <w:rPr>
          <w:szCs w:val="22"/>
          <w:lang w:eastAsia="en-US"/>
        </w:rPr>
        <w:t xml:space="preserve">The updated, consolidated glossary </w:t>
      </w:r>
      <w:r w:rsidRPr="00DD49DC">
        <w:rPr>
          <w:szCs w:val="18"/>
        </w:rPr>
        <w:t>was made available as</w:t>
      </w:r>
      <w:r>
        <w:rPr>
          <w:szCs w:val="18"/>
        </w:rPr>
        <w:t xml:space="preserve"> an information document </w:t>
      </w:r>
      <w:r w:rsidR="009A0842">
        <w:rPr>
          <w:szCs w:val="18"/>
        </w:rPr>
        <w:br/>
      </w:r>
      <w:r>
        <w:rPr>
          <w:szCs w:val="18"/>
        </w:rPr>
        <w:t>for the Twentieth</w:t>
      </w:r>
      <w:r w:rsidR="00A610A6">
        <w:rPr>
          <w:szCs w:val="18"/>
        </w:rPr>
        <w:t>,</w:t>
      </w:r>
      <w:r>
        <w:rPr>
          <w:szCs w:val="18"/>
        </w:rPr>
        <w:t xml:space="preserve"> Twenty-First </w:t>
      </w:r>
      <w:r w:rsidR="00A610A6">
        <w:rPr>
          <w:szCs w:val="18"/>
        </w:rPr>
        <w:t xml:space="preserve">and Twenty-Second </w:t>
      </w:r>
      <w:r>
        <w:rPr>
          <w:szCs w:val="18"/>
        </w:rPr>
        <w:t>S</w:t>
      </w:r>
      <w:r w:rsidRPr="00DD49DC">
        <w:rPr>
          <w:szCs w:val="18"/>
        </w:rPr>
        <w:t>ession</w:t>
      </w:r>
      <w:r>
        <w:rPr>
          <w:szCs w:val="18"/>
        </w:rPr>
        <w:t>s</w:t>
      </w:r>
      <w:r w:rsidRPr="00DD49DC">
        <w:rPr>
          <w:szCs w:val="18"/>
        </w:rPr>
        <w:t xml:space="preserve"> of the IGC, he</w:t>
      </w:r>
      <w:r>
        <w:rPr>
          <w:szCs w:val="18"/>
        </w:rPr>
        <w:t xml:space="preserve">ld from </w:t>
      </w:r>
      <w:r w:rsidR="009A0842">
        <w:rPr>
          <w:szCs w:val="18"/>
        </w:rPr>
        <w:br/>
      </w:r>
      <w:r>
        <w:rPr>
          <w:szCs w:val="18"/>
        </w:rPr>
        <w:t>February 14 to 22, 2012</w:t>
      </w:r>
      <w:r w:rsidR="00A610A6">
        <w:rPr>
          <w:szCs w:val="18"/>
        </w:rPr>
        <w:t>,</w:t>
      </w:r>
      <w:r>
        <w:rPr>
          <w:szCs w:val="18"/>
        </w:rPr>
        <w:t xml:space="preserve"> from April 16 to 20, 2012, </w:t>
      </w:r>
      <w:r w:rsidR="00A610A6">
        <w:rPr>
          <w:szCs w:val="18"/>
        </w:rPr>
        <w:t xml:space="preserve">and from July 9 to 13, 2012, </w:t>
      </w:r>
      <w:r>
        <w:rPr>
          <w:szCs w:val="18"/>
        </w:rPr>
        <w:t>respectively</w:t>
      </w:r>
      <w:proofErr w:type="gramStart"/>
      <w:r>
        <w:rPr>
          <w:szCs w:val="18"/>
        </w:rPr>
        <w:t>,</w:t>
      </w:r>
      <w:proofErr w:type="gramEnd"/>
      <w:r w:rsidR="009A0842">
        <w:rPr>
          <w:szCs w:val="18"/>
        </w:rPr>
        <w:br/>
      </w:r>
      <w:r>
        <w:rPr>
          <w:szCs w:val="18"/>
        </w:rPr>
        <w:t>as documents WIPO/GRTKF/IC/20/INF/13</w:t>
      </w:r>
      <w:r w:rsidR="00A610A6">
        <w:rPr>
          <w:szCs w:val="18"/>
        </w:rPr>
        <w:t>,</w:t>
      </w:r>
      <w:r>
        <w:rPr>
          <w:szCs w:val="18"/>
        </w:rPr>
        <w:t xml:space="preserve"> WIPO/GRTKF/IC/21/INF/8, </w:t>
      </w:r>
      <w:r w:rsidR="00B94A29">
        <w:rPr>
          <w:szCs w:val="18"/>
        </w:rPr>
        <w:t xml:space="preserve">and </w:t>
      </w:r>
      <w:r w:rsidR="00A610A6">
        <w:rPr>
          <w:szCs w:val="18"/>
        </w:rPr>
        <w:t xml:space="preserve">WIPO/GRTKF/IC/22/INF/8, </w:t>
      </w:r>
      <w:r>
        <w:rPr>
          <w:szCs w:val="18"/>
        </w:rPr>
        <w:t xml:space="preserve">respectively. </w:t>
      </w:r>
      <w:r w:rsidR="00B94A29">
        <w:rPr>
          <w:szCs w:val="18"/>
        </w:rPr>
        <w:t xml:space="preserve"> </w:t>
      </w:r>
      <w:r>
        <w:rPr>
          <w:szCs w:val="18"/>
        </w:rPr>
        <w:t xml:space="preserve">The </w:t>
      </w:r>
      <w:r w:rsidR="00143933">
        <w:rPr>
          <w:rFonts w:hint="eastAsia"/>
          <w:szCs w:val="18"/>
        </w:rPr>
        <w:t>revised</w:t>
      </w:r>
      <w:r>
        <w:rPr>
          <w:szCs w:val="18"/>
        </w:rPr>
        <w:t xml:space="preserve"> version</w:t>
      </w:r>
      <w:r w:rsidR="00DE2433">
        <w:rPr>
          <w:szCs w:val="18"/>
        </w:rPr>
        <w:t xml:space="preserve"> of the glossary</w:t>
      </w:r>
      <w:r w:rsidR="00F12D49">
        <w:rPr>
          <w:szCs w:val="18"/>
        </w:rPr>
        <w:t xml:space="preserve"> </w:t>
      </w:r>
      <w:r w:rsidR="006A6CCE">
        <w:rPr>
          <w:szCs w:val="18"/>
        </w:rPr>
        <w:t>was</w:t>
      </w:r>
      <w:r w:rsidR="00143933">
        <w:rPr>
          <w:rFonts w:hint="eastAsia"/>
          <w:szCs w:val="18"/>
        </w:rPr>
        <w:t xml:space="preserve"> made available as information document</w:t>
      </w:r>
      <w:r w:rsidR="00366719">
        <w:rPr>
          <w:szCs w:val="18"/>
        </w:rPr>
        <w:t>s</w:t>
      </w:r>
      <w:r w:rsidR="00143933">
        <w:rPr>
          <w:rFonts w:hint="eastAsia"/>
          <w:szCs w:val="18"/>
        </w:rPr>
        <w:t xml:space="preserve"> for the Twenty-Third</w:t>
      </w:r>
      <w:r w:rsidR="00AF72C7">
        <w:rPr>
          <w:szCs w:val="18"/>
        </w:rPr>
        <w:t>,</w:t>
      </w:r>
      <w:r w:rsidR="00143933">
        <w:rPr>
          <w:rFonts w:hint="eastAsia"/>
          <w:szCs w:val="18"/>
        </w:rPr>
        <w:t xml:space="preserve"> </w:t>
      </w:r>
      <w:r w:rsidR="00D840BF">
        <w:rPr>
          <w:szCs w:val="18"/>
        </w:rPr>
        <w:t>Twenty-Fourth</w:t>
      </w:r>
      <w:r w:rsidR="004B06C0">
        <w:rPr>
          <w:szCs w:val="18"/>
        </w:rPr>
        <w:t xml:space="preserve">, </w:t>
      </w:r>
      <w:r w:rsidR="009A0842">
        <w:rPr>
          <w:szCs w:val="18"/>
        </w:rPr>
        <w:br/>
      </w:r>
      <w:r w:rsidR="00AF72C7">
        <w:rPr>
          <w:szCs w:val="18"/>
        </w:rPr>
        <w:t>Twenty-Fifth</w:t>
      </w:r>
      <w:r w:rsidR="00633306">
        <w:rPr>
          <w:szCs w:val="18"/>
        </w:rPr>
        <w:t>, Twenty-Sixth and Twenty-Seventh</w:t>
      </w:r>
      <w:r w:rsidR="00D840BF">
        <w:rPr>
          <w:szCs w:val="18"/>
        </w:rPr>
        <w:t xml:space="preserve"> </w:t>
      </w:r>
      <w:r w:rsidR="00143933">
        <w:rPr>
          <w:rFonts w:hint="eastAsia"/>
          <w:szCs w:val="18"/>
        </w:rPr>
        <w:t>Session</w:t>
      </w:r>
      <w:r w:rsidR="00D840BF">
        <w:rPr>
          <w:szCs w:val="18"/>
        </w:rPr>
        <w:t>s</w:t>
      </w:r>
      <w:r w:rsidR="00143933">
        <w:rPr>
          <w:rFonts w:hint="eastAsia"/>
          <w:szCs w:val="18"/>
        </w:rPr>
        <w:t xml:space="preserve"> of the IGC</w:t>
      </w:r>
      <w:r w:rsidR="004B06C0">
        <w:rPr>
          <w:rFonts w:hint="eastAsia"/>
          <w:szCs w:val="18"/>
        </w:rPr>
        <w:t>.</w:t>
      </w:r>
      <w:r w:rsidR="00F8098A">
        <w:rPr>
          <w:szCs w:val="18"/>
        </w:rPr>
        <w:t xml:space="preserve">  </w:t>
      </w:r>
      <w:r w:rsidR="00143933">
        <w:rPr>
          <w:rFonts w:hint="eastAsia"/>
          <w:szCs w:val="22"/>
        </w:rPr>
        <w:t>Th</w:t>
      </w:r>
      <w:r w:rsidR="002F62B1">
        <w:rPr>
          <w:szCs w:val="22"/>
        </w:rPr>
        <w:t>e</w:t>
      </w:r>
      <w:r w:rsidR="00F12D49">
        <w:rPr>
          <w:szCs w:val="22"/>
        </w:rPr>
        <w:t xml:space="preserve"> </w:t>
      </w:r>
      <w:r w:rsidR="002F62B1">
        <w:rPr>
          <w:szCs w:val="22"/>
        </w:rPr>
        <w:t xml:space="preserve">revised </w:t>
      </w:r>
      <w:r w:rsidR="00F12D49">
        <w:rPr>
          <w:szCs w:val="22"/>
        </w:rPr>
        <w:t xml:space="preserve">version </w:t>
      </w:r>
      <w:r w:rsidR="00ED1311">
        <w:rPr>
          <w:szCs w:val="22"/>
        </w:rPr>
        <w:t>no longer</w:t>
      </w:r>
      <w:r w:rsidR="00F12D49">
        <w:rPr>
          <w:szCs w:val="22"/>
        </w:rPr>
        <w:t xml:space="preserve"> contain</w:t>
      </w:r>
      <w:r w:rsidR="00ED1311">
        <w:rPr>
          <w:szCs w:val="22"/>
        </w:rPr>
        <w:t>s</w:t>
      </w:r>
      <w:r w:rsidR="00F12D49">
        <w:rPr>
          <w:szCs w:val="22"/>
        </w:rPr>
        <w:t xml:space="preserve"> any references to the texts being negotiated </w:t>
      </w:r>
      <w:r w:rsidR="00ED1311">
        <w:rPr>
          <w:szCs w:val="22"/>
        </w:rPr>
        <w:t>in</w:t>
      </w:r>
      <w:r w:rsidR="00F12D49">
        <w:rPr>
          <w:szCs w:val="22"/>
        </w:rPr>
        <w:t xml:space="preserve"> the IGC, to prevent </w:t>
      </w:r>
      <w:r w:rsidR="00ED1311">
        <w:rPr>
          <w:szCs w:val="22"/>
        </w:rPr>
        <w:t>the glossary becoming outdated</w:t>
      </w:r>
      <w:r w:rsidR="00F12D49">
        <w:rPr>
          <w:szCs w:val="22"/>
        </w:rPr>
        <w:t xml:space="preserve"> after each IGC session. </w:t>
      </w:r>
      <w:r w:rsidR="00AF72C7">
        <w:rPr>
          <w:szCs w:val="22"/>
        </w:rPr>
        <w:t xml:space="preserve"> </w:t>
      </w:r>
      <w:r w:rsidR="00143933">
        <w:rPr>
          <w:rFonts w:hint="eastAsia"/>
          <w:szCs w:val="22"/>
        </w:rPr>
        <w:t xml:space="preserve">The same version of the glossary </w:t>
      </w:r>
      <w:r w:rsidR="00143933" w:rsidRPr="00F05DC0">
        <w:rPr>
          <w:szCs w:val="22"/>
          <w:lang w:eastAsia="en-US"/>
        </w:rPr>
        <w:t xml:space="preserve">is </w:t>
      </w:r>
      <w:smartTag w:uri="urn:schemas-microsoft-com:office:smarttags" w:element="PersonName">
        <w:r w:rsidR="00143933" w:rsidRPr="00F05DC0">
          <w:rPr>
            <w:szCs w:val="22"/>
            <w:lang w:eastAsia="en-US"/>
          </w:rPr>
          <w:t>c</w:t>
        </w:r>
      </w:smartTag>
      <w:r w:rsidR="00143933" w:rsidRPr="00F05DC0">
        <w:rPr>
          <w:szCs w:val="22"/>
          <w:lang w:eastAsia="en-US"/>
        </w:rPr>
        <w:t>ontained in the Annex to the present do</w:t>
      </w:r>
      <w:smartTag w:uri="urn:schemas-microsoft-com:office:smarttags" w:element="PersonName">
        <w:r w:rsidR="00143933" w:rsidRPr="00F05DC0">
          <w:rPr>
            <w:szCs w:val="22"/>
            <w:lang w:eastAsia="en-US"/>
          </w:rPr>
          <w:t>c</w:t>
        </w:r>
      </w:smartTag>
      <w:r w:rsidR="00143933" w:rsidRPr="00F05DC0">
        <w:rPr>
          <w:szCs w:val="22"/>
          <w:lang w:eastAsia="en-US"/>
        </w:rPr>
        <w:t>ument</w:t>
      </w:r>
      <w:r w:rsidR="00143933">
        <w:rPr>
          <w:szCs w:val="22"/>
          <w:lang w:eastAsia="en-US"/>
        </w:rPr>
        <w:t xml:space="preserve">.  </w:t>
      </w:r>
    </w:p>
    <w:p w:rsidR="00931A24" w:rsidRPr="00F05DC0" w:rsidRDefault="00931A24" w:rsidP="00931A24">
      <w:pPr>
        <w:rPr>
          <w:szCs w:val="22"/>
          <w:lang w:eastAsia="en-US"/>
        </w:rPr>
      </w:pPr>
    </w:p>
    <w:p w:rsidR="00931A24" w:rsidRPr="00F05DC0" w:rsidRDefault="00396645" w:rsidP="00931A24">
      <w:pPr>
        <w:rPr>
          <w:szCs w:val="22"/>
        </w:rPr>
      </w:pPr>
      <w:r>
        <w:rPr>
          <w:szCs w:val="22"/>
          <w:lang w:eastAsia="en-US"/>
        </w:rPr>
        <w:t>5</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396645" w:rsidP="00F85B40">
      <w:pPr>
        <w:contextualSpacing/>
        <w:rPr>
          <w:szCs w:val="22"/>
        </w:rPr>
      </w:pPr>
      <w:r>
        <w:rPr>
          <w:szCs w:val="22"/>
        </w:rPr>
        <w:t>6</w:t>
      </w:r>
      <w:r w:rsidR="00931A24" w:rsidRPr="00F05DC0">
        <w:rPr>
          <w:szCs w:val="22"/>
        </w:rPr>
        <w:t>.</w:t>
      </w:r>
      <w:r w:rsidR="00931A24" w:rsidRPr="00F05DC0">
        <w:rPr>
          <w:szCs w:val="22"/>
        </w:rPr>
        <w:tab/>
        <w:t xml:space="preserve">The selection of key terms is based on the terms used most frequently in the draft articles and other related documents.  The selection and proposed definitions contained in the </w:t>
      </w:r>
      <w:r w:rsidR="002D5E7F">
        <w:rPr>
          <w:szCs w:val="22"/>
        </w:rPr>
        <w:br/>
      </w:r>
      <w:r w:rsidR="00931A24" w:rsidRPr="00F05DC0">
        <w:rPr>
          <w:szCs w:val="22"/>
        </w:rPr>
        <w:t xml:space="preserve">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396645" w:rsidP="00931A24">
      <w:pPr>
        <w:pStyle w:val="DecisionInvitingPara"/>
        <w:ind w:left="5533"/>
        <w:rPr>
          <w:rFonts w:cs="Arial"/>
          <w:sz w:val="22"/>
          <w:szCs w:val="22"/>
        </w:rPr>
      </w:pPr>
      <w:r>
        <w:rPr>
          <w:rFonts w:cs="Arial"/>
          <w:sz w:val="22"/>
          <w:szCs w:val="22"/>
        </w:rPr>
        <w:t>7</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 xml:space="preserve">(1992) prescribes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5" w:name="_Ref289433821"/>
      <w:r w:rsidRPr="00F05DC0">
        <w:rPr>
          <w:rStyle w:val="FootnoteReference"/>
          <w:szCs w:val="22"/>
        </w:rPr>
        <w:footnoteReference w:id="6"/>
      </w:r>
      <w:bookmarkEnd w:id="5"/>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F81B09" w:rsidRPr="00F81B09" w:rsidRDefault="00931A24" w:rsidP="00F81B09">
      <w:pPr>
        <w:tabs>
          <w:tab w:val="num" w:pos="1440"/>
        </w:tabs>
        <w:spacing w:line="260" w:lineRule="atLeast"/>
        <w:rPr>
          <w:i/>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p>
    <w:p w:rsidR="00931A24" w:rsidRPr="00F05DC0" w:rsidRDefault="00F81B09" w:rsidP="00F81B09">
      <w:pPr>
        <w:tabs>
          <w:tab w:val="num" w:pos="1440"/>
        </w:tabs>
        <w:spacing w:line="260" w:lineRule="atLeast"/>
        <w:rPr>
          <w:bCs/>
          <w:szCs w:val="22"/>
        </w:rPr>
      </w:pPr>
      <w:r w:rsidRPr="00F81B09">
        <w:rPr>
          <w:i/>
          <w:szCs w:val="22"/>
        </w:rPr>
        <w:t>the Benefits Arising out of their Utilization</w:t>
      </w:r>
      <w:r w:rsidRPr="00F81B09">
        <w:rPr>
          <w:szCs w:val="22"/>
        </w:rPr>
        <w:t xml:space="preserve"> </w:t>
      </w:r>
      <w:r w:rsidR="00931A24" w:rsidRPr="00F05DC0">
        <w:rPr>
          <w:szCs w:val="22"/>
        </w:rPr>
        <w:t xml:space="preserve">were adopted in 2002 by the Conference of </w:t>
      </w:r>
      <w:r w:rsidR="00931A24">
        <w:rPr>
          <w:szCs w:val="22"/>
        </w:rPr>
        <w:t xml:space="preserve">the </w:t>
      </w:r>
      <w:r w:rsidR="00931A24" w:rsidRPr="00F05DC0">
        <w:rPr>
          <w:szCs w:val="22"/>
        </w:rPr>
        <w:t xml:space="preserve">Parties of the </w:t>
      </w:r>
      <w:r w:rsidR="00931A24" w:rsidRPr="00F05DC0">
        <w:rPr>
          <w:i/>
          <w:szCs w:val="22"/>
        </w:rPr>
        <w:t xml:space="preserve">Convention on Biological Diversity </w:t>
      </w:r>
      <w:r w:rsidR="00931A24" w:rsidRPr="00F05DC0">
        <w:rPr>
          <w:szCs w:val="22"/>
        </w:rPr>
        <w:t>in order to provide guidance in respect of implementation of relevant provisions under Articles 8(j), 10(c), 15, 16 and 19 of the Convention</w:t>
      </w:r>
      <w:r w:rsidR="00931A24" w:rsidRPr="00F05DC0">
        <w:rPr>
          <w:i/>
          <w:szCs w:val="22"/>
        </w:rPr>
        <w:t xml:space="preserve"> </w:t>
      </w:r>
      <w:r w:rsidR="00931A24" w:rsidRPr="00F05DC0">
        <w:rPr>
          <w:szCs w:val="22"/>
        </w:rPr>
        <w:t>related to access to genetic resources and benefit-sharing.  The Guidelines are voluntary in nature and are addressed to a range of stakeholders.</w:t>
      </w:r>
      <w:r w:rsidR="00931A24" w:rsidRPr="00F05DC0">
        <w:rPr>
          <w:rStyle w:val="FootnoteReference"/>
          <w:szCs w:val="22"/>
        </w:rPr>
        <w:footnoteReference w:id="16"/>
      </w:r>
      <w:r w:rsidR="00931A24" w:rsidRPr="00F05DC0">
        <w:rPr>
          <w:szCs w:val="22"/>
        </w:rPr>
        <w:t xml:space="preserve">  They cover procedural and regulatory aspects, in particular, of prior informed consent, and identify monetary and non-monetary forms of benefit-sharing.</w:t>
      </w:r>
      <w:r w:rsidR="00931A24"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610F7E"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p>
    <w:p w:rsidR="00931A24" w:rsidRPr="007E3B38" w:rsidRDefault="00931A24" w:rsidP="00931A24">
      <w:pPr>
        <w:pStyle w:val="FootnoteText"/>
        <w:spacing w:line="260" w:lineRule="atLeast"/>
        <w:rPr>
          <w:sz w:val="22"/>
          <w:szCs w:val="22"/>
        </w:rPr>
      </w:pP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smartTag w:uri="urn:schemas-microsoft-com:office:smarttags" w:element="place">
        <w:r w:rsidRPr="007E3B38">
          <w:rPr>
            <w:sz w:val="22"/>
            <w:szCs w:val="22"/>
          </w:rPr>
          <w:t>South Asia</w:t>
        </w:r>
      </w:smartTag>
      <w:r w:rsidRPr="007E3B38">
        <w:rPr>
          <w:sz w:val="22"/>
          <w:szCs w:val="22"/>
        </w:rPr>
        <w:t xml:space="preserve">,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w:t>
      </w:r>
      <w:proofErr w:type="spellStart"/>
      <w:r w:rsidRPr="007E3B38">
        <w:rPr>
          <w:sz w:val="22"/>
          <w:szCs w:val="22"/>
        </w:rPr>
        <w:t>Unani</w:t>
      </w:r>
      <w:proofErr w:type="spellEnd"/>
      <w:r w:rsidRPr="007E3B38">
        <w:rPr>
          <w:sz w:val="22"/>
          <w:szCs w:val="22"/>
        </w:rPr>
        <w:t xml:space="preserve"> </w:t>
      </w:r>
      <w:proofErr w:type="spellStart"/>
      <w:r w:rsidRPr="007E3B38">
        <w:rPr>
          <w:sz w:val="22"/>
          <w:szCs w:val="22"/>
        </w:rPr>
        <w:t>Tibb</w:t>
      </w:r>
      <w:proofErr w:type="spellEnd"/>
      <w:r w:rsidRPr="007E3B38">
        <w:rPr>
          <w:sz w:val="22"/>
          <w:szCs w:val="22"/>
        </w:rPr>
        <w:t xml:space="preserve"> tradition, as codified in 13 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6" w:name="_Ref292464692"/>
      <w:r w:rsidRPr="007E3B38">
        <w:rPr>
          <w:rStyle w:val="FootnoteReference"/>
          <w:sz w:val="22"/>
          <w:szCs w:val="22"/>
          <w:lang w:val="en"/>
        </w:rPr>
        <w:footnoteReference w:id="25"/>
      </w:r>
      <w:bookmarkEnd w:id="6"/>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7" w:name="_Ref289689074"/>
      <w:r w:rsidRPr="007E3B38">
        <w:rPr>
          <w:rStyle w:val="FootnoteReference"/>
          <w:sz w:val="22"/>
          <w:szCs w:val="22"/>
          <w:lang w:val="en-GB"/>
        </w:rPr>
        <w:footnoteReference w:id="26"/>
      </w:r>
      <w:bookmarkEnd w:id="7"/>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Pr="007E3B38">
        <w:rPr>
          <w:sz w:val="22"/>
          <w:szCs w:val="22"/>
        </w:rPr>
        <w:t xml:space="preserve"> (1972), the 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(b)  groups of building</w:t>
      </w:r>
      <w:r w:rsidR="006F4289">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w:t>
      </w:r>
      <w:proofErr w:type="spellStart"/>
      <w:r w:rsidRPr="007E3B38">
        <w:rPr>
          <w:sz w:val="22"/>
          <w:szCs w:val="22"/>
        </w:rPr>
        <w:t>o</w:t>
      </w:r>
      <w:r w:rsidRPr="007E3B38">
        <w:rPr>
          <w:sz w:val="22"/>
          <w:szCs w:val="22"/>
          <w:lang w:val="en"/>
        </w:rPr>
        <w:t>ne</w:t>
      </w:r>
      <w:proofErr w:type="spellEnd"/>
      <w:r w:rsidRPr="007E3B38">
        <w:rPr>
          <w:sz w:val="22"/>
          <w:szCs w:val="22"/>
          <w:lang w:val="en"/>
        </w:rPr>
        <w:t xml:space="preserv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8" w:name="_Ref289432997"/>
      <w:bookmarkStart w:id="9" w:name="_Ref292464396"/>
      <w:r w:rsidRPr="007E3B38">
        <w:rPr>
          <w:rStyle w:val="FootnoteReference"/>
          <w:sz w:val="22"/>
          <w:szCs w:val="22"/>
        </w:rPr>
        <w:footnoteReference w:id="41"/>
      </w:r>
      <w:bookmarkEnd w:id="8"/>
      <w:bookmarkEnd w:id="9"/>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0" w:name="_Ref289689306"/>
      <w:r w:rsidRPr="007E3B38">
        <w:rPr>
          <w:rStyle w:val="FootnoteReference"/>
          <w:sz w:val="22"/>
          <w:szCs w:val="22"/>
        </w:rPr>
        <w:footnoteReference w:id="42"/>
      </w:r>
      <w:bookmarkEnd w:id="10"/>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931A24" w:rsidRPr="007E3B38" w:rsidRDefault="00931A24" w:rsidP="009A736D">
      <w:pPr>
        <w:numPr>
          <w:ilvl w:val="0"/>
          <w:numId w:val="5"/>
        </w:numPr>
        <w:tabs>
          <w:tab w:val="num" w:pos="3978"/>
        </w:tabs>
        <w:spacing w:line="260" w:lineRule="exact"/>
        <w:ind w:left="567" w:firstLine="0"/>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931A24" w:rsidRPr="007E3B38" w:rsidRDefault="00931A24" w:rsidP="009A736D">
      <w:pPr>
        <w:numPr>
          <w:ilvl w:val="0"/>
          <w:numId w:val="5"/>
        </w:numPr>
        <w:tabs>
          <w:tab w:val="num" w:pos="3411"/>
        </w:tabs>
        <w:spacing w:line="260" w:lineRule="exact"/>
        <w:ind w:left="567" w:firstLine="0"/>
        <w:rPr>
          <w:szCs w:val="22"/>
        </w:rPr>
      </w:pPr>
      <w:r w:rsidRPr="007E3B38">
        <w:rPr>
          <w:szCs w:val="22"/>
        </w:rPr>
        <w:t xml:space="preserve">to disclose the actual source of the genetic resources/traditional knowledge (a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931A24" w:rsidRPr="007E3B38" w:rsidRDefault="00931A24" w:rsidP="009A736D">
      <w:pPr>
        <w:numPr>
          <w:ilvl w:val="0"/>
          <w:numId w:val="5"/>
        </w:numPr>
        <w:tabs>
          <w:tab w:val="num" w:pos="3435"/>
        </w:tabs>
        <w:spacing w:line="260" w:lineRule="exact"/>
        <w:ind w:left="567" w:firstLine="0"/>
        <w:rPr>
          <w:szCs w:val="22"/>
        </w:rPr>
      </w:pPr>
      <w:r w:rsidRPr="007E3B38">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w:t>
      </w:r>
      <w:r w:rsidRPr="007E3B38">
        <w:rPr>
          <w:szCs w:val="22"/>
        </w:rPr>
        <w:lastRenderedPageBreak/>
        <w:t>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(see </w:t>
      </w:r>
      <w:r w:rsidR="005B08F5">
        <w:rPr>
          <w:szCs w:val="22"/>
        </w:rPr>
        <w:br/>
      </w:r>
      <w:r w:rsidRPr="007E3B38">
        <w:rPr>
          <w:szCs w:val="22"/>
        </w:rPr>
        <w:t>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 xml:space="preserve">International Code of Conduct for Plant </w:t>
      </w:r>
      <w:proofErr w:type="spellStart"/>
      <w:r w:rsidRPr="007E3B38">
        <w:rPr>
          <w:i/>
          <w:szCs w:val="22"/>
        </w:rPr>
        <w:t>Germplasm</w:t>
      </w:r>
      <w:proofErr w:type="spellEnd"/>
      <w:r w:rsidRPr="007E3B38">
        <w:rPr>
          <w:i/>
          <w:szCs w:val="22"/>
        </w:rPr>
        <w:t xml:space="preserve">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AF287D" w:rsidRDefault="00AF287D" w:rsidP="00931A24">
      <w:pPr>
        <w:spacing w:line="260" w:lineRule="atLeast"/>
        <w:rPr>
          <w:b/>
          <w:szCs w:val="22"/>
          <w:lang w:val="en"/>
        </w:rPr>
      </w:pPr>
    </w:p>
    <w:p w:rsidR="00AF287D" w:rsidRDefault="00AF287D"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1" w:name="_Ref289444051"/>
      <w:r w:rsidRPr="007E3B38">
        <w:rPr>
          <w:rStyle w:val="FootnoteReference"/>
          <w:szCs w:val="22"/>
        </w:rPr>
        <w:footnoteReference w:id="68"/>
      </w:r>
      <w:bookmarkEnd w:id="11"/>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w:t>
      </w:r>
      <w:r w:rsidRPr="007E3B38">
        <w:rPr>
          <w:szCs w:val="22"/>
        </w:rPr>
        <w:lastRenderedPageBreak/>
        <w:t xml:space="preserve">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proofErr w:type="spellStart"/>
      <w:r w:rsidRPr="007E3B38">
        <w:rPr>
          <w:szCs w:val="22"/>
        </w:rPr>
        <w:t>germplasm</w:t>
      </w:r>
      <w:proofErr w:type="spellEnd"/>
      <w:r w:rsidRPr="007E3B38">
        <w:rPr>
          <w:szCs w:val="22"/>
        </w:rPr>
        <w:t xml:space="preserve"> of plants, animals or other organisms containing useful characters of actual or potential value.  In a domesticated species it is the sum of all the genetic combinations produced in the process of evolution.”</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lastRenderedPageBreak/>
        <w:t xml:space="preserve">Article 2 of the FAO </w:t>
      </w:r>
      <w:r w:rsidRPr="007E3B38">
        <w:rPr>
          <w:rStyle w:val="Emphasis"/>
          <w:szCs w:val="22"/>
        </w:rPr>
        <w:t xml:space="preserve">International Code of Conduct for Plant </w:t>
      </w:r>
      <w:proofErr w:type="spellStart"/>
      <w:r w:rsidRPr="007E3B38">
        <w:rPr>
          <w:rStyle w:val="Emphasis"/>
          <w:szCs w:val="22"/>
        </w:rPr>
        <w:t>Germplasm</w:t>
      </w:r>
      <w:proofErr w:type="spellEnd"/>
      <w:r w:rsidRPr="007E3B38">
        <w:rPr>
          <w:rStyle w:val="Emphasis"/>
          <w:szCs w:val="22"/>
        </w:rPr>
        <w:t xml:space="preserve">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w:t>
      </w:r>
      <w:r w:rsidRPr="007E3B38">
        <w:rPr>
          <w:szCs w:val="22"/>
        </w:rPr>
        <w:lastRenderedPageBreak/>
        <w:t>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 xml:space="preserve">“Local and indigenous communities” is used in Article 9.1:  “[t]he Contracting Parties recognize the enormous contribution that the local </w:t>
      </w:r>
      <w:r w:rsidRPr="007E3B38">
        <w:rPr>
          <w:szCs w:val="22"/>
        </w:rPr>
        <w:lastRenderedPageBreak/>
        <w:t>and indigenous communities and farmers of all regions of the world…”. “Local communities” is used in Article 5.1:  “[e]ach Contracting Party … shall in part</w:t>
      </w:r>
      <w:r w:rsidR="00451286">
        <w:rPr>
          <w:szCs w:val="22"/>
        </w:rPr>
        <w:t>icular, as appropriate:  … (c) [p]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 xml:space="preserve">‘pre-invasion’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w:t>
      </w:r>
      <w:r w:rsidRPr="007E3B38">
        <w:rPr>
          <w:szCs w:val="22"/>
        </w:rPr>
        <w:lastRenderedPageBreak/>
        <w:t>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920AF8">
      <w:pPr>
        <w:pStyle w:val="Default"/>
        <w:numPr>
          <w:ilvl w:val="0"/>
          <w:numId w:val="7"/>
        </w:numPr>
        <w:tabs>
          <w:tab w:val="left" w:pos="60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w:t>
      </w:r>
      <w:r w:rsidRPr="007E3B38">
        <w:rPr>
          <w:iCs/>
          <w:szCs w:val="22"/>
          <w:lang w:val="en-GB"/>
        </w:rPr>
        <w:lastRenderedPageBreak/>
        <w:t xml:space="preserve">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xml:space="preserve">[...] Aboriginal Peoples of </w:t>
      </w:r>
      <w:smartTag w:uri="urn:schemas-microsoft-com:office:smarttags" w:element="country-region">
        <w:r w:rsidRPr="007E3B38">
          <w:rPr>
            <w:i/>
            <w:szCs w:val="22"/>
          </w:rPr>
          <w:t>Canada</w:t>
        </w:r>
      </w:smartTag>
      <w:r w:rsidRPr="007E3B38">
        <w:rPr>
          <w:i/>
          <w:szCs w:val="22"/>
        </w:rPr>
        <w:t xml:space="preserve"> includes the Indian, Inuit and Métis peoples of </w:t>
      </w:r>
      <w:smartTag w:uri="urn:schemas-microsoft-com:office:smarttags" w:element="place">
        <w:smartTag w:uri="urn:schemas-microsoft-com:office:smarttags" w:element="country-region">
          <w:r w:rsidRPr="007E3B38">
            <w:rPr>
              <w:i/>
              <w:szCs w:val="22"/>
            </w:rPr>
            <w:t>Canada</w:t>
          </w:r>
        </w:smartTag>
      </w:smartTag>
      <w:r w:rsidRPr="007E3B38">
        <w:rPr>
          <w:i/>
          <w:szCs w:val="22"/>
        </w:rPr>
        <w:t>.</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 xml:space="preserve">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w:t>
      </w:r>
      <w:r w:rsidRPr="007E3B38">
        <w:rPr>
          <w:szCs w:val="22"/>
        </w:rPr>
        <w:lastRenderedPageBreak/>
        <w:t>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095694" w:rsidRPr="007E3B38" w:rsidRDefault="00095694" w:rsidP="00931A24">
      <w:pPr>
        <w:spacing w:line="260" w:lineRule="atLeast"/>
        <w:rPr>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Pr="007E3B38">
        <w:rPr>
          <w:szCs w:val="22"/>
        </w:rPr>
        <w:t xml:space="preserve">The </w:t>
      </w:r>
      <w:r w:rsidRPr="007E3B38">
        <w:rPr>
          <w:szCs w:val="22"/>
        </w:rPr>
        <w:lastRenderedPageBreak/>
        <w:t>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(ii) the amendments which have entered into force pursuant to Article 2(2) of the European Convention prior to the entry into force of this Agreement;</w:t>
      </w:r>
      <w:r w:rsidRPr="007E3B38">
        <w:rPr>
          <w:szCs w:val="22"/>
        </w:rPr>
        <w:t xml:space="preserve">  </w:t>
      </w:r>
      <w:r w:rsidRPr="007E3B38">
        <w:rPr>
          <w:szCs w:val="22"/>
          <w:lang w:val="en"/>
        </w:rPr>
        <w:t>(iii) 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w:t>
      </w:r>
      <w:proofErr w:type="spellStart"/>
      <w:r w:rsidRPr="007E3B38">
        <w:rPr>
          <w:szCs w:val="22"/>
        </w:rPr>
        <w:t>germplasm</w:t>
      </w:r>
      <w:proofErr w:type="spellEnd"/>
      <w:r w:rsidRPr="007E3B38">
        <w:rPr>
          <w:szCs w:val="22"/>
        </w:rPr>
        <w:t xml:space="preserve">, microorganisms and cell cultures to exchange of materials from a provider to a recipient and setting conditions for access to public </w:t>
      </w:r>
      <w:proofErr w:type="spellStart"/>
      <w:r w:rsidRPr="007E3B38">
        <w:rPr>
          <w:szCs w:val="22"/>
        </w:rPr>
        <w:t>germplasm</w:t>
      </w:r>
      <w:proofErr w:type="spellEnd"/>
      <w:r w:rsidRPr="007E3B38">
        <w:rPr>
          <w:szCs w:val="22"/>
        </w:rPr>
        <w:t xml:space="preserve">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proofErr w:type="spellStart"/>
      <w:r w:rsidRPr="007E3B38">
        <w:rPr>
          <w:iCs/>
          <w:szCs w:val="22"/>
        </w:rPr>
        <w:t>non dominant</w:t>
      </w:r>
      <w:proofErr w:type="spellEnd"/>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In the field of intellectual property, Black’s Law Dictionary defines “misappropriation” as “the common-law tort of using the </w:t>
      </w:r>
      <w:proofErr w:type="spellStart"/>
      <w:r w:rsidRPr="007E3B38">
        <w:rPr>
          <w:szCs w:val="22"/>
        </w:rPr>
        <w:t>noncopyrightable</w:t>
      </w:r>
      <w:proofErr w:type="spellEnd"/>
      <w:r w:rsidRPr="007E3B38">
        <w:rPr>
          <w:szCs w:val="22"/>
        </w:rPr>
        <w:t xml:space="preserve"> information or ideas that an organization collects and disseminates for a profit to compete unfairly against that organization, or copying a work whose creator has not yet claimed or been granted exclusive rights in the work. […] The elements of misappropriation are:  (1) the plaintiff must have invested time, money, or effort to extract the information, (2) the defendant must have taken the information with no similar investment, and (3) 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 acquisition, appropriation or use of traditional knowledge</w:t>
      </w:r>
      <w:r w:rsidRPr="007E3B38">
        <w:rPr>
          <w:i/>
          <w:szCs w:val="22"/>
        </w:rPr>
        <w:t xml:space="preserve"> </w:t>
      </w:r>
      <w:r w:rsidRPr="007E3B38">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w:t>
      </w:r>
      <w:proofErr w:type="spellStart"/>
      <w:r w:rsidRPr="007E3B38">
        <w:rPr>
          <w:szCs w:val="22"/>
        </w:rPr>
        <w:t>nonpatented</w:t>
      </w:r>
      <w:proofErr w:type="spellEnd"/>
      <w:r w:rsidRPr="007E3B38">
        <w:rPr>
          <w:szCs w:val="22"/>
        </w:rPr>
        <w:t xml:space="preserve">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2" w:name="_Ref289681765"/>
      <w:r w:rsidRPr="007E3B38">
        <w:rPr>
          <w:rStyle w:val="FootnoteReference"/>
          <w:szCs w:val="22"/>
          <w:lang w:val="en"/>
        </w:rPr>
        <w:footnoteReference w:id="116"/>
      </w:r>
      <w:bookmarkEnd w:id="12"/>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Pr="007E3B38">
        <w:rPr>
          <w:szCs w:val="22"/>
        </w:rPr>
        <w:t>Rule 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281E50" w:rsidRPr="007E3B38" w:rsidRDefault="00281E50"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w:t>
      </w:r>
      <w:r w:rsidRPr="007E3B38">
        <w:rPr>
          <w:szCs w:val="22"/>
        </w:rPr>
        <w:lastRenderedPageBreak/>
        <w:t>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proofErr w:type="spellStart"/>
      <w:r w:rsidRPr="007E3B38">
        <w:rPr>
          <w:i/>
          <w:szCs w:val="22"/>
        </w:rPr>
        <w:t>Transboundary</w:t>
      </w:r>
      <w:proofErr w:type="spellEnd"/>
      <w:r w:rsidRPr="007E3B38">
        <w:rPr>
          <w:i/>
          <w:szCs w:val="22"/>
        </w:rPr>
        <w:t xml:space="preserve">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w:t>
      </w:r>
      <w:r w:rsidRPr="007E3B38">
        <w:rPr>
          <w:rStyle w:val="longdesc"/>
          <w:szCs w:val="22"/>
        </w:rPr>
        <w:lastRenderedPageBreak/>
        <w:t>diagnosis affecting an individual’s genome the potential risks and benefits should be assessed 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Pr="007E3B38">
        <w:rPr>
          <w:szCs w:val="22"/>
        </w:rPr>
        <w:t xml:space="preserve">  Two 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 declaratory regime relating to traditional knowledge recognizes that the rights over traditional knowledge do not arise due to any act of government but rather are based upon pre–existing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26 June 2000 on the Special Intellectual Property Regime with Respect to the Collective Rights of </w:t>
      </w:r>
      <w:r w:rsidRPr="00813660">
        <w:rPr>
          <w:i/>
          <w:szCs w:val="22"/>
        </w:rPr>
        <w:lastRenderedPageBreak/>
        <w:t>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xml:space="preserve">, and is being implemented at CSIR.  An inter-disciplinary team of Traditional Medicine (Ayurveda, </w:t>
      </w:r>
      <w:proofErr w:type="spellStart"/>
      <w:r w:rsidRPr="007E3B38">
        <w:rPr>
          <w:szCs w:val="22"/>
        </w:rPr>
        <w:t>Unani</w:t>
      </w:r>
      <w:proofErr w:type="spellEnd"/>
      <w:r w:rsidRPr="007E3B38">
        <w:rPr>
          <w:szCs w:val="22"/>
        </w:rPr>
        <w:t xml:space="preserve">,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w:t>
      </w:r>
      <w:proofErr w:type="spellStart"/>
      <w:r w:rsidRPr="007E3B38">
        <w:rPr>
          <w:szCs w:val="22"/>
        </w:rPr>
        <w:t>Unani</w:t>
      </w:r>
      <w:proofErr w:type="spellEnd"/>
      <w:r w:rsidRPr="007E3B38">
        <w:rPr>
          <w:szCs w:val="22"/>
        </w:rPr>
        <w:t>,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w:t>
      </w:r>
      <w:proofErr w:type="spellStart"/>
      <w:r w:rsidRPr="007E3B38">
        <w:rPr>
          <w:szCs w:val="22"/>
        </w:rPr>
        <w:t>Unani</w:t>
      </w:r>
      <w:proofErr w:type="spellEnd"/>
      <w:r w:rsidRPr="007E3B38">
        <w:rPr>
          <w:szCs w:val="22"/>
        </w:rPr>
        <w:t>,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 xml:space="preserve">The Convention has several objectives set out in Article 1, namely (a) to protect and promote the diversity of cultural expressions; </w:t>
      </w:r>
      <w:r w:rsidR="0079064A">
        <w:rPr>
          <w:szCs w:val="22"/>
        </w:rPr>
        <w:t xml:space="preserve"> </w:t>
      </w:r>
      <w:r w:rsidRPr="007E3B38">
        <w:rPr>
          <w:szCs w:val="22"/>
        </w:rPr>
        <w:t xml:space="preserve">(b) to create the conditions for cultures to flourish and to freely interact in a mutually beneficial manner; </w:t>
      </w:r>
      <w:r w:rsidR="0079064A">
        <w:rPr>
          <w:szCs w:val="22"/>
        </w:rPr>
        <w:t xml:space="preserve"> </w:t>
      </w:r>
      <w:r w:rsidRPr="007E3B38">
        <w:rPr>
          <w:szCs w:val="22"/>
        </w:rPr>
        <w:t xml:space="preserve">(c)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 xml:space="preserve">(d)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(g) to give recognition to the distinctive nature of cultural activities, goods and services as vehicles of identity, values and meaning;</w:t>
      </w:r>
      <w:r w:rsidR="0079064A">
        <w:rPr>
          <w:szCs w:val="22"/>
        </w:rPr>
        <w:t xml:space="preserve"> </w:t>
      </w:r>
      <w:r w:rsidRPr="007E3B38">
        <w:rPr>
          <w:szCs w:val="22"/>
        </w:rPr>
        <w:t xml:space="preserve"> (h)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[and] (</w:t>
      </w:r>
      <w:proofErr w:type="spellStart"/>
      <w:r w:rsidRPr="007E3B38">
        <w:rPr>
          <w:szCs w:val="22"/>
        </w:rPr>
        <w:t>i</w:t>
      </w:r>
      <w:proofErr w:type="spellEnd"/>
      <w:r w:rsidRPr="007E3B38">
        <w:rPr>
          <w:szCs w:val="22"/>
        </w:rPr>
        <w:t>) 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all acts of such a nature as to create confusion by any means whatever with the establishment, the goods, or the industrial or commercial activities, of a competitor;  (ii)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Intellectual property rights and other legal tools may be available to protect the knowledge when it is documented, but only if the ri</w:t>
      </w:r>
      <w:bookmarkStart w:id="13" w:name="_GoBack"/>
      <w:bookmarkEnd w:id="13"/>
      <w:r w:rsidRPr="007E3B38">
        <w:rPr>
          <w:szCs w:val="22"/>
        </w:rPr>
        <w:t xml:space="preserve">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C0" w:rsidRDefault="004B06C0">
      <w:r>
        <w:separator/>
      </w:r>
    </w:p>
  </w:endnote>
  <w:endnote w:type="continuationSeparator" w:id="0">
    <w:p w:rsidR="004B06C0" w:rsidRDefault="004B06C0" w:rsidP="003B38C1">
      <w:r>
        <w:separator/>
      </w:r>
    </w:p>
    <w:p w:rsidR="004B06C0" w:rsidRPr="003B38C1" w:rsidRDefault="004B06C0" w:rsidP="003B38C1">
      <w:pPr>
        <w:spacing w:after="60"/>
        <w:rPr>
          <w:sz w:val="17"/>
        </w:rPr>
      </w:pPr>
      <w:r>
        <w:rPr>
          <w:sz w:val="17"/>
        </w:rPr>
        <w:t>[Endnote continued from previous page]</w:t>
      </w:r>
    </w:p>
  </w:endnote>
  <w:endnote w:type="continuationNotice" w:id="1">
    <w:p w:rsidR="004B06C0" w:rsidRPr="003B38C1" w:rsidRDefault="004B06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C0" w:rsidRDefault="004B06C0">
      <w:r>
        <w:separator/>
      </w:r>
    </w:p>
  </w:footnote>
  <w:footnote w:type="continuationSeparator" w:id="0">
    <w:p w:rsidR="004B06C0" w:rsidRDefault="004B06C0" w:rsidP="008B60B2">
      <w:r>
        <w:separator/>
      </w:r>
    </w:p>
    <w:p w:rsidR="004B06C0" w:rsidRPr="00ED77FB" w:rsidRDefault="004B06C0" w:rsidP="008B60B2">
      <w:pPr>
        <w:spacing w:after="60"/>
        <w:rPr>
          <w:sz w:val="17"/>
          <w:szCs w:val="17"/>
        </w:rPr>
      </w:pPr>
      <w:r w:rsidRPr="00ED77FB">
        <w:rPr>
          <w:sz w:val="17"/>
          <w:szCs w:val="17"/>
        </w:rPr>
        <w:t>[Footnote continued from previous page]</w:t>
      </w:r>
    </w:p>
  </w:footnote>
  <w:footnote w:type="continuationNotice" w:id="1">
    <w:p w:rsidR="004B06C0" w:rsidRPr="00ED77FB" w:rsidRDefault="004B06C0" w:rsidP="008B60B2">
      <w:pPr>
        <w:spacing w:before="60"/>
        <w:jc w:val="right"/>
        <w:rPr>
          <w:sz w:val="17"/>
          <w:szCs w:val="17"/>
        </w:rPr>
      </w:pPr>
      <w:r w:rsidRPr="00ED77FB">
        <w:rPr>
          <w:sz w:val="17"/>
          <w:szCs w:val="17"/>
        </w:rPr>
        <w:t>[Footnote continued on next page]</w:t>
      </w:r>
    </w:p>
  </w:footnote>
  <w:footnote w:id="2">
    <w:p w:rsidR="004B06C0" w:rsidRPr="00420EF9" w:rsidRDefault="004B06C0"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 xml:space="preserve">. </w:t>
      </w:r>
    </w:p>
  </w:footnote>
  <w:footnote w:id="3">
    <w:p w:rsidR="004B06C0" w:rsidRPr="00420EF9" w:rsidRDefault="004B06C0" w:rsidP="000B42B0">
      <w:pPr>
        <w:pStyle w:val="FootnoteText"/>
        <w:rPr>
          <w:szCs w:val="18"/>
        </w:rPr>
      </w:pPr>
      <w:r w:rsidRPr="00420EF9">
        <w:rPr>
          <w:rStyle w:val="FootnoteReference"/>
          <w:szCs w:val="18"/>
        </w:rPr>
        <w:footnoteRef/>
      </w:r>
      <w:r>
        <w:rPr>
          <w:szCs w:val="18"/>
        </w:rPr>
        <w:t xml:space="preserve"> </w:t>
      </w:r>
      <w:r>
        <w:rPr>
          <w:szCs w:val="18"/>
        </w:rPr>
        <w:tab/>
      </w:r>
      <w:proofErr w:type="gramStart"/>
      <w:r w:rsidRPr="00420EF9">
        <w:rPr>
          <w:szCs w:val="18"/>
        </w:rPr>
        <w:t>Report of the Nineteenth Session of the Com</w:t>
      </w:r>
      <w:r>
        <w:rPr>
          <w:szCs w:val="18"/>
        </w:rPr>
        <w:t>mittee (WIPO/GRTKF/IC/19/12</w:t>
      </w:r>
      <w:r w:rsidRPr="00420EF9">
        <w:rPr>
          <w:szCs w:val="18"/>
        </w:rPr>
        <w:t>)</w:t>
      </w:r>
      <w:r>
        <w:rPr>
          <w:szCs w:val="18"/>
        </w:rPr>
        <w:t>.</w:t>
      </w:r>
      <w:proofErr w:type="gramEnd"/>
    </w:p>
  </w:footnote>
  <w:footnote w:id="4">
    <w:p w:rsidR="004B06C0" w:rsidRPr="00A94A92" w:rsidRDefault="004B06C0"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5">
    <w:p w:rsidR="004B06C0" w:rsidRPr="00420EF9" w:rsidRDefault="004B06C0"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4B06C0" w:rsidRPr="00420EF9" w:rsidRDefault="004B06C0"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4B06C0" w:rsidRPr="00420EF9" w:rsidRDefault="004B06C0"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4B06C0" w:rsidRPr="00420EF9" w:rsidRDefault="004B06C0"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4B06C0" w:rsidRPr="00420EF9" w:rsidRDefault="004B06C0"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10">
    <w:p w:rsidR="004B06C0" w:rsidRPr="00420EF9" w:rsidRDefault="004B06C0"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4B06C0" w:rsidRPr="00420EF9" w:rsidRDefault="004B06C0"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4B06C0" w:rsidRPr="00420EF9" w:rsidRDefault="004B06C0"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3">
    <w:p w:rsidR="004B06C0" w:rsidRPr="00420EF9" w:rsidRDefault="004B06C0"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4">
    <w:p w:rsidR="004B06C0" w:rsidRPr="00420EF9" w:rsidRDefault="004B06C0"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4B06C0" w:rsidRPr="00966E9B" w:rsidRDefault="004B06C0"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4B06C0" w:rsidRPr="00420EF9" w:rsidRDefault="004B06C0"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4B06C0" w:rsidRPr="00420EF9" w:rsidRDefault="004B06C0"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4B06C0" w:rsidRPr="00420EF9" w:rsidRDefault="004B06C0"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4B06C0" w:rsidRPr="00420EF9" w:rsidRDefault="004B06C0"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4B06C0" w:rsidRDefault="004B06C0"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4B06C0" w:rsidRPr="00420EF9" w:rsidRDefault="004B06C0"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1">
    <w:p w:rsidR="004B06C0" w:rsidRPr="00420EF9" w:rsidRDefault="004B06C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proofErr w:type="spellStart"/>
      <w:r w:rsidRPr="00420EF9">
        <w:rPr>
          <w:i/>
          <w:szCs w:val="18"/>
        </w:rPr>
        <w:t>Rigveda</w:t>
      </w:r>
      <w:proofErr w:type="spellEnd"/>
      <w:r w:rsidRPr="00420EF9">
        <w:rPr>
          <w:szCs w:val="18"/>
        </w:rPr>
        <w:t xml:space="preserve"> and the </w:t>
      </w:r>
      <w:proofErr w:type="spellStart"/>
      <w:r w:rsidRPr="00420EF9">
        <w:rPr>
          <w:i/>
          <w:szCs w:val="18"/>
        </w:rPr>
        <w:t>Atharvaveda</w:t>
      </w:r>
      <w:proofErr w:type="spellEnd"/>
      <w:r>
        <w:rPr>
          <w:i/>
          <w:szCs w:val="18"/>
        </w:rPr>
        <w:t>.</w:t>
      </w:r>
    </w:p>
  </w:footnote>
  <w:footnote w:id="22">
    <w:p w:rsidR="004B06C0" w:rsidRPr="00420EF9" w:rsidRDefault="004B06C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4B06C0" w:rsidRPr="00420EF9" w:rsidRDefault="004B06C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w:t>
      </w:r>
      <w:proofErr w:type="spellStart"/>
      <w:r w:rsidRPr="00420EF9">
        <w:rPr>
          <w:szCs w:val="18"/>
        </w:rPr>
        <w:t>Unani</w:t>
      </w:r>
      <w:proofErr w:type="spellEnd"/>
      <w:r w:rsidRPr="00420EF9">
        <w:rPr>
          <w:szCs w:val="18"/>
        </w:rPr>
        <w:t xml:space="preserve">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w:t>
      </w:r>
      <w:proofErr w:type="spellStart"/>
      <w:r w:rsidRPr="00420EF9">
        <w:rPr>
          <w:szCs w:val="18"/>
        </w:rPr>
        <w:t>Timmermans</w:t>
      </w:r>
      <w:proofErr w:type="spellEnd"/>
      <w:r w:rsidRPr="00420EF9">
        <w:rPr>
          <w:szCs w:val="18"/>
        </w:rPr>
        <w:t xml:space="preserve">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4B06C0" w:rsidRPr="00420EF9" w:rsidRDefault="004B06C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5">
    <w:p w:rsidR="004B06C0" w:rsidRPr="00D41EAD" w:rsidRDefault="004B06C0"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4B06C0" w:rsidRPr="00420EF9" w:rsidRDefault="004B06C0"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4B06C0" w:rsidRPr="00BD225A" w:rsidRDefault="004B06C0"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Promotion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8">
    <w:p w:rsidR="004B06C0" w:rsidRPr="00BD225A" w:rsidRDefault="004B06C0"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Promotion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9">
    <w:p w:rsidR="004B06C0" w:rsidRPr="0002073E" w:rsidRDefault="004B06C0"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4B06C0" w:rsidRPr="00420EF9" w:rsidRDefault="004B06C0"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1">
    <w:p w:rsidR="004B06C0" w:rsidRPr="00420EF9" w:rsidRDefault="004B06C0"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2">
    <w:p w:rsidR="004B06C0" w:rsidRPr="00420EF9" w:rsidRDefault="004B06C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4B06C0" w:rsidRPr="00420EF9" w:rsidRDefault="004B06C0"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4">
    <w:p w:rsidR="004B06C0" w:rsidRPr="00420EF9" w:rsidRDefault="004B06C0"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5">
    <w:p w:rsidR="004B06C0" w:rsidRPr="00420EF9" w:rsidRDefault="004B06C0"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4B06C0" w:rsidRPr="00420EF9" w:rsidRDefault="004B06C0"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4B06C0" w:rsidRPr="00420EF9" w:rsidRDefault="004B06C0"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4B06C0" w:rsidRPr="00BD225A" w:rsidRDefault="004B06C0"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4B06C0" w:rsidRPr="00420EF9" w:rsidRDefault="004B06C0"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4B06C0" w:rsidRPr="00BD225A" w:rsidRDefault="004B06C0"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4B06C0" w:rsidRPr="00BD225A" w:rsidRDefault="004B06C0"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4B06C0" w:rsidRPr="00BD225A" w:rsidRDefault="004B06C0"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4B06C0" w:rsidRPr="00BD225A" w:rsidRDefault="004B06C0"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4B06C0" w:rsidRPr="00420EF9" w:rsidRDefault="004B06C0"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5">
    <w:p w:rsidR="004B06C0" w:rsidRPr="00BD225A" w:rsidRDefault="004B06C0"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4B06C0" w:rsidRPr="00BD225A" w:rsidRDefault="004B06C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4B06C0" w:rsidRPr="00420EF9" w:rsidRDefault="004B06C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8">
    <w:p w:rsidR="004B06C0" w:rsidRPr="00BD225A" w:rsidRDefault="004B06C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4">
    <w:p w:rsidR="004B06C0" w:rsidRPr="009A0842" w:rsidRDefault="004B06C0"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6">
    <w:p w:rsidR="004B06C0" w:rsidRPr="00420EF9" w:rsidRDefault="004B06C0"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7">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8">
    <w:p w:rsidR="004B06C0" w:rsidRPr="00420EF9" w:rsidRDefault="004B06C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4B06C0" w:rsidRPr="00420EF9" w:rsidRDefault="004B06C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4B06C0" w:rsidRPr="00BD225A" w:rsidRDefault="004B06C0"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w:t>
      </w:r>
      <w:proofErr w:type="spellStart"/>
      <w:r w:rsidRPr="00BD225A">
        <w:rPr>
          <w:bCs/>
          <w:szCs w:val="18"/>
        </w:rPr>
        <w:t>Sirinelli</w:t>
      </w:r>
      <w:proofErr w:type="spellEnd"/>
      <w:smartTag w:uri="urn:schemas-microsoft-com:office:smarttags" w:element="PersonName">
        <w:r w:rsidRPr="00BD225A">
          <w:rPr>
            <w:bCs/>
            <w:szCs w:val="18"/>
          </w:rPr>
          <w:t>,</w:t>
        </w:r>
      </w:smartTag>
      <w:r w:rsidRPr="00BD225A">
        <w:rPr>
          <w:bCs/>
          <w:szCs w:val="18"/>
        </w:rPr>
        <w:t xml:space="preserve"> </w:t>
      </w:r>
    </w:p>
    <w:p w:rsidR="004B06C0" w:rsidRPr="00BD225A" w:rsidRDefault="004B06C0"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4B06C0" w:rsidRPr="00BD225A" w:rsidRDefault="004B06C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4B06C0" w:rsidRPr="00BD225A" w:rsidRDefault="004B06C0"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National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4B06C0" w:rsidRPr="00BD225A" w:rsidRDefault="004B06C0"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sidRPr="00BD225A">
        <w:rPr>
          <w:szCs w:val="18"/>
          <w:lang w:val="es-ES"/>
        </w:rPr>
        <w:t>para. 37.</w:t>
      </w:r>
    </w:p>
  </w:footnote>
  <w:footnote w:id="64">
    <w:p w:rsidR="004B06C0" w:rsidRPr="00BD225A" w:rsidRDefault="004B06C0"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proofErr w:type="spellStart"/>
      <w:r w:rsidRPr="00BD225A">
        <w:rPr>
          <w:rStyle w:val="FootnoteReference"/>
          <w:szCs w:val="18"/>
          <w:vertAlign w:val="baseline"/>
          <w:lang w:val="es-ES"/>
        </w:rPr>
        <w:t>Sect</w:t>
      </w:r>
      <w:proofErr w:type="gramStart"/>
      <w:r w:rsidRPr="00BD225A">
        <w:rPr>
          <w:szCs w:val="18"/>
          <w:lang w:val="es-ES"/>
        </w:rPr>
        <w:t>ion</w:t>
      </w:r>
      <w:proofErr w:type="spellEnd"/>
      <w:r w:rsidRPr="00BD225A">
        <w:rPr>
          <w:szCs w:val="18"/>
          <w:lang w:val="es-ES"/>
        </w:rPr>
        <w:t xml:space="preserve"> </w:t>
      </w:r>
      <w:proofErr w:type="gramEnd"/>
      <w:r w:rsidRPr="00BD225A">
        <w:rPr>
          <w:rStyle w:val="FootnoteReference"/>
          <w:szCs w:val="18"/>
          <w:vertAlign w:val="baseline"/>
          <w:lang w:val="es-ES"/>
        </w:rPr>
        <w:t>2</w:t>
      </w:r>
      <w:r w:rsidRPr="00BD225A">
        <w:rPr>
          <w:szCs w:val="18"/>
          <w:lang w:val="es-ES"/>
        </w:rPr>
        <w:t>.</w:t>
      </w:r>
    </w:p>
  </w:footnote>
  <w:footnote w:id="65">
    <w:p w:rsidR="004B06C0" w:rsidRPr="00BD225A" w:rsidRDefault="004B06C0"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Guide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66">
    <w:p w:rsidR="004B06C0" w:rsidRPr="00BD225A" w:rsidRDefault="004B06C0"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Guide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67">
    <w:p w:rsidR="004B06C0" w:rsidRPr="00BD225A" w:rsidRDefault="004B06C0"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4B06C0" w:rsidRPr="00420EF9" w:rsidRDefault="004B06C0"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 xml:space="preserve">Terri </w:t>
        </w:r>
        <w:proofErr w:type="spellStart"/>
        <w:r w:rsidRPr="00420EF9">
          <w:rPr>
            <w:szCs w:val="18"/>
          </w:rPr>
          <w:t>Janke</w:t>
        </w:r>
      </w:smartTag>
      <w:proofErr w:type="spellEnd"/>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4B06C0" w:rsidRPr="00420EF9" w:rsidRDefault="004B06C0"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70">
    <w:p w:rsidR="004B06C0" w:rsidRPr="00772BA5" w:rsidRDefault="004B06C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71">
    <w:p w:rsidR="004B06C0" w:rsidRPr="00BD225A" w:rsidRDefault="004B06C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4B06C0" w:rsidRPr="00BD225A" w:rsidRDefault="004B06C0"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4B06C0" w:rsidRPr="00420EF9" w:rsidRDefault="004B06C0"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4B06C0" w:rsidRPr="00420EF9" w:rsidRDefault="004B06C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w:t>
      </w:r>
      <w:proofErr w:type="spellStart"/>
      <w:r w:rsidRPr="00420EF9">
        <w:rPr>
          <w:szCs w:val="18"/>
        </w:rPr>
        <w:t>Saami</w:t>
      </w:r>
      <w:proofErr w:type="spellEnd"/>
      <w:r w:rsidRPr="00420EF9">
        <w:rPr>
          <w:szCs w:val="18"/>
        </w:rPr>
        <w:t xml:space="preserve">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4B06C0" w:rsidRPr="00420EF9" w:rsidRDefault="004B06C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4B06C0" w:rsidRPr="00420EF9" w:rsidRDefault="004B06C0"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4B06C0" w:rsidRPr="00420EF9" w:rsidRDefault="004B06C0"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8">
    <w:p w:rsidR="004B06C0" w:rsidRPr="00BD225A" w:rsidRDefault="004B06C0"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4B06C0" w:rsidRPr="00C82BBD" w:rsidRDefault="004B06C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4B06C0" w:rsidRPr="00BD225A" w:rsidRDefault="004B06C0"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w:t>
      </w:r>
      <w:proofErr w:type="spellStart"/>
      <w:r w:rsidRPr="00BD225A">
        <w:rPr>
          <w:rStyle w:val="FootnoteReference"/>
          <w:szCs w:val="18"/>
          <w:vertAlign w:val="baseline"/>
        </w:rPr>
        <w:t>Henriksen</w:t>
      </w:r>
      <w:proofErr w:type="spellEnd"/>
      <w:r w:rsidRPr="00BD225A">
        <w:rPr>
          <w:rStyle w:val="FootnoteReference"/>
          <w:szCs w:val="18"/>
          <w:vertAlign w:val="baseline"/>
        </w:rPr>
        <w:t>: Key Principles in Implementing ILO Convention No. 169, 2008.</w:t>
      </w:r>
      <w:r w:rsidRPr="00BD225A">
        <w:rPr>
          <w:szCs w:val="18"/>
        </w:rPr>
        <w:t xml:space="preserve"> </w:t>
      </w:r>
    </w:p>
  </w:footnote>
  <w:footnote w:id="81">
    <w:p w:rsidR="004B06C0" w:rsidRPr="00420EF9" w:rsidRDefault="004B06C0"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 xml:space="preserve">International </w:t>
      </w:r>
      <w:proofErr w:type="spellStart"/>
      <w:r w:rsidRPr="00BD225A">
        <w:rPr>
          <w:rStyle w:val="FootnoteReference"/>
          <w:szCs w:val="18"/>
          <w:vertAlign w:val="baseline"/>
        </w:rPr>
        <w:t>Labour</w:t>
      </w:r>
      <w:proofErr w:type="spellEnd"/>
      <w:r w:rsidRPr="00BD225A">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4B06C0" w:rsidRPr="00420EF9" w:rsidRDefault="004B06C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3">
    <w:p w:rsidR="004B06C0" w:rsidRPr="00420EF9" w:rsidRDefault="004B06C0"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4">
    <w:p w:rsidR="004B06C0" w:rsidRPr="00420EF9" w:rsidRDefault="004B06C0"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4B06C0" w:rsidRPr="009A2EAC" w:rsidRDefault="004B06C0"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4B06C0" w:rsidRPr="009A2EAC" w:rsidRDefault="004B06C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4B06C0" w:rsidRPr="00420EF9" w:rsidRDefault="004B06C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8">
    <w:p w:rsidR="004B06C0" w:rsidRPr="00420EF9" w:rsidRDefault="004B06C0"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4B06C0" w:rsidRPr="00420EF9" w:rsidRDefault="004B06C0"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4B06C0" w:rsidRPr="00420EF9" w:rsidRDefault="004B06C0"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4B06C0" w:rsidRPr="00BD225A" w:rsidRDefault="004B06C0"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4B06C0" w:rsidRPr="00420EF9" w:rsidRDefault="004B06C0"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3">
    <w:p w:rsidR="004B06C0" w:rsidRPr="00420EF9" w:rsidRDefault="004B06C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4B06C0" w:rsidRPr="00420EF9" w:rsidRDefault="004B06C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5">
    <w:p w:rsidR="004B06C0" w:rsidRPr="004C606B" w:rsidRDefault="004B06C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4B06C0" w:rsidRPr="004C606B" w:rsidRDefault="004B06C0"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4B06C0" w:rsidRPr="004C606B" w:rsidRDefault="004B06C0"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4B06C0" w:rsidRPr="004C606B" w:rsidRDefault="004B06C0"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9">
    <w:p w:rsidR="004B06C0" w:rsidRPr="004C606B" w:rsidRDefault="004B06C0"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4B06C0" w:rsidRPr="00BD225A" w:rsidRDefault="004B06C0"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4B06C0" w:rsidRPr="00BD225A" w:rsidRDefault="004B06C0"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4B06C0" w:rsidRPr="00420EF9" w:rsidRDefault="004B06C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4B06C0" w:rsidRPr="00420EF9" w:rsidRDefault="004B06C0"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4B06C0" w:rsidRPr="00420EF9" w:rsidRDefault="004B06C0"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4B06C0" w:rsidRPr="00420EF9" w:rsidRDefault="004B06C0"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4B06C0" w:rsidRPr="00420EF9" w:rsidRDefault="004B06C0"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7">
    <w:p w:rsidR="004B06C0" w:rsidRPr="00420EF9" w:rsidRDefault="004B06C0"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4B06C0" w:rsidRPr="00BD225A" w:rsidRDefault="004B06C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4B06C0" w:rsidRPr="00BD225A" w:rsidRDefault="004B06C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4B06C0" w:rsidRPr="00BD225A" w:rsidRDefault="004B06C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4B06C0" w:rsidRPr="00BD225A" w:rsidRDefault="004B06C0"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4B06C0" w:rsidRPr="00420EF9" w:rsidRDefault="004B06C0"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4B06C0" w:rsidRPr="00420EF9" w:rsidRDefault="004B06C0"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4B06C0" w:rsidRPr="00BD225A" w:rsidRDefault="004B06C0"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4B06C0" w:rsidRPr="00420EF9" w:rsidRDefault="004B06C0"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6">
    <w:p w:rsidR="004B06C0" w:rsidRPr="00BD225A" w:rsidRDefault="004B06C0"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4B06C0" w:rsidRPr="00BD225A" w:rsidRDefault="004B06C0"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4B06C0" w:rsidRPr="00420EF9" w:rsidRDefault="004B06C0"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4B06C0" w:rsidRPr="00420EF9" w:rsidRDefault="004B06C0"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4B06C0" w:rsidRPr="00420EF9" w:rsidRDefault="004B06C0"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1">
    <w:p w:rsidR="004B06C0" w:rsidRPr="00420EF9" w:rsidRDefault="004B06C0"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4B06C0" w:rsidRPr="00420EF9" w:rsidRDefault="004B06C0" w:rsidP="00316BB8">
      <w:pPr>
        <w:pStyle w:val="FootnoteText"/>
        <w:ind w:left="550"/>
        <w:rPr>
          <w:szCs w:val="18"/>
        </w:rPr>
      </w:pPr>
      <w:proofErr w:type="gramStart"/>
      <w:r w:rsidRPr="00420EF9">
        <w:rPr>
          <w:szCs w:val="18"/>
        </w:rPr>
        <w:t>para</w:t>
      </w:r>
      <w:proofErr w:type="gramEnd"/>
      <w:r w:rsidRPr="00420EF9">
        <w:rPr>
          <w:szCs w:val="18"/>
        </w:rPr>
        <w:t>. 37.</w:t>
      </w:r>
    </w:p>
  </w:footnote>
  <w:footnote w:id="122">
    <w:p w:rsidR="004B06C0" w:rsidRPr="00BD225A" w:rsidRDefault="004B06C0"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4B06C0" w:rsidRPr="00BD225A" w:rsidRDefault="004B06C0"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4B06C0" w:rsidRPr="00BD225A" w:rsidRDefault="004B06C0"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4B06C0" w:rsidRPr="00420EF9" w:rsidRDefault="004B06C0"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7">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4B06C0" w:rsidRPr="00420EF9" w:rsidRDefault="004B06C0" w:rsidP="00CF0EF8">
      <w:pPr>
        <w:pStyle w:val="FootnoteText"/>
        <w:ind w:left="499"/>
        <w:rPr>
          <w:szCs w:val="18"/>
          <w:lang w:val="es-ES"/>
        </w:rPr>
      </w:pPr>
      <w:r w:rsidRPr="00420EF9">
        <w:rPr>
          <w:szCs w:val="18"/>
          <w:lang w:val="es-ES"/>
        </w:rPr>
        <w:t>para. 20.</w:t>
      </w:r>
    </w:p>
  </w:footnote>
  <w:footnote w:id="128">
    <w:p w:rsidR="004B06C0" w:rsidRPr="00420EF9" w:rsidRDefault="004B06C0"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31">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4B06C0" w:rsidRPr="00420EF9" w:rsidRDefault="004B06C0"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6">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4B06C0" w:rsidRPr="00CF0EF8" w:rsidRDefault="004B06C0"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4B06C0" w:rsidRPr="00CF0EF8" w:rsidRDefault="004B06C0"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4B06C0" w:rsidRPr="00420EF9" w:rsidRDefault="004B06C0"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4B06C0" w:rsidRPr="004E73B1" w:rsidRDefault="004B06C0"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4B06C0" w:rsidRPr="004E73B1" w:rsidRDefault="004B06C0"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8">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9">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4B06C0" w:rsidRPr="00420EF9" w:rsidRDefault="004B06C0" w:rsidP="00CF0EF8">
      <w:pPr>
        <w:pStyle w:val="FootnoteText"/>
        <w:ind w:left="499"/>
        <w:rPr>
          <w:szCs w:val="18"/>
        </w:rPr>
      </w:pPr>
      <w:r w:rsidRPr="00420EF9">
        <w:rPr>
          <w:szCs w:val="18"/>
        </w:rPr>
        <w:t>p. 23 of Annex I, pages 11 and 16 of Annex II</w:t>
      </w:r>
      <w:r>
        <w:rPr>
          <w:szCs w:val="18"/>
        </w:rPr>
        <w:t>.</w:t>
      </w:r>
    </w:p>
  </w:footnote>
  <w:footnote w:id="150">
    <w:p w:rsidR="004B06C0" w:rsidRPr="004E73B1" w:rsidRDefault="004B06C0"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4B06C0" w:rsidRPr="004E73B1" w:rsidRDefault="004B06C0"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4B06C0" w:rsidRPr="00420EF9" w:rsidRDefault="004B06C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4B06C0" w:rsidRPr="00420EF9" w:rsidRDefault="004B06C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4B06C0" w:rsidRPr="00420EF9" w:rsidRDefault="004B06C0"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4B06C0" w:rsidRPr="004E73B1" w:rsidRDefault="004B06C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4B06C0" w:rsidRPr="004E73B1" w:rsidRDefault="004B06C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 </w:t>
      </w:r>
      <w:proofErr w:type="gramStart"/>
      <w:r w:rsidRPr="00420EF9">
        <w:rPr>
          <w:szCs w:val="18"/>
        </w:rPr>
        <w:t>para</w:t>
      </w:r>
      <w:proofErr w:type="gramEnd"/>
      <w:r w:rsidRPr="00420EF9">
        <w:rPr>
          <w:szCs w:val="18"/>
        </w:rPr>
        <w:t>. 53</w:t>
      </w:r>
      <w:r>
        <w:rPr>
          <w:szCs w:val="18"/>
        </w:rPr>
        <w:t>.</w:t>
      </w:r>
    </w:p>
  </w:footnote>
  <w:footnote w:id="160">
    <w:p w:rsidR="004B06C0" w:rsidRPr="004E73B1" w:rsidRDefault="004B06C0"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62">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63">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5">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4B06C0" w:rsidRPr="00420EF9" w:rsidRDefault="004B06C0"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4B06C0" w:rsidRPr="00420EF9" w:rsidRDefault="004B06C0"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r w:rsidRPr="00420EF9">
        <w:rPr>
          <w:szCs w:val="18"/>
        </w:rPr>
        <w:t>paras</w:t>
      </w:r>
      <w:proofErr w:type="gramEnd"/>
      <w:r w:rsidRPr="00420EF9">
        <w:rPr>
          <w:szCs w:val="18"/>
        </w:rPr>
        <w:t xml:space="preserve">. </w:t>
      </w:r>
      <w:proofErr w:type="gramStart"/>
      <w:r w:rsidRPr="00420EF9">
        <w:rPr>
          <w:szCs w:val="18"/>
        </w:rPr>
        <w:t>43 and 44 of Annex</w:t>
      </w:r>
      <w:r>
        <w:rPr>
          <w:szCs w:val="18"/>
        </w:rPr>
        <w:t>.</w:t>
      </w:r>
      <w:proofErr w:type="gramEnd"/>
    </w:p>
  </w:footnote>
  <w:footnote w:id="170">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4B06C0" w:rsidRPr="00420EF9" w:rsidRDefault="004B06C0"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4B06C0" w:rsidRPr="00420EF9" w:rsidRDefault="004B06C0"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4B06C0" w:rsidRPr="004E73B1" w:rsidRDefault="004B06C0"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4B06C0" w:rsidRPr="00420EF9" w:rsidRDefault="004B06C0"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4B06C0" w:rsidRPr="00420EF9" w:rsidRDefault="004B06C0"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4B06C0" w:rsidRPr="00420EF9" w:rsidRDefault="004B06C0"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8">
    <w:p w:rsidR="004B06C0" w:rsidRPr="004E73B1" w:rsidRDefault="004B06C0"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9">
    <w:p w:rsidR="004B06C0" w:rsidRPr="00D352A1" w:rsidRDefault="004B06C0"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00E13FAB" w:rsidRPr="00E13FAB">
          <w:rPr>
            <w:rStyle w:val="Hyperlink"/>
            <w:color w:val="auto"/>
            <w:szCs w:val="18"/>
            <w:u w:val="none"/>
          </w:rPr>
          <w:t>http://ww</w:t>
        </w:r>
        <w:r w:rsidR="00E13FAB" w:rsidRPr="00E13FAB">
          <w:rPr>
            <w:rStyle w:val="Hyperlink"/>
            <w:color w:val="auto"/>
            <w:szCs w:val="18"/>
            <w:u w:val="none"/>
          </w:rPr>
          <w:t>w</w:t>
        </w:r>
        <w:r w:rsidR="00E13FAB" w:rsidRPr="00E13FAB">
          <w:rPr>
            <w:rStyle w:val="Hyperlink"/>
            <w:color w:val="auto"/>
            <w:szCs w:val="18"/>
            <w:u w:val="none"/>
          </w:rPr>
          <w:t>.wipo.int/tk/en/resources/</w:t>
        </w:r>
        <w:r w:rsidR="00E13FAB" w:rsidRPr="00E13FAB">
          <w:rPr>
            <w:rStyle w:val="Hyperlink"/>
            <w:color w:val="auto"/>
            <w:szCs w:val="18"/>
            <w:u w:val="none"/>
          </w:rPr>
          <w:t>t</w:t>
        </w:r>
        <w:r w:rsidR="00E13FAB" w:rsidRPr="00E13FAB">
          <w:rPr>
            <w:rStyle w:val="Hyperlink"/>
            <w:color w:val="auto"/>
            <w:szCs w:val="18"/>
            <w:u w:val="none"/>
          </w:rPr>
          <w:t>kdocumentation.html</w:t>
        </w:r>
      </w:hyperlink>
      <w:r w:rsidR="00E13FAB">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C0" w:rsidRDefault="004B06C0" w:rsidP="00B64E92">
    <w:pPr>
      <w:pStyle w:val="Header"/>
      <w:jc w:val="right"/>
    </w:pPr>
    <w:r>
      <w:t>WIPO/GRTKF/IC/28/INF/7</w:t>
    </w:r>
  </w:p>
  <w:p w:rsidR="004B06C0" w:rsidRDefault="004B06C0"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677D25">
      <w:rPr>
        <w:rStyle w:val="PageNumber"/>
        <w:noProof/>
      </w:rPr>
      <w:t>2</w:t>
    </w:r>
    <w:r>
      <w:rPr>
        <w:rStyle w:val="PageNumber"/>
      </w:rPr>
      <w:fldChar w:fldCharType="end"/>
    </w:r>
  </w:p>
  <w:p w:rsidR="004B06C0" w:rsidRDefault="004B06C0"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C0" w:rsidRDefault="004B06C0" w:rsidP="00A610A6">
    <w:pPr>
      <w:pStyle w:val="Header"/>
      <w:jc w:val="right"/>
    </w:pPr>
    <w:r>
      <w:t>WIPO/GRTKF/IC/28/INF/7</w:t>
    </w:r>
  </w:p>
  <w:p w:rsidR="004B06C0" w:rsidRDefault="004B06C0"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677D25">
      <w:rPr>
        <w:rStyle w:val="PageNumber"/>
        <w:noProof/>
      </w:rPr>
      <w:t>46</w:t>
    </w:r>
    <w:r>
      <w:rPr>
        <w:rStyle w:val="PageNumber"/>
      </w:rPr>
      <w:fldChar w:fldCharType="end"/>
    </w:r>
  </w:p>
  <w:p w:rsidR="004B06C0" w:rsidRDefault="004B06C0"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C0" w:rsidRDefault="004B06C0" w:rsidP="00A610A6">
    <w:pPr>
      <w:pStyle w:val="Header"/>
      <w:jc w:val="right"/>
    </w:pPr>
    <w:r>
      <w:t>WIPO/GRTKF/IC/28/INF/7</w:t>
    </w:r>
  </w:p>
  <w:p w:rsidR="004B06C0" w:rsidRDefault="004B06C0" w:rsidP="006B30AB">
    <w:pPr>
      <w:pStyle w:val="Header"/>
      <w:jc w:val="right"/>
    </w:pPr>
    <w:r>
      <w:t>ANNEX</w:t>
    </w:r>
  </w:p>
  <w:p w:rsidR="004B06C0" w:rsidRDefault="004B06C0"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8">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778A1"/>
    <w:multiLevelType w:val="hybridMultilevel"/>
    <w:tmpl w:val="0D56D78A"/>
    <w:lvl w:ilvl="0" w:tplc="2FFC626E">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4">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4"/>
  </w:num>
  <w:num w:numId="5">
    <w:abstractNumId w:val="8"/>
  </w:num>
  <w:num w:numId="6">
    <w:abstractNumId w:val="6"/>
  </w:num>
  <w:num w:numId="7">
    <w:abstractNumId w:val="12"/>
  </w:num>
  <w:num w:numId="8">
    <w:abstractNumId w:val="5"/>
  </w:num>
  <w:num w:numId="9">
    <w:abstractNumId w:val="0"/>
  </w:num>
  <w:num w:numId="10">
    <w:abstractNumId w:val="2"/>
  </w:num>
  <w:num w:numId="11">
    <w:abstractNumId w:val="11"/>
  </w:num>
  <w:num w:numId="12">
    <w:abstractNumId w:val="7"/>
  </w:num>
  <w:num w:numId="13">
    <w:abstractNumId w:val="13"/>
  </w:num>
  <w:num w:numId="14">
    <w:abstractNumId w:val="14"/>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D40E9"/>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801D6"/>
    <w:rsid w:val="001832A6"/>
    <w:rsid w:val="001851D8"/>
    <w:rsid w:val="0018544D"/>
    <w:rsid w:val="00191B2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C2DF2"/>
    <w:rsid w:val="002C4709"/>
    <w:rsid w:val="002C4CF6"/>
    <w:rsid w:val="002C4EE8"/>
    <w:rsid w:val="002C5C3C"/>
    <w:rsid w:val="002D1D66"/>
    <w:rsid w:val="002D1FD3"/>
    <w:rsid w:val="002D2BB5"/>
    <w:rsid w:val="002D5E7F"/>
    <w:rsid w:val="002D7D85"/>
    <w:rsid w:val="002F1FE6"/>
    <w:rsid w:val="002F2CCE"/>
    <w:rsid w:val="002F4E68"/>
    <w:rsid w:val="002F62B1"/>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9064A"/>
    <w:rsid w:val="00791275"/>
    <w:rsid w:val="00793EDE"/>
    <w:rsid w:val="00795FCE"/>
    <w:rsid w:val="007A003A"/>
    <w:rsid w:val="007A1CB6"/>
    <w:rsid w:val="007A36E0"/>
    <w:rsid w:val="007A5CF2"/>
    <w:rsid w:val="007B0610"/>
    <w:rsid w:val="007B6A58"/>
    <w:rsid w:val="007B6D77"/>
    <w:rsid w:val="007B7F8D"/>
    <w:rsid w:val="007C5D34"/>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872"/>
    <w:rsid w:val="00A32436"/>
    <w:rsid w:val="00A3534E"/>
    <w:rsid w:val="00A40FD3"/>
    <w:rsid w:val="00A42DAF"/>
    <w:rsid w:val="00A43EFC"/>
    <w:rsid w:val="00A44DD8"/>
    <w:rsid w:val="00A45BD8"/>
    <w:rsid w:val="00A50649"/>
    <w:rsid w:val="00A5417D"/>
    <w:rsid w:val="00A60A84"/>
    <w:rsid w:val="00A610A6"/>
    <w:rsid w:val="00A675EE"/>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69C"/>
    <w:rsid w:val="00F960FF"/>
    <w:rsid w:val="00F974D4"/>
    <w:rsid w:val="00FB0298"/>
    <w:rsid w:val="00FB498B"/>
    <w:rsid w:val="00FB4EBC"/>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2333-7DAD-4925-A4D2-A0AFBE1B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48</Pages>
  <Words>21043</Words>
  <Characters>123980</Characters>
  <Application>Microsoft Office Word</Application>
  <DocSecurity>0</DocSecurity>
  <Lines>1033</Lines>
  <Paragraphs>289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144734</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DOMBRE Nadia</cp:lastModifiedBy>
  <cp:revision>10</cp:revision>
  <cp:lastPrinted>2014-05-23T06:56:00Z</cp:lastPrinted>
  <dcterms:created xsi:type="dcterms:W3CDTF">2014-05-15T10:08:00Z</dcterms:created>
  <dcterms:modified xsi:type="dcterms:W3CDTF">2014-05-23T06:56:00Z</dcterms:modified>
</cp:coreProperties>
</file>