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8113D4"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55pt;height:104.4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BF2D35">
            <w:pPr>
              <w:jc w:val="right"/>
              <w:rPr>
                <w:rFonts w:ascii="Arial Black" w:hAnsi="Arial Black"/>
                <w:caps/>
                <w:sz w:val="15"/>
              </w:rPr>
            </w:pPr>
            <w:bookmarkStart w:id="0" w:name="Code"/>
            <w:bookmarkEnd w:id="0"/>
            <w:r>
              <w:rPr>
                <w:rFonts w:ascii="Arial Black" w:hAnsi="Arial Black"/>
                <w:caps/>
                <w:sz w:val="15"/>
              </w:rPr>
              <w:t>WIPO/GRTKF/IC/</w:t>
            </w:r>
            <w:r w:rsidR="00444CC6">
              <w:rPr>
                <w:rFonts w:ascii="Arial Black" w:hAnsi="Arial Black"/>
                <w:caps/>
                <w:sz w:val="15"/>
              </w:rPr>
              <w:t>2</w:t>
            </w:r>
            <w:r w:rsidR="00BF2D35">
              <w:rPr>
                <w:rFonts w:ascii="Arial Black" w:hAnsi="Arial Black"/>
                <w:caps/>
                <w:sz w:val="15"/>
              </w:rPr>
              <w:t>7</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BF2D3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8098A">
              <w:rPr>
                <w:rFonts w:ascii="Arial Black" w:hAnsi="Arial Black"/>
                <w:caps/>
                <w:sz w:val="15"/>
              </w:rPr>
              <w:t>January 23</w:t>
            </w:r>
            <w:r w:rsidR="00BF2D35">
              <w:rPr>
                <w:rFonts w:ascii="Arial Black" w:hAnsi="Arial Black"/>
                <w:caps/>
                <w:sz w:val="15"/>
              </w:rPr>
              <w:t>, 2014</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8B2CC1" w:rsidRPr="003845C1" w:rsidRDefault="002B2C82" w:rsidP="00A610A6">
      <w:pPr>
        <w:rPr>
          <w:b/>
          <w:sz w:val="24"/>
          <w:szCs w:val="24"/>
        </w:rPr>
      </w:pPr>
      <w:r>
        <w:rPr>
          <w:b/>
          <w:sz w:val="24"/>
          <w:szCs w:val="24"/>
        </w:rPr>
        <w:t>Twent</w:t>
      </w:r>
      <w:r>
        <w:rPr>
          <w:rFonts w:hint="eastAsia"/>
          <w:b/>
          <w:sz w:val="24"/>
          <w:szCs w:val="24"/>
        </w:rPr>
        <w:t>y-</w:t>
      </w:r>
      <w:r w:rsidR="00BF2D35">
        <w:rPr>
          <w:b/>
          <w:sz w:val="24"/>
          <w:szCs w:val="24"/>
        </w:rPr>
        <w:t>Seven</w:t>
      </w:r>
      <w:r w:rsidR="00143933">
        <w:rPr>
          <w:b/>
          <w:sz w:val="24"/>
          <w:szCs w:val="24"/>
        </w:rPr>
        <w:t>th</w:t>
      </w:r>
      <w:r w:rsidR="00BA59E4">
        <w:rPr>
          <w:b/>
          <w:sz w:val="24"/>
          <w:szCs w:val="24"/>
        </w:rPr>
        <w:t xml:space="preserve"> </w:t>
      </w:r>
      <w:proofErr w:type="gramStart"/>
      <w:r w:rsidR="00BA59E4">
        <w:rPr>
          <w:b/>
          <w:sz w:val="24"/>
          <w:szCs w:val="24"/>
        </w:rPr>
        <w:t>Session</w:t>
      </w:r>
      <w:proofErr w:type="gramEnd"/>
    </w:p>
    <w:p w:rsidR="00BA59E4" w:rsidRPr="003845C1" w:rsidRDefault="00BA59E4" w:rsidP="00A610A6">
      <w:pPr>
        <w:rPr>
          <w:b/>
          <w:sz w:val="24"/>
          <w:szCs w:val="24"/>
        </w:rPr>
      </w:pPr>
      <w:r>
        <w:rPr>
          <w:b/>
          <w:sz w:val="24"/>
          <w:szCs w:val="24"/>
        </w:rPr>
        <w:t xml:space="preserve">Geneva, </w:t>
      </w:r>
      <w:r w:rsidR="00BF2D35">
        <w:rPr>
          <w:b/>
          <w:sz w:val="24"/>
          <w:szCs w:val="24"/>
        </w:rPr>
        <w:t>March 24 to April 4</w:t>
      </w:r>
      <w:r>
        <w:rPr>
          <w:b/>
          <w:sz w:val="24"/>
          <w:szCs w:val="24"/>
        </w:rPr>
        <w:t>, 201</w:t>
      </w:r>
      <w:r w:rsidR="00C8076B">
        <w:rPr>
          <w:b/>
          <w:sz w:val="24"/>
          <w:szCs w:val="24"/>
        </w:rPr>
        <w:t>4</w:t>
      </w:r>
    </w:p>
    <w:p w:rsidR="008B2CC1" w:rsidRPr="008B2CC1" w:rsidRDefault="008B2CC1" w:rsidP="00D40928"/>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rPr>
      </w:pPr>
    </w:p>
    <w:p w:rsidR="00931A24" w:rsidRPr="00F05DC0" w:rsidRDefault="00D771DD" w:rsidP="00931A24">
      <w:pPr>
        <w:rPr>
          <w:szCs w:val="22"/>
          <w:lang w:eastAsia="en-US"/>
        </w:rPr>
      </w:pPr>
      <w:r>
        <w:rPr>
          <w:szCs w:val="22"/>
        </w:rPr>
        <w:t>2.</w:t>
      </w:r>
      <w:r>
        <w:rPr>
          <w:szCs w:val="22"/>
        </w:rPr>
        <w:tab/>
      </w:r>
      <w:r>
        <w:rPr>
          <w:szCs w:val="22"/>
          <w:lang w:eastAsia="en-US"/>
        </w:rPr>
        <w:t>At its Nineteenth S</w:t>
      </w:r>
      <w:r w:rsidR="00931A24" w:rsidRPr="00F05DC0">
        <w:rPr>
          <w:szCs w:val="22"/>
          <w:lang w:eastAsia="en-US"/>
        </w:rPr>
        <w:t xml:space="preserve">ession, held from July 18 to 22, 2011, the IGC “invited the Secretariat to update the glossaries available in documents </w:t>
      </w:r>
      <w:r w:rsidR="007B0610">
        <w:rPr>
          <w:szCs w:val="22"/>
          <w:lang w:eastAsia="en-US"/>
        </w:rPr>
        <w:t>W</w:t>
      </w:r>
      <w:r w:rsidR="00931A24" w:rsidRPr="00F05DC0">
        <w:rPr>
          <w:szCs w:val="22"/>
          <w:lang w:eastAsia="en-US"/>
        </w:rPr>
        <w:t>IPO/GRTKF/IC/19/INF/7</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 xml:space="preserve">Glossary of </w:t>
      </w:r>
      <w:r w:rsidR="002D5E7F">
        <w:rPr>
          <w:szCs w:val="22"/>
          <w:lang w:eastAsia="en-US"/>
        </w:rPr>
        <w:br/>
      </w:r>
      <w:r w:rsidR="007B0610" w:rsidRPr="00F05DC0">
        <w:rPr>
          <w:szCs w:val="22"/>
          <w:lang w:eastAsia="en-US"/>
        </w:rPr>
        <w:t>Key Terms Related to Intellectual Property and T</w:t>
      </w:r>
      <w:r w:rsidR="00BD7B73">
        <w:rPr>
          <w:szCs w:val="22"/>
          <w:lang w:eastAsia="en-US"/>
        </w:rPr>
        <w:t>raditional Cultural Expressions</w:t>
      </w:r>
      <w:r w:rsidR="00BD7B73">
        <w:rPr>
          <w:szCs w:val="22"/>
        </w:rPr>
        <w:t>’</w:t>
      </w:r>
      <w:r w:rsidR="007B0610" w:rsidRPr="00F05DC0">
        <w:rPr>
          <w:szCs w:val="22"/>
          <w:lang w:eastAsia="en-US"/>
        </w:rPr>
        <w:t>)</w:t>
      </w:r>
      <w:r w:rsidR="007B0610" w:rsidRPr="00F05DC0">
        <w:rPr>
          <w:szCs w:val="22"/>
        </w:rPr>
        <w:t>,</w:t>
      </w:r>
      <w:r w:rsidR="007B0610">
        <w:rPr>
          <w:szCs w:val="22"/>
          <w:lang w:eastAsia="en-US"/>
        </w:rPr>
        <w:t xml:space="preserve"> </w:t>
      </w:r>
      <w:r w:rsidR="00931A24" w:rsidRPr="00F05DC0">
        <w:rPr>
          <w:szCs w:val="22"/>
          <w:lang w:eastAsia="en-US"/>
        </w:rPr>
        <w:t xml:space="preserve">WIPO/GRTKF/IC/19/INF/8 </w:t>
      </w:r>
      <w:r w:rsidR="00BD7B73">
        <w:rPr>
          <w:szCs w:val="22"/>
          <w:lang w:eastAsia="en-US"/>
        </w:rPr>
        <w:t>(</w:t>
      </w:r>
      <w:r w:rsidR="00BD7B73">
        <w:rPr>
          <w:szCs w:val="22"/>
        </w:rPr>
        <w:t>‘</w:t>
      </w:r>
      <w:r w:rsidR="007B0610" w:rsidRPr="00F05DC0">
        <w:rPr>
          <w:szCs w:val="22"/>
          <w:lang w:eastAsia="en-US"/>
        </w:rPr>
        <w:t>Glossary of Key Terms Related to Intellectual Pro</w:t>
      </w:r>
      <w:r w:rsidR="00BD7B73">
        <w:rPr>
          <w:szCs w:val="22"/>
          <w:lang w:eastAsia="en-US"/>
        </w:rPr>
        <w:t>perty and Traditional Knowledge</w:t>
      </w:r>
      <w:r w:rsidR="00BD7B73">
        <w:rPr>
          <w:szCs w:val="22"/>
        </w:rPr>
        <w:t>’</w:t>
      </w:r>
      <w:r w:rsidR="007B0610" w:rsidRPr="00F05DC0">
        <w:rPr>
          <w:szCs w:val="22"/>
          <w:lang w:eastAsia="en-US"/>
        </w:rPr>
        <w:t>)</w:t>
      </w:r>
      <w:r w:rsidR="007B0610">
        <w:rPr>
          <w:szCs w:val="22"/>
          <w:lang w:eastAsia="en-US"/>
        </w:rPr>
        <w:t xml:space="preserve"> </w:t>
      </w:r>
      <w:r w:rsidR="00931A24" w:rsidRPr="00F05DC0">
        <w:rPr>
          <w:szCs w:val="22"/>
          <w:lang w:eastAsia="en-US"/>
        </w:rPr>
        <w:t>and WIPO/GRTKF/IC/19/INF/9</w:t>
      </w:r>
      <w:r w:rsidR="007B0610">
        <w:rPr>
          <w:szCs w:val="22"/>
          <w:lang w:eastAsia="en-US"/>
        </w:rPr>
        <w:t xml:space="preserve"> </w:t>
      </w:r>
      <w:r w:rsidR="00BD7B73">
        <w:rPr>
          <w:szCs w:val="22"/>
          <w:lang w:eastAsia="en-US"/>
        </w:rPr>
        <w:t>(</w:t>
      </w:r>
      <w:r w:rsidR="00BD7B73">
        <w:rPr>
          <w:szCs w:val="22"/>
        </w:rPr>
        <w:t>‘</w:t>
      </w:r>
      <w:r w:rsidR="007B0610" w:rsidRPr="00F05DC0">
        <w:rPr>
          <w:szCs w:val="22"/>
          <w:lang w:eastAsia="en-US"/>
        </w:rPr>
        <w:t>Glossary of Key Terms Related to Intellectual</w:t>
      </w:r>
      <w:r w:rsidR="00BD7B73">
        <w:rPr>
          <w:szCs w:val="22"/>
          <w:lang w:eastAsia="en-US"/>
        </w:rPr>
        <w:t xml:space="preserve"> Property and Genetic Resources</w:t>
      </w:r>
      <w:r w:rsidR="00BD7B73">
        <w:rPr>
          <w:szCs w:val="22"/>
        </w:rPr>
        <w:t>’</w:t>
      </w:r>
      <w:r w:rsidR="007B0610" w:rsidRPr="00F05DC0">
        <w:rPr>
          <w:szCs w:val="22"/>
          <w:lang w:eastAsia="en-US"/>
        </w:rPr>
        <w:t>)</w:t>
      </w:r>
      <w:r w:rsidR="00931A24" w:rsidRPr="00F05DC0">
        <w:rPr>
          <w:szCs w:val="22"/>
          <w:lang w:eastAsia="en-US"/>
        </w:rPr>
        <w:t>, to combine them in a single document and to publish that glossary as an information document for the next session of the IGC.”</w:t>
      </w:r>
      <w:r w:rsidR="00931A24" w:rsidRPr="00F05DC0">
        <w:rPr>
          <w:rStyle w:val="FootnoteReference"/>
          <w:szCs w:val="22"/>
          <w:lang w:eastAsia="en-US"/>
        </w:rPr>
        <w:footnoteReference w:id="3"/>
      </w:r>
    </w:p>
    <w:p w:rsidR="00931A24" w:rsidRPr="00F05DC0" w:rsidRDefault="00931A24" w:rsidP="00931A24">
      <w:pPr>
        <w:rPr>
          <w:szCs w:val="22"/>
          <w:lang w:eastAsia="en-US"/>
        </w:rPr>
      </w:pPr>
    </w:p>
    <w:p w:rsidR="00396645" w:rsidRDefault="005B1D12" w:rsidP="00931A24">
      <w:pPr>
        <w:rPr>
          <w:szCs w:val="22"/>
        </w:rPr>
      </w:pPr>
      <w:r>
        <w:rPr>
          <w:szCs w:val="22"/>
          <w:lang w:eastAsia="en-US"/>
        </w:rPr>
        <w:lastRenderedPageBreak/>
        <w:t>3</w:t>
      </w:r>
      <w:r w:rsidR="00931A24" w:rsidRPr="00F05DC0">
        <w:rPr>
          <w:szCs w:val="22"/>
          <w:lang w:eastAsia="en-US"/>
        </w:rPr>
        <w:t>.</w:t>
      </w:r>
      <w:r w:rsidR="00931A24" w:rsidRPr="00F05DC0">
        <w:rPr>
          <w:szCs w:val="22"/>
          <w:lang w:eastAsia="en-US"/>
        </w:rPr>
        <w:tab/>
      </w:r>
      <w:r w:rsidR="00931A24" w:rsidRPr="00F05DC0">
        <w:rPr>
          <w:szCs w:val="22"/>
        </w:rPr>
        <w:t>Pursuant to th</w:t>
      </w:r>
      <w:r>
        <w:rPr>
          <w:szCs w:val="22"/>
        </w:rPr>
        <w:t>at</w:t>
      </w:r>
      <w:r w:rsidR="00931A24" w:rsidRPr="00F05DC0">
        <w:rPr>
          <w:szCs w:val="22"/>
        </w:rPr>
        <w:t xml:space="preserve"> de</w:t>
      </w:r>
      <w:r w:rsidR="00D771DD">
        <w:rPr>
          <w:szCs w:val="22"/>
        </w:rPr>
        <w:t>cision</w:t>
      </w:r>
      <w:r w:rsidR="00931A24" w:rsidRPr="00F05DC0">
        <w:rPr>
          <w:szCs w:val="22"/>
        </w:rPr>
        <w:t>, and given that some terms contained in the glossaries are related to all three themes, the Secretariat consolidated the three glossaries into one, and updated some of the definitions included therein</w:t>
      </w:r>
      <w:r w:rsidR="00396645">
        <w:rPr>
          <w:szCs w:val="22"/>
        </w:rPr>
        <w:t xml:space="preserve">, taking </w:t>
      </w:r>
      <w:r w:rsidR="00931A24" w:rsidRPr="00F05DC0">
        <w:rPr>
          <w:szCs w:val="22"/>
        </w:rPr>
        <w:t xml:space="preserve">into account </w:t>
      </w:r>
      <w:r w:rsidR="00931A24">
        <w:rPr>
          <w:szCs w:val="22"/>
        </w:rPr>
        <w:t xml:space="preserve">instruments and other materials </w:t>
      </w:r>
      <w:r w:rsidR="00931A24" w:rsidRPr="00F05DC0">
        <w:rPr>
          <w:szCs w:val="22"/>
        </w:rPr>
        <w:t xml:space="preserve">that </w:t>
      </w:r>
      <w:r w:rsidR="00396645">
        <w:rPr>
          <w:szCs w:val="22"/>
        </w:rPr>
        <w:t>had co</w:t>
      </w:r>
      <w:r w:rsidR="00931A24" w:rsidRPr="00F05DC0">
        <w:rPr>
          <w:szCs w:val="22"/>
        </w:rPr>
        <w:t xml:space="preserve">me into existence after </w:t>
      </w:r>
      <w:r>
        <w:rPr>
          <w:szCs w:val="22"/>
        </w:rPr>
        <w:t xml:space="preserve">the publication of the previous, individual </w:t>
      </w:r>
      <w:r w:rsidR="00931A24" w:rsidRPr="00F05DC0">
        <w:rPr>
          <w:szCs w:val="22"/>
        </w:rPr>
        <w:t xml:space="preserve">versions of the glossaries.  In that respect, new terms </w:t>
      </w:r>
      <w:r w:rsidR="00396645">
        <w:rPr>
          <w:szCs w:val="22"/>
        </w:rPr>
        <w:t>were</w:t>
      </w:r>
      <w:r w:rsidR="00931A24" w:rsidRPr="00F05DC0">
        <w:rPr>
          <w:szCs w:val="22"/>
        </w:rPr>
        <w:t xml:space="preserve"> added and defined, while other terms </w:t>
      </w:r>
      <w:r w:rsidR="00396645">
        <w:rPr>
          <w:szCs w:val="22"/>
        </w:rPr>
        <w:t>were</w:t>
      </w:r>
      <w:r w:rsidR="00931A24" w:rsidRPr="00F05DC0">
        <w:rPr>
          <w:szCs w:val="22"/>
        </w:rPr>
        <w:t xml:space="preserve"> eliminated for the sake of conciseness.  Some definitions </w:t>
      </w:r>
      <w:r w:rsidR="00396645">
        <w:rPr>
          <w:szCs w:val="22"/>
        </w:rPr>
        <w:t>were</w:t>
      </w:r>
      <w:r w:rsidR="00931A24" w:rsidRPr="00F05DC0">
        <w:rPr>
          <w:szCs w:val="22"/>
        </w:rPr>
        <w:t xml:space="preserve"> redrafted.  </w:t>
      </w:r>
    </w:p>
    <w:p w:rsidR="00396645" w:rsidRDefault="00396645" w:rsidP="00931A24">
      <w:pPr>
        <w:rPr>
          <w:szCs w:val="22"/>
        </w:rPr>
      </w:pPr>
    </w:p>
    <w:p w:rsidR="00F12D49" w:rsidRPr="00F05DC0" w:rsidRDefault="00396645" w:rsidP="002247F0">
      <w:pPr>
        <w:contextualSpacing/>
        <w:rPr>
          <w:szCs w:val="22"/>
        </w:rPr>
      </w:pPr>
      <w:r>
        <w:rPr>
          <w:szCs w:val="22"/>
        </w:rPr>
        <w:t>4.</w:t>
      </w:r>
      <w:r>
        <w:rPr>
          <w:szCs w:val="22"/>
        </w:rPr>
        <w:tab/>
      </w:r>
      <w:r w:rsidR="00931A24" w:rsidRPr="00F05DC0">
        <w:rPr>
          <w:szCs w:val="22"/>
          <w:lang w:eastAsia="en-US"/>
        </w:rPr>
        <w:t xml:space="preserve">The updated, consolidated glossary </w:t>
      </w:r>
      <w:r w:rsidRPr="00DD49DC">
        <w:rPr>
          <w:szCs w:val="18"/>
        </w:rPr>
        <w:t>was made available as</w:t>
      </w:r>
      <w:r>
        <w:rPr>
          <w:szCs w:val="18"/>
        </w:rPr>
        <w:t xml:space="preserve"> an information document </w:t>
      </w:r>
      <w:r w:rsidR="009A0842">
        <w:rPr>
          <w:szCs w:val="18"/>
        </w:rPr>
        <w:br/>
      </w:r>
      <w:r>
        <w:rPr>
          <w:szCs w:val="18"/>
        </w:rPr>
        <w:t>for the Twentieth</w:t>
      </w:r>
      <w:r w:rsidR="00A610A6">
        <w:rPr>
          <w:szCs w:val="18"/>
        </w:rPr>
        <w:t>,</w:t>
      </w:r>
      <w:r>
        <w:rPr>
          <w:szCs w:val="18"/>
        </w:rPr>
        <w:t xml:space="preserve"> Twenty-First </w:t>
      </w:r>
      <w:r w:rsidR="00A610A6">
        <w:rPr>
          <w:szCs w:val="18"/>
        </w:rPr>
        <w:t xml:space="preserve">and Twenty-Second </w:t>
      </w:r>
      <w:r>
        <w:rPr>
          <w:szCs w:val="18"/>
        </w:rPr>
        <w:t>S</w:t>
      </w:r>
      <w:r w:rsidRPr="00DD49DC">
        <w:rPr>
          <w:szCs w:val="18"/>
        </w:rPr>
        <w:t>ession</w:t>
      </w:r>
      <w:r>
        <w:rPr>
          <w:szCs w:val="18"/>
        </w:rPr>
        <w:t>s</w:t>
      </w:r>
      <w:r w:rsidRPr="00DD49DC">
        <w:rPr>
          <w:szCs w:val="18"/>
        </w:rPr>
        <w:t xml:space="preserve"> of the IGC, he</w:t>
      </w:r>
      <w:r>
        <w:rPr>
          <w:szCs w:val="18"/>
        </w:rPr>
        <w:t xml:space="preserve">ld from </w:t>
      </w:r>
      <w:r w:rsidR="009A0842">
        <w:rPr>
          <w:szCs w:val="18"/>
        </w:rPr>
        <w:br/>
      </w:r>
      <w:r>
        <w:rPr>
          <w:szCs w:val="18"/>
        </w:rPr>
        <w:t>February 14 to 22, 2012</w:t>
      </w:r>
      <w:r w:rsidR="00A610A6">
        <w:rPr>
          <w:szCs w:val="18"/>
        </w:rPr>
        <w:t>,</w:t>
      </w:r>
      <w:r>
        <w:rPr>
          <w:szCs w:val="18"/>
        </w:rPr>
        <w:t xml:space="preserve"> from April 16 to 20, 2012, </w:t>
      </w:r>
      <w:r w:rsidR="00A610A6">
        <w:rPr>
          <w:szCs w:val="18"/>
        </w:rPr>
        <w:t xml:space="preserve">and from July 9 to 13, 2012, </w:t>
      </w:r>
      <w:r>
        <w:rPr>
          <w:szCs w:val="18"/>
        </w:rPr>
        <w:t>respectively</w:t>
      </w:r>
      <w:proofErr w:type="gramStart"/>
      <w:r>
        <w:rPr>
          <w:szCs w:val="18"/>
        </w:rPr>
        <w:t>,</w:t>
      </w:r>
      <w:proofErr w:type="gramEnd"/>
      <w:r w:rsidR="009A0842">
        <w:rPr>
          <w:szCs w:val="18"/>
        </w:rPr>
        <w:br/>
      </w:r>
      <w:r>
        <w:rPr>
          <w:szCs w:val="18"/>
        </w:rPr>
        <w:t>as documents WIPO/GRTKF/IC/20/INF/13</w:t>
      </w:r>
      <w:r w:rsidR="00A610A6">
        <w:rPr>
          <w:szCs w:val="18"/>
        </w:rPr>
        <w:t>,</w:t>
      </w:r>
      <w:r>
        <w:rPr>
          <w:szCs w:val="18"/>
        </w:rPr>
        <w:t xml:space="preserve"> WIPO/GRTKF/IC/21/INF/8, </w:t>
      </w:r>
      <w:r w:rsidR="00B94A29">
        <w:rPr>
          <w:szCs w:val="18"/>
        </w:rPr>
        <w:t xml:space="preserve">and </w:t>
      </w:r>
      <w:r w:rsidR="00A610A6">
        <w:rPr>
          <w:szCs w:val="18"/>
        </w:rPr>
        <w:t xml:space="preserve">WIPO/GRTKF/IC/22/INF/8, </w:t>
      </w:r>
      <w:r>
        <w:rPr>
          <w:szCs w:val="18"/>
        </w:rPr>
        <w:t xml:space="preserve">respectively. </w:t>
      </w:r>
      <w:r w:rsidR="00B94A29">
        <w:rPr>
          <w:szCs w:val="18"/>
        </w:rPr>
        <w:t xml:space="preserve"> </w:t>
      </w:r>
      <w:r>
        <w:rPr>
          <w:szCs w:val="18"/>
        </w:rPr>
        <w:t xml:space="preserve">The </w:t>
      </w:r>
      <w:r w:rsidR="00143933">
        <w:rPr>
          <w:rFonts w:hint="eastAsia"/>
          <w:szCs w:val="18"/>
        </w:rPr>
        <w:t>revised</w:t>
      </w:r>
      <w:r>
        <w:rPr>
          <w:szCs w:val="18"/>
        </w:rPr>
        <w:t xml:space="preserve"> version</w:t>
      </w:r>
      <w:r w:rsidR="00DE2433">
        <w:rPr>
          <w:szCs w:val="18"/>
        </w:rPr>
        <w:t xml:space="preserve"> of the glossary</w:t>
      </w:r>
      <w:r w:rsidR="00F12D49">
        <w:rPr>
          <w:szCs w:val="18"/>
        </w:rPr>
        <w:t xml:space="preserve"> </w:t>
      </w:r>
      <w:r w:rsidR="006A6CCE">
        <w:rPr>
          <w:szCs w:val="18"/>
        </w:rPr>
        <w:t>was</w:t>
      </w:r>
      <w:r w:rsidR="00143933">
        <w:rPr>
          <w:rFonts w:hint="eastAsia"/>
          <w:szCs w:val="18"/>
        </w:rPr>
        <w:t xml:space="preserve"> made available as information document</w:t>
      </w:r>
      <w:r w:rsidR="00366719">
        <w:rPr>
          <w:szCs w:val="18"/>
        </w:rPr>
        <w:t>s</w:t>
      </w:r>
      <w:r w:rsidR="00143933">
        <w:rPr>
          <w:rFonts w:hint="eastAsia"/>
          <w:szCs w:val="18"/>
        </w:rPr>
        <w:t xml:space="preserve"> for the Twenty-Third</w:t>
      </w:r>
      <w:r w:rsidR="00AF72C7">
        <w:rPr>
          <w:szCs w:val="18"/>
        </w:rPr>
        <w:t>,</w:t>
      </w:r>
      <w:r w:rsidR="00143933">
        <w:rPr>
          <w:rFonts w:hint="eastAsia"/>
          <w:szCs w:val="18"/>
        </w:rPr>
        <w:t xml:space="preserve"> </w:t>
      </w:r>
      <w:r w:rsidR="00D840BF">
        <w:rPr>
          <w:szCs w:val="18"/>
        </w:rPr>
        <w:t>Twenty-Fourth</w:t>
      </w:r>
      <w:r w:rsidR="00F8098A">
        <w:rPr>
          <w:szCs w:val="18"/>
        </w:rPr>
        <w:t xml:space="preserve"> and</w:t>
      </w:r>
      <w:r w:rsidR="00AF72C7">
        <w:rPr>
          <w:szCs w:val="18"/>
        </w:rPr>
        <w:t xml:space="preserve"> </w:t>
      </w:r>
      <w:r w:rsidR="009A0842">
        <w:rPr>
          <w:szCs w:val="18"/>
        </w:rPr>
        <w:br/>
      </w:r>
      <w:r w:rsidR="00AF72C7">
        <w:rPr>
          <w:szCs w:val="18"/>
        </w:rPr>
        <w:t>Twenty-Fifth</w:t>
      </w:r>
      <w:r w:rsidR="00D840BF">
        <w:rPr>
          <w:szCs w:val="18"/>
        </w:rPr>
        <w:t xml:space="preserve"> </w:t>
      </w:r>
      <w:r w:rsidR="00143933">
        <w:rPr>
          <w:rFonts w:hint="eastAsia"/>
          <w:szCs w:val="18"/>
        </w:rPr>
        <w:t>Session</w:t>
      </w:r>
      <w:r w:rsidR="00D840BF">
        <w:rPr>
          <w:szCs w:val="18"/>
        </w:rPr>
        <w:t>s</w:t>
      </w:r>
      <w:r w:rsidR="00143933">
        <w:rPr>
          <w:rFonts w:hint="eastAsia"/>
          <w:szCs w:val="18"/>
        </w:rPr>
        <w:t xml:space="preserve"> of the IGC, which </w:t>
      </w:r>
      <w:r w:rsidR="00D84F47">
        <w:rPr>
          <w:rFonts w:hint="eastAsia"/>
          <w:szCs w:val="18"/>
        </w:rPr>
        <w:t>t</w:t>
      </w:r>
      <w:r w:rsidR="00D84F47">
        <w:rPr>
          <w:szCs w:val="18"/>
        </w:rPr>
        <w:t>ook</w:t>
      </w:r>
      <w:r w:rsidR="00143933">
        <w:rPr>
          <w:rFonts w:hint="eastAsia"/>
          <w:szCs w:val="18"/>
        </w:rPr>
        <w:t xml:space="preserve"> place from February 4 to 8, 2013</w:t>
      </w:r>
      <w:r w:rsidR="00D840BF">
        <w:rPr>
          <w:szCs w:val="18"/>
        </w:rPr>
        <w:t xml:space="preserve">, from </w:t>
      </w:r>
      <w:r w:rsidR="009A0842">
        <w:rPr>
          <w:szCs w:val="18"/>
        </w:rPr>
        <w:br/>
      </w:r>
      <w:r w:rsidR="00D840BF">
        <w:rPr>
          <w:szCs w:val="18"/>
        </w:rPr>
        <w:t>April 22 to 26, 2013</w:t>
      </w:r>
      <w:r w:rsidR="00366719">
        <w:rPr>
          <w:szCs w:val="18"/>
        </w:rPr>
        <w:t xml:space="preserve">, </w:t>
      </w:r>
      <w:r w:rsidR="00F8098A">
        <w:rPr>
          <w:szCs w:val="18"/>
        </w:rPr>
        <w:t xml:space="preserve">and </w:t>
      </w:r>
      <w:r w:rsidR="00AF72C7">
        <w:rPr>
          <w:szCs w:val="18"/>
        </w:rPr>
        <w:t>from July 15 to 24, 2013</w:t>
      </w:r>
      <w:r w:rsidR="004E776D">
        <w:rPr>
          <w:szCs w:val="18"/>
        </w:rPr>
        <w:t>,</w:t>
      </w:r>
      <w:r w:rsidR="00AF72C7">
        <w:rPr>
          <w:szCs w:val="18"/>
        </w:rPr>
        <w:t xml:space="preserve"> </w:t>
      </w:r>
      <w:r w:rsidR="00366719">
        <w:rPr>
          <w:szCs w:val="18"/>
        </w:rPr>
        <w:t>respectively</w:t>
      </w:r>
      <w:r w:rsidR="00143933">
        <w:rPr>
          <w:rFonts w:hint="eastAsia"/>
          <w:szCs w:val="18"/>
        </w:rPr>
        <w:t xml:space="preserve">. </w:t>
      </w:r>
      <w:r w:rsidR="009C3A72">
        <w:rPr>
          <w:szCs w:val="18"/>
        </w:rPr>
        <w:t xml:space="preserve"> </w:t>
      </w:r>
      <w:r w:rsidR="00F8098A">
        <w:rPr>
          <w:szCs w:val="18"/>
        </w:rPr>
        <w:t xml:space="preserve">It is also made available for </w:t>
      </w:r>
      <w:r w:rsidR="009A0842">
        <w:rPr>
          <w:szCs w:val="18"/>
        </w:rPr>
        <w:br/>
      </w:r>
      <w:r w:rsidR="00F8098A">
        <w:rPr>
          <w:szCs w:val="18"/>
        </w:rPr>
        <w:t xml:space="preserve">the Twenty-Sixth Session of the IGC, which will take place from February 3 to 7, 2014.  </w:t>
      </w:r>
      <w:r w:rsidR="00143933">
        <w:rPr>
          <w:rFonts w:hint="eastAsia"/>
          <w:szCs w:val="22"/>
        </w:rPr>
        <w:t>That</w:t>
      </w:r>
      <w:r w:rsidR="00F12D49">
        <w:rPr>
          <w:szCs w:val="22"/>
        </w:rPr>
        <w:t xml:space="preserve"> version </w:t>
      </w:r>
      <w:r w:rsidR="00ED1311">
        <w:rPr>
          <w:szCs w:val="22"/>
        </w:rPr>
        <w:t>no longer</w:t>
      </w:r>
      <w:r w:rsidR="00F12D49">
        <w:rPr>
          <w:szCs w:val="22"/>
        </w:rPr>
        <w:t xml:space="preserve"> </w:t>
      </w:r>
      <w:smartTag w:uri="urn:schemas-microsoft-com:office:smarttags" w:element="PersonName">
        <w:r w:rsidR="00F12D49">
          <w:rPr>
            <w:szCs w:val="22"/>
          </w:rPr>
          <w:t>c</w:t>
        </w:r>
      </w:smartTag>
      <w:r w:rsidR="00F12D49">
        <w:rPr>
          <w:szCs w:val="22"/>
        </w:rPr>
        <w:t>ontain</w:t>
      </w:r>
      <w:r w:rsidR="00ED1311">
        <w:rPr>
          <w:szCs w:val="22"/>
        </w:rPr>
        <w:t>s</w:t>
      </w:r>
      <w:r w:rsidR="00F12D49">
        <w:rPr>
          <w:szCs w:val="22"/>
        </w:rPr>
        <w:t xml:space="preserve"> any referen</w:t>
      </w:r>
      <w:smartTag w:uri="urn:schemas-microsoft-com:office:smarttags" w:element="PersonName">
        <w:r w:rsidR="00F12D49">
          <w:rPr>
            <w:szCs w:val="22"/>
          </w:rPr>
          <w:t>c</w:t>
        </w:r>
      </w:smartTag>
      <w:r w:rsidR="00F12D49">
        <w:rPr>
          <w:szCs w:val="22"/>
        </w:rPr>
        <w:t xml:space="preserve">es to the texts being negotiated </w:t>
      </w:r>
      <w:r w:rsidR="00ED1311">
        <w:rPr>
          <w:szCs w:val="22"/>
        </w:rPr>
        <w:t>in</w:t>
      </w:r>
      <w:r w:rsidR="00F12D49">
        <w:rPr>
          <w:szCs w:val="22"/>
        </w:rPr>
        <w:t xml:space="preserve"> the IGC, to prevent </w:t>
      </w:r>
      <w:r w:rsidR="00ED1311">
        <w:rPr>
          <w:szCs w:val="22"/>
        </w:rPr>
        <w:t>the glossary be</w:t>
      </w:r>
      <w:smartTag w:uri="urn:schemas-microsoft-com:office:smarttags" w:element="PersonName">
        <w:r w:rsidR="00ED1311">
          <w:rPr>
            <w:szCs w:val="22"/>
          </w:rPr>
          <w:t>c</w:t>
        </w:r>
      </w:smartTag>
      <w:r w:rsidR="00ED1311">
        <w:rPr>
          <w:szCs w:val="22"/>
        </w:rPr>
        <w:t>oming outdated</w:t>
      </w:r>
      <w:r w:rsidR="00F12D49">
        <w:rPr>
          <w:szCs w:val="22"/>
        </w:rPr>
        <w:t xml:space="preserve"> after ea</w:t>
      </w:r>
      <w:smartTag w:uri="urn:schemas-microsoft-com:office:smarttags" w:element="PersonName">
        <w:r w:rsidR="00F12D49">
          <w:rPr>
            <w:szCs w:val="22"/>
          </w:rPr>
          <w:t>c</w:t>
        </w:r>
      </w:smartTag>
      <w:r w:rsidR="00F12D49">
        <w:rPr>
          <w:szCs w:val="22"/>
        </w:rPr>
        <w:t xml:space="preserve">h IGC session. </w:t>
      </w:r>
      <w:r w:rsidR="00AF72C7">
        <w:rPr>
          <w:szCs w:val="22"/>
        </w:rPr>
        <w:t xml:space="preserve"> </w:t>
      </w:r>
      <w:r w:rsidR="00143933">
        <w:rPr>
          <w:rFonts w:hint="eastAsia"/>
          <w:szCs w:val="22"/>
        </w:rPr>
        <w:t xml:space="preserve">The same version of the glossary </w:t>
      </w:r>
      <w:r w:rsidR="00143933" w:rsidRPr="00F05DC0">
        <w:rPr>
          <w:szCs w:val="22"/>
          <w:lang w:eastAsia="en-US"/>
        </w:rPr>
        <w:t xml:space="preserve">is </w:t>
      </w:r>
      <w:smartTag w:uri="urn:schemas-microsoft-com:office:smarttags" w:element="PersonName">
        <w:r w:rsidR="00143933" w:rsidRPr="00F05DC0">
          <w:rPr>
            <w:szCs w:val="22"/>
            <w:lang w:eastAsia="en-US"/>
          </w:rPr>
          <w:t>c</w:t>
        </w:r>
      </w:smartTag>
      <w:r w:rsidR="00143933" w:rsidRPr="00F05DC0">
        <w:rPr>
          <w:szCs w:val="22"/>
          <w:lang w:eastAsia="en-US"/>
        </w:rPr>
        <w:t>ontained in the Annex to the present do</w:t>
      </w:r>
      <w:smartTag w:uri="urn:schemas-microsoft-com:office:smarttags" w:element="PersonName">
        <w:r w:rsidR="00143933" w:rsidRPr="00F05DC0">
          <w:rPr>
            <w:szCs w:val="22"/>
            <w:lang w:eastAsia="en-US"/>
          </w:rPr>
          <w:t>c</w:t>
        </w:r>
      </w:smartTag>
      <w:r w:rsidR="00143933" w:rsidRPr="00F05DC0">
        <w:rPr>
          <w:szCs w:val="22"/>
          <w:lang w:eastAsia="en-US"/>
        </w:rPr>
        <w:t>ument</w:t>
      </w:r>
      <w:r w:rsidR="00143933">
        <w:rPr>
          <w:szCs w:val="22"/>
          <w:lang w:eastAsia="en-US"/>
        </w:rPr>
        <w:t xml:space="preserve">.  </w:t>
      </w:r>
    </w:p>
    <w:p w:rsidR="00931A24" w:rsidRPr="00F05DC0" w:rsidRDefault="00931A24" w:rsidP="00931A24">
      <w:pPr>
        <w:rPr>
          <w:szCs w:val="22"/>
          <w:lang w:eastAsia="en-US"/>
        </w:rPr>
      </w:pPr>
    </w:p>
    <w:p w:rsidR="00931A24" w:rsidRPr="00F05DC0" w:rsidRDefault="00396645" w:rsidP="00931A24">
      <w:pPr>
        <w:rPr>
          <w:szCs w:val="22"/>
        </w:rPr>
      </w:pPr>
      <w:r>
        <w:rPr>
          <w:szCs w:val="22"/>
          <w:lang w:eastAsia="en-US"/>
        </w:rPr>
        <w:t>5</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396645" w:rsidP="00F85B40">
      <w:pPr>
        <w:contextualSpacing/>
        <w:rPr>
          <w:szCs w:val="22"/>
        </w:rPr>
      </w:pPr>
      <w:r>
        <w:rPr>
          <w:szCs w:val="22"/>
        </w:rPr>
        <w:t>6</w:t>
      </w:r>
      <w:r w:rsidR="00931A24" w:rsidRPr="00F05DC0">
        <w:rPr>
          <w:szCs w:val="22"/>
        </w:rPr>
        <w:t>.</w:t>
      </w:r>
      <w:r w:rsidR="00931A24" w:rsidRPr="00F05DC0">
        <w:rPr>
          <w:szCs w:val="22"/>
        </w:rPr>
        <w:tab/>
        <w:t xml:space="preserve">The selection of key terms is based on the terms used most frequently in the draft articles and other related documents.  The selection and proposed definitions contained in the </w:t>
      </w:r>
      <w:r w:rsidR="002D5E7F">
        <w:rPr>
          <w:szCs w:val="22"/>
        </w:rPr>
        <w:br/>
      </w:r>
      <w:r w:rsidR="00931A24" w:rsidRPr="00F05DC0">
        <w:rPr>
          <w:szCs w:val="22"/>
        </w:rPr>
        <w:t xml:space="preserve">Annex are without prejudice to any other glossary or definitions of key terms contained in previous documents of this IGC or in any other international, regional or national instrument or </w:t>
      </w:r>
      <w:proofErr w:type="spellStart"/>
      <w:r w:rsidR="00931A24" w:rsidRPr="00F05DC0">
        <w:rPr>
          <w:szCs w:val="22"/>
        </w:rPr>
        <w:t>fora</w:t>
      </w:r>
      <w:proofErr w:type="spellEnd"/>
      <w:r w:rsidR="00931A24" w:rsidRPr="00F05DC0">
        <w:rPr>
          <w:szCs w:val="22"/>
        </w:rPr>
        <w:t xml:space="preserve">.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396645" w:rsidP="00931A24">
      <w:pPr>
        <w:pStyle w:val="DecisionInvitingPara"/>
        <w:ind w:left="5533"/>
        <w:rPr>
          <w:rFonts w:cs="Arial"/>
          <w:sz w:val="22"/>
          <w:szCs w:val="22"/>
        </w:rPr>
      </w:pPr>
      <w:r>
        <w:rPr>
          <w:rFonts w:cs="Arial"/>
          <w:sz w:val="22"/>
          <w:szCs w:val="22"/>
        </w:rPr>
        <w:t>7</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default" r:id="rId10"/>
          <w:footerReference w:type="default" r:id="rId11"/>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 xml:space="preserve">(1992) prescribes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6"/>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w:t>
      </w:r>
      <w:proofErr w:type="spellStart"/>
      <w:r w:rsidR="00F81B09">
        <w:rPr>
          <w:rStyle w:val="Strong"/>
          <w:b w:val="0"/>
          <w:bCs w:val="0"/>
          <w:iCs/>
          <w:szCs w:val="22"/>
        </w:rPr>
        <w:t>nanobiotechnology</w:t>
      </w:r>
      <w:proofErr w:type="spellEnd"/>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F81B09" w:rsidRPr="00F81B09" w:rsidRDefault="00931A24" w:rsidP="00F81B09">
      <w:pPr>
        <w:tabs>
          <w:tab w:val="num" w:pos="1440"/>
        </w:tabs>
        <w:spacing w:line="260" w:lineRule="atLeast"/>
        <w:rPr>
          <w:i/>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p>
    <w:p w:rsidR="00931A24" w:rsidRPr="00F05DC0" w:rsidRDefault="00F81B09" w:rsidP="00F81B09">
      <w:pPr>
        <w:tabs>
          <w:tab w:val="num" w:pos="1440"/>
        </w:tabs>
        <w:spacing w:line="260" w:lineRule="atLeast"/>
        <w:rPr>
          <w:bCs/>
          <w:szCs w:val="22"/>
        </w:rPr>
      </w:pPr>
      <w:r w:rsidRPr="00F81B09">
        <w:rPr>
          <w:i/>
          <w:szCs w:val="22"/>
        </w:rPr>
        <w:t>the Benefits Arising out of their Utilization</w:t>
      </w:r>
      <w:r w:rsidRPr="00F81B09">
        <w:rPr>
          <w:szCs w:val="22"/>
        </w:rPr>
        <w:t xml:space="preserve"> </w:t>
      </w:r>
      <w:r w:rsidR="00931A24" w:rsidRPr="00F05DC0">
        <w:rPr>
          <w:szCs w:val="22"/>
        </w:rPr>
        <w:t xml:space="preserve">were adopted in 2002 by the Conference of </w:t>
      </w:r>
      <w:r w:rsidR="00931A24">
        <w:rPr>
          <w:szCs w:val="22"/>
        </w:rPr>
        <w:t xml:space="preserve">the </w:t>
      </w:r>
      <w:r w:rsidR="00931A24" w:rsidRPr="00F05DC0">
        <w:rPr>
          <w:szCs w:val="22"/>
        </w:rPr>
        <w:t xml:space="preserve">Parties of the </w:t>
      </w:r>
      <w:r w:rsidR="00931A24" w:rsidRPr="00F05DC0">
        <w:rPr>
          <w:i/>
          <w:szCs w:val="22"/>
        </w:rPr>
        <w:t xml:space="preserve">Convention on Biological Diversity </w:t>
      </w:r>
      <w:r w:rsidR="00931A24" w:rsidRPr="00F05DC0">
        <w:rPr>
          <w:szCs w:val="22"/>
        </w:rPr>
        <w:t>in order to provide guidance in respect of implementation of relevant provisions under Articles 8(j), 10(c), 15, 16 and 19 of the Convention</w:t>
      </w:r>
      <w:r w:rsidR="00931A24" w:rsidRPr="00F05DC0">
        <w:rPr>
          <w:i/>
          <w:szCs w:val="22"/>
        </w:rPr>
        <w:t xml:space="preserve"> </w:t>
      </w:r>
      <w:r w:rsidR="00931A24" w:rsidRPr="00F05DC0">
        <w:rPr>
          <w:szCs w:val="22"/>
        </w:rPr>
        <w:t>related to access to genetic resources and benefit-sharing.  The Guidelines are voluntary in nature and are addressed to a range of stakeholders.</w:t>
      </w:r>
      <w:r w:rsidR="00931A24" w:rsidRPr="00F05DC0">
        <w:rPr>
          <w:rStyle w:val="FootnoteReference"/>
          <w:szCs w:val="22"/>
        </w:rPr>
        <w:footnoteReference w:id="16"/>
      </w:r>
      <w:r w:rsidR="00931A24" w:rsidRPr="00F05DC0">
        <w:rPr>
          <w:szCs w:val="22"/>
        </w:rPr>
        <w:t xml:space="preserve">  They cover procedural and regulatory aspects, in particular, of prior informed consent, and identify monetary and non-monetary forms of benefit-sharing.</w:t>
      </w:r>
      <w:r w:rsidR="00931A24"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610F7E"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p>
    <w:p w:rsidR="00931A24" w:rsidRPr="007E3B38" w:rsidRDefault="00931A24" w:rsidP="00931A24">
      <w:pPr>
        <w:pStyle w:val="FootnoteText"/>
        <w:spacing w:line="260" w:lineRule="atLeast"/>
        <w:rPr>
          <w:sz w:val="22"/>
          <w:szCs w:val="22"/>
        </w:rPr>
      </w:pP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smartTag w:uri="urn:schemas-microsoft-com:office:smarttags" w:element="place">
        <w:r w:rsidRPr="007E3B38">
          <w:rPr>
            <w:sz w:val="22"/>
            <w:szCs w:val="22"/>
          </w:rPr>
          <w:t>South Asia</w:t>
        </w:r>
      </w:smartTag>
      <w:r w:rsidRPr="007E3B38">
        <w:rPr>
          <w:sz w:val="22"/>
          <w:szCs w:val="22"/>
        </w:rPr>
        <w:t xml:space="preserve">, for instance, the codified knowledge systems include the </w:t>
      </w:r>
      <w:proofErr w:type="spellStart"/>
      <w:r w:rsidRPr="007E3B38">
        <w:rPr>
          <w:sz w:val="22"/>
          <w:szCs w:val="22"/>
        </w:rPr>
        <w:t>Ayurvedic</w:t>
      </w:r>
      <w:proofErr w:type="spellEnd"/>
      <w:r w:rsidRPr="007E3B38">
        <w:rPr>
          <w:sz w:val="22"/>
          <w:szCs w:val="22"/>
        </w:rPr>
        <w:t xml:space="preserve"> system of medicine, which is codified in the 54 authoritative books of the </w:t>
      </w:r>
      <w:proofErr w:type="spellStart"/>
      <w:r w:rsidRPr="007E3B38">
        <w:rPr>
          <w:sz w:val="22"/>
          <w:szCs w:val="22"/>
        </w:rPr>
        <w:t>Ayurvedic</w:t>
      </w:r>
      <w:proofErr w:type="spellEnd"/>
      <w:r w:rsidRPr="007E3B38">
        <w:rPr>
          <w:sz w:val="22"/>
          <w:szCs w:val="22"/>
        </w:rPr>
        <w:t xml:space="preserve"> System, the Siddha system, as codified in 29 authoritative books, and the </w:t>
      </w:r>
      <w:proofErr w:type="spellStart"/>
      <w:r w:rsidRPr="007E3B38">
        <w:rPr>
          <w:sz w:val="22"/>
          <w:szCs w:val="22"/>
        </w:rPr>
        <w:t>Unani</w:t>
      </w:r>
      <w:proofErr w:type="spellEnd"/>
      <w:r w:rsidRPr="007E3B38">
        <w:rPr>
          <w:sz w:val="22"/>
          <w:szCs w:val="22"/>
        </w:rPr>
        <w:t xml:space="preserve"> </w:t>
      </w:r>
      <w:proofErr w:type="spellStart"/>
      <w:r w:rsidRPr="007E3B38">
        <w:rPr>
          <w:sz w:val="22"/>
          <w:szCs w:val="22"/>
        </w:rPr>
        <w:t>Tibb</w:t>
      </w:r>
      <w:proofErr w:type="spellEnd"/>
      <w:r w:rsidRPr="007E3B38">
        <w:rPr>
          <w:sz w:val="22"/>
          <w:szCs w:val="22"/>
        </w:rPr>
        <w:t xml:space="preserve"> tradition, as codified in 13 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w:t>
      </w:r>
      <w:proofErr w:type="spellStart"/>
      <w:r w:rsidRPr="007E3B38">
        <w:rPr>
          <w:sz w:val="22"/>
          <w:szCs w:val="22"/>
        </w:rPr>
        <w:t>i</w:t>
      </w:r>
      <w:proofErr w:type="spellEnd"/>
      <w:r w:rsidRPr="007E3B38">
        <w:rPr>
          <w:sz w:val="22"/>
          <w:szCs w:val="22"/>
        </w:rPr>
        <w:t>)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5"/>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proofErr w:type="spellStart"/>
      <w:r w:rsidRPr="007E3B38">
        <w:rPr>
          <w:snapToGrid w:val="0"/>
          <w:sz w:val="22"/>
          <w:szCs w:val="22"/>
        </w:rPr>
        <w:t>T</w:t>
      </w:r>
      <w:r w:rsidRPr="007E3B38">
        <w:rPr>
          <w:sz w:val="22"/>
          <w:szCs w:val="22"/>
          <w:lang w:val="en"/>
        </w:rPr>
        <w:t>he</w:t>
      </w:r>
      <w:proofErr w:type="spellEnd"/>
      <w:r w:rsidRPr="007E3B38">
        <w:rPr>
          <w:sz w:val="22"/>
          <w:szCs w:val="22"/>
          <w:lang w:val="en"/>
        </w:rPr>
        <w:t xml:space="preserve"> 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6"/>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Pr="007E3B38">
        <w:rPr>
          <w:sz w:val="22"/>
          <w:szCs w:val="22"/>
        </w:rPr>
        <w:t xml:space="preserve"> (1972), the 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(b)  groups of building</w:t>
      </w:r>
      <w:r w:rsidR="006F4289">
        <w:rPr>
          <w:i/>
          <w:sz w:val="22"/>
          <w:szCs w:val="22"/>
        </w:rPr>
        <w:t>s</w:t>
      </w:r>
      <w:r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w:t>
      </w:r>
      <w:proofErr w:type="spellStart"/>
      <w:r w:rsidRPr="007E3B38">
        <w:rPr>
          <w:sz w:val="22"/>
          <w:szCs w:val="22"/>
          <w:lang w:val="en"/>
        </w:rPr>
        <w:t>Labour</w:t>
      </w:r>
      <w:proofErr w:type="spellEnd"/>
      <w:r w:rsidRPr="007E3B38">
        <w:rPr>
          <w:sz w:val="22"/>
          <w:szCs w:val="22"/>
          <w:lang w:val="en"/>
        </w:rPr>
        <w:t xml:space="preserve">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w:t>
      </w:r>
      <w:proofErr w:type="spellStart"/>
      <w:r w:rsidRPr="007E3B38">
        <w:rPr>
          <w:snapToGrid w:val="0"/>
          <w:sz w:val="22"/>
          <w:szCs w:val="22"/>
        </w:rPr>
        <w:t>i</w:t>
      </w:r>
      <w:proofErr w:type="spellEnd"/>
      <w:r w:rsidRPr="007E3B38">
        <w:rPr>
          <w:snapToGrid w:val="0"/>
          <w:sz w:val="22"/>
          <w:szCs w:val="22"/>
        </w:rPr>
        <w:t>)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w:t>
      </w:r>
      <w:proofErr w:type="spellStart"/>
      <w:r w:rsidRPr="007E3B38">
        <w:rPr>
          <w:snapToGrid w:val="0"/>
          <w:sz w:val="22"/>
          <w:szCs w:val="22"/>
        </w:rPr>
        <w:t>i</w:t>
      </w:r>
      <w:proofErr w:type="spellEnd"/>
      <w:r w:rsidRPr="007E3B38">
        <w:rPr>
          <w:snapToGrid w:val="0"/>
          <w:sz w:val="22"/>
          <w:szCs w:val="22"/>
        </w:rPr>
        <w:t xml:space="preserve">)  postage, revenue and similar stamps, singly or in collections;  (j)  archives, 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w:t>
      </w:r>
      <w:proofErr w:type="spellStart"/>
      <w:r w:rsidRPr="007E3B38">
        <w:rPr>
          <w:sz w:val="22"/>
          <w:szCs w:val="22"/>
        </w:rPr>
        <w:t>o</w:t>
      </w:r>
      <w:r w:rsidRPr="007E3B38">
        <w:rPr>
          <w:sz w:val="22"/>
          <w:szCs w:val="22"/>
          <w:lang w:val="en"/>
        </w:rPr>
        <w:t>ne</w:t>
      </w:r>
      <w:proofErr w:type="spellEnd"/>
      <w:r w:rsidRPr="007E3B38">
        <w:rPr>
          <w:sz w:val="22"/>
          <w:szCs w:val="22"/>
          <w:lang w:val="en"/>
        </w:rPr>
        <w:t xml:space="preserv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1"/>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2"/>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931A24" w:rsidRPr="007E3B38" w:rsidRDefault="00931A24" w:rsidP="009A736D">
      <w:pPr>
        <w:numPr>
          <w:ilvl w:val="0"/>
          <w:numId w:val="5"/>
        </w:numPr>
        <w:tabs>
          <w:tab w:val="num" w:pos="3978"/>
        </w:tabs>
        <w:spacing w:line="260" w:lineRule="exact"/>
        <w:ind w:left="567" w:firstLine="0"/>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931A24" w:rsidRPr="007E3B38" w:rsidRDefault="00931A24" w:rsidP="009A736D">
      <w:pPr>
        <w:numPr>
          <w:ilvl w:val="0"/>
          <w:numId w:val="5"/>
        </w:numPr>
        <w:tabs>
          <w:tab w:val="num" w:pos="3411"/>
        </w:tabs>
        <w:spacing w:line="260" w:lineRule="exact"/>
        <w:ind w:left="567" w:firstLine="0"/>
        <w:rPr>
          <w:szCs w:val="22"/>
        </w:rPr>
      </w:pPr>
      <w:r w:rsidRPr="007E3B38">
        <w:rPr>
          <w:szCs w:val="22"/>
        </w:rPr>
        <w:t xml:space="preserve">to disclose the actual source of the genetic resources/traditional knowledge (a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p>
    <w:p w:rsidR="00931A24" w:rsidRPr="007E3B38" w:rsidRDefault="00931A24" w:rsidP="009A736D">
      <w:pPr>
        <w:numPr>
          <w:ilvl w:val="0"/>
          <w:numId w:val="5"/>
        </w:numPr>
        <w:tabs>
          <w:tab w:val="num" w:pos="3435"/>
        </w:tabs>
        <w:spacing w:line="260" w:lineRule="exact"/>
        <w:ind w:left="567" w:firstLine="0"/>
        <w:rPr>
          <w:szCs w:val="22"/>
        </w:rPr>
      </w:pPr>
      <w:r w:rsidRPr="007E3B38">
        <w:rPr>
          <w:szCs w:val="22"/>
        </w:rPr>
        <w:t>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w:t>
      </w:r>
      <w:proofErr w:type="spellStart"/>
      <w:r w:rsidRPr="007E3B38">
        <w:rPr>
          <w:sz w:val="22"/>
          <w:szCs w:val="22"/>
        </w:rPr>
        <w:t>i</w:t>
      </w:r>
      <w:proofErr w:type="spellEnd"/>
      <w:r w:rsidRPr="007E3B38">
        <w:rPr>
          <w:sz w:val="22"/>
          <w:szCs w:val="22"/>
        </w:rPr>
        <w:t>)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(see </w:t>
      </w:r>
      <w:r w:rsidR="005B08F5">
        <w:rPr>
          <w:szCs w:val="22"/>
        </w:rPr>
        <w:br/>
      </w:r>
      <w:r w:rsidRPr="007E3B38">
        <w:rPr>
          <w:szCs w:val="22"/>
        </w:rPr>
        <w:t>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 xml:space="preserve">International Code of Conduct for Plant </w:t>
      </w:r>
      <w:proofErr w:type="spellStart"/>
      <w:r w:rsidRPr="007E3B38">
        <w:rPr>
          <w:i/>
          <w:szCs w:val="22"/>
        </w:rPr>
        <w:t>Germplasm</w:t>
      </w:r>
      <w:proofErr w:type="spellEnd"/>
      <w:r w:rsidRPr="007E3B38">
        <w:rPr>
          <w:i/>
          <w:szCs w:val="22"/>
        </w:rPr>
        <w:t xml:space="preserve">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w:t>
      </w:r>
      <w:proofErr w:type="spellStart"/>
      <w:r w:rsidRPr="007E3B38">
        <w:rPr>
          <w:szCs w:val="22"/>
        </w:rPr>
        <w:t>centres</w:t>
      </w:r>
      <w:proofErr w:type="spellEnd"/>
      <w:r w:rsidRPr="007E3B38">
        <w:rPr>
          <w:szCs w:val="22"/>
        </w:rPr>
        <w:t xml:space="preserve"> of origin/diversity.  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AF287D" w:rsidRDefault="00AF287D" w:rsidP="00931A24">
      <w:pPr>
        <w:spacing w:line="260" w:lineRule="atLeast"/>
        <w:rPr>
          <w:b/>
          <w:szCs w:val="22"/>
          <w:lang w:val="en"/>
        </w:rPr>
      </w:pPr>
    </w:p>
    <w:p w:rsidR="00AF287D" w:rsidRDefault="00AF287D"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w:t>
      </w:r>
      <w:proofErr w:type="spellStart"/>
      <w:r w:rsidRPr="007E3B38">
        <w:rPr>
          <w:szCs w:val="22"/>
          <w:lang w:val="en"/>
        </w:rPr>
        <w:t>protectability</w:t>
      </w:r>
      <w:proofErr w:type="spellEnd"/>
      <w:r w:rsidRPr="007E3B38">
        <w:rPr>
          <w:szCs w:val="22"/>
          <w:lang w:val="en"/>
        </w:rPr>
        <w:t xml:space="preserve">,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8"/>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proofErr w:type="spellStart"/>
      <w:r w:rsidRPr="007E3B38">
        <w:rPr>
          <w:szCs w:val="22"/>
        </w:rPr>
        <w:t>germplasm</w:t>
      </w:r>
      <w:proofErr w:type="spellEnd"/>
      <w:r w:rsidRPr="007E3B38">
        <w:rPr>
          <w:szCs w:val="22"/>
        </w:rPr>
        <w:t xml:space="preserve"> of plants, animals or other organisms containing useful characters of actual or potential value.  In a domesticated species it is the sum of all the genetic combinations produced in the process of evolution.”</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 xml:space="preserve">International Code of Conduct for Plant </w:t>
      </w:r>
      <w:proofErr w:type="spellStart"/>
      <w:r w:rsidRPr="007E3B38">
        <w:rPr>
          <w:rStyle w:val="Emphasis"/>
          <w:szCs w:val="22"/>
        </w:rPr>
        <w:t>Germplasm</w:t>
      </w:r>
      <w:proofErr w:type="spellEnd"/>
      <w:r w:rsidRPr="007E3B38">
        <w:rPr>
          <w:rStyle w:val="Emphasis"/>
          <w:szCs w:val="22"/>
        </w:rPr>
        <w:t xml:space="preserve">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 xml:space="preserve">defines the term as “the reproductive or vegetative propagating material of the following categories of plants:  </w:t>
      </w:r>
      <w:proofErr w:type="spellStart"/>
      <w:r w:rsidRPr="007E3B38">
        <w:rPr>
          <w:szCs w:val="22"/>
        </w:rPr>
        <w:t>i</w:t>
      </w:r>
      <w:proofErr w:type="spellEnd"/>
      <w:r w:rsidRPr="007E3B38">
        <w:rPr>
          <w:szCs w:val="22"/>
        </w:rPr>
        <w:t>)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w:t>
      </w:r>
      <w:proofErr w:type="spellStart"/>
      <w:r w:rsidRPr="007E3B38">
        <w:rPr>
          <w:szCs w:val="22"/>
        </w:rPr>
        <w:t>Daes</w:t>
      </w:r>
      <w:proofErr w:type="spellEnd"/>
      <w:r w:rsidRPr="007E3B38">
        <w:rPr>
          <w:szCs w:val="22"/>
        </w:rPr>
        <w:t xml:space="preserve">.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he heritage of indigenous peoples includes all moveable cultural property as defined by  the relevant conventions of UNESCO; 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w:t>
      </w:r>
      <w:proofErr w:type="spellStart"/>
      <w:r w:rsidRPr="007E3B38">
        <w:rPr>
          <w:szCs w:val="22"/>
        </w:rPr>
        <w:t>artefacts</w:t>
      </w:r>
      <w:proofErr w:type="spellEnd"/>
      <w:r w:rsidRPr="007E3B38">
        <w:rPr>
          <w:szCs w:val="22"/>
        </w:rPr>
        <w:t>,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 xml:space="preserve">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w:t>
      </w:r>
      <w:proofErr w:type="spellStart"/>
      <w:r w:rsidRPr="007E3B38">
        <w:rPr>
          <w:szCs w:val="22"/>
          <w:lang w:val="en"/>
        </w:rPr>
        <w:t>fisherfolk</w:t>
      </w:r>
      <w:proofErr w:type="spellEnd"/>
      <w:r w:rsidRPr="007E3B38">
        <w:rPr>
          <w:szCs w:val="22"/>
          <w:lang w:val="en"/>
        </w:rPr>
        <w:t>,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451286">
        <w:rPr>
          <w:szCs w:val="22"/>
        </w:rPr>
        <w:t>icular, as appropriate:  … (c) [p]</w:t>
      </w:r>
      <w:proofErr w:type="spellStart"/>
      <w:r w:rsidRPr="007E3B38">
        <w:rPr>
          <w:szCs w:val="22"/>
        </w:rPr>
        <w:t>romote</w:t>
      </w:r>
      <w:proofErr w:type="spellEnd"/>
      <w:r w:rsidRPr="007E3B38">
        <w:rPr>
          <w:szCs w:val="22"/>
        </w:rPr>
        <w:t xml:space="preserv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proofErr w:type="spellStart"/>
      <w:r w:rsidRPr="007E3B38">
        <w:rPr>
          <w:i/>
          <w:szCs w:val="22"/>
        </w:rPr>
        <w:t>Swakopmund</w:t>
      </w:r>
      <w:proofErr w:type="spellEnd"/>
      <w:r w:rsidRPr="007E3B38">
        <w:rPr>
          <w:i/>
          <w:szCs w:val="22"/>
        </w:rPr>
        <w:t xml:space="preserve">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7.III of the Brazilian Provisional Act No. 2,186-16, dated August 23, 2001, defines “local community” as a “human group, including descendants of </w:t>
      </w:r>
      <w:proofErr w:type="spellStart"/>
      <w:r w:rsidRPr="007E3B38">
        <w:rPr>
          <w:szCs w:val="22"/>
        </w:rPr>
        <w:t>Quilombo</w:t>
      </w:r>
      <w:proofErr w:type="spellEnd"/>
      <w:r w:rsidRPr="007E3B38">
        <w:rPr>
          <w:szCs w:val="22"/>
        </w:rPr>
        <w:t xml:space="preserve">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t xml:space="preserve">Sub-Commission on Prevention of Discrimination and Protection of Minorities, </w:t>
      </w:r>
      <w:r w:rsidRPr="007E3B38">
        <w:rPr>
          <w:szCs w:val="22"/>
        </w:rPr>
        <w:br/>
        <w:t xml:space="preserve">Mr. J. </w:t>
      </w:r>
      <w:proofErr w:type="spellStart"/>
      <w:r w:rsidRPr="007E3B38">
        <w:rPr>
          <w:szCs w:val="22"/>
        </w:rPr>
        <w:t>Martínez</w:t>
      </w:r>
      <w:proofErr w:type="spellEnd"/>
      <w:r w:rsidRPr="007E3B38">
        <w:rPr>
          <w:szCs w:val="22"/>
        </w:rPr>
        <w:t xml:space="preserve"> </w:t>
      </w:r>
      <w:proofErr w:type="spellStart"/>
      <w:r w:rsidRPr="007E3B38">
        <w:rPr>
          <w:szCs w:val="22"/>
        </w:rPr>
        <w:t>Cobo</w:t>
      </w:r>
      <w:proofErr w:type="spellEnd"/>
      <w:r w:rsidRPr="007E3B38">
        <w:rPr>
          <w:szCs w:val="22"/>
        </w:rPr>
        <w:t xml:space="preserve">,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920AF8">
      <w:pPr>
        <w:pStyle w:val="Default"/>
        <w:numPr>
          <w:ilvl w:val="0"/>
          <w:numId w:val="7"/>
        </w:numPr>
        <w:tabs>
          <w:tab w:val="left" w:pos="60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920AF8">
      <w:pPr>
        <w:pStyle w:val="Default"/>
        <w:numPr>
          <w:ilvl w:val="0"/>
          <w:numId w:val="7"/>
        </w:numPr>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Self-identification, as well as recognition by other groups, or by state authorities, as a distinct </w:t>
      </w:r>
      <w:proofErr w:type="spellStart"/>
      <w:r w:rsidRPr="007E3B38">
        <w:rPr>
          <w:iCs/>
          <w:szCs w:val="22"/>
          <w:lang w:val="en-GB"/>
        </w:rPr>
        <w:t>collectivity</w:t>
      </w:r>
      <w:proofErr w:type="spellEnd"/>
      <w:r w:rsidRPr="007E3B38">
        <w:rPr>
          <w:iCs/>
          <w:szCs w:val="22"/>
          <w:lang w:val="en-GB"/>
        </w:rPr>
        <w:t>;</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xml:space="preserve">[...] Aboriginal Peoples of </w:t>
      </w:r>
      <w:smartTag w:uri="urn:schemas-microsoft-com:office:smarttags" w:element="country-region">
        <w:r w:rsidRPr="007E3B38">
          <w:rPr>
            <w:i/>
            <w:szCs w:val="22"/>
          </w:rPr>
          <w:t>Canada</w:t>
        </w:r>
      </w:smartTag>
      <w:r w:rsidRPr="007E3B38">
        <w:rPr>
          <w:i/>
          <w:szCs w:val="22"/>
        </w:rPr>
        <w:t xml:space="preserve"> includes the Indian, Inuit and Métis peoples of </w:t>
      </w:r>
      <w:smartTag w:uri="urn:schemas-microsoft-com:office:smarttags" w:element="place">
        <w:smartTag w:uri="urn:schemas-microsoft-com:office:smarttags" w:element="country-region">
          <w:r w:rsidRPr="007E3B38">
            <w:rPr>
              <w:i/>
              <w:szCs w:val="22"/>
            </w:rPr>
            <w:t>Canada</w:t>
          </w:r>
        </w:smartTag>
      </w:smartTag>
      <w:r w:rsidRPr="007E3B38">
        <w:rPr>
          <w:i/>
          <w:szCs w:val="22"/>
        </w:rPr>
        <w:t>.</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095694" w:rsidRPr="007E3B38" w:rsidRDefault="00095694" w:rsidP="00931A24">
      <w:pPr>
        <w:spacing w:line="260" w:lineRule="atLeast"/>
        <w:rPr>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AF287D" w:rsidRDefault="00AF287D" w:rsidP="00931A24">
      <w:pPr>
        <w:spacing w:line="260" w:lineRule="atLeast"/>
        <w:rPr>
          <w:b/>
          <w:szCs w:val="22"/>
          <w:lang w:val="en-GB"/>
        </w:rPr>
      </w:pPr>
    </w:p>
    <w:p w:rsidR="00931A24" w:rsidRPr="007E3B38" w:rsidRDefault="00931A24" w:rsidP="00931A24">
      <w:pPr>
        <w:spacing w:line="260" w:lineRule="atLeast"/>
        <w:rPr>
          <w:b/>
          <w:szCs w:val="22"/>
          <w:lang w:val="en-GB"/>
        </w:rPr>
      </w:pPr>
      <w:r w:rsidRPr="007E3B38">
        <w:rPr>
          <w:b/>
          <w:szCs w:val="22"/>
          <w:lang w:val="en-GB"/>
        </w:rPr>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Pr="007E3B38">
        <w:rPr>
          <w:szCs w:val="22"/>
        </w:rPr>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w:t>
      </w:r>
      <w:proofErr w:type="spellStart"/>
      <w:r w:rsidRPr="007E3B38">
        <w:rPr>
          <w:szCs w:val="22"/>
          <w:lang w:val="en"/>
        </w:rPr>
        <w:t>i</w:t>
      </w:r>
      <w:proofErr w:type="spellEnd"/>
      <w:r w:rsidRPr="007E3B38">
        <w:rPr>
          <w:szCs w:val="22"/>
          <w:lang w:val="en"/>
        </w:rPr>
        <w:t>)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(ii) the amendments which have entered into force pursuant to Article 2(2) of the European Convention prior to the entry into force of this Agreement;</w:t>
      </w:r>
      <w:r w:rsidRPr="007E3B38">
        <w:rPr>
          <w:szCs w:val="22"/>
        </w:rPr>
        <w:t xml:space="preserve">  </w:t>
      </w:r>
      <w:r w:rsidRPr="007E3B38">
        <w:rPr>
          <w:szCs w:val="22"/>
          <w:lang w:val="en"/>
        </w:rPr>
        <w:t>(iii) 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w:t>
      </w:r>
      <w:proofErr w:type="spellStart"/>
      <w:r w:rsidRPr="007E3B38">
        <w:rPr>
          <w:szCs w:val="22"/>
        </w:rPr>
        <w:t>germplasm</w:t>
      </w:r>
      <w:proofErr w:type="spellEnd"/>
      <w:r w:rsidRPr="007E3B38">
        <w:rPr>
          <w:szCs w:val="22"/>
        </w:rPr>
        <w:t xml:space="preserve">, microorganisms and cell cultures to exchange of materials from a provider to a recipient and setting conditions for access to public </w:t>
      </w:r>
      <w:proofErr w:type="spellStart"/>
      <w:r w:rsidRPr="007E3B38">
        <w:rPr>
          <w:szCs w:val="22"/>
        </w:rPr>
        <w:t>germplasm</w:t>
      </w:r>
      <w:proofErr w:type="spellEnd"/>
      <w:r w:rsidRPr="007E3B38">
        <w:rPr>
          <w:szCs w:val="22"/>
        </w:rPr>
        <w:t xml:space="preserve">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 xml:space="preserve">A minority is a group which is numerically inferior to the rest of the population of a State and in a </w:t>
      </w:r>
      <w:proofErr w:type="spellStart"/>
      <w:r w:rsidRPr="007E3B38">
        <w:rPr>
          <w:iCs/>
          <w:szCs w:val="22"/>
        </w:rPr>
        <w:t>non dominant</w:t>
      </w:r>
      <w:proofErr w:type="spellEnd"/>
      <w:r w:rsidRPr="007E3B38">
        <w:rPr>
          <w:iCs/>
          <w:szCs w:val="22"/>
        </w:rPr>
        <w:t xml:space="preserve">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In the field of intellectual property, Black’s Law Dictionary defines “misappropriation” as “the common-law tort of using the </w:t>
      </w:r>
      <w:proofErr w:type="spellStart"/>
      <w:r w:rsidRPr="007E3B38">
        <w:rPr>
          <w:szCs w:val="22"/>
        </w:rPr>
        <w:t>noncopyrightable</w:t>
      </w:r>
      <w:proofErr w:type="spellEnd"/>
      <w:r w:rsidRPr="007E3B38">
        <w:rPr>
          <w:szCs w:val="22"/>
        </w:rPr>
        <w:t xml:space="preserve"> information or ideas that an organization collects and disseminates for a profit to compete unfairly against that organization, or copying a work whose creator has not yet claimed or been granted exclusive rights in the work. […] The elements of misappropriation are:  (1) the plaintiff must have invested time, money, or effort to extract the information, (2) the defendant must have taken the information with no similar investment, and (3) 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w:t>
      </w:r>
      <w:proofErr w:type="spellStart"/>
      <w:r w:rsidRPr="007E3B38">
        <w:rPr>
          <w:szCs w:val="22"/>
        </w:rPr>
        <w:t>i</w:t>
      </w:r>
      <w:proofErr w:type="spellEnd"/>
      <w:r w:rsidRPr="007E3B38">
        <w:rPr>
          <w:szCs w:val="22"/>
        </w:rPr>
        <w:t>) acquisition, appropriation or use of traditional knowledge</w:t>
      </w:r>
      <w:r w:rsidRPr="007E3B38">
        <w:rPr>
          <w:i/>
          <w:szCs w:val="22"/>
        </w:rPr>
        <w:t xml:space="preserve"> </w:t>
      </w:r>
      <w:r w:rsidRPr="007E3B38">
        <w:rPr>
          <w:szCs w:val="22"/>
        </w:rPr>
        <w:t>in violation of the provisions of this Act, (ii) 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w:t>
      </w:r>
      <w:proofErr w:type="spellStart"/>
      <w:r w:rsidRPr="007E3B38">
        <w:rPr>
          <w:szCs w:val="22"/>
        </w:rPr>
        <w:t>nonpatented</w:t>
      </w:r>
      <w:proofErr w:type="spellEnd"/>
      <w:r w:rsidRPr="007E3B38">
        <w:rPr>
          <w:szCs w:val="22"/>
        </w:rPr>
        <w:t xml:space="preserve">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Bonn Guidelines on Access to Genetic Resources 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specifically deals with compliance with mutually agreed terms, providing that “1.  In the implementation of Article 6, paragraph 3 (g)(</w:t>
      </w:r>
      <w:proofErr w:type="spellStart"/>
      <w:r w:rsidRPr="007E3B38">
        <w:rPr>
          <w:szCs w:val="22"/>
        </w:rPr>
        <w:t>i</w:t>
      </w:r>
      <w:proofErr w:type="spellEnd"/>
      <w:r w:rsidRPr="007E3B38">
        <w:rPr>
          <w:szCs w:val="22"/>
        </w:rPr>
        <w:t xml:space="preserve">)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6"/>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Pr="007E3B38">
        <w:rPr>
          <w:szCs w:val="22"/>
        </w:rPr>
        <w:t>Rule 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281E50" w:rsidRPr="007E3B38" w:rsidRDefault="00281E50"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states that “[…] patents shall be available for any inventions, whether products or processes, in all fields of technology, provided that they are new, involve an inventive step and are capable of industrial application.  […] patents shall be 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proofErr w:type="spellStart"/>
      <w:r w:rsidRPr="007E3B38">
        <w:rPr>
          <w:i/>
          <w:szCs w:val="22"/>
        </w:rPr>
        <w:t>Transboundary</w:t>
      </w:r>
      <w:proofErr w:type="spellEnd"/>
      <w:r w:rsidRPr="007E3B38">
        <w:rPr>
          <w:i/>
          <w:szCs w:val="22"/>
        </w:rPr>
        <w:t xml:space="preserve">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n all cases of research, treatment or diagnosis affecting an individual’s genome the potential risks and benefits should be assessed 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“[t]he width of this definition should be noted.  There are no restrictions whatever as to the geographical location where, or the language or manner in which the relevant information was made available to the public; also no age limit is 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w:t>
      </w:r>
      <w:proofErr w:type="spellStart"/>
      <w:r w:rsidRPr="007E3B38">
        <w:rPr>
          <w:lang w:eastAsia="en-US" w:bidi="th-TH"/>
        </w:rPr>
        <w:t>i</w:t>
      </w:r>
      <w:proofErr w:type="spellEnd"/>
      <w:r w:rsidRPr="007E3B38">
        <w:rPr>
          <w:lang w:eastAsia="en-US" w:bidi="th-TH"/>
        </w:rPr>
        <w:t>)</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(ii) inventions that were publicly worked in Japan or a foreign country, prior to the filing of the patent application; or  (iii) 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Pr="007E3B38">
        <w:rPr>
          <w:szCs w:val="22"/>
        </w:rPr>
        <w:t xml:space="preserve">  Two 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 xml:space="preserve">Knowledge, ideas and innovations are in the public domain if there are no legal restrictions of use (varying in different legislations and forming, therefore, different public domains), after expiration of patents (regularly 20 years), in consequence of </w:t>
      </w:r>
      <w:proofErr w:type="spellStart"/>
      <w:r w:rsidRPr="007E3B38">
        <w:rPr>
          <w:szCs w:val="22"/>
        </w:rPr>
        <w:t>non renewal</w:t>
      </w:r>
      <w:proofErr w:type="spellEnd"/>
      <w:r w:rsidRPr="007E3B38">
        <w:rPr>
          <w:szCs w:val="22"/>
        </w:rPr>
        <w:t>,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government but rather are based upon pre–existing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 to preserve and safeguard the collective knowledge of indigenous peoples and their rights therein;  (b) 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Public National Register of Collective Knowledge of Indigenous Peoples;  (b) Confidential National Register of Collective Knowledge of Indigenous Peoples;  (c) 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w:t>
      </w:r>
      <w:proofErr w:type="spellStart"/>
      <w:r w:rsidRPr="007E3B38">
        <w:rPr>
          <w:szCs w:val="22"/>
        </w:rPr>
        <w:t>non formal</w:t>
      </w:r>
      <w:proofErr w:type="spellEnd"/>
      <w:r w:rsidRPr="007E3B38">
        <w:rPr>
          <w:szCs w:val="22"/>
        </w:rPr>
        <w:t xml:space="preserve">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Panama Law No. 20 of 26 June 2000 on the Special Intellectual Property Regime with Respect to the Collective Rights 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proofErr w:type="spellStart"/>
      <w:r w:rsidRPr="007E3B38">
        <w:rPr>
          <w:b/>
          <w:szCs w:val="22"/>
        </w:rPr>
        <w:t>Swakopmund</w:t>
      </w:r>
      <w:proofErr w:type="spellEnd"/>
      <w:r w:rsidRPr="007E3B38">
        <w:rPr>
          <w:b/>
          <w:szCs w:val="22"/>
        </w:rPr>
        <w:t xml:space="preserve">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proofErr w:type="spellStart"/>
      <w:smartTag w:uri="urn:schemas-microsoft-com:office:smarttags" w:element="place">
        <w:smartTag w:uri="urn:schemas-microsoft-com:office:smarttags" w:element="City">
          <w:r w:rsidRPr="007E3B38">
            <w:rPr>
              <w:szCs w:val="22"/>
            </w:rPr>
            <w:t>Swakopmund</w:t>
          </w:r>
        </w:smartTag>
        <w:proofErr w:type="spellEnd"/>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 xml:space="preserve">Productions of folk art, in particular, drawings, paintings, carvings, sculptures, pottery, terracotta, mosaic, woodwork, </w:t>
      </w:r>
      <w:proofErr w:type="spellStart"/>
      <w:r w:rsidRPr="007E3B38">
        <w:rPr>
          <w:szCs w:val="22"/>
        </w:rPr>
        <w:t>metalware</w:t>
      </w:r>
      <w:proofErr w:type="spellEnd"/>
      <w:r w:rsidRPr="007E3B38">
        <w:rPr>
          <w:szCs w:val="22"/>
        </w:rPr>
        <w:t xml:space="preserve">, </w:t>
      </w:r>
      <w:proofErr w:type="spellStart"/>
      <w:r w:rsidRPr="007E3B38">
        <w:rPr>
          <w:szCs w:val="22"/>
        </w:rPr>
        <w:t>jewellery</w:t>
      </w:r>
      <w:proofErr w:type="spellEnd"/>
      <w:r w:rsidRPr="007E3B38">
        <w:rPr>
          <w:szCs w:val="22"/>
        </w:rPr>
        <w:t>,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Further, TEK is an 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proofErr w:type="spellStart"/>
      <w:r w:rsidRPr="007E3B38">
        <w:rPr>
          <w:i/>
          <w:szCs w:val="22"/>
        </w:rPr>
        <w:t>lato</w:t>
      </w:r>
      <w:proofErr w:type="spellEnd"/>
      <w:r w:rsidRPr="007E3B38">
        <w:rPr>
          <w:i/>
          <w:szCs w:val="22"/>
        </w:rPr>
        <w:t xml:space="preserve"> </w:t>
      </w:r>
      <w:proofErr w:type="spellStart"/>
      <w:r w:rsidRPr="007E3B38">
        <w:rPr>
          <w:i/>
          <w:szCs w:val="22"/>
        </w:rPr>
        <w:t>sensu</w:t>
      </w:r>
      <w:proofErr w:type="spellEnd"/>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xml:space="preserve">, and is being implemented at CSIR.  An inter-disciplinary team of Traditional Medicine (Ayurveda, </w:t>
      </w:r>
      <w:proofErr w:type="spellStart"/>
      <w:r w:rsidRPr="007E3B38">
        <w:rPr>
          <w:szCs w:val="22"/>
        </w:rPr>
        <w:t>Unani</w:t>
      </w:r>
      <w:proofErr w:type="spellEnd"/>
      <w:r w:rsidRPr="007E3B38">
        <w:rPr>
          <w:szCs w:val="22"/>
        </w:rPr>
        <w:t xml:space="preserve">,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w:t>
      </w:r>
      <w:proofErr w:type="spellStart"/>
      <w:r w:rsidRPr="007E3B38">
        <w:rPr>
          <w:szCs w:val="22"/>
        </w:rPr>
        <w:t>Unani</w:t>
      </w:r>
      <w:proofErr w:type="spellEnd"/>
      <w:r w:rsidRPr="007E3B38">
        <w:rPr>
          <w:szCs w:val="22"/>
        </w:rPr>
        <w:t>,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w:t>
      </w:r>
      <w:proofErr w:type="spellStart"/>
      <w:r w:rsidRPr="007E3B38">
        <w:rPr>
          <w:szCs w:val="22"/>
        </w:rPr>
        <w:t>Slokas</w:t>
      </w:r>
      <w:proofErr w:type="spellEnd"/>
      <w:r w:rsidRPr="007E3B38">
        <w:rPr>
          <w:szCs w:val="22"/>
        </w:rPr>
        <w:t xml:space="preserve">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proofErr w:type="spellStart"/>
      <w:r w:rsidRPr="007E3B38">
        <w:rPr>
          <w:i/>
          <w:szCs w:val="22"/>
        </w:rPr>
        <w:t>stricto</w:t>
      </w:r>
      <w:proofErr w:type="spellEnd"/>
      <w:r w:rsidRPr="007E3B38">
        <w:rPr>
          <w:i/>
          <w:szCs w:val="22"/>
        </w:rPr>
        <w:t xml:space="preserve"> </w:t>
      </w:r>
      <w:proofErr w:type="spellStart"/>
      <w:r w:rsidRPr="007E3B38">
        <w:rPr>
          <w:i/>
          <w:szCs w:val="22"/>
        </w:rPr>
        <w:t>sensu</w:t>
      </w:r>
      <w:proofErr w:type="spellEnd"/>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w:t>
      </w:r>
      <w:proofErr w:type="spellStart"/>
      <w:r w:rsidRPr="007E3B38">
        <w:rPr>
          <w:szCs w:val="22"/>
        </w:rPr>
        <w:t>Unani</w:t>
      </w:r>
      <w:proofErr w:type="spellEnd"/>
      <w:r w:rsidRPr="007E3B38">
        <w:rPr>
          <w:szCs w:val="22"/>
        </w:rPr>
        <w:t>,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has several objectives set out in Article 1, namely (a) to protect and promote the diversity of cultural expressions; </w:t>
      </w:r>
      <w:r w:rsidR="0079064A">
        <w:rPr>
          <w:szCs w:val="22"/>
        </w:rPr>
        <w:t xml:space="preserve"> </w:t>
      </w:r>
      <w:r w:rsidRPr="007E3B38">
        <w:rPr>
          <w:szCs w:val="22"/>
        </w:rPr>
        <w:t xml:space="preserve">(b) to create the conditions for cultures to flourish and to freely interact in a mutually beneficial manner; </w:t>
      </w:r>
      <w:r w:rsidR="0079064A">
        <w:rPr>
          <w:szCs w:val="22"/>
        </w:rPr>
        <w:t xml:space="preserve"> </w:t>
      </w:r>
      <w:r w:rsidRPr="007E3B38">
        <w:rPr>
          <w:szCs w:val="22"/>
        </w:rPr>
        <w:t xml:space="preserve">(c) to encourage dialogue among cultures with a view to ensuring wider and balanced cultural exchanges in the world in </w:t>
      </w:r>
      <w:proofErr w:type="spellStart"/>
      <w:r w:rsidRPr="007E3B38">
        <w:rPr>
          <w:szCs w:val="22"/>
        </w:rPr>
        <w:t>favour</w:t>
      </w:r>
      <w:proofErr w:type="spellEnd"/>
      <w:r w:rsidRPr="007E3B38">
        <w:rPr>
          <w:szCs w:val="22"/>
        </w:rPr>
        <w:t xml:space="preserve"> of intercultural respect and a culture of peace; </w:t>
      </w:r>
      <w:r w:rsidR="0079064A">
        <w:rPr>
          <w:szCs w:val="22"/>
        </w:rPr>
        <w:t xml:space="preserve"> </w:t>
      </w:r>
      <w:r w:rsidRPr="007E3B38">
        <w:rPr>
          <w:szCs w:val="22"/>
        </w:rPr>
        <w:t xml:space="preserve">(d) to foster </w:t>
      </w:r>
      <w:proofErr w:type="spellStart"/>
      <w:r w:rsidRPr="007E3B38">
        <w:rPr>
          <w:szCs w:val="22"/>
        </w:rPr>
        <w:t>interculturality</w:t>
      </w:r>
      <w:proofErr w:type="spellEnd"/>
      <w:r w:rsidRPr="007E3B38">
        <w:rPr>
          <w:szCs w:val="22"/>
        </w:rPr>
        <w:t xml:space="preserve"> in order to develop cultural interaction in the spirit of building bridges among peoples; </w:t>
      </w:r>
      <w:r w:rsidR="0079064A">
        <w:rPr>
          <w:szCs w:val="22"/>
        </w:rPr>
        <w:t xml:space="preserve"> </w:t>
      </w:r>
      <w:r w:rsidRPr="007E3B38">
        <w:rPr>
          <w:szCs w:val="22"/>
        </w:rPr>
        <w:t>(e)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(g) to give recognition to the distinctive nature of cultural activities, goods and services as vehicles of identity, values and meaning;</w:t>
      </w:r>
      <w:r w:rsidR="0079064A">
        <w:rPr>
          <w:szCs w:val="22"/>
        </w:rPr>
        <w:t xml:space="preserve"> </w:t>
      </w:r>
      <w:r w:rsidRPr="007E3B38">
        <w:rPr>
          <w:szCs w:val="22"/>
        </w:rPr>
        <w:t xml:space="preserve"> (h)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[and] (</w:t>
      </w:r>
      <w:proofErr w:type="spellStart"/>
      <w:r w:rsidRPr="007E3B38">
        <w:rPr>
          <w:szCs w:val="22"/>
        </w:rPr>
        <w:t>i</w:t>
      </w:r>
      <w:proofErr w:type="spellEnd"/>
      <w:r w:rsidRPr="007E3B38">
        <w:rPr>
          <w:szCs w:val="22"/>
        </w:rPr>
        <w:t>) 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provides that “[a]</w:t>
      </w:r>
      <w:proofErr w:type="spellStart"/>
      <w:r w:rsidRPr="007E3B38">
        <w:rPr>
          <w:szCs w:val="22"/>
        </w:rPr>
        <w:t>ny</w:t>
      </w:r>
      <w:proofErr w:type="spellEnd"/>
      <w:r w:rsidRPr="007E3B38">
        <w:rPr>
          <w:szCs w:val="22"/>
        </w:rPr>
        <w:t xml:space="preserve"> act of competition contrary to honest practices in industrial or commercial matters constitutes an act of unfair competition”.  Paragraph 3 of Article 10bis further provides that “ [t]he following in particular shall be prohibited:  (</w:t>
      </w:r>
      <w:proofErr w:type="spellStart"/>
      <w:r w:rsidRPr="007E3B38">
        <w:rPr>
          <w:szCs w:val="22"/>
        </w:rPr>
        <w:t>i</w:t>
      </w:r>
      <w:proofErr w:type="spellEnd"/>
      <w:r w:rsidRPr="007E3B38">
        <w:rPr>
          <w:szCs w:val="22"/>
        </w:rPr>
        <w:t>) all acts of such a nature as to create confusion by any means whatever with the establishment, the goods, or the industrial or commercial activities, of a competitor;  (ii)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proofErr w:type="spellStart"/>
      <w:r w:rsidRPr="007E3B38">
        <w:rPr>
          <w:bCs/>
          <w:szCs w:val="22"/>
        </w:rPr>
        <w:t>i</w:t>
      </w:r>
      <w:proofErr w:type="spellEnd"/>
      <w:r w:rsidRPr="007E3B38">
        <w:rPr>
          <w:bCs/>
          <w:szCs w:val="22"/>
        </w:rPr>
        <w:t>]</w:t>
      </w:r>
      <w:proofErr w:type="spellStart"/>
      <w:r w:rsidRPr="007E3B38">
        <w:rPr>
          <w:bCs/>
          <w:szCs w:val="22"/>
        </w:rPr>
        <w:t>ndigenous</w:t>
      </w:r>
      <w:proofErr w:type="spellEnd"/>
      <w:r w:rsidRPr="007E3B38">
        <w:rPr>
          <w:bCs/>
          <w:szCs w:val="22"/>
        </w:rPr>
        <w:t xml:space="preserve">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w:t>
      </w:r>
      <w:proofErr w:type="spellStart"/>
      <w:r w:rsidRPr="007E3B38">
        <w:rPr>
          <w:szCs w:val="22"/>
        </w:rPr>
        <w:t>i</w:t>
      </w:r>
      <w:proofErr w:type="spellEnd"/>
      <w:r w:rsidRPr="007E3B38">
        <w:rPr>
          <w:szCs w:val="22"/>
        </w:rPr>
        <w:t>]n conjunction with indigenous peoples, States shall take effective measures to recognize and protect the exercise of these rights.”  On traditional medicine, Article 24 provides that “</w:t>
      </w:r>
      <w:r w:rsidRPr="007E3B38">
        <w:rPr>
          <w:iCs/>
          <w:szCs w:val="22"/>
        </w:rPr>
        <w:t>[</w:t>
      </w:r>
      <w:proofErr w:type="spellStart"/>
      <w:r w:rsidRPr="007E3B38">
        <w:rPr>
          <w:iCs/>
          <w:szCs w:val="22"/>
        </w:rPr>
        <w:t>i</w:t>
      </w:r>
      <w:proofErr w:type="spellEnd"/>
      <w:r w:rsidRPr="007E3B38">
        <w:rPr>
          <w:iCs/>
          <w:szCs w:val="22"/>
        </w:rPr>
        <w:t>]</w:t>
      </w:r>
      <w:proofErr w:type="spellStart"/>
      <w:r w:rsidRPr="007E3B38">
        <w:rPr>
          <w:iCs/>
          <w:szCs w:val="22"/>
        </w:rPr>
        <w:t>ndigenous</w:t>
      </w:r>
      <w:proofErr w:type="spellEnd"/>
      <w:r w:rsidRPr="007E3B38">
        <w:rPr>
          <w:iCs/>
          <w:szCs w:val="22"/>
        </w:rPr>
        <w:t xml:space="preserve">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as “[b]</w:t>
      </w:r>
      <w:proofErr w:type="spellStart"/>
      <w:r w:rsidRPr="00813660">
        <w:rPr>
          <w:szCs w:val="22"/>
        </w:rPr>
        <w:t>elong</w:t>
      </w:r>
      <w:proofErr w:type="spellEnd"/>
      <w:r w:rsidRPr="00813660">
        <w:rPr>
          <w:szCs w:val="22"/>
        </w:rPr>
        <w:t xml:space="preserve">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B1" w:rsidRDefault="006D62B1">
      <w:r>
        <w:separator/>
      </w:r>
    </w:p>
  </w:endnote>
  <w:endnote w:type="continuationSeparator" w:id="0">
    <w:p w:rsidR="006D62B1" w:rsidRDefault="006D62B1" w:rsidP="003B38C1">
      <w:r>
        <w:separator/>
      </w:r>
    </w:p>
    <w:p w:rsidR="006D62B1" w:rsidRPr="003B38C1" w:rsidRDefault="006D62B1" w:rsidP="003B38C1">
      <w:pPr>
        <w:spacing w:after="60"/>
        <w:rPr>
          <w:sz w:val="17"/>
        </w:rPr>
      </w:pPr>
      <w:r>
        <w:rPr>
          <w:sz w:val="17"/>
        </w:rPr>
        <w:t>[Endnote continued from previous page]</w:t>
      </w:r>
    </w:p>
  </w:endnote>
  <w:endnote w:type="continuationNotice" w:id="1">
    <w:p w:rsidR="006D62B1" w:rsidRPr="003B38C1" w:rsidRDefault="006D62B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E1D" w:rsidRDefault="00555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B1" w:rsidRDefault="006D62B1">
      <w:r>
        <w:separator/>
      </w:r>
    </w:p>
  </w:footnote>
  <w:footnote w:type="continuationSeparator" w:id="0">
    <w:p w:rsidR="006D62B1" w:rsidRDefault="006D62B1" w:rsidP="008B60B2">
      <w:r>
        <w:separator/>
      </w:r>
    </w:p>
    <w:p w:rsidR="006D62B1" w:rsidRPr="00ED77FB" w:rsidRDefault="006D62B1" w:rsidP="008B60B2">
      <w:pPr>
        <w:spacing w:after="60"/>
        <w:rPr>
          <w:sz w:val="17"/>
          <w:szCs w:val="17"/>
        </w:rPr>
      </w:pPr>
      <w:r w:rsidRPr="00ED77FB">
        <w:rPr>
          <w:sz w:val="17"/>
          <w:szCs w:val="17"/>
        </w:rPr>
        <w:t>[Footnote continued from previous page]</w:t>
      </w:r>
    </w:p>
  </w:footnote>
  <w:footnote w:type="continuationNotice" w:id="1">
    <w:p w:rsidR="006D62B1" w:rsidRPr="00ED77FB" w:rsidRDefault="006D62B1" w:rsidP="008B60B2">
      <w:pPr>
        <w:spacing w:before="60"/>
        <w:jc w:val="right"/>
        <w:rPr>
          <w:sz w:val="17"/>
          <w:szCs w:val="17"/>
        </w:rPr>
      </w:pPr>
      <w:r w:rsidRPr="00ED77FB">
        <w:rPr>
          <w:sz w:val="17"/>
          <w:szCs w:val="17"/>
        </w:rPr>
        <w:t>[Footnote continued on next page]</w:t>
      </w:r>
    </w:p>
  </w:footnote>
  <w:footnote w:id="2">
    <w:p w:rsidR="000430AC" w:rsidRPr="00420EF9" w:rsidRDefault="000430AC" w:rsidP="008113D4">
      <w:pPr>
        <w:pStyle w:val="FootnoteText"/>
        <w:ind w:left="540" w:hanging="540"/>
        <w:rPr>
          <w:rStyle w:val="FooterChar"/>
          <w:sz w:val="18"/>
          <w:szCs w:val="18"/>
        </w:rPr>
      </w:pPr>
      <w:r w:rsidRPr="00420EF9">
        <w:rPr>
          <w:rStyle w:val="FootnoteReference"/>
          <w:szCs w:val="18"/>
        </w:rPr>
        <w:footnoteRef/>
      </w:r>
      <w:r w:rsidR="009A0842">
        <w:rPr>
          <w:szCs w:val="18"/>
        </w:rPr>
        <w:t xml:space="preserve"> </w:t>
      </w:r>
      <w:r w:rsidR="008113D4">
        <w:rPr>
          <w:szCs w:val="18"/>
        </w:rPr>
        <w:tab/>
      </w:r>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 xml:space="preserve">Report of the Seventeenth </w:t>
      </w:r>
      <w:bookmarkStart w:id="5" w:name="_GoBack"/>
      <w:bookmarkEnd w:id="5"/>
      <w:r w:rsidRPr="00D41EAD">
        <w:rPr>
          <w:rStyle w:val="FooterChar"/>
          <w:sz w:val="18"/>
        </w:rPr>
        <w:t>Session of the Committee (WIPO/GRTKF/IC/17/12)</w:t>
      </w:r>
      <w:r>
        <w:rPr>
          <w:rStyle w:val="FooterChar"/>
          <w:sz w:val="18"/>
        </w:rPr>
        <w:t xml:space="preserve">. </w:t>
      </w:r>
    </w:p>
  </w:footnote>
  <w:footnote w:id="3">
    <w:p w:rsidR="000430AC" w:rsidRPr="00420EF9" w:rsidRDefault="000430AC" w:rsidP="000B42B0">
      <w:pPr>
        <w:pStyle w:val="FootnoteText"/>
        <w:rPr>
          <w:szCs w:val="18"/>
        </w:rPr>
      </w:pPr>
      <w:r w:rsidRPr="00420EF9">
        <w:rPr>
          <w:rStyle w:val="FootnoteReference"/>
          <w:szCs w:val="18"/>
        </w:rPr>
        <w:footnoteRef/>
      </w:r>
      <w:r w:rsidR="009A0842">
        <w:rPr>
          <w:szCs w:val="18"/>
        </w:rPr>
        <w:t xml:space="preserve"> </w:t>
      </w:r>
      <w:r w:rsidR="008113D4">
        <w:rPr>
          <w:szCs w:val="18"/>
        </w:rPr>
        <w:tab/>
      </w:r>
      <w:proofErr w:type="gramStart"/>
      <w:r w:rsidRPr="00420EF9">
        <w:rPr>
          <w:szCs w:val="18"/>
        </w:rPr>
        <w:t>Report of the Nineteenth Session of the Com</w:t>
      </w:r>
      <w:r>
        <w:rPr>
          <w:szCs w:val="18"/>
        </w:rPr>
        <w:t>mittee (WIPO/GRTKF/IC/19/12</w:t>
      </w:r>
      <w:r w:rsidRPr="00420EF9">
        <w:rPr>
          <w:szCs w:val="18"/>
        </w:rPr>
        <w:t>)</w:t>
      </w:r>
      <w:r>
        <w:rPr>
          <w:szCs w:val="18"/>
        </w:rPr>
        <w:t>.</w:t>
      </w:r>
      <w:proofErr w:type="gramEnd"/>
    </w:p>
  </w:footnote>
  <w:footnote w:id="4">
    <w:p w:rsidR="000430AC" w:rsidRPr="00A94A92" w:rsidRDefault="000430AC"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proofErr w:type="gramStart"/>
      <w:r w:rsidRPr="00420EF9">
        <w:rPr>
          <w:szCs w:val="18"/>
        </w:rPr>
        <w:t>Nagoya Protocol on Access to Genetic Resources and the Fair and Equitable Sharing of Benefits Arising from their Utilization to the Convention on Biological Diversity, Art.</w:t>
      </w:r>
      <w:proofErr w:type="gramEnd"/>
      <w:r w:rsidRPr="00420EF9">
        <w:rPr>
          <w:szCs w:val="18"/>
        </w:rPr>
        <w:t xml:space="preserve"> </w:t>
      </w:r>
      <w:proofErr w:type="gramStart"/>
      <w:r w:rsidRPr="00420EF9">
        <w:rPr>
          <w:szCs w:val="18"/>
        </w:rPr>
        <w:t>5(4).</w:t>
      </w:r>
      <w:proofErr w:type="gramEnd"/>
    </w:p>
  </w:footnote>
  <w:footnote w:id="5">
    <w:p w:rsidR="000430AC" w:rsidRPr="00420EF9" w:rsidRDefault="000430AC"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 xml:space="preserve">Bonn Guidelines on Access to Genetic Resources and Fair and Equitable Sharing of the Benefits Arising out of their utilization, </w:t>
      </w:r>
      <w:proofErr w:type="spellStart"/>
      <w:r w:rsidRPr="00420EF9">
        <w:rPr>
          <w:szCs w:val="18"/>
        </w:rPr>
        <w:t>para</w:t>
      </w:r>
      <w:proofErr w:type="spellEnd"/>
      <w:r w:rsidRPr="00420EF9">
        <w:rPr>
          <w:szCs w:val="18"/>
        </w:rPr>
        <w:t>. 23.</w:t>
      </w:r>
    </w:p>
  </w:footnote>
  <w:footnote w:id="6">
    <w:p w:rsidR="000430AC" w:rsidRPr="00420EF9" w:rsidRDefault="000430AC"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0430AC" w:rsidRPr="00420EF9" w:rsidRDefault="000430AC"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0430AC" w:rsidRPr="00420EF9" w:rsidRDefault="000430AC"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0430AC" w:rsidRPr="00420EF9" w:rsidRDefault="000430AC"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Report of the Seventeenth Session of the Committee (WIPO/GRTKF/IC/17/12)</w:t>
      </w:r>
      <w:r>
        <w:rPr>
          <w:szCs w:val="18"/>
        </w:rPr>
        <w:t>.</w:t>
      </w:r>
      <w:proofErr w:type="gramEnd"/>
    </w:p>
  </w:footnote>
  <w:footnote w:id="10">
    <w:p w:rsidR="000430AC" w:rsidRPr="00420EF9" w:rsidRDefault="000430AC"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0430AC" w:rsidRPr="00420EF9" w:rsidRDefault="000430AC"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0430AC" w:rsidRPr="00420EF9" w:rsidRDefault="000430AC"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Article 3.1 of the Directive 98/44/EC of the European Parliament and of the Council of 6 July, 1998 on the legal protection of biotechnological inventions</w:t>
      </w:r>
      <w:r>
        <w:rPr>
          <w:szCs w:val="18"/>
        </w:rPr>
        <w:t>.</w:t>
      </w:r>
      <w:proofErr w:type="gramEnd"/>
    </w:p>
  </w:footnote>
  <w:footnote w:id="13">
    <w:p w:rsidR="000430AC" w:rsidRPr="00420EF9" w:rsidRDefault="000430AC"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w:t>
      </w:r>
      <w:proofErr w:type="spellStart"/>
      <w:r w:rsidRPr="00420EF9">
        <w:rPr>
          <w:szCs w:val="18"/>
        </w:rPr>
        <w:t>para</w:t>
      </w:r>
      <w:proofErr w:type="spellEnd"/>
      <w:r w:rsidRPr="00420EF9">
        <w:rPr>
          <w:szCs w:val="18"/>
        </w:rPr>
        <w:t>. 16</w:t>
      </w:r>
      <w:r>
        <w:rPr>
          <w:szCs w:val="18"/>
        </w:rPr>
        <w:t>.</w:t>
      </w:r>
    </w:p>
  </w:footnote>
  <w:footnote w:id="14">
    <w:p w:rsidR="000430AC" w:rsidRPr="00420EF9" w:rsidRDefault="000430AC"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0430AC" w:rsidRPr="00966E9B" w:rsidRDefault="000430AC"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0430AC" w:rsidRPr="00420EF9" w:rsidRDefault="000430AC"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0430AC" w:rsidRPr="00420EF9" w:rsidRDefault="000430AC"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0430AC" w:rsidRPr="00420EF9" w:rsidRDefault="000430AC"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0430AC" w:rsidRPr="00420EF9" w:rsidRDefault="000430AC"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0430AC" w:rsidRDefault="000430AC"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0430AC" w:rsidRPr="00420EF9" w:rsidRDefault="000430AC" w:rsidP="000B42B0">
      <w:pPr>
        <w:pStyle w:val="FootnoteText"/>
        <w:ind w:left="1117" w:hanging="550"/>
        <w:rPr>
          <w:szCs w:val="18"/>
        </w:rPr>
      </w:pPr>
      <w:r w:rsidRPr="00930CA3">
        <w:rPr>
          <w:szCs w:val="18"/>
          <w:lang w:val="es-ES"/>
        </w:rPr>
        <w:t xml:space="preserve">(WIPO/GRTKF/IC/17/INF/9), para. </w:t>
      </w:r>
      <w:proofErr w:type="gramStart"/>
      <w:r w:rsidRPr="00420EF9">
        <w:rPr>
          <w:szCs w:val="18"/>
        </w:rPr>
        <w:t>16 of Annex</w:t>
      </w:r>
      <w:r>
        <w:rPr>
          <w:szCs w:val="18"/>
        </w:rPr>
        <w:t>.</w:t>
      </w:r>
      <w:proofErr w:type="gramEnd"/>
    </w:p>
  </w:footnote>
  <w:footnote w:id="21">
    <w:p w:rsidR="000430AC" w:rsidRPr="00420EF9" w:rsidRDefault="000430AC"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proofErr w:type="spellStart"/>
      <w:r w:rsidRPr="00420EF9">
        <w:rPr>
          <w:i/>
          <w:szCs w:val="18"/>
        </w:rPr>
        <w:t>Rigveda</w:t>
      </w:r>
      <w:proofErr w:type="spellEnd"/>
      <w:r w:rsidRPr="00420EF9">
        <w:rPr>
          <w:szCs w:val="18"/>
        </w:rPr>
        <w:t xml:space="preserve"> and the </w:t>
      </w:r>
      <w:proofErr w:type="spellStart"/>
      <w:r w:rsidRPr="00420EF9">
        <w:rPr>
          <w:i/>
          <w:szCs w:val="18"/>
        </w:rPr>
        <w:t>Atharvaveda</w:t>
      </w:r>
      <w:proofErr w:type="spellEnd"/>
      <w:r>
        <w:rPr>
          <w:i/>
          <w:szCs w:val="18"/>
        </w:rPr>
        <w:t>.</w:t>
      </w:r>
    </w:p>
  </w:footnote>
  <w:footnote w:id="22">
    <w:p w:rsidR="000430AC" w:rsidRPr="00420EF9" w:rsidRDefault="000430AC"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0430AC" w:rsidRPr="00420EF9" w:rsidRDefault="000430AC"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 xml:space="preserve">ifies the authoritative books of the </w:t>
      </w:r>
      <w:proofErr w:type="spellStart"/>
      <w:r w:rsidRPr="00420EF9">
        <w:rPr>
          <w:szCs w:val="18"/>
        </w:rPr>
        <w:t>Ayurvedi</w:t>
      </w:r>
      <w:smartTag w:uri="urn:schemas-microsoft-com:office:smarttags" w:element="PersonName">
        <w:r w:rsidRPr="00420EF9">
          <w:rPr>
            <w:szCs w:val="18"/>
          </w:rPr>
          <w:t>c</w:t>
        </w:r>
      </w:smartTag>
      <w:proofErr w:type="spellEnd"/>
      <w:smartTag w:uri="urn:schemas-microsoft-com:office:smarttags" w:element="PersonName">
        <w:r w:rsidRPr="00420EF9">
          <w:rPr>
            <w:szCs w:val="18"/>
          </w:rPr>
          <w:t>,</w:t>
        </w:r>
      </w:smartTag>
      <w:r w:rsidRPr="00420EF9">
        <w:rPr>
          <w:szCs w:val="18"/>
        </w:rPr>
        <w:t xml:space="preserve"> Siddha and </w:t>
      </w:r>
      <w:proofErr w:type="spellStart"/>
      <w:r w:rsidRPr="00420EF9">
        <w:rPr>
          <w:szCs w:val="18"/>
        </w:rPr>
        <w:t>Unani</w:t>
      </w:r>
      <w:proofErr w:type="spellEnd"/>
      <w:r w:rsidRPr="00420EF9">
        <w:rPr>
          <w:szCs w:val="18"/>
        </w:rPr>
        <w:t xml:space="preserve"> </w:t>
      </w:r>
      <w:proofErr w:type="spellStart"/>
      <w:r w:rsidRPr="00420EF9">
        <w:rPr>
          <w:szCs w:val="18"/>
        </w:rPr>
        <w:t>Tibb</w:t>
      </w:r>
      <w:proofErr w:type="spellEnd"/>
      <w:r w:rsidRPr="00420EF9">
        <w:rPr>
          <w:szCs w:val="18"/>
        </w:rPr>
        <w:t xml:space="preserve">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w:t>
      </w:r>
      <w:proofErr w:type="spellStart"/>
      <w:r w:rsidRPr="00420EF9">
        <w:rPr>
          <w:szCs w:val="18"/>
        </w:rPr>
        <w:t>para</w:t>
      </w:r>
      <w:proofErr w:type="spellEnd"/>
      <w:r w:rsidRPr="00420EF9">
        <w:rPr>
          <w:szCs w:val="18"/>
        </w:rPr>
        <w:t xml:space="preserve">. 8.  Also see Karin </w:t>
      </w:r>
      <w:proofErr w:type="spellStart"/>
      <w:r w:rsidRPr="00420EF9">
        <w:rPr>
          <w:szCs w:val="18"/>
        </w:rPr>
        <w:t>Timmermans</w:t>
      </w:r>
      <w:proofErr w:type="spellEnd"/>
      <w:r w:rsidRPr="00420EF9">
        <w:rPr>
          <w:szCs w:val="18"/>
        </w:rPr>
        <w:t xml:space="preserve"> and </w:t>
      </w:r>
      <w:proofErr w:type="spellStart"/>
      <w:r w:rsidRPr="00420EF9">
        <w:rPr>
          <w:szCs w:val="18"/>
        </w:rPr>
        <w:t>Togi</w:t>
      </w:r>
      <w:proofErr w:type="spellEnd"/>
      <w:r w:rsidRPr="00420EF9">
        <w:rPr>
          <w:szCs w:val="18"/>
        </w:rPr>
        <w:t xml:space="preserve"> </w:t>
      </w:r>
      <w:proofErr w:type="spellStart"/>
      <w:r w:rsidRPr="00420EF9">
        <w:rPr>
          <w:szCs w:val="18"/>
        </w:rPr>
        <w:t>Hutadjulu</w:t>
      </w:r>
      <w:proofErr w:type="spellEnd"/>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0430AC" w:rsidRPr="00420EF9" w:rsidRDefault="000430AC"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Intervention of the Delegation of Canada, Report of the Second Session (WIPO/GRTKF/IC/2/16), </w:t>
      </w:r>
      <w:proofErr w:type="spellStart"/>
      <w:r w:rsidRPr="00420EF9">
        <w:rPr>
          <w:szCs w:val="18"/>
        </w:rPr>
        <w:t>para</w:t>
      </w:r>
      <w:proofErr w:type="spellEnd"/>
      <w:r w:rsidRPr="00420EF9">
        <w:rPr>
          <w:szCs w:val="18"/>
        </w:rPr>
        <w:t>.</w:t>
      </w:r>
      <w:proofErr w:type="gramEnd"/>
      <w:r w:rsidRPr="00420EF9">
        <w:rPr>
          <w:szCs w:val="18"/>
        </w:rPr>
        <w:t xml:space="preserve"> 131</w:t>
      </w:r>
      <w:r>
        <w:rPr>
          <w:szCs w:val="18"/>
        </w:rPr>
        <w:t>.</w:t>
      </w:r>
    </w:p>
  </w:footnote>
  <w:footnote w:id="25">
    <w:p w:rsidR="000430AC" w:rsidRPr="00D41EAD" w:rsidRDefault="000430AC"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0430AC" w:rsidRPr="00420EF9" w:rsidRDefault="000430AC"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0430AC" w:rsidRPr="00BD225A" w:rsidRDefault="000430AC"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Convention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Promotion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Diversity</w:t>
      </w:r>
      <w:proofErr w:type="spellEnd"/>
      <w:r w:rsidRPr="00BD225A">
        <w:rPr>
          <w:rStyle w:val="FootnoteReference"/>
          <w:szCs w:val="18"/>
          <w:vertAlign w:val="baseline"/>
          <w:lang w:val="es-ES_tradnl"/>
        </w:rPr>
        <w:t xml:space="preserve"> of Cultural </w:t>
      </w:r>
      <w:proofErr w:type="spellStart"/>
      <w:r w:rsidRPr="00BD225A">
        <w:rPr>
          <w:rStyle w:val="FootnoteReference"/>
          <w:szCs w:val="18"/>
          <w:vertAlign w:val="baseline"/>
          <w:lang w:val="es-ES_tradnl"/>
        </w:rPr>
        <w:t>Expressions</w:t>
      </w:r>
      <w:proofErr w:type="spellEnd"/>
      <w:proofErr w:type="gramStart"/>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roofErr w:type="gramEnd"/>
    </w:p>
  </w:footnote>
  <w:footnote w:id="28">
    <w:p w:rsidR="000430AC" w:rsidRPr="00BD225A" w:rsidRDefault="000430AC"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w:t>
      </w:r>
      <w:proofErr w:type="spellStart"/>
      <w:r w:rsidRPr="00BD225A">
        <w:rPr>
          <w:rStyle w:val="FootnoteReference"/>
          <w:szCs w:val="18"/>
          <w:vertAlign w:val="baseline"/>
          <w:lang w:val="es-ES"/>
        </w:rPr>
        <w:t>Convention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Promotion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Diversity</w:t>
      </w:r>
      <w:proofErr w:type="spellEnd"/>
      <w:r w:rsidRPr="00BD225A">
        <w:rPr>
          <w:rStyle w:val="FootnoteReference"/>
          <w:szCs w:val="18"/>
          <w:vertAlign w:val="baseline"/>
          <w:lang w:val="es-ES"/>
        </w:rPr>
        <w:t xml:space="preserve"> of Cultural </w:t>
      </w:r>
      <w:proofErr w:type="spellStart"/>
      <w:r w:rsidRPr="00BD225A">
        <w:rPr>
          <w:rStyle w:val="FootnoteReference"/>
          <w:szCs w:val="18"/>
          <w:vertAlign w:val="baseline"/>
          <w:lang w:val="es-ES"/>
        </w:rPr>
        <w:t>Expressions</w:t>
      </w:r>
      <w:proofErr w:type="spellEnd"/>
      <w:proofErr w:type="gramStart"/>
      <w:r w:rsidRPr="00BD225A">
        <w:rPr>
          <w:szCs w:val="18"/>
          <w:lang w:val="es-ES"/>
        </w:rPr>
        <w:t>,</w:t>
      </w:r>
      <w:r w:rsidRPr="00BD225A">
        <w:rPr>
          <w:rStyle w:val="FootnoteReference"/>
          <w:szCs w:val="18"/>
          <w:vertAlign w:val="baseline"/>
          <w:lang w:val="es-ES"/>
        </w:rPr>
        <w:t xml:space="preserve"> 2005</w:t>
      </w:r>
      <w:r w:rsidRPr="00BD225A">
        <w:rPr>
          <w:szCs w:val="18"/>
          <w:lang w:val="es-ES"/>
        </w:rPr>
        <w:t>.</w:t>
      </w:r>
      <w:proofErr w:type="gramEnd"/>
    </w:p>
  </w:footnote>
  <w:footnote w:id="29">
    <w:p w:rsidR="000430AC" w:rsidRPr="0002073E" w:rsidRDefault="000430AC"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w:t>
      </w:r>
      <w:proofErr w:type="gramStart"/>
      <w:r w:rsidRPr="00772BA5">
        <w:rPr>
          <w:szCs w:val="18"/>
        </w:rPr>
        <w:t>available</w:t>
      </w:r>
      <w:proofErr w:type="gramEnd"/>
      <w:r w:rsidRPr="00772BA5">
        <w:rPr>
          <w:szCs w:val="18"/>
        </w:rPr>
        <w:t xml:space="preserv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0430AC" w:rsidRPr="00420EF9" w:rsidRDefault="000430AC"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ILO Convention 169 Concerning Indigenous and Tribal Peoples in Independent Countries, 1989, </w:t>
      </w:r>
      <w:r w:rsidRPr="00420EF9">
        <w:rPr>
          <w:szCs w:val="18"/>
        </w:rPr>
        <w:br/>
        <w:t>Art.</w:t>
      </w:r>
      <w:proofErr w:type="gramEnd"/>
      <w:r w:rsidRPr="00420EF9">
        <w:rPr>
          <w:szCs w:val="18"/>
        </w:rPr>
        <w:t xml:space="preserve"> 2(2</w:t>
      </w:r>
      <w:proofErr w:type="gramStart"/>
      <w:r w:rsidRPr="00420EF9">
        <w:rPr>
          <w:szCs w:val="18"/>
        </w:rPr>
        <w:t>)(</w:t>
      </w:r>
      <w:proofErr w:type="gramEnd"/>
      <w:r w:rsidRPr="00420EF9">
        <w:rPr>
          <w:szCs w:val="18"/>
        </w:rPr>
        <w:t>b).</w:t>
      </w:r>
    </w:p>
  </w:footnote>
  <w:footnote w:id="31">
    <w:p w:rsidR="000430AC" w:rsidRPr="00420EF9" w:rsidRDefault="000430AC"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rStyle w:val="FootnoteTextChar"/>
          <w:sz w:val="18"/>
          <w:szCs w:val="18"/>
        </w:rPr>
        <w:t xml:space="preserve">Model Provisions for National Laws on the Protection of Expressions of Folklore against Illicit Exploitation and Other Prejudicial Actions, 1982, Part III, </w:t>
      </w:r>
      <w:proofErr w:type="spellStart"/>
      <w:r w:rsidRPr="00420EF9">
        <w:rPr>
          <w:rStyle w:val="FootnoteTextChar"/>
          <w:sz w:val="18"/>
          <w:szCs w:val="18"/>
        </w:rPr>
        <w:t>para</w:t>
      </w:r>
      <w:proofErr w:type="spellEnd"/>
      <w:r w:rsidRPr="00420EF9">
        <w:rPr>
          <w:rStyle w:val="FootnoteTextChar"/>
          <w:sz w:val="18"/>
          <w:szCs w:val="18"/>
        </w:rPr>
        <w:t>.</w:t>
      </w:r>
      <w:proofErr w:type="gramEnd"/>
      <w:r w:rsidRPr="00420EF9">
        <w:rPr>
          <w:rStyle w:val="FootnoteTextChar"/>
          <w:sz w:val="18"/>
          <w:szCs w:val="18"/>
        </w:rPr>
        <w:t xml:space="preserve"> 42.</w:t>
      </w:r>
    </w:p>
  </w:footnote>
  <w:footnote w:id="32">
    <w:p w:rsidR="000430AC" w:rsidRPr="00420EF9" w:rsidRDefault="000430AC"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0430AC" w:rsidRPr="00420EF9" w:rsidRDefault="000430AC"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r>
      <w:proofErr w:type="gramStart"/>
      <w:r w:rsidRPr="00420EF9">
        <w:rPr>
          <w:szCs w:val="18"/>
        </w:rPr>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w:t>
      </w:r>
      <w:proofErr w:type="gramEnd"/>
      <w:r w:rsidRPr="00420EF9">
        <w:rPr>
          <w:szCs w:val="18"/>
        </w:rPr>
        <w:t xml:space="preserve"> </w:t>
      </w:r>
    </w:p>
  </w:footnote>
  <w:footnote w:id="34">
    <w:p w:rsidR="000430AC" w:rsidRPr="00420EF9" w:rsidRDefault="000430AC"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 xml:space="preserve">Paul </w:t>
      </w:r>
      <w:proofErr w:type="spellStart"/>
      <w:r w:rsidRPr="00420EF9">
        <w:rPr>
          <w:szCs w:val="18"/>
        </w:rPr>
        <w:t>Kuruk</w:t>
      </w:r>
      <w:proofErr w:type="spellEnd"/>
      <w:r w:rsidRPr="00420EF9">
        <w:rPr>
          <w:szCs w:val="18"/>
        </w:rPr>
        <w:t>,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 xml:space="preserve">p. 6, quoting, in part, Paris, 15 June 1982, Gazette du </w:t>
      </w:r>
      <w:proofErr w:type="spellStart"/>
      <w:r w:rsidRPr="00420EF9">
        <w:rPr>
          <w:szCs w:val="18"/>
        </w:rPr>
        <w:t>Palais</w:t>
      </w:r>
      <w:proofErr w:type="spellEnd"/>
      <w:r w:rsidRPr="00420EF9">
        <w:rPr>
          <w:szCs w:val="18"/>
        </w:rPr>
        <w:t xml:space="preserve">, 1982.2, Summary, p. 378, or Paris, 25 April 1978, Gazette du </w:t>
      </w:r>
      <w:proofErr w:type="spellStart"/>
      <w:r w:rsidRPr="00420EF9">
        <w:rPr>
          <w:szCs w:val="18"/>
        </w:rPr>
        <w:t>Palais</w:t>
      </w:r>
      <w:proofErr w:type="spellEnd"/>
      <w:r w:rsidRPr="00420EF9">
        <w:rPr>
          <w:szCs w:val="18"/>
        </w:rPr>
        <w:t>, 1978.2, p. 448.</w:t>
      </w:r>
    </w:p>
  </w:footnote>
  <w:footnote w:id="35">
    <w:p w:rsidR="000430AC" w:rsidRPr="00420EF9" w:rsidRDefault="000430AC"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0430AC" w:rsidRPr="00420EF9" w:rsidRDefault="000430AC"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w:t>
      </w:r>
      <w:proofErr w:type="spellStart"/>
      <w:r w:rsidRPr="00420EF9">
        <w:rPr>
          <w:szCs w:val="18"/>
        </w:rPr>
        <w:t>para</w:t>
      </w:r>
      <w:proofErr w:type="spellEnd"/>
      <w:r w:rsidRPr="00420EF9">
        <w:rPr>
          <w:szCs w:val="18"/>
        </w:rPr>
        <w:t xml:space="preserve">.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0430AC" w:rsidRPr="00420EF9" w:rsidRDefault="000430AC"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0430AC" w:rsidRPr="00BD225A" w:rsidRDefault="000430AC"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0430AC" w:rsidRPr="00420EF9" w:rsidRDefault="000430AC"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0430AC" w:rsidRPr="00BD225A" w:rsidRDefault="000430AC"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0430AC" w:rsidRPr="00BD225A" w:rsidRDefault="000430AC"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0430AC" w:rsidRPr="00BD225A" w:rsidRDefault="000430AC"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BD225A">
        <w:rPr>
          <w:szCs w:val="18"/>
        </w:rPr>
        <w:t xml:space="preserve">Pacific </w:t>
      </w:r>
      <w:proofErr w:type="gramEnd"/>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0430AC" w:rsidRPr="00BD225A" w:rsidRDefault="000430AC"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0430AC" w:rsidRPr="00420EF9" w:rsidRDefault="000430AC"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w:t>
      </w:r>
      <w:proofErr w:type="spellStart"/>
      <w:r w:rsidRPr="00420EF9">
        <w:rPr>
          <w:szCs w:val="18"/>
        </w:rPr>
        <w:t>para</w:t>
      </w:r>
      <w:proofErr w:type="spellEnd"/>
      <w:r w:rsidRPr="00420EF9">
        <w:rPr>
          <w:szCs w:val="18"/>
        </w:rPr>
        <w:t xml:space="preserve">. </w:t>
      </w:r>
      <w:proofErr w:type="gramStart"/>
      <w:r w:rsidRPr="00420EF9">
        <w:rPr>
          <w:szCs w:val="18"/>
        </w:rPr>
        <w:t>4 of Annex.</w:t>
      </w:r>
      <w:proofErr w:type="gramEnd"/>
      <w:r w:rsidRPr="00420EF9">
        <w:rPr>
          <w:szCs w:val="18"/>
        </w:rPr>
        <w:t xml:space="preserve"> </w:t>
      </w:r>
    </w:p>
  </w:footnote>
  <w:footnote w:id="45">
    <w:p w:rsidR="000430AC" w:rsidRPr="00BD225A" w:rsidRDefault="000430AC"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0430AC" w:rsidRPr="00BD225A" w:rsidRDefault="000430AC"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w:t>
      </w:r>
      <w:proofErr w:type="spellStart"/>
      <w:r w:rsidRPr="00BD225A">
        <w:rPr>
          <w:rStyle w:val="FootnoteReference"/>
          <w:szCs w:val="18"/>
          <w:vertAlign w:val="baseline"/>
        </w:rPr>
        <w:t>Ricketson</w:t>
      </w:r>
      <w:proofErr w:type="spellEnd"/>
      <w:r w:rsidRPr="00BD225A">
        <w:rPr>
          <w:szCs w:val="18"/>
        </w:rPr>
        <w:t xml:space="preserve"> </w:t>
      </w:r>
      <w:proofErr w:type="gramStart"/>
      <w:r w:rsidRPr="00BD225A">
        <w:rPr>
          <w:szCs w:val="18"/>
        </w:rPr>
        <w:t>and</w:t>
      </w:r>
      <w:proofErr w:type="gramEnd"/>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0430AC" w:rsidRPr="00420EF9" w:rsidRDefault="000430AC"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See document WIPO/GA/32/8, Annex, p. 32</w:t>
      </w:r>
      <w:r>
        <w:rPr>
          <w:szCs w:val="18"/>
        </w:rPr>
        <w:t>.</w:t>
      </w:r>
      <w:proofErr w:type="gramEnd"/>
    </w:p>
  </w:footnote>
  <w:footnote w:id="48">
    <w:p w:rsidR="000430AC" w:rsidRPr="00BD225A" w:rsidRDefault="000430AC"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WIPO/GRTKF/IC/17/10, p. 2 of the Annex</w:t>
      </w:r>
      <w:r>
        <w:rPr>
          <w:szCs w:val="18"/>
        </w:rPr>
        <w:t>.</w:t>
      </w:r>
      <w:proofErr w:type="gramEnd"/>
    </w:p>
  </w:footnote>
  <w:footnote w:id="54">
    <w:p w:rsidR="000430AC" w:rsidRPr="009A0842" w:rsidRDefault="000430AC"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 WIPO/GRTKF/IC/9/13 (Alternative Proposal)</w:t>
      </w:r>
      <w:r>
        <w:rPr>
          <w:szCs w:val="18"/>
        </w:rPr>
        <w:t>.</w:t>
      </w:r>
      <w:proofErr w:type="gramEnd"/>
    </w:p>
  </w:footnote>
  <w:footnote w:id="56">
    <w:p w:rsidR="000430AC" w:rsidRPr="00420EF9" w:rsidRDefault="000430AC"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roofErr w:type="gramEnd"/>
    </w:p>
  </w:footnote>
  <w:footnote w:id="57">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Summary and Introduction to the Toolkit for Managing Intellectual Property when Documenting Traditional Knowledge and Genetic Resources, document WIPO/GRTKF/IC/5/5.</w:t>
      </w:r>
      <w:proofErr w:type="gramEnd"/>
    </w:p>
  </w:footnote>
  <w:footnote w:id="58">
    <w:p w:rsidR="000430AC" w:rsidRPr="00420EF9" w:rsidRDefault="000430AC"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0430AC" w:rsidRPr="00420EF9" w:rsidRDefault="000430AC"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0430AC" w:rsidRPr="00BD225A" w:rsidRDefault="000430AC"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w:t>
      </w:r>
      <w:proofErr w:type="spellStart"/>
      <w:r w:rsidRPr="00BD225A">
        <w:rPr>
          <w:bCs/>
          <w:szCs w:val="18"/>
        </w:rPr>
        <w:t>Sirinelli</w:t>
      </w:r>
      <w:proofErr w:type="spellEnd"/>
      <w:smartTag w:uri="urn:schemas-microsoft-com:office:smarttags" w:element="PersonName">
        <w:r w:rsidRPr="00BD225A">
          <w:rPr>
            <w:bCs/>
            <w:szCs w:val="18"/>
          </w:rPr>
          <w:t>,</w:t>
        </w:r>
      </w:smartTag>
      <w:r w:rsidRPr="00BD225A">
        <w:rPr>
          <w:bCs/>
          <w:szCs w:val="18"/>
        </w:rPr>
        <w:t xml:space="preserve"> </w:t>
      </w:r>
    </w:p>
    <w:p w:rsidR="000430AC" w:rsidRPr="00BD225A" w:rsidRDefault="000430AC"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1999</w:t>
      </w:r>
      <w:proofErr w:type="gramStart"/>
      <w:r w:rsidRPr="00BD225A">
        <w:rPr>
          <w:bCs/>
          <w:szCs w:val="18"/>
        </w:rPr>
        <w:t xml:space="preserve">, </w:t>
      </w:r>
      <w:proofErr w:type="gramEnd"/>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0430AC" w:rsidRPr="00BD225A" w:rsidRDefault="000430AC"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0430AC" w:rsidRPr="00BD225A" w:rsidRDefault="000430AC"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proofErr w:type="spellStart"/>
      <w:r w:rsidRPr="00BD225A">
        <w:rPr>
          <w:rStyle w:val="FootnoteReference"/>
          <w:szCs w:val="18"/>
          <w:vertAlign w:val="baseline"/>
          <w:lang w:val="es-ES_tradnl"/>
        </w:rPr>
        <w:t>Model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Provisions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for</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National</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Laws</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on</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the</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Protection</w:t>
      </w:r>
      <w:proofErr w:type="spellEnd"/>
      <w:r w:rsidRPr="00BD225A">
        <w:rPr>
          <w:rStyle w:val="FootnoteReference"/>
          <w:szCs w:val="18"/>
          <w:vertAlign w:val="baseline"/>
          <w:lang w:val="es-ES_tradnl"/>
        </w:rPr>
        <w:t xml:space="preserve"> of </w:t>
      </w:r>
      <w:proofErr w:type="spellStart"/>
      <w:r w:rsidRPr="00BD225A">
        <w:rPr>
          <w:rStyle w:val="FootnoteReference"/>
          <w:szCs w:val="18"/>
          <w:vertAlign w:val="baseline"/>
          <w:lang w:val="es-ES_tradnl"/>
        </w:rPr>
        <w:t>Expressions</w:t>
      </w:r>
      <w:proofErr w:type="spellEnd"/>
      <w:r w:rsidRPr="00BD225A">
        <w:rPr>
          <w:rStyle w:val="FootnoteReference"/>
          <w:szCs w:val="18"/>
          <w:vertAlign w:val="baseline"/>
          <w:lang w:val="es-ES_tradnl"/>
        </w:rPr>
        <w:t xml:space="preserve"> of Folklore </w:t>
      </w:r>
      <w:proofErr w:type="spellStart"/>
      <w:r w:rsidRPr="00BD225A">
        <w:rPr>
          <w:rStyle w:val="FootnoteReference"/>
          <w:szCs w:val="18"/>
          <w:vertAlign w:val="baseline"/>
          <w:lang w:val="es-ES_tradnl"/>
        </w:rPr>
        <w:t>against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Illicit</w:t>
      </w:r>
      <w:proofErr w:type="spellEnd"/>
      <w:r w:rsidRPr="00BD225A">
        <w:rPr>
          <w:rStyle w:val="FootnoteReference"/>
          <w:szCs w:val="18"/>
          <w:vertAlign w:val="baseline"/>
          <w:lang w:val="es-ES_tradnl"/>
        </w:rPr>
        <w:t xml:space="preserve"> </w:t>
      </w:r>
      <w:proofErr w:type="spellStart"/>
      <w:r w:rsidRPr="00BD225A">
        <w:rPr>
          <w:rStyle w:val="FootnoteReference"/>
          <w:szCs w:val="18"/>
          <w:vertAlign w:val="baseline"/>
          <w:lang w:val="es-ES_tradnl"/>
        </w:rPr>
        <w:t>Exploitation</w:t>
      </w:r>
      <w:proofErr w:type="spellEnd"/>
      <w:r w:rsidRPr="00BD225A">
        <w:rPr>
          <w:rStyle w:val="FootnoteReference"/>
          <w:szCs w:val="18"/>
          <w:vertAlign w:val="baseline"/>
          <w:lang w:val="es-ES_tradnl"/>
        </w:rPr>
        <w:t xml:space="preserve"> and </w:t>
      </w:r>
      <w:proofErr w:type="spellStart"/>
      <w:r w:rsidRPr="00BD225A">
        <w:rPr>
          <w:rStyle w:val="FootnoteReference"/>
          <w:szCs w:val="18"/>
          <w:vertAlign w:val="baseline"/>
          <w:lang w:val="es-ES_tradnl"/>
        </w:rPr>
        <w:t>Other</w:t>
      </w:r>
      <w:proofErr w:type="spellEnd"/>
      <w:r w:rsidRPr="00BD225A">
        <w:rPr>
          <w:rStyle w:val="FootnoteReference"/>
          <w:szCs w:val="18"/>
          <w:vertAlign w:val="baseline"/>
          <w:lang w:val="es-ES_tradnl"/>
        </w:rPr>
        <w:t xml:space="preserve"> Prejudicial </w:t>
      </w:r>
      <w:proofErr w:type="spellStart"/>
      <w:r w:rsidRPr="00BD225A">
        <w:rPr>
          <w:rStyle w:val="FootnoteReference"/>
          <w:szCs w:val="18"/>
          <w:vertAlign w:val="baseline"/>
          <w:lang w:val="es-ES_tradnl"/>
        </w:rPr>
        <w:t>Actions</w:t>
      </w:r>
      <w:proofErr w:type="spellEnd"/>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0430AC" w:rsidRPr="00BD225A" w:rsidRDefault="000430AC"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r w:rsidRPr="00BD225A">
        <w:rPr>
          <w:i/>
          <w:szCs w:val="18"/>
          <w:lang w:val="es-ES"/>
        </w:rPr>
        <w:t xml:space="preserve">, </w:t>
      </w:r>
      <w:r w:rsidRPr="00BD225A">
        <w:rPr>
          <w:szCs w:val="18"/>
          <w:lang w:val="es-ES"/>
        </w:rPr>
        <w:t>para. 37.</w:t>
      </w:r>
    </w:p>
  </w:footnote>
  <w:footnote w:id="64">
    <w:p w:rsidR="000430AC" w:rsidRPr="00BD225A" w:rsidRDefault="000430AC"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proofErr w:type="spellStart"/>
      <w:r w:rsidRPr="00BD225A">
        <w:rPr>
          <w:rStyle w:val="FootnoteReference"/>
          <w:szCs w:val="18"/>
          <w:vertAlign w:val="baseline"/>
          <w:lang w:val="es-ES"/>
        </w:rPr>
        <w:t>Model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Provisions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for</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National</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Laws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on</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Protection</w:t>
      </w:r>
      <w:proofErr w:type="spellEnd"/>
      <w:r w:rsidRPr="00BD225A">
        <w:rPr>
          <w:rStyle w:val="FootnoteReference"/>
          <w:szCs w:val="18"/>
          <w:vertAlign w:val="baseline"/>
          <w:lang w:val="es-ES"/>
        </w:rPr>
        <w:t xml:space="preserve"> of </w:t>
      </w:r>
      <w:proofErr w:type="spellStart"/>
      <w:r w:rsidRPr="00BD225A">
        <w:rPr>
          <w:rStyle w:val="FootnoteReference"/>
          <w:szCs w:val="18"/>
          <w:vertAlign w:val="baseline"/>
          <w:lang w:val="es-ES"/>
        </w:rPr>
        <w:t>Expressions</w:t>
      </w:r>
      <w:proofErr w:type="spellEnd"/>
      <w:r w:rsidRPr="00BD225A">
        <w:rPr>
          <w:rStyle w:val="FootnoteReference"/>
          <w:szCs w:val="18"/>
          <w:vertAlign w:val="baseline"/>
          <w:lang w:val="es-ES"/>
        </w:rPr>
        <w:t xml:space="preserve"> of Folklore </w:t>
      </w:r>
      <w:proofErr w:type="spellStart"/>
      <w:r w:rsidRPr="00BD225A">
        <w:rPr>
          <w:rStyle w:val="FootnoteReference"/>
          <w:szCs w:val="18"/>
          <w:vertAlign w:val="baseline"/>
          <w:lang w:val="es-ES"/>
        </w:rPr>
        <w:t>against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Illicit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Exploitation</w:t>
      </w:r>
      <w:proofErr w:type="spellEnd"/>
      <w:r w:rsidRPr="00BD225A">
        <w:rPr>
          <w:rStyle w:val="FootnoteReference"/>
          <w:szCs w:val="18"/>
          <w:vertAlign w:val="baseline"/>
          <w:lang w:val="es-ES"/>
        </w:rPr>
        <w:t xml:space="preserve"> and </w:t>
      </w:r>
      <w:proofErr w:type="spellStart"/>
      <w:r w:rsidRPr="00BD225A">
        <w:rPr>
          <w:rStyle w:val="FootnoteReference"/>
          <w:szCs w:val="18"/>
          <w:vertAlign w:val="baseline"/>
          <w:lang w:val="es-ES"/>
        </w:rPr>
        <w:t>Other</w:t>
      </w:r>
      <w:proofErr w:type="spellEnd"/>
      <w:r w:rsidRPr="00BD225A">
        <w:rPr>
          <w:rStyle w:val="FootnoteReference"/>
          <w:szCs w:val="18"/>
          <w:vertAlign w:val="baseline"/>
          <w:lang w:val="es-ES"/>
        </w:rPr>
        <w:t xml:space="preserve"> Prejudicial </w:t>
      </w:r>
      <w:proofErr w:type="spellStart"/>
      <w:r w:rsidRPr="00BD225A">
        <w:rPr>
          <w:rStyle w:val="FootnoteReference"/>
          <w:szCs w:val="18"/>
          <w:vertAlign w:val="baseline"/>
          <w:lang w:val="es-ES"/>
        </w:rPr>
        <w:t>Actions</w:t>
      </w:r>
      <w:proofErr w:type="spellEnd"/>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proofErr w:type="gramStart"/>
      <w:r w:rsidRPr="00BD225A">
        <w:rPr>
          <w:szCs w:val="18"/>
          <w:lang w:val="es-ES"/>
        </w:rPr>
        <w:t xml:space="preserve">ion </w:t>
      </w:r>
      <w:proofErr w:type="gramEnd"/>
      <w:r w:rsidRPr="00BD225A">
        <w:rPr>
          <w:rStyle w:val="FootnoteReference"/>
          <w:szCs w:val="18"/>
          <w:vertAlign w:val="baseline"/>
          <w:lang w:val="es-ES"/>
        </w:rPr>
        <w:t>2</w:t>
      </w:r>
      <w:r w:rsidRPr="00BD225A">
        <w:rPr>
          <w:szCs w:val="18"/>
          <w:lang w:val="es-ES"/>
        </w:rPr>
        <w:t>.</w:t>
      </w:r>
    </w:p>
  </w:footnote>
  <w:footnote w:id="65">
    <w:p w:rsidR="000430AC" w:rsidRPr="00BD225A" w:rsidRDefault="000430AC"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 xml:space="preserve">WIPO Guide </w:t>
      </w:r>
      <w:proofErr w:type="spellStart"/>
      <w:r w:rsidRPr="00BD225A">
        <w:rPr>
          <w:rStyle w:val="FootnoteReference"/>
          <w:szCs w:val="18"/>
          <w:vertAlign w:val="baseline"/>
          <w:lang w:val="es-ES"/>
        </w:rPr>
        <w:t>to</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szCs w:val="18"/>
          <w:lang w:val="es-ES"/>
        </w:rPr>
        <w:t>, p. 289.</w:t>
      </w:r>
    </w:p>
  </w:footnote>
  <w:footnote w:id="66">
    <w:p w:rsidR="000430AC" w:rsidRPr="00BD225A" w:rsidRDefault="000430AC"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 xml:space="preserve">WIPO Guide </w:t>
      </w:r>
      <w:proofErr w:type="spellStart"/>
      <w:r w:rsidRPr="00BD225A">
        <w:rPr>
          <w:rStyle w:val="FootnoteReference"/>
          <w:szCs w:val="18"/>
          <w:vertAlign w:val="baseline"/>
          <w:lang w:val="es-ES"/>
        </w:rPr>
        <w:t>to</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the</w:t>
      </w:r>
      <w:proofErr w:type="spellEnd"/>
      <w:r w:rsidRPr="00BD225A">
        <w:rPr>
          <w:rStyle w:val="FootnoteReference"/>
          <w:szCs w:val="18"/>
          <w:vertAlign w:val="baseline"/>
          <w:lang w:val="es-ES"/>
        </w:rPr>
        <w:t xml:space="preserve">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Treaties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Administered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by</w:t>
      </w:r>
      <w:proofErr w:type="spellEnd"/>
      <w:r w:rsidRPr="00BD225A">
        <w:rPr>
          <w:rStyle w:val="FootnoteReference"/>
          <w:szCs w:val="18"/>
          <w:vertAlign w:val="baseline"/>
          <w:lang w:val="es-ES"/>
        </w:rPr>
        <w:t xml:space="preserve"> WIPO and </w:t>
      </w:r>
      <w:proofErr w:type="spellStart"/>
      <w:r w:rsidRPr="00BD225A">
        <w:rPr>
          <w:rStyle w:val="FootnoteReference"/>
          <w:szCs w:val="18"/>
          <w:vertAlign w:val="baseline"/>
          <w:lang w:val="es-ES"/>
        </w:rPr>
        <w:t>Glossary</w:t>
      </w:r>
      <w:proofErr w:type="spellEnd"/>
      <w:r w:rsidRPr="00BD225A">
        <w:rPr>
          <w:rStyle w:val="FootnoteReference"/>
          <w:szCs w:val="18"/>
          <w:vertAlign w:val="baseline"/>
          <w:lang w:val="es-ES"/>
        </w:rPr>
        <w:t xml:space="preserve"> of Copyright and </w:t>
      </w:r>
      <w:proofErr w:type="spellStart"/>
      <w:r w:rsidRPr="00BD225A">
        <w:rPr>
          <w:rStyle w:val="FootnoteReference"/>
          <w:szCs w:val="18"/>
          <w:vertAlign w:val="baseline"/>
          <w:lang w:val="es-ES"/>
        </w:rPr>
        <w:t>Related</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Rights</w:t>
      </w:r>
      <w:proofErr w:type="spellEnd"/>
      <w:r w:rsidRPr="00BD225A">
        <w:rPr>
          <w:rStyle w:val="FootnoteReference"/>
          <w:szCs w:val="18"/>
          <w:vertAlign w:val="baseline"/>
          <w:lang w:val="es-ES"/>
        </w:rPr>
        <w:t xml:space="preserve"> </w:t>
      </w:r>
      <w:proofErr w:type="spellStart"/>
      <w:r w:rsidRPr="00BD225A">
        <w:rPr>
          <w:rStyle w:val="FootnoteReference"/>
          <w:szCs w:val="18"/>
          <w:vertAlign w:val="baseline"/>
          <w:lang w:val="es-ES"/>
        </w:rPr>
        <w:t>Terms</w:t>
      </w:r>
      <w:proofErr w:type="spellEnd"/>
      <w:r w:rsidRPr="00BD225A">
        <w:rPr>
          <w:rStyle w:val="FootnoteReference"/>
          <w:szCs w:val="18"/>
          <w:vertAlign w:val="baseline"/>
          <w:lang w:val="nl-NL"/>
        </w:rPr>
        <w:t>, p. 290</w:t>
      </w:r>
      <w:r w:rsidRPr="00BD225A">
        <w:rPr>
          <w:szCs w:val="18"/>
          <w:lang w:val="nl-NL"/>
        </w:rPr>
        <w:t>.</w:t>
      </w:r>
    </w:p>
  </w:footnote>
  <w:footnote w:id="67">
    <w:p w:rsidR="000430AC" w:rsidRPr="00BD225A" w:rsidRDefault="000430AC"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0430AC" w:rsidRPr="00420EF9" w:rsidRDefault="000430AC"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 xml:space="preserve">Terri </w:t>
        </w:r>
        <w:proofErr w:type="spellStart"/>
        <w:r w:rsidRPr="00420EF9">
          <w:rPr>
            <w:szCs w:val="18"/>
          </w:rPr>
          <w:t>Janke</w:t>
        </w:r>
      </w:smartTag>
      <w:proofErr w:type="spellEnd"/>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0430AC" w:rsidRPr="00420EF9" w:rsidRDefault="000430AC"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Report of the Seventeenth Session of the Committee (WIPO/GRTKF/IC/17/12), </w:t>
      </w:r>
      <w:proofErr w:type="spellStart"/>
      <w:r w:rsidRPr="00420EF9">
        <w:rPr>
          <w:szCs w:val="18"/>
        </w:rPr>
        <w:t>para</w:t>
      </w:r>
      <w:proofErr w:type="spellEnd"/>
      <w:r w:rsidRPr="00420EF9">
        <w:rPr>
          <w:szCs w:val="18"/>
        </w:rPr>
        <w:t>.</w:t>
      </w:r>
      <w:proofErr w:type="gramEnd"/>
      <w:r w:rsidRPr="00420EF9">
        <w:rPr>
          <w:szCs w:val="18"/>
        </w:rPr>
        <w:t xml:space="preserve"> 50.</w:t>
      </w:r>
    </w:p>
  </w:footnote>
  <w:footnote w:id="70">
    <w:p w:rsidR="000430AC" w:rsidRPr="00772BA5" w:rsidRDefault="000430AC"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proofErr w:type="gramStart"/>
      <w:r w:rsidRPr="00420EF9">
        <w:rPr>
          <w:szCs w:val="18"/>
        </w:rPr>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 xml:space="preserve">Part I, </w:t>
      </w:r>
      <w:proofErr w:type="spellStart"/>
      <w:r w:rsidRPr="00772BA5">
        <w:rPr>
          <w:rStyle w:val="FootnoteReference"/>
          <w:szCs w:val="18"/>
          <w:vertAlign w:val="baseline"/>
        </w:rPr>
        <w:t>para</w:t>
      </w:r>
      <w:proofErr w:type="spellEnd"/>
      <w:r w:rsidRPr="00772BA5">
        <w:rPr>
          <w:rStyle w:val="FootnoteReference"/>
          <w:szCs w:val="18"/>
          <w:vertAlign w:val="baseline"/>
        </w:rPr>
        <w:t>. 5</w:t>
      </w:r>
      <w:r w:rsidRPr="00772BA5">
        <w:rPr>
          <w:szCs w:val="18"/>
        </w:rPr>
        <w:t>-7.</w:t>
      </w:r>
      <w:proofErr w:type="gramEnd"/>
    </w:p>
  </w:footnote>
  <w:footnote w:id="71">
    <w:p w:rsidR="000430AC" w:rsidRPr="00BD225A" w:rsidRDefault="000430AC"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0430AC" w:rsidRPr="00BD225A" w:rsidRDefault="000430AC"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w:t>
      </w:r>
      <w:proofErr w:type="gramStart"/>
      <w:r w:rsidRPr="00BD225A">
        <w:rPr>
          <w:szCs w:val="18"/>
        </w:rPr>
        <w:t xml:space="preserve">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w:t>
      </w:r>
      <w:proofErr w:type="gramEnd"/>
      <w:r w:rsidRPr="00BD225A">
        <w:rPr>
          <w:szCs w:val="18"/>
        </w:rPr>
        <w:t xml:space="preserve">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proofErr w:type="gramStart"/>
      <w:r w:rsidRPr="00BD225A">
        <w:rPr>
          <w:i/>
          <w:szCs w:val="18"/>
        </w:rPr>
        <w:t>See</w:t>
      </w:r>
      <w:r w:rsidRPr="00BD225A">
        <w:rPr>
          <w:szCs w:val="18"/>
        </w:rPr>
        <w:t xml:space="preserve"> </w:t>
      </w:r>
      <w:r w:rsidRPr="00BD225A">
        <w:rPr>
          <w:rStyle w:val="FootnoteReference"/>
          <w:szCs w:val="18"/>
          <w:vertAlign w:val="baseline"/>
        </w:rPr>
        <w:t>W</w:t>
      </w:r>
      <w:proofErr w:type="gramEnd"/>
      <w:r w:rsidRPr="00BD225A">
        <w:rPr>
          <w:rStyle w:val="FootnoteReference"/>
          <w:szCs w:val="18"/>
          <w:vertAlign w:val="baseline"/>
        </w:rPr>
        <w:t>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0430AC" w:rsidRPr="00420EF9" w:rsidRDefault="000430AC"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0430AC" w:rsidRPr="00420EF9" w:rsidRDefault="000430AC"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w:t>
      </w:r>
      <w:proofErr w:type="spellStart"/>
      <w:r w:rsidRPr="00420EF9">
        <w:rPr>
          <w:szCs w:val="18"/>
        </w:rPr>
        <w:t>Yozo</w:t>
      </w:r>
      <w:proofErr w:type="spellEnd"/>
      <w:r w:rsidRPr="00420EF9">
        <w:rPr>
          <w:szCs w:val="18"/>
        </w:rPr>
        <w:t xml:space="preserve"> Yokota and the </w:t>
      </w:r>
      <w:proofErr w:type="spellStart"/>
      <w:r w:rsidRPr="00420EF9">
        <w:rPr>
          <w:szCs w:val="18"/>
        </w:rPr>
        <w:t>Saami</w:t>
      </w:r>
      <w:proofErr w:type="spellEnd"/>
      <w:r w:rsidRPr="00420EF9">
        <w:rPr>
          <w:szCs w:val="18"/>
        </w:rPr>
        <w:t xml:space="preserve">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0430AC" w:rsidRPr="00420EF9" w:rsidRDefault="000430AC"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 xml:space="preserve">retariat of the Permanent Forum on Indigenous Issues for the Expert Workshop on the </w:t>
      </w:r>
      <w:proofErr w:type="spellStart"/>
      <w:r w:rsidRPr="00420EF9">
        <w:rPr>
          <w:szCs w:val="18"/>
        </w:rPr>
        <w:t>Dissaggregation</w:t>
      </w:r>
      <w:proofErr w:type="spellEnd"/>
      <w:r w:rsidRPr="00420EF9">
        <w:rPr>
          <w:szCs w:val="18"/>
        </w:rPr>
        <w:t xml:space="preserve">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0430AC" w:rsidRPr="00420EF9" w:rsidRDefault="000430AC"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0430AC" w:rsidRPr="00420EF9" w:rsidRDefault="000430AC"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w:t>
      </w:r>
      <w:proofErr w:type="spellStart"/>
      <w:r w:rsidRPr="00420EF9">
        <w:rPr>
          <w:szCs w:val="18"/>
        </w:rPr>
        <w:t>para</w:t>
      </w:r>
      <w:proofErr w:type="spellEnd"/>
      <w:r w:rsidRPr="00420EF9">
        <w:rPr>
          <w:szCs w:val="18"/>
        </w:rPr>
        <w:t xml:space="preserve">. </w:t>
      </w:r>
      <w:proofErr w:type="gramStart"/>
      <w:r w:rsidRPr="00420EF9">
        <w:rPr>
          <w:szCs w:val="18"/>
        </w:rPr>
        <w:t>41 of Annex.</w:t>
      </w:r>
      <w:proofErr w:type="gramEnd"/>
    </w:p>
  </w:footnote>
  <w:footnote w:id="78">
    <w:p w:rsidR="000430AC" w:rsidRPr="00BD225A" w:rsidRDefault="000430AC"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0430AC" w:rsidRPr="00C82BBD" w:rsidRDefault="000430AC"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0430AC" w:rsidRPr="00BD225A" w:rsidRDefault="000430AC"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w:t>
      </w:r>
      <w:proofErr w:type="spellStart"/>
      <w:r w:rsidRPr="00BD225A">
        <w:rPr>
          <w:rStyle w:val="FootnoteReference"/>
          <w:szCs w:val="18"/>
          <w:vertAlign w:val="baseline"/>
        </w:rPr>
        <w:t>Henriksen</w:t>
      </w:r>
      <w:proofErr w:type="spellEnd"/>
      <w:r w:rsidRPr="00BD225A">
        <w:rPr>
          <w:rStyle w:val="FootnoteReference"/>
          <w:szCs w:val="18"/>
          <w:vertAlign w:val="baseline"/>
        </w:rPr>
        <w:t>: Key Principles in Implementing ILO Convention No. 169, 2008.</w:t>
      </w:r>
      <w:r w:rsidRPr="00BD225A">
        <w:rPr>
          <w:szCs w:val="18"/>
        </w:rPr>
        <w:t xml:space="preserve"> </w:t>
      </w:r>
    </w:p>
  </w:footnote>
  <w:footnote w:id="81">
    <w:p w:rsidR="000430AC" w:rsidRPr="00420EF9" w:rsidRDefault="000430AC"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 xml:space="preserve">International </w:t>
      </w:r>
      <w:proofErr w:type="spellStart"/>
      <w:r w:rsidRPr="00BD225A">
        <w:rPr>
          <w:rStyle w:val="FootnoteReference"/>
          <w:szCs w:val="18"/>
          <w:vertAlign w:val="baseline"/>
        </w:rPr>
        <w:t>Labour</w:t>
      </w:r>
      <w:proofErr w:type="spellEnd"/>
      <w:r w:rsidRPr="00BD225A">
        <w:rPr>
          <w:rStyle w:val="FootnoteReference"/>
          <w:szCs w:val="18"/>
          <w:vertAlign w:val="baseline"/>
        </w:rPr>
        <w:t xml:space="preserve">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0430AC" w:rsidRPr="00420EF9" w:rsidRDefault="000430AC"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420EF9">
        <w:rPr>
          <w:iCs/>
          <w:szCs w:val="18"/>
          <w:lang w:val="en-GB"/>
        </w:rPr>
        <w:t>http://www.ifad.org/english/indigenous/documents/ip_policy_e.pdf</w:t>
      </w:r>
      <w:r>
        <w:rPr>
          <w:iCs/>
          <w:szCs w:val="18"/>
          <w:lang w:val="en-GB"/>
        </w:rPr>
        <w:t>.</w:t>
      </w:r>
      <w:proofErr w:type="gramEnd"/>
    </w:p>
  </w:footnote>
  <w:footnote w:id="83">
    <w:p w:rsidR="000430AC" w:rsidRPr="00420EF9" w:rsidRDefault="000430AC"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Available at </w:t>
      </w:r>
      <w:r w:rsidRPr="00772BA5">
        <w:rPr>
          <w:iCs/>
          <w:szCs w:val="18"/>
          <w:lang w:val="en-GB"/>
        </w:rPr>
        <w:t>http://www.hreoc.gov.au/social_justice/conference/engaging_communities/unpan021101.pdf</w:t>
      </w:r>
      <w:r>
        <w:rPr>
          <w:iCs/>
          <w:szCs w:val="18"/>
          <w:lang w:val="en-GB"/>
        </w:rPr>
        <w:t>.</w:t>
      </w:r>
      <w:proofErr w:type="gramEnd"/>
    </w:p>
  </w:footnote>
  <w:footnote w:id="84">
    <w:p w:rsidR="000430AC" w:rsidRPr="00420EF9" w:rsidRDefault="000430AC"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0430AC" w:rsidRPr="009A2EAC" w:rsidRDefault="000430AC"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0430AC" w:rsidRPr="009A2EAC" w:rsidRDefault="000430AC"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 xml:space="preserve">Sam </w:t>
      </w:r>
      <w:proofErr w:type="spellStart"/>
      <w:r w:rsidRPr="009A2EAC">
        <w:rPr>
          <w:rStyle w:val="FootnoteReference"/>
          <w:szCs w:val="18"/>
          <w:vertAlign w:val="baseline"/>
        </w:rPr>
        <w:t>Ricketson</w:t>
      </w:r>
      <w:proofErr w:type="spellEnd"/>
      <w:r w:rsidRPr="009A2EAC">
        <w:rPr>
          <w:szCs w:val="18"/>
        </w:rPr>
        <w:t xml:space="preserve"> </w:t>
      </w:r>
      <w:proofErr w:type="gramStart"/>
      <w:r w:rsidRPr="009A2EAC">
        <w:rPr>
          <w:szCs w:val="18"/>
        </w:rPr>
        <w:t>and</w:t>
      </w:r>
      <w:proofErr w:type="gramEnd"/>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0430AC" w:rsidRPr="00420EF9" w:rsidRDefault="000430AC"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w:t>
      </w:r>
      <w:proofErr w:type="spellStart"/>
      <w:r w:rsidRPr="00420EF9">
        <w:rPr>
          <w:szCs w:val="18"/>
        </w:rPr>
        <w:t>para</w:t>
      </w:r>
      <w:proofErr w:type="spellEnd"/>
      <w:r w:rsidRPr="00420EF9">
        <w:rPr>
          <w:szCs w:val="18"/>
        </w:rPr>
        <w:t xml:space="preserve">. 133. </w:t>
      </w:r>
    </w:p>
  </w:footnote>
  <w:footnote w:id="88">
    <w:p w:rsidR="000430AC" w:rsidRPr="00420EF9" w:rsidRDefault="000430AC"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0430AC" w:rsidRPr="00420EF9" w:rsidRDefault="000430AC"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0430AC" w:rsidRPr="00420EF9" w:rsidRDefault="000430AC"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0430AC" w:rsidRPr="00BD225A" w:rsidRDefault="000430AC"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0430AC" w:rsidRPr="00420EF9" w:rsidRDefault="000430AC" w:rsidP="00C33191">
      <w:pPr>
        <w:pStyle w:val="FootnoteText"/>
        <w:ind w:left="499" w:hanging="499"/>
        <w:rPr>
          <w:szCs w:val="18"/>
        </w:rPr>
      </w:pPr>
      <w:r w:rsidRPr="00BD225A">
        <w:rPr>
          <w:rStyle w:val="FootnoteReference"/>
          <w:szCs w:val="18"/>
        </w:rPr>
        <w:footnoteRef/>
      </w:r>
      <w:r w:rsidRPr="00420EF9">
        <w:rPr>
          <w:szCs w:val="18"/>
        </w:rPr>
        <w:tab/>
      </w:r>
      <w:proofErr w:type="gramStart"/>
      <w:r w:rsidRPr="00114C4C">
        <w:rPr>
          <w:i/>
          <w:szCs w:val="18"/>
        </w:rPr>
        <w:t>Id</w:t>
      </w:r>
      <w:r w:rsidRPr="00420EF9">
        <w:rPr>
          <w:szCs w:val="18"/>
        </w:rPr>
        <w:t>, page 4 of Annex</w:t>
      </w:r>
      <w:r>
        <w:rPr>
          <w:szCs w:val="18"/>
        </w:rPr>
        <w:t>.</w:t>
      </w:r>
      <w:proofErr w:type="gramEnd"/>
    </w:p>
  </w:footnote>
  <w:footnote w:id="93">
    <w:p w:rsidR="000430AC" w:rsidRPr="00420EF9" w:rsidRDefault="000430AC"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0430AC" w:rsidRPr="00420EF9" w:rsidRDefault="000430AC"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95">
    <w:p w:rsidR="000430AC" w:rsidRPr="004C606B" w:rsidRDefault="000430AC"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0430AC" w:rsidRPr="004C606B" w:rsidRDefault="000430AC"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0430AC" w:rsidRPr="004C606B" w:rsidRDefault="000430AC"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proofErr w:type="gramStart"/>
      <w:r w:rsidRPr="004C606B">
        <w:rPr>
          <w:bCs/>
          <w:szCs w:val="18"/>
        </w:rPr>
        <w:t>t</w:t>
      </w:r>
      <w:proofErr w:type="gramEnd"/>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 xml:space="preserve">study prepared by Pierre </w:t>
      </w:r>
      <w:proofErr w:type="spellStart"/>
      <w:r w:rsidRPr="004C606B">
        <w:rPr>
          <w:bCs/>
          <w:szCs w:val="18"/>
        </w:rPr>
        <w:t>Sirinelli</w:t>
      </w:r>
      <w:proofErr w:type="spellEnd"/>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0430AC" w:rsidRPr="004C606B" w:rsidRDefault="000430AC"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t>
      </w:r>
      <w:proofErr w:type="gramStart"/>
      <w:r w:rsidRPr="004C606B">
        <w:rPr>
          <w:szCs w:val="18"/>
        </w:rPr>
        <w:t>website</w:t>
      </w:r>
      <w:proofErr w:type="gramEnd"/>
      <w:r w:rsidRPr="004C606B">
        <w:rPr>
          <w:rStyle w:val="FootnoteReference"/>
          <w:szCs w:val="18"/>
          <w:vertAlign w:val="baseline"/>
        </w:rPr>
        <w:t>, http://www.wipo.int/copyright/en/limitations/index.html</w:t>
      </w:r>
      <w:r w:rsidRPr="004C606B">
        <w:rPr>
          <w:szCs w:val="18"/>
        </w:rPr>
        <w:t>.</w:t>
      </w:r>
    </w:p>
  </w:footnote>
  <w:footnote w:id="99">
    <w:p w:rsidR="000430AC" w:rsidRPr="004C606B" w:rsidRDefault="000430AC"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0430AC" w:rsidRPr="00BD225A" w:rsidRDefault="000430AC"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0430AC" w:rsidRPr="00BD225A" w:rsidRDefault="000430AC"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0430AC" w:rsidRPr="00420EF9" w:rsidRDefault="000430AC"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0430AC" w:rsidRPr="00420EF9" w:rsidRDefault="000430AC"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0430AC" w:rsidRPr="00420EF9" w:rsidRDefault="000430AC"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0430AC" w:rsidRPr="00420EF9" w:rsidRDefault="000430AC"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0430AC" w:rsidRPr="00420EF9" w:rsidRDefault="000430AC"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Para IX-2.1, PCT International Search Guidelines (as in force from 18 September 1998)</w:t>
      </w:r>
      <w:r>
        <w:rPr>
          <w:szCs w:val="18"/>
        </w:rPr>
        <w:t>.</w:t>
      </w:r>
      <w:proofErr w:type="gramEnd"/>
    </w:p>
  </w:footnote>
  <w:footnote w:id="107">
    <w:p w:rsidR="000430AC" w:rsidRPr="00420EF9" w:rsidRDefault="000430AC"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0430AC" w:rsidRPr="00BD225A" w:rsidRDefault="000430AC"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0430AC" w:rsidRPr="00BD225A" w:rsidRDefault="000430AC"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0430AC" w:rsidRPr="00BD225A" w:rsidRDefault="000430AC"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0430AC" w:rsidRPr="00BD225A" w:rsidRDefault="000430AC"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0430AC" w:rsidRPr="00420EF9" w:rsidRDefault="000430AC"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0430AC" w:rsidRPr="00420EF9" w:rsidRDefault="000430AC"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0430AC" w:rsidRPr="00BD225A" w:rsidRDefault="000430AC"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0430AC" w:rsidRPr="00420EF9" w:rsidRDefault="000430AC"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w:t>
      </w:r>
      <w:proofErr w:type="spellStart"/>
      <w:r w:rsidRPr="00420EF9">
        <w:rPr>
          <w:szCs w:val="18"/>
          <w:lang w:val="en-GB"/>
        </w:rPr>
        <w:t>para</w:t>
      </w:r>
      <w:proofErr w:type="spellEnd"/>
      <w:r w:rsidRPr="00420EF9">
        <w:rPr>
          <w:szCs w:val="18"/>
          <w:lang w:val="en-GB"/>
        </w:rPr>
        <w:t>. 32</w:t>
      </w:r>
    </w:p>
  </w:footnote>
  <w:footnote w:id="116">
    <w:p w:rsidR="000430AC" w:rsidRPr="00BD225A" w:rsidRDefault="000430AC"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 xml:space="preserve">Daniel </w:t>
      </w:r>
      <w:proofErr w:type="spellStart"/>
      <w:r w:rsidRPr="00BD225A">
        <w:rPr>
          <w:rStyle w:val="FootnoteReference"/>
          <w:szCs w:val="18"/>
          <w:vertAlign w:val="baseline"/>
        </w:rPr>
        <w:t>Gervais</w:t>
      </w:r>
      <w:proofErr w:type="spellEnd"/>
      <w:r w:rsidRPr="00BD225A">
        <w:rPr>
          <w:rStyle w:val="FootnoteReference"/>
          <w:szCs w:val="18"/>
          <w:vertAlign w:val="baseline"/>
        </w:rPr>
        <w:t>,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0430AC" w:rsidRPr="00BD225A" w:rsidRDefault="000430AC"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0430AC" w:rsidRPr="00420EF9" w:rsidRDefault="000430AC"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0430AC" w:rsidRPr="00420EF9" w:rsidRDefault="000430AC"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0430AC" w:rsidRPr="00420EF9" w:rsidRDefault="000430AC"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PATENTSCOPE Glossary</w:t>
      </w:r>
      <w:r>
        <w:rPr>
          <w:szCs w:val="18"/>
        </w:rPr>
        <w:t>.</w:t>
      </w:r>
      <w:proofErr w:type="gramEnd"/>
    </w:p>
  </w:footnote>
  <w:footnote w:id="121">
    <w:p w:rsidR="000430AC" w:rsidRPr="00420EF9" w:rsidRDefault="000430AC"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0430AC" w:rsidRPr="00420EF9" w:rsidRDefault="000430AC" w:rsidP="00316BB8">
      <w:pPr>
        <w:pStyle w:val="FootnoteText"/>
        <w:ind w:left="550"/>
        <w:rPr>
          <w:szCs w:val="18"/>
        </w:rPr>
      </w:pPr>
      <w:proofErr w:type="spellStart"/>
      <w:proofErr w:type="gramStart"/>
      <w:r w:rsidRPr="00420EF9">
        <w:rPr>
          <w:szCs w:val="18"/>
        </w:rPr>
        <w:t>para</w:t>
      </w:r>
      <w:proofErr w:type="spellEnd"/>
      <w:proofErr w:type="gramEnd"/>
      <w:r w:rsidRPr="00420EF9">
        <w:rPr>
          <w:szCs w:val="18"/>
        </w:rPr>
        <w:t>. 37.</w:t>
      </w:r>
    </w:p>
  </w:footnote>
  <w:footnote w:id="122">
    <w:p w:rsidR="000430AC" w:rsidRPr="00BD225A" w:rsidRDefault="000430AC"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tion of Traditional Knowledge: Draft Gap Analysis: Revision</w:t>
      </w:r>
      <w:proofErr w:type="gramStart"/>
      <w:r w:rsidRPr="00420EF9">
        <w:rPr>
          <w:szCs w:val="18"/>
        </w:rPr>
        <w:t xml:space="preserve">, </w:t>
      </w:r>
      <w:proofErr w:type="gramEnd"/>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0430AC" w:rsidRPr="00BD225A" w:rsidRDefault="000430AC"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0430AC" w:rsidRPr="00BD225A" w:rsidRDefault="000430AC"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w:t>
      </w:r>
      <w:proofErr w:type="spellStart"/>
      <w:r w:rsidRPr="00BD225A">
        <w:rPr>
          <w:rStyle w:val="FootnoteReference"/>
          <w:szCs w:val="18"/>
          <w:vertAlign w:val="baseline"/>
        </w:rPr>
        <w:t>Xanthaki</w:t>
      </w:r>
      <w:proofErr w:type="spellEnd"/>
      <w:r w:rsidRPr="00BD225A">
        <w:rPr>
          <w:rStyle w:val="FootnoteReference"/>
          <w:szCs w:val="18"/>
          <w:vertAlign w:val="baseline"/>
        </w:rPr>
        <w:t xml:space="preserve">, </w:t>
      </w:r>
      <w:r w:rsidRPr="00BD225A">
        <w:rPr>
          <w:szCs w:val="18"/>
        </w:rPr>
        <w:t>“</w:t>
      </w:r>
      <w:r w:rsidRPr="00BD225A">
        <w:rPr>
          <w:rStyle w:val="FootnoteReference"/>
          <w:szCs w:val="18"/>
          <w:vertAlign w:val="baseline"/>
        </w:rPr>
        <w:t>Reflections on the UN Declaration on the Rights of Indigenous Peoples</w:t>
      </w:r>
      <w:r w:rsidRPr="00BD225A">
        <w:rPr>
          <w:szCs w:val="18"/>
        </w:rPr>
        <w:t>”</w:t>
      </w:r>
      <w:proofErr w:type="gramStart"/>
      <w:r w:rsidRPr="00BD225A">
        <w:rPr>
          <w:szCs w:val="18"/>
        </w:rPr>
        <w:t xml:space="preserve">, </w:t>
      </w:r>
      <w:proofErr w:type="gramEnd"/>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0430AC" w:rsidRPr="00420EF9" w:rsidRDefault="000430AC"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w:t>
      </w:r>
      <w:proofErr w:type="spellStart"/>
      <w:r w:rsidRPr="00420EF9">
        <w:rPr>
          <w:szCs w:val="18"/>
        </w:rPr>
        <w:t>para</w:t>
      </w:r>
      <w:proofErr w:type="spellEnd"/>
      <w:r w:rsidRPr="00420EF9">
        <w:rPr>
          <w:szCs w:val="18"/>
        </w:rPr>
        <w:t xml:space="preserve"> 5.1</w:t>
      </w:r>
      <w:r>
        <w:rPr>
          <w:szCs w:val="18"/>
        </w:rPr>
        <w:t>.</w:t>
      </w:r>
    </w:p>
  </w:footnote>
  <w:footnote w:id="127">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0430AC" w:rsidRPr="00420EF9" w:rsidRDefault="000430AC" w:rsidP="00CF0EF8">
      <w:pPr>
        <w:pStyle w:val="FootnoteText"/>
        <w:ind w:left="499"/>
        <w:rPr>
          <w:szCs w:val="18"/>
          <w:lang w:val="es-ES"/>
        </w:rPr>
      </w:pPr>
      <w:r w:rsidRPr="00420EF9">
        <w:rPr>
          <w:szCs w:val="18"/>
          <w:lang w:val="es-ES"/>
        </w:rPr>
        <w:t>para. 20.</w:t>
      </w:r>
    </w:p>
  </w:footnote>
  <w:footnote w:id="128">
    <w:p w:rsidR="000430AC" w:rsidRPr="00420EF9" w:rsidRDefault="000430AC"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i/>
          <w:szCs w:val="18"/>
        </w:rPr>
        <w:t>Id</w:t>
      </w:r>
      <w:r w:rsidRPr="00420EF9">
        <w:rPr>
          <w:szCs w:val="18"/>
        </w:rPr>
        <w:t xml:space="preserve">, </w:t>
      </w:r>
      <w:proofErr w:type="spellStart"/>
      <w:r w:rsidRPr="00420EF9">
        <w:rPr>
          <w:szCs w:val="18"/>
        </w:rPr>
        <w:t>para</w:t>
      </w:r>
      <w:proofErr w:type="spellEnd"/>
      <w:r w:rsidRPr="00420EF9">
        <w:rPr>
          <w:szCs w:val="18"/>
        </w:rPr>
        <w:t>.</w:t>
      </w:r>
      <w:proofErr w:type="gramEnd"/>
      <w:r w:rsidRPr="00420EF9">
        <w:rPr>
          <w:szCs w:val="18"/>
        </w:rPr>
        <w:t xml:space="preserve"> 28.</w:t>
      </w:r>
    </w:p>
  </w:footnote>
  <w:footnote w:id="131">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0430AC" w:rsidRPr="00420EF9" w:rsidRDefault="000430AC"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WIPO Guide to the Copyright and Related Rights Treaties by WIPO and Glossary of Copyright and Related Rights Terms</w:t>
      </w:r>
      <w:r>
        <w:rPr>
          <w:szCs w:val="18"/>
        </w:rPr>
        <w:t>.</w:t>
      </w:r>
      <w:proofErr w:type="gramEnd"/>
    </w:p>
  </w:footnote>
  <w:footnote w:id="136">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0430AC" w:rsidRPr="00CF0EF8" w:rsidRDefault="000430AC"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0430AC" w:rsidRPr="00CF0EF8" w:rsidRDefault="000430AC"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0430AC" w:rsidRPr="00420EF9" w:rsidRDefault="000430AC"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0430AC" w:rsidRPr="004E73B1" w:rsidRDefault="000430AC"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0430AC" w:rsidRPr="004E73B1" w:rsidRDefault="000430AC"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 xml:space="preserve">Sam </w:t>
      </w:r>
      <w:proofErr w:type="spellStart"/>
      <w:r w:rsidRPr="004E73B1">
        <w:rPr>
          <w:rStyle w:val="FootnoteReference"/>
          <w:szCs w:val="18"/>
          <w:vertAlign w:val="baseline"/>
        </w:rPr>
        <w:t>Ricketson</w:t>
      </w:r>
      <w:proofErr w:type="spellEnd"/>
      <w:r w:rsidRPr="004E73B1">
        <w:rPr>
          <w:szCs w:val="18"/>
        </w:rPr>
        <w:t xml:space="preserve"> </w:t>
      </w:r>
      <w:proofErr w:type="gramStart"/>
      <w:r w:rsidRPr="004E73B1">
        <w:rPr>
          <w:szCs w:val="18"/>
        </w:rPr>
        <w:t>and</w:t>
      </w:r>
      <w:proofErr w:type="gramEnd"/>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Daniel J. </w:t>
      </w:r>
      <w:proofErr w:type="spellStart"/>
      <w:r w:rsidRPr="00420EF9">
        <w:rPr>
          <w:szCs w:val="18"/>
        </w:rPr>
        <w:t>Gervais</w:t>
      </w:r>
      <w:proofErr w:type="spellEnd"/>
      <w:r w:rsidRPr="00420EF9">
        <w:rPr>
          <w:szCs w:val="18"/>
        </w:rPr>
        <w:t>,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New Zealand during the eleventh session of the Committee.</w:t>
      </w:r>
      <w:proofErr w:type="gramEnd"/>
      <w:r w:rsidRPr="00420EF9">
        <w:rPr>
          <w:szCs w:val="18"/>
        </w:rPr>
        <w:t xml:space="preserve">  See Adopted Report of the Eleventh Session (WIPO/GRTKF/IC/11/15), paragraph 220</w:t>
      </w:r>
      <w:r>
        <w:rPr>
          <w:szCs w:val="18"/>
        </w:rPr>
        <w:t>.</w:t>
      </w:r>
    </w:p>
  </w:footnote>
  <w:footnote w:id="148">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Statement by the Delegation of Japan during the eleventh session of the Committee.</w:t>
      </w:r>
      <w:proofErr w:type="gramEnd"/>
      <w:r w:rsidRPr="00420EF9">
        <w:rPr>
          <w:szCs w:val="18"/>
        </w:rPr>
        <w:t xml:space="preserve">  See Adopted Report of the Eleventh Session (WIPO/GRTKF/IC/11/15), paragraph 296</w:t>
      </w:r>
      <w:r>
        <w:rPr>
          <w:szCs w:val="18"/>
        </w:rPr>
        <w:t>.</w:t>
      </w:r>
    </w:p>
  </w:footnote>
  <w:footnote w:id="149">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0430AC" w:rsidRPr="00420EF9" w:rsidRDefault="000430AC" w:rsidP="00CF0EF8">
      <w:pPr>
        <w:pStyle w:val="FootnoteText"/>
        <w:ind w:left="499"/>
        <w:rPr>
          <w:szCs w:val="18"/>
        </w:rPr>
      </w:pPr>
      <w:r w:rsidRPr="00420EF9">
        <w:rPr>
          <w:szCs w:val="18"/>
        </w:rPr>
        <w:t>p. 23 of Annex I, pages 11 and 16 of Annex II</w:t>
      </w:r>
      <w:r>
        <w:rPr>
          <w:szCs w:val="18"/>
        </w:rPr>
        <w:t>.</w:t>
      </w:r>
    </w:p>
  </w:footnote>
  <w:footnote w:id="150">
    <w:p w:rsidR="000430AC" w:rsidRPr="004E73B1" w:rsidRDefault="000430AC"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0430AC" w:rsidRPr="004E73B1" w:rsidRDefault="000430AC"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0430AC" w:rsidRPr="00420EF9" w:rsidRDefault="000430AC"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0430AC" w:rsidRPr="00420EF9" w:rsidRDefault="000430AC"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0430AC" w:rsidRPr="00420EF9" w:rsidRDefault="000430AC"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0430AC" w:rsidRPr="004E73B1" w:rsidRDefault="000430AC"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0430AC" w:rsidRPr="004E73B1" w:rsidRDefault="000430AC"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Nino </w:t>
      </w:r>
      <w:proofErr w:type="spellStart"/>
      <w:r w:rsidRPr="00420EF9">
        <w:rPr>
          <w:szCs w:val="18"/>
        </w:rPr>
        <w:t>Pires</w:t>
      </w:r>
      <w:proofErr w:type="spellEnd"/>
      <w:r w:rsidRPr="00420EF9">
        <w:rPr>
          <w:szCs w:val="18"/>
        </w:rPr>
        <w:t xml:space="preserve"> de </w:t>
      </w:r>
      <w:proofErr w:type="spellStart"/>
      <w:r w:rsidRPr="00420EF9">
        <w:rPr>
          <w:szCs w:val="18"/>
        </w:rPr>
        <w:t>Carvalho</w:t>
      </w:r>
      <w:proofErr w:type="spellEnd"/>
      <w:r w:rsidRPr="00420EF9">
        <w:rPr>
          <w:szCs w:val="18"/>
        </w:rPr>
        <w:t>, From the Shaman’s Hut to the Patent Offi</w:t>
      </w:r>
      <w:smartTag w:uri="urn:schemas-microsoft-com:office:smarttags" w:element="PersonName">
        <w:r w:rsidRPr="00420EF9">
          <w:rPr>
            <w:szCs w:val="18"/>
          </w:rPr>
          <w:t>c</w:t>
        </w:r>
      </w:smartTag>
      <w:r w:rsidRPr="00420EF9">
        <w:rPr>
          <w:szCs w:val="18"/>
        </w:rPr>
        <w:t xml:space="preserve">e: A Road </w:t>
      </w:r>
      <w:proofErr w:type="gramStart"/>
      <w:r w:rsidRPr="00420EF9">
        <w:rPr>
          <w:szCs w:val="18"/>
        </w:rPr>
        <w:t>Under</w:t>
      </w:r>
      <w:proofErr w:type="gramEnd"/>
      <w:r w:rsidRPr="00420EF9">
        <w:rPr>
          <w:szCs w:val="18"/>
        </w:rPr>
        <w:t xml:space="preserve">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 </w:t>
      </w:r>
      <w:proofErr w:type="spellStart"/>
      <w:proofErr w:type="gramStart"/>
      <w:r w:rsidRPr="00420EF9">
        <w:rPr>
          <w:szCs w:val="18"/>
        </w:rPr>
        <w:t>para</w:t>
      </w:r>
      <w:proofErr w:type="spellEnd"/>
      <w:proofErr w:type="gramEnd"/>
      <w:r w:rsidRPr="00420EF9">
        <w:rPr>
          <w:szCs w:val="18"/>
        </w:rPr>
        <w:t>. 53</w:t>
      </w:r>
      <w:r>
        <w:rPr>
          <w:szCs w:val="18"/>
        </w:rPr>
        <w:t>.</w:t>
      </w:r>
    </w:p>
  </w:footnote>
  <w:footnote w:id="160">
    <w:p w:rsidR="000430AC" w:rsidRPr="004E73B1" w:rsidRDefault="000430AC"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gramStart"/>
      <w:r w:rsidRPr="00420EF9">
        <w:rPr>
          <w:szCs w:val="18"/>
        </w:rPr>
        <w:t xml:space="preserve">Elements of a Sui Generis System for the Protection of Traditional Knowledge (WIPO/GRTKF/IC/4/8), </w:t>
      </w:r>
      <w:proofErr w:type="spellStart"/>
      <w:r w:rsidRPr="00420EF9">
        <w:rPr>
          <w:szCs w:val="18"/>
        </w:rPr>
        <w:t>para</w:t>
      </w:r>
      <w:proofErr w:type="spellEnd"/>
      <w:r w:rsidRPr="00420EF9">
        <w:rPr>
          <w:szCs w:val="18"/>
        </w:rPr>
        <w:t>.</w:t>
      </w:r>
      <w:proofErr w:type="gramEnd"/>
      <w:r w:rsidRPr="00420EF9">
        <w:rPr>
          <w:szCs w:val="18"/>
        </w:rPr>
        <w:t xml:space="preserve"> 27</w:t>
      </w:r>
      <w:r>
        <w:rPr>
          <w:szCs w:val="18"/>
        </w:rPr>
        <w:t>.</w:t>
      </w:r>
    </w:p>
  </w:footnote>
  <w:footnote w:id="162">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proofErr w:type="spellStart"/>
      <w:proofErr w:type="gramStart"/>
      <w:r w:rsidRPr="00420EF9">
        <w:rPr>
          <w:szCs w:val="18"/>
        </w:rPr>
        <w:t>para</w:t>
      </w:r>
      <w:proofErr w:type="spellEnd"/>
      <w:proofErr w:type="gramEnd"/>
      <w:r w:rsidRPr="00420EF9">
        <w:rPr>
          <w:szCs w:val="18"/>
        </w:rPr>
        <w:t>. 54</w:t>
      </w:r>
      <w:r>
        <w:rPr>
          <w:szCs w:val="18"/>
        </w:rPr>
        <w:t>.</w:t>
      </w:r>
    </w:p>
  </w:footnote>
  <w:footnote w:id="163">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proofErr w:type="spellStart"/>
      <w:r w:rsidRPr="00420EF9">
        <w:rPr>
          <w:szCs w:val="18"/>
        </w:rPr>
        <w:t>Fikret</w:t>
      </w:r>
      <w:proofErr w:type="spellEnd"/>
      <w:r w:rsidRPr="00420EF9">
        <w:rPr>
          <w:szCs w:val="18"/>
        </w:rPr>
        <w:t xml:space="preserve"> </w:t>
      </w:r>
      <w:proofErr w:type="spellStart"/>
      <w:r w:rsidRPr="00420EF9">
        <w:rPr>
          <w:szCs w:val="18"/>
        </w:rPr>
        <w:t>Berkes</w:t>
      </w:r>
      <w:proofErr w:type="spellEnd"/>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 xml:space="preserve">epts and Cases.  </w:t>
      </w:r>
      <w:proofErr w:type="gramStart"/>
      <w:r w:rsidRPr="00420EF9">
        <w:rPr>
          <w:szCs w:val="18"/>
        </w:rPr>
        <w:t>International Program on Traditional Ecological Knowledge and International Development Research Centre, Ottawa</w:t>
      </w:r>
      <w:r>
        <w:rPr>
          <w:szCs w:val="18"/>
        </w:rPr>
        <w:t>.</w:t>
      </w:r>
      <w:proofErr w:type="gramEnd"/>
    </w:p>
  </w:footnote>
  <w:footnote w:id="165">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0430AC" w:rsidRPr="00420EF9" w:rsidRDefault="000430AC"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0430AC" w:rsidRPr="00420EF9" w:rsidRDefault="000430AC"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proofErr w:type="gramStart"/>
      <w:r>
        <w:rPr>
          <w:szCs w:val="18"/>
        </w:rPr>
        <w:t>,</w:t>
      </w:r>
      <w:proofErr w:type="spellStart"/>
      <w:r w:rsidRPr="00420EF9">
        <w:rPr>
          <w:szCs w:val="18"/>
        </w:rPr>
        <w:t>paras</w:t>
      </w:r>
      <w:proofErr w:type="spellEnd"/>
      <w:proofErr w:type="gramEnd"/>
      <w:r w:rsidRPr="00420EF9">
        <w:rPr>
          <w:szCs w:val="18"/>
        </w:rPr>
        <w:t xml:space="preserve">. </w:t>
      </w:r>
      <w:proofErr w:type="gramStart"/>
      <w:r w:rsidRPr="00420EF9">
        <w:rPr>
          <w:szCs w:val="18"/>
        </w:rPr>
        <w:t>43 and 44 of Annex</w:t>
      </w:r>
      <w:r>
        <w:rPr>
          <w:szCs w:val="18"/>
        </w:rPr>
        <w:t>.</w:t>
      </w:r>
      <w:proofErr w:type="gramEnd"/>
    </w:p>
  </w:footnote>
  <w:footnote w:id="170">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0430AC" w:rsidRPr="00420EF9" w:rsidRDefault="000430AC"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0430AC" w:rsidRPr="00420EF9" w:rsidRDefault="000430AC"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0430AC" w:rsidRPr="004E73B1" w:rsidRDefault="000430AC"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0430AC" w:rsidRPr="00420EF9" w:rsidRDefault="000430AC"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0430AC" w:rsidRPr="00420EF9" w:rsidRDefault="000430AC"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0430AC" w:rsidRPr="00420EF9" w:rsidRDefault="000430AC"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proofErr w:type="spellStart"/>
      <w:proofErr w:type="gramStart"/>
      <w:r w:rsidRPr="00420EF9">
        <w:rPr>
          <w:szCs w:val="18"/>
        </w:rPr>
        <w:t>para</w:t>
      </w:r>
      <w:proofErr w:type="spellEnd"/>
      <w:proofErr w:type="gramEnd"/>
      <w:r w:rsidRPr="00420EF9">
        <w:rPr>
          <w:szCs w:val="18"/>
        </w:rPr>
        <w:t>. 57</w:t>
      </w:r>
      <w:r>
        <w:rPr>
          <w:szCs w:val="18"/>
        </w:rPr>
        <w:t>.</w:t>
      </w:r>
    </w:p>
  </w:footnote>
  <w:footnote w:id="178">
    <w:p w:rsidR="000430AC" w:rsidRPr="004E73B1" w:rsidRDefault="000430AC"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 xml:space="preserve">Daniel </w:t>
      </w:r>
      <w:proofErr w:type="spellStart"/>
      <w:r w:rsidRPr="004E73B1">
        <w:rPr>
          <w:rStyle w:val="FootnoteReference"/>
          <w:szCs w:val="18"/>
          <w:vertAlign w:val="baseline"/>
        </w:rPr>
        <w:t>Gervais</w:t>
      </w:r>
      <w:proofErr w:type="spellEnd"/>
      <w:r w:rsidRPr="004E73B1">
        <w:rPr>
          <w:rStyle w:val="FootnoteReference"/>
          <w:szCs w:val="18"/>
          <w:vertAlign w:val="baseline"/>
        </w:rPr>
        <w:t>, The TRIPS Agreement. Drafting and Analysis, 3rd Edition</w:t>
      </w:r>
      <w:proofErr w:type="gramStart"/>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w:t>
      </w:r>
      <w:proofErr w:type="gramEnd"/>
      <w:r w:rsidRPr="004E73B1">
        <w:rPr>
          <w:szCs w:val="18"/>
        </w:rPr>
        <w:t xml:space="preserve"> p.</w:t>
      </w:r>
      <w:r w:rsidRPr="004E73B1">
        <w:rPr>
          <w:rStyle w:val="FootnoteReference"/>
          <w:szCs w:val="18"/>
          <w:vertAlign w:val="baseline"/>
        </w:rPr>
        <w:t xml:space="preserve"> 132</w:t>
      </w:r>
      <w:r w:rsidRPr="004E73B1">
        <w:rPr>
          <w:szCs w:val="18"/>
        </w:rPr>
        <w:t>.</w:t>
      </w:r>
    </w:p>
  </w:footnote>
  <w:footnote w:id="179">
    <w:p w:rsidR="000430AC" w:rsidRPr="00D352A1" w:rsidRDefault="000430AC"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w:t>
      </w:r>
      <w:smartTag w:uri="urn:schemas-microsoft-com:office:smarttags" w:element="PersonName">
        <w:r>
          <w:rPr>
            <w:szCs w:val="18"/>
          </w:rPr>
          <w:t>c</w:t>
        </w:r>
      </w:smartTag>
      <w:r>
        <w:rPr>
          <w:szCs w:val="18"/>
        </w:rPr>
        <w:t>tual Property Organization Traditional</w:t>
      </w:r>
      <w:r w:rsidRPr="00420EF9">
        <w:rPr>
          <w:szCs w:val="18"/>
        </w:rPr>
        <w:t xml:space="preserve"> Knowledge</w:t>
      </w:r>
      <w:r>
        <w:rPr>
          <w:szCs w:val="18"/>
        </w:rPr>
        <w:t xml:space="preserve"> Do</w:t>
      </w:r>
      <w:smartTag w:uri="urn:schemas-microsoft-com:office:smarttags" w:element="PersonName">
        <w:r>
          <w:rPr>
            <w:szCs w:val="18"/>
          </w:rPr>
          <w:t>c</w:t>
        </w:r>
      </w:smartTag>
      <w:r>
        <w:rPr>
          <w:szCs w:val="18"/>
        </w:rPr>
        <w:t xml:space="preserve">umentation Toolkit – Consultation Draft is available at:  </w:t>
      </w:r>
      <w:r w:rsidRPr="00590B07">
        <w:rPr>
          <w:szCs w:val="18"/>
        </w:rPr>
        <w:t>http://www.wipo.int/tk/en/tk/TKToolkit.html</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AC" w:rsidRDefault="00BF2D35" w:rsidP="00B64E92">
    <w:pPr>
      <w:pStyle w:val="Header"/>
      <w:jc w:val="right"/>
    </w:pPr>
    <w:r>
      <w:t>WIPO/GRTKF/IC/27/INF/7</w:t>
    </w:r>
  </w:p>
  <w:p w:rsidR="000430AC" w:rsidRDefault="000430AC" w:rsidP="00743012">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8113D4">
      <w:rPr>
        <w:rStyle w:val="PageNumber"/>
        <w:noProof/>
      </w:rPr>
      <w:t>2</w:t>
    </w:r>
    <w:r>
      <w:rPr>
        <w:rStyle w:val="PageNumber"/>
      </w:rPr>
      <w:fldChar w:fldCharType="end"/>
    </w:r>
  </w:p>
  <w:p w:rsidR="000430AC" w:rsidRDefault="000430AC" w:rsidP="007430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AC" w:rsidRDefault="007E6998" w:rsidP="00A610A6">
    <w:pPr>
      <w:pStyle w:val="Header"/>
      <w:jc w:val="right"/>
    </w:pPr>
    <w:r>
      <w:t>WIPO/GRTKF/IC/27/INF/7</w:t>
    </w:r>
  </w:p>
  <w:p w:rsidR="000430AC" w:rsidRDefault="000430AC"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8113D4">
      <w:rPr>
        <w:rStyle w:val="PageNumber"/>
        <w:noProof/>
      </w:rPr>
      <w:t>2</w:t>
    </w:r>
    <w:r>
      <w:rPr>
        <w:rStyle w:val="PageNumber"/>
      </w:rPr>
      <w:fldChar w:fldCharType="end"/>
    </w:r>
  </w:p>
  <w:p w:rsidR="000430AC" w:rsidRDefault="000430AC"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0AC" w:rsidRDefault="007E6998" w:rsidP="00A610A6">
    <w:pPr>
      <w:pStyle w:val="Header"/>
      <w:jc w:val="right"/>
    </w:pPr>
    <w:r>
      <w:t>WIPO/GRTKF/IC/27</w:t>
    </w:r>
    <w:r w:rsidR="000430AC">
      <w:t>/IN</w:t>
    </w:r>
    <w:r>
      <w:t>F/7</w:t>
    </w:r>
  </w:p>
  <w:p w:rsidR="000430AC" w:rsidRDefault="000430AC" w:rsidP="006B30AB">
    <w:pPr>
      <w:pStyle w:val="Header"/>
      <w:jc w:val="right"/>
    </w:pPr>
    <w:r>
      <w:t>ANNEX</w:t>
    </w:r>
  </w:p>
  <w:p w:rsidR="000430AC" w:rsidRDefault="000430AC"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6">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8">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778A1"/>
    <w:multiLevelType w:val="hybridMultilevel"/>
    <w:tmpl w:val="0D56D78A"/>
    <w:lvl w:ilvl="0" w:tplc="2FFC626E">
      <w:start w:val="1"/>
      <w:numFmt w:val="bullet"/>
      <w:lvlText w:val=""/>
      <w:lvlJc w:val="left"/>
      <w:pPr>
        <w:tabs>
          <w:tab w:val="num" w:pos="1713"/>
        </w:tabs>
        <w:ind w:left="1713" w:hanging="360"/>
      </w:pPr>
      <w:rPr>
        <w:rFonts w:ascii="Symbol" w:hAnsi="Symbol"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4">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8"/>
  </w:num>
  <w:num w:numId="6">
    <w:abstractNumId w:val="6"/>
  </w:num>
  <w:num w:numId="7">
    <w:abstractNumId w:val="12"/>
  </w:num>
  <w:num w:numId="8">
    <w:abstractNumId w:val="5"/>
  </w:num>
  <w:num w:numId="9">
    <w:abstractNumId w:val="0"/>
  </w:num>
  <w:num w:numId="10">
    <w:abstractNumId w:val="2"/>
  </w:num>
  <w:num w:numId="11">
    <w:abstractNumId w:val="11"/>
  </w:num>
  <w:num w:numId="12">
    <w:abstractNumId w:val="7"/>
  </w:num>
  <w:num w:numId="13">
    <w:abstractNumId w:val="13"/>
  </w:num>
  <w:num w:numId="14">
    <w:abstractNumId w:val="14"/>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52B6A"/>
    <w:rsid w:val="00055665"/>
    <w:rsid w:val="00056C8B"/>
    <w:rsid w:val="0006766C"/>
    <w:rsid w:val="000704DC"/>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D40E9"/>
    <w:rsid w:val="000F52CE"/>
    <w:rsid w:val="000F5459"/>
    <w:rsid w:val="000F5E56"/>
    <w:rsid w:val="00101E5C"/>
    <w:rsid w:val="00102F58"/>
    <w:rsid w:val="00106F0A"/>
    <w:rsid w:val="00110E90"/>
    <w:rsid w:val="00110F4C"/>
    <w:rsid w:val="00114C4C"/>
    <w:rsid w:val="00123DFC"/>
    <w:rsid w:val="00124610"/>
    <w:rsid w:val="001362EE"/>
    <w:rsid w:val="00143933"/>
    <w:rsid w:val="0014403B"/>
    <w:rsid w:val="0014576C"/>
    <w:rsid w:val="00146A19"/>
    <w:rsid w:val="00155F25"/>
    <w:rsid w:val="001718B7"/>
    <w:rsid w:val="00174ABB"/>
    <w:rsid w:val="001801D6"/>
    <w:rsid w:val="001832A6"/>
    <w:rsid w:val="001851D8"/>
    <w:rsid w:val="0018544D"/>
    <w:rsid w:val="00191B2F"/>
    <w:rsid w:val="001B24F5"/>
    <w:rsid w:val="001B6E41"/>
    <w:rsid w:val="001D6663"/>
    <w:rsid w:val="001D7245"/>
    <w:rsid w:val="001E13A9"/>
    <w:rsid w:val="001E39EE"/>
    <w:rsid w:val="001E737D"/>
    <w:rsid w:val="001F57D0"/>
    <w:rsid w:val="001F622B"/>
    <w:rsid w:val="001F779A"/>
    <w:rsid w:val="0020191A"/>
    <w:rsid w:val="00216931"/>
    <w:rsid w:val="002247F0"/>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C2DF2"/>
    <w:rsid w:val="002C4709"/>
    <w:rsid w:val="002C4CF6"/>
    <w:rsid w:val="002C4EE8"/>
    <w:rsid w:val="002C5C3C"/>
    <w:rsid w:val="002D1D66"/>
    <w:rsid w:val="002D1FD3"/>
    <w:rsid w:val="002D2BB5"/>
    <w:rsid w:val="002D5E7F"/>
    <w:rsid w:val="002D7D85"/>
    <w:rsid w:val="002F1FE6"/>
    <w:rsid w:val="002F2CCE"/>
    <w:rsid w:val="002F4E68"/>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5F2B"/>
    <w:rsid w:val="004A0F8A"/>
    <w:rsid w:val="004A19F7"/>
    <w:rsid w:val="004A396F"/>
    <w:rsid w:val="004A518C"/>
    <w:rsid w:val="004B016E"/>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6C5C"/>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9064A"/>
    <w:rsid w:val="00791275"/>
    <w:rsid w:val="00793EDE"/>
    <w:rsid w:val="00795FCE"/>
    <w:rsid w:val="007A003A"/>
    <w:rsid w:val="007A1CB6"/>
    <w:rsid w:val="007A36E0"/>
    <w:rsid w:val="007A5CF2"/>
    <w:rsid w:val="007B0610"/>
    <w:rsid w:val="007B6A58"/>
    <w:rsid w:val="007B6D77"/>
    <w:rsid w:val="007B7F8D"/>
    <w:rsid w:val="007C5D34"/>
    <w:rsid w:val="007C67C6"/>
    <w:rsid w:val="007D1613"/>
    <w:rsid w:val="007D1DF7"/>
    <w:rsid w:val="007E3B38"/>
    <w:rsid w:val="007E6998"/>
    <w:rsid w:val="007F0D9F"/>
    <w:rsid w:val="007F3282"/>
    <w:rsid w:val="007F3C50"/>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872"/>
    <w:rsid w:val="00A32436"/>
    <w:rsid w:val="00A3534E"/>
    <w:rsid w:val="00A40FD3"/>
    <w:rsid w:val="00A42DAF"/>
    <w:rsid w:val="00A43EFC"/>
    <w:rsid w:val="00A44DD8"/>
    <w:rsid w:val="00A45BD8"/>
    <w:rsid w:val="00A50649"/>
    <w:rsid w:val="00A5417D"/>
    <w:rsid w:val="00A60A84"/>
    <w:rsid w:val="00A610A6"/>
    <w:rsid w:val="00A675EE"/>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37C1"/>
    <w:rsid w:val="00CD1731"/>
    <w:rsid w:val="00CD3355"/>
    <w:rsid w:val="00CF0E15"/>
    <w:rsid w:val="00CF0EF8"/>
    <w:rsid w:val="00CF33E4"/>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E0349D"/>
    <w:rsid w:val="00E04EDE"/>
    <w:rsid w:val="00E0717C"/>
    <w:rsid w:val="00E13C76"/>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546D"/>
    <w:rsid w:val="00F45543"/>
    <w:rsid w:val="00F524B6"/>
    <w:rsid w:val="00F5303B"/>
    <w:rsid w:val="00F56802"/>
    <w:rsid w:val="00F56A96"/>
    <w:rsid w:val="00F6202B"/>
    <w:rsid w:val="00F65FF6"/>
    <w:rsid w:val="00F66152"/>
    <w:rsid w:val="00F67FA0"/>
    <w:rsid w:val="00F70045"/>
    <w:rsid w:val="00F70B35"/>
    <w:rsid w:val="00F77902"/>
    <w:rsid w:val="00F8098A"/>
    <w:rsid w:val="00F81B09"/>
    <w:rsid w:val="00F85B40"/>
    <w:rsid w:val="00F9069C"/>
    <w:rsid w:val="00F960FF"/>
    <w:rsid w:val="00F974D4"/>
    <w:rsid w:val="00FB0298"/>
    <w:rsid w:val="00FB498B"/>
    <w:rsid w:val="00FB4EBC"/>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153E-5E84-45A8-BA8C-17E79993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21086</Words>
  <Characters>124149</Characters>
  <Application>Microsoft Office Word</Application>
  <DocSecurity>0</DocSecurity>
  <Lines>1034</Lines>
  <Paragraphs>289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144946</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3</cp:revision>
  <cp:lastPrinted>2014-01-23T13:37:00Z</cp:lastPrinted>
  <dcterms:created xsi:type="dcterms:W3CDTF">2014-01-24T10:35:00Z</dcterms:created>
  <dcterms:modified xsi:type="dcterms:W3CDTF">2014-01-24T10:36:00Z</dcterms:modified>
</cp:coreProperties>
</file>