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610789">
              <w:rPr>
                <w:rFonts w:ascii="Arial Black" w:hAnsi="Arial Black"/>
                <w:caps/>
                <w:sz w:val="15"/>
              </w:rPr>
              <w:t>WIPO/EXP/IPTK/GE/18/2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D4BD5">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C4815">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807DB">
              <w:rPr>
                <w:rFonts w:ascii="Arial Black" w:hAnsi="Arial Black"/>
                <w:caps/>
                <w:sz w:val="15"/>
              </w:rPr>
              <w:t>November 2</w:t>
            </w:r>
            <w:r w:rsidR="00EC4815">
              <w:rPr>
                <w:rFonts w:ascii="Arial Black" w:hAnsi="Arial Black"/>
                <w:caps/>
                <w:sz w:val="15"/>
              </w:rPr>
              <w:t>6</w:t>
            </w:r>
            <w:r w:rsidR="000D4BD5">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4BD5" w:rsidRPr="003845C1" w:rsidRDefault="000D4BD5" w:rsidP="000D4BD5">
      <w:pPr>
        <w:rPr>
          <w:b/>
          <w:sz w:val="28"/>
          <w:szCs w:val="28"/>
        </w:rPr>
      </w:pPr>
      <w:r w:rsidRPr="00EA2B1E">
        <w:rPr>
          <w:b/>
          <w:i/>
          <w:sz w:val="28"/>
          <w:szCs w:val="28"/>
        </w:rPr>
        <w:t>Ad Hoc</w:t>
      </w:r>
      <w:r>
        <w:rPr>
          <w:b/>
          <w:sz w:val="28"/>
          <w:szCs w:val="28"/>
        </w:rPr>
        <w:t xml:space="preserve"> Expert Group on Traditional Knowledge and Traditional Cultural Expressions</w:t>
      </w:r>
    </w:p>
    <w:p w:rsidR="000D4BD5" w:rsidRDefault="000D4BD5" w:rsidP="000D4BD5"/>
    <w:p w:rsidR="000D4BD5" w:rsidRDefault="000D4BD5" w:rsidP="000D4BD5"/>
    <w:p w:rsidR="000D4BD5" w:rsidRPr="003845C1" w:rsidRDefault="000D4BD5" w:rsidP="000D4BD5">
      <w:pPr>
        <w:rPr>
          <w:b/>
          <w:sz w:val="24"/>
          <w:szCs w:val="24"/>
        </w:rPr>
      </w:pPr>
      <w:r>
        <w:rPr>
          <w:b/>
          <w:sz w:val="24"/>
          <w:szCs w:val="24"/>
        </w:rPr>
        <w:t>Geneva, December 9, 2018</w:t>
      </w:r>
    </w:p>
    <w:p w:rsidR="000D4BD5" w:rsidRPr="008B2CC1" w:rsidRDefault="000D4BD5" w:rsidP="000D4BD5"/>
    <w:p w:rsidR="000D4BD5" w:rsidRPr="008B2CC1" w:rsidRDefault="000D4BD5" w:rsidP="000D4BD5"/>
    <w:p w:rsidR="000D4BD5" w:rsidRPr="008B2CC1" w:rsidRDefault="000D4BD5" w:rsidP="000D4BD5"/>
    <w:p w:rsidR="000D4BD5" w:rsidRPr="003845C1" w:rsidRDefault="00610789" w:rsidP="000D4BD5">
      <w:pPr>
        <w:rPr>
          <w:caps/>
          <w:sz w:val="24"/>
        </w:rPr>
      </w:pPr>
      <w:bookmarkStart w:id="3" w:name="TitleOfDoc"/>
      <w:bookmarkEnd w:id="3"/>
      <w:r>
        <w:rPr>
          <w:caps/>
          <w:sz w:val="24"/>
        </w:rPr>
        <w:t>Substantive background Note</w:t>
      </w:r>
    </w:p>
    <w:p w:rsidR="000D4BD5" w:rsidRPr="008B2CC1" w:rsidRDefault="000D4BD5" w:rsidP="000D4BD5"/>
    <w:p w:rsidR="000D4BD5" w:rsidRPr="008B2CC1" w:rsidRDefault="000D4BD5" w:rsidP="000D4BD5">
      <w:pPr>
        <w:rPr>
          <w:i/>
        </w:rPr>
      </w:pPr>
      <w:bookmarkStart w:id="4" w:name="Prepared"/>
      <w:bookmarkEnd w:id="4"/>
      <w:r>
        <w:rPr>
          <w:i/>
        </w:rPr>
        <w:t>Prepared by the International Bureau of WIPO</w:t>
      </w:r>
    </w:p>
    <w:p w:rsidR="000D4BD5" w:rsidRDefault="000D4BD5" w:rsidP="000D4BD5"/>
    <w:p w:rsidR="000D4BD5" w:rsidRDefault="000D4BD5" w:rsidP="000D4BD5"/>
    <w:p w:rsidR="000D4BD5" w:rsidRDefault="000D4BD5" w:rsidP="000D4BD5"/>
    <w:p w:rsidR="000F5E56" w:rsidRDefault="000F5E56"/>
    <w:p w:rsidR="000D4BD5" w:rsidRDefault="000D4BD5">
      <w:r>
        <w:br w:type="page"/>
      </w:r>
    </w:p>
    <w:p w:rsidR="00610789" w:rsidRDefault="000D4BD5" w:rsidP="00610789">
      <w:pPr>
        <w:rPr>
          <w:szCs w:val="22"/>
        </w:rPr>
      </w:pPr>
      <w:r>
        <w:lastRenderedPageBreak/>
        <w:fldChar w:fldCharType="begin"/>
      </w:r>
      <w:r>
        <w:instrText xml:space="preserve"> AUTONUM  </w:instrText>
      </w:r>
      <w:r>
        <w:fldChar w:fldCharType="end"/>
      </w:r>
      <w:r>
        <w:tab/>
      </w:r>
      <w:r w:rsidR="00610789">
        <w:t xml:space="preserve">The overall objective of the </w:t>
      </w:r>
      <w:r w:rsidR="00610789" w:rsidRPr="00EA2B1E">
        <w:rPr>
          <w:i/>
        </w:rPr>
        <w:t>ad hoc</w:t>
      </w:r>
      <w:r w:rsidR="00610789">
        <w:t xml:space="preserve"> expert group on </w:t>
      </w:r>
      <w:r w:rsidR="00FC01F4">
        <w:t>traditional kno</w:t>
      </w:r>
      <w:r w:rsidR="00816953">
        <w:t>wledge and traditional cultural</w:t>
      </w:r>
      <w:r w:rsidR="00610789">
        <w:t xml:space="preserve"> </w:t>
      </w:r>
      <w:r w:rsidR="000807DB">
        <w:t xml:space="preserve">expressions </w:t>
      </w:r>
      <w:r w:rsidR="00610789">
        <w:t xml:space="preserve">is, as indicated in the </w:t>
      </w:r>
      <w:r w:rsidR="00610789" w:rsidRPr="00E90B6B">
        <w:rPr>
          <w:szCs w:val="22"/>
        </w:rPr>
        <w:t>mandate of the Intergovernmental Committee on Intellectual Property and Genetic Resources, Tradition</w:t>
      </w:r>
      <w:r w:rsidR="00610789">
        <w:rPr>
          <w:szCs w:val="22"/>
        </w:rPr>
        <w:t xml:space="preserve">al Knowledge and Folklore (“IGC”) and the Decisions of the Thirty-Seventh Session of the IGC (“IGC 37”), which took place from August 27 to 31, 2018, to address specific legal, policy or technical issues.  The results of the work will be reported to and further addressed by the IGC. </w:t>
      </w:r>
    </w:p>
    <w:p w:rsidR="00610789" w:rsidRDefault="00610789" w:rsidP="00610789">
      <w:pPr>
        <w:rPr>
          <w:szCs w:val="22"/>
        </w:rPr>
      </w:pPr>
    </w:p>
    <w:p w:rsidR="00610789" w:rsidRDefault="00610789" w:rsidP="00610789">
      <w:r>
        <w:fldChar w:fldCharType="begin"/>
      </w:r>
      <w:r>
        <w:instrText xml:space="preserve"> AUTONUM  </w:instrText>
      </w:r>
      <w:r>
        <w:fldChar w:fldCharType="end"/>
      </w:r>
      <w:r>
        <w:tab/>
        <w:t xml:space="preserve">In accordance with the Decisions taken at IGC 37, Member States, through the Regional Coordinators, were invited to suggest the specific issues to be considered by the </w:t>
      </w:r>
      <w:r w:rsidRPr="00064EE6">
        <w:rPr>
          <w:i/>
        </w:rPr>
        <w:t>ad hoc</w:t>
      </w:r>
      <w:r>
        <w:t xml:space="preserve"> expert group.  The IGC Chair and Vice-Chairs </w:t>
      </w:r>
      <w:r w:rsidR="00031920">
        <w:t xml:space="preserve">then </w:t>
      </w:r>
      <w:r>
        <w:t xml:space="preserve">identified </w:t>
      </w:r>
      <w:r w:rsidR="00031920">
        <w:t>a</w:t>
      </w:r>
      <w:r>
        <w:t xml:space="preserve"> list of issues from the suggestions made by Member States and provided them to the Regional Coordinators for comments.  </w:t>
      </w:r>
      <w:r w:rsidR="003B1152">
        <w:t xml:space="preserve">On the </w:t>
      </w:r>
      <w:r w:rsidR="00572A09">
        <w:t xml:space="preserve">basis of the above, the Chair and the Vice-Chairs have identified the list as follows:  </w:t>
      </w:r>
    </w:p>
    <w:p w:rsidR="00610789" w:rsidRDefault="00610789" w:rsidP="00610789"/>
    <w:p w:rsidR="00F54D37" w:rsidRPr="0019535F" w:rsidRDefault="00D05554" w:rsidP="00F54D37">
      <w:pPr>
        <w:ind w:left="567"/>
        <w:rPr>
          <w:szCs w:val="22"/>
        </w:rPr>
      </w:pPr>
      <w:r>
        <w:rPr>
          <w:szCs w:val="22"/>
        </w:rPr>
        <w:t>(1)</w:t>
      </w:r>
      <w:r w:rsidR="00F54D37" w:rsidRPr="0019535F">
        <w:rPr>
          <w:szCs w:val="22"/>
        </w:rPr>
        <w:t xml:space="preserve"> Subject matter</w:t>
      </w:r>
    </w:p>
    <w:p w:rsidR="00F54D37" w:rsidRPr="0019535F" w:rsidRDefault="00F54D37" w:rsidP="00F54D37">
      <w:pPr>
        <w:pStyle w:val="ListParagraph"/>
        <w:numPr>
          <w:ilvl w:val="0"/>
          <w:numId w:val="13"/>
        </w:numPr>
        <w:ind w:left="1287"/>
        <w:rPr>
          <w:szCs w:val="22"/>
        </w:rPr>
      </w:pPr>
      <w:r w:rsidRPr="0019535F">
        <w:rPr>
          <w:szCs w:val="22"/>
        </w:rPr>
        <w:t>Traditional knowledge</w:t>
      </w:r>
      <w:r w:rsidR="007435C7">
        <w:rPr>
          <w:szCs w:val="22"/>
        </w:rPr>
        <w:t xml:space="preserve"> </w:t>
      </w:r>
    </w:p>
    <w:p w:rsidR="00F54D37" w:rsidRPr="0019535F" w:rsidRDefault="00F54D37" w:rsidP="00F54D37">
      <w:pPr>
        <w:pStyle w:val="ListParagraph"/>
        <w:numPr>
          <w:ilvl w:val="0"/>
          <w:numId w:val="13"/>
        </w:numPr>
        <w:ind w:left="1287"/>
        <w:rPr>
          <w:szCs w:val="22"/>
        </w:rPr>
      </w:pPr>
      <w:r w:rsidRPr="0019535F">
        <w:rPr>
          <w:szCs w:val="22"/>
        </w:rPr>
        <w:t>Traditional cultural expressions</w:t>
      </w:r>
      <w:r w:rsidR="007435C7">
        <w:rPr>
          <w:szCs w:val="22"/>
        </w:rPr>
        <w:t xml:space="preserve"> </w:t>
      </w:r>
    </w:p>
    <w:p w:rsidR="00F54D37" w:rsidRPr="0019535F" w:rsidRDefault="00F54D37" w:rsidP="00F54D37">
      <w:pPr>
        <w:ind w:left="567"/>
        <w:rPr>
          <w:szCs w:val="22"/>
        </w:rPr>
      </w:pPr>
    </w:p>
    <w:p w:rsidR="00F54D37" w:rsidRPr="0019535F" w:rsidRDefault="00D05554" w:rsidP="00F54D37">
      <w:pPr>
        <w:ind w:left="567"/>
        <w:rPr>
          <w:szCs w:val="22"/>
        </w:rPr>
      </w:pPr>
      <w:r>
        <w:rPr>
          <w:szCs w:val="22"/>
        </w:rPr>
        <w:t>(2)</w:t>
      </w:r>
      <w:r w:rsidR="00F54D37" w:rsidRPr="0019535F">
        <w:rPr>
          <w:szCs w:val="22"/>
        </w:rPr>
        <w:t xml:space="preserve"> Cross-cutting issues</w:t>
      </w:r>
      <w:r w:rsidR="00F54D37">
        <w:rPr>
          <w:szCs w:val="22"/>
        </w:rPr>
        <w:t xml:space="preserve"> related to traditional knowledge and traditional cultural expressions</w:t>
      </w:r>
    </w:p>
    <w:p w:rsidR="00F54D37" w:rsidRPr="0019535F" w:rsidRDefault="00F54D37" w:rsidP="00F54D37">
      <w:pPr>
        <w:pStyle w:val="ListParagraph"/>
        <w:numPr>
          <w:ilvl w:val="0"/>
          <w:numId w:val="14"/>
        </w:numPr>
        <w:ind w:left="1287"/>
        <w:rPr>
          <w:szCs w:val="22"/>
        </w:rPr>
      </w:pPr>
      <w:r w:rsidRPr="0019535F">
        <w:rPr>
          <w:szCs w:val="22"/>
        </w:rPr>
        <w:t xml:space="preserve">Interface </w:t>
      </w:r>
      <w:r>
        <w:rPr>
          <w:szCs w:val="22"/>
        </w:rPr>
        <w:t xml:space="preserve">between </w:t>
      </w:r>
      <w:r w:rsidRPr="0019535F">
        <w:rPr>
          <w:szCs w:val="22"/>
        </w:rPr>
        <w:t>subject matter, c</w:t>
      </w:r>
      <w:r w:rsidRPr="0019535F">
        <w:rPr>
          <w:bCs/>
          <w:szCs w:val="22"/>
        </w:rPr>
        <w:t>riteria for eligibility and scope of protection</w:t>
      </w:r>
    </w:p>
    <w:p w:rsidR="000D4BD5" w:rsidRPr="00F54D37" w:rsidRDefault="00F54D37" w:rsidP="00F54D37">
      <w:pPr>
        <w:pStyle w:val="ListParagraph"/>
        <w:numPr>
          <w:ilvl w:val="0"/>
          <w:numId w:val="14"/>
        </w:numPr>
        <w:ind w:left="1287"/>
        <w:rPr>
          <w:szCs w:val="22"/>
        </w:rPr>
      </w:pPr>
      <w:r w:rsidRPr="0019535F">
        <w:rPr>
          <w:bCs/>
          <w:szCs w:val="22"/>
        </w:rPr>
        <w:t>Scope of protection (including possible “tiered approach”/“differentiated protection”)</w:t>
      </w:r>
      <w:r w:rsidR="00EF1964">
        <w:rPr>
          <w:bCs/>
          <w:szCs w:val="22"/>
        </w:rPr>
        <w:t>.</w:t>
      </w:r>
    </w:p>
    <w:p w:rsidR="000D4BD5" w:rsidRPr="008E6E2E" w:rsidRDefault="000D4BD5" w:rsidP="000D4BD5"/>
    <w:p w:rsidR="000D4BD5" w:rsidRDefault="000D4BD5" w:rsidP="000D4BD5">
      <w:r w:rsidRPr="008E6E2E">
        <w:fldChar w:fldCharType="begin"/>
      </w:r>
      <w:r w:rsidRPr="008E6E2E">
        <w:instrText xml:space="preserve"> AUTONUM  </w:instrText>
      </w:r>
      <w:r w:rsidRPr="008E6E2E">
        <w:fldChar w:fldCharType="end"/>
      </w:r>
      <w:r w:rsidRPr="008E6E2E">
        <w:tab/>
      </w:r>
      <w:r w:rsidR="00610789">
        <w:t xml:space="preserve">This Substantive Background Note provides some background information on the list of issues, and proposes some questions for the </w:t>
      </w:r>
      <w:r w:rsidR="00610789" w:rsidRPr="00CB63A8">
        <w:rPr>
          <w:i/>
        </w:rPr>
        <w:t>ad hoc</w:t>
      </w:r>
      <w:r w:rsidR="00610789">
        <w:t xml:space="preserve"> expert group to consider.  </w:t>
      </w:r>
      <w:r w:rsidR="006D3C9F">
        <w:t xml:space="preserve">It </w:t>
      </w:r>
      <w:r w:rsidR="00E1184A">
        <w:t xml:space="preserve">is not expected that this </w:t>
      </w:r>
      <w:r w:rsidR="006D3C9F" w:rsidRPr="00750AD4">
        <w:rPr>
          <w:i/>
        </w:rPr>
        <w:t>ad hoc</w:t>
      </w:r>
      <w:r w:rsidR="006D3C9F">
        <w:t xml:space="preserve"> expert group </w:t>
      </w:r>
      <w:r w:rsidR="00E1184A">
        <w:t xml:space="preserve">will be able </w:t>
      </w:r>
      <w:r w:rsidR="006D3C9F">
        <w:t xml:space="preserve">to address all the issues and questions below. </w:t>
      </w:r>
      <w:r w:rsidR="00031920">
        <w:t xml:space="preserve"> </w:t>
      </w:r>
      <w:r w:rsidR="006D3C9F">
        <w:t xml:space="preserve">The Co-chairs of the group </w:t>
      </w:r>
      <w:r w:rsidR="00846707">
        <w:t xml:space="preserve">will </w:t>
      </w:r>
      <w:r w:rsidR="006D3C9F">
        <w:t xml:space="preserve">provide </w:t>
      </w:r>
      <w:r w:rsidR="00C605A3">
        <w:t xml:space="preserve">further </w:t>
      </w:r>
      <w:r w:rsidR="006D3C9F">
        <w:t xml:space="preserve">guidance on the specific issues to be covered at this </w:t>
      </w:r>
      <w:r w:rsidR="00031920">
        <w:t xml:space="preserve">particular </w:t>
      </w:r>
      <w:r w:rsidR="006D3C9F">
        <w:t xml:space="preserve">meeting. </w:t>
      </w:r>
      <w:r w:rsidR="00031920">
        <w:t xml:space="preserve"> </w:t>
      </w:r>
      <w:r w:rsidR="006D3C9F">
        <w:t xml:space="preserve">It is recalled that </w:t>
      </w:r>
      <w:r w:rsidR="006D3C9F">
        <w:rPr>
          <w:szCs w:val="22"/>
        </w:rPr>
        <w:t>traditional knowledge (“</w:t>
      </w:r>
      <w:r w:rsidR="006D3C9F" w:rsidRPr="004C6D67">
        <w:rPr>
          <w:szCs w:val="22"/>
        </w:rPr>
        <w:t>TK</w:t>
      </w:r>
      <w:r w:rsidR="006D3C9F">
        <w:rPr>
          <w:szCs w:val="22"/>
        </w:rPr>
        <w:t>”)</w:t>
      </w:r>
      <w:r w:rsidR="006D3C9F" w:rsidRPr="004C6D67">
        <w:rPr>
          <w:szCs w:val="22"/>
        </w:rPr>
        <w:t xml:space="preserve"> and</w:t>
      </w:r>
      <w:r w:rsidR="006D3C9F">
        <w:rPr>
          <w:szCs w:val="22"/>
        </w:rPr>
        <w:t xml:space="preserve"> traditional cultural expressions</w:t>
      </w:r>
      <w:r w:rsidR="006D3C9F" w:rsidRPr="004C6D67">
        <w:rPr>
          <w:szCs w:val="22"/>
        </w:rPr>
        <w:t xml:space="preserve"> </w:t>
      </w:r>
      <w:r w:rsidR="006D3C9F">
        <w:rPr>
          <w:szCs w:val="22"/>
        </w:rPr>
        <w:t>(“</w:t>
      </w:r>
      <w:r w:rsidR="006D3C9F" w:rsidRPr="004C6D67">
        <w:rPr>
          <w:szCs w:val="22"/>
        </w:rPr>
        <w:t>TCEs</w:t>
      </w:r>
      <w:r w:rsidR="006D3C9F">
        <w:rPr>
          <w:szCs w:val="22"/>
        </w:rPr>
        <w:t xml:space="preserve">”) will also be addressed at IGCs 38, 39 and 40, and, if so decided by the IGC, at an </w:t>
      </w:r>
      <w:r w:rsidR="006D3C9F" w:rsidRPr="00750AD4">
        <w:rPr>
          <w:i/>
          <w:szCs w:val="22"/>
        </w:rPr>
        <w:t>ad hoc</w:t>
      </w:r>
      <w:r w:rsidR="006D3C9F">
        <w:rPr>
          <w:szCs w:val="22"/>
        </w:rPr>
        <w:t xml:space="preserve"> expert group that may meet before IGC 40. </w:t>
      </w:r>
      <w:r w:rsidR="006D3C9F">
        <w:t xml:space="preserve">  </w:t>
      </w:r>
    </w:p>
    <w:p w:rsidR="000D4BD5" w:rsidRDefault="000D4BD5" w:rsidP="000D4BD5"/>
    <w:p w:rsidR="000D4BD5" w:rsidRPr="00D33D96" w:rsidRDefault="00CC0C14" w:rsidP="000D4BD5">
      <w:pPr>
        <w:rPr>
          <w:b/>
        </w:rPr>
      </w:pPr>
      <w:r>
        <w:rPr>
          <w:b/>
        </w:rPr>
        <w:t>Subject matter</w:t>
      </w:r>
    </w:p>
    <w:p w:rsidR="000D4BD5" w:rsidRDefault="000D4BD5" w:rsidP="000D4BD5"/>
    <w:p w:rsidR="007301FA" w:rsidRDefault="000D4BD5" w:rsidP="000D4BD5">
      <w:r>
        <w:fldChar w:fldCharType="begin"/>
      </w:r>
      <w:r>
        <w:instrText xml:space="preserve"> AUTONUM  </w:instrText>
      </w:r>
      <w:r>
        <w:fldChar w:fldCharType="end"/>
      </w:r>
      <w:r>
        <w:tab/>
      </w:r>
      <w:r w:rsidR="007301FA">
        <w:t xml:space="preserve">The current negotiating texts on </w:t>
      </w:r>
      <w:r w:rsidR="00DE079F">
        <w:t xml:space="preserve">TK and TCEs </w:t>
      </w:r>
      <w:r w:rsidR="007301FA">
        <w:t xml:space="preserve">(documents WIPO/GRTKF/IC/38/4 and WIPO/GRTKF/IC/38/5) include </w:t>
      </w:r>
      <w:r w:rsidR="00572A09">
        <w:t xml:space="preserve">draft </w:t>
      </w:r>
      <w:r w:rsidR="00C7365D">
        <w:t>definitions of TK and TCEs (Article 1 of the respective text</w:t>
      </w:r>
      <w:r w:rsidR="000807DB">
        <w:t>s</w:t>
      </w:r>
      <w:r w:rsidR="00C7365D">
        <w:t xml:space="preserve">) and </w:t>
      </w:r>
      <w:r w:rsidR="007301FA">
        <w:t xml:space="preserve">articles on </w:t>
      </w:r>
      <w:r w:rsidR="00C7365D">
        <w:t>subject matter (Article 3 of the respective text</w:t>
      </w:r>
      <w:r w:rsidR="000807DB">
        <w:t>s</w:t>
      </w:r>
      <w:r w:rsidR="00C7365D">
        <w:t>)</w:t>
      </w:r>
      <w:r w:rsidR="007301FA">
        <w:t xml:space="preserve">.  </w:t>
      </w:r>
    </w:p>
    <w:p w:rsidR="00BA16E1" w:rsidRDefault="00BA16E1" w:rsidP="000D4BD5"/>
    <w:p w:rsidR="00BA16E1" w:rsidRPr="00BA16E1" w:rsidRDefault="00BA16E1" w:rsidP="00BA16E1">
      <w:r>
        <w:fldChar w:fldCharType="begin"/>
      </w:r>
      <w:r>
        <w:instrText xml:space="preserve"> AUTONUM  </w:instrText>
      </w:r>
      <w:r>
        <w:fldChar w:fldCharType="end"/>
      </w:r>
      <w:r>
        <w:tab/>
      </w:r>
      <w:r w:rsidR="00572A09">
        <w:t xml:space="preserve">In a legal instrument, </w:t>
      </w:r>
      <w:r>
        <w:t>provisions on subject matter</w:t>
      </w:r>
      <w:r w:rsidR="00980803">
        <w:t xml:space="preserve"> generally</w:t>
      </w:r>
      <w:r>
        <w:t xml:space="preserve"> aim at </w:t>
      </w:r>
      <w:r w:rsidR="00572A09">
        <w:t>delineating</w:t>
      </w:r>
      <w:r>
        <w:t xml:space="preserve"> the scope of protectable subject matter.  </w:t>
      </w:r>
      <w:r w:rsidRPr="00BA16E1">
        <w:t xml:space="preserve">International </w:t>
      </w:r>
      <w:r w:rsidR="00980803">
        <w:t>intellectual property (“IP”)</w:t>
      </w:r>
      <w:r w:rsidRPr="00BA16E1">
        <w:t xml:space="preserve"> standards </w:t>
      </w:r>
      <w:r w:rsidR="00980803">
        <w:t>often</w:t>
      </w:r>
      <w:r w:rsidRPr="00BA16E1">
        <w:t xml:space="preserve"> defer to the national level for determinin</w:t>
      </w:r>
      <w:r w:rsidR="00572A09">
        <w:t>g the precise scope of protectable</w:t>
      </w:r>
      <w:r w:rsidRPr="00BA16E1">
        <w:t xml:space="preserve"> subject matter. </w:t>
      </w:r>
      <w:r>
        <w:t xml:space="preserve"> </w:t>
      </w:r>
      <w:r w:rsidR="00572A09">
        <w:t>International instruments</w:t>
      </w:r>
      <w:r w:rsidRPr="00BA16E1">
        <w:t xml:space="preserve"> can range </w:t>
      </w:r>
      <w:r w:rsidR="00E75D08">
        <w:t xml:space="preserve">from providing </w:t>
      </w:r>
      <w:r w:rsidRPr="00BA16E1">
        <w:t xml:space="preserve">a </w:t>
      </w:r>
      <w:r w:rsidR="0018292F">
        <w:t xml:space="preserve">general and broad </w:t>
      </w:r>
      <w:r w:rsidRPr="00BA16E1">
        <w:t xml:space="preserve">description of subject matter, </w:t>
      </w:r>
      <w:r w:rsidR="00E75D08">
        <w:t xml:space="preserve">to </w:t>
      </w:r>
      <w:r w:rsidRPr="00BA16E1">
        <w:t xml:space="preserve">a set of </w:t>
      </w:r>
      <w:r w:rsidRPr="00E163E8">
        <w:t>criteria</w:t>
      </w:r>
      <w:r w:rsidR="00084F25" w:rsidRPr="00E163E8">
        <w:t xml:space="preserve"> </w:t>
      </w:r>
      <w:r w:rsidR="00E75D08">
        <w:t xml:space="preserve">the subject matter </w:t>
      </w:r>
      <w:r w:rsidR="00A2390D" w:rsidRPr="00E163E8">
        <w:t xml:space="preserve">should </w:t>
      </w:r>
      <w:r w:rsidR="00031920">
        <w:t xml:space="preserve">satisfy </w:t>
      </w:r>
      <w:r w:rsidR="00E163E8" w:rsidRPr="00E163E8">
        <w:t>to be eligible for protection</w:t>
      </w:r>
      <w:r w:rsidR="00EE4A26">
        <w:t xml:space="preserve">(in the IGC context, </w:t>
      </w:r>
      <w:r w:rsidR="00DC5D23">
        <w:t xml:space="preserve">these are </w:t>
      </w:r>
      <w:r w:rsidR="00EE4A26">
        <w:t>referred to as “eligibility criteria”)</w:t>
      </w:r>
      <w:r w:rsidRPr="00E163E8">
        <w:t xml:space="preserve">, </w:t>
      </w:r>
      <w:r w:rsidR="00E75D08">
        <w:t>to</w:t>
      </w:r>
      <w:r w:rsidRPr="00E163E8">
        <w:t xml:space="preserve"> no definition</w:t>
      </w:r>
      <w:r w:rsidRPr="00BA16E1">
        <w:t xml:space="preserve"> at all. </w:t>
      </w:r>
      <w:r>
        <w:t xml:space="preserve"> </w:t>
      </w:r>
      <w:r w:rsidRPr="00BA16E1">
        <w:t xml:space="preserve">For example, </w:t>
      </w:r>
      <w:r w:rsidR="008D0D4B" w:rsidRPr="008D0D4B">
        <w:t>t</w:t>
      </w:r>
      <w:r w:rsidR="008D0D4B">
        <w:t xml:space="preserve">he </w:t>
      </w:r>
      <w:r w:rsidR="008D0D4B" w:rsidRPr="008D0D4B">
        <w:rPr>
          <w:bCs/>
        </w:rPr>
        <w:t>Agreement</w:t>
      </w:r>
      <w:r w:rsidR="008D0D4B">
        <w:t xml:space="preserve"> </w:t>
      </w:r>
      <w:r w:rsidR="008D0D4B" w:rsidRPr="008D0D4B">
        <w:t>on Trade-Related Aspects of Intellectual Property Rights</w:t>
      </w:r>
      <w:r w:rsidR="00980803">
        <w:t>, 1994</w:t>
      </w:r>
      <w:r w:rsidR="008D0D4B">
        <w:t xml:space="preserve"> (“</w:t>
      </w:r>
      <w:r w:rsidRPr="00BA16E1">
        <w:t>the TRIPS Agreement</w:t>
      </w:r>
      <w:r w:rsidR="008D0D4B">
        <w:t>”)</w:t>
      </w:r>
      <w:r w:rsidRPr="00BA16E1">
        <w:t xml:space="preserve"> do</w:t>
      </w:r>
      <w:r w:rsidR="00C23E36">
        <w:t>es</w:t>
      </w:r>
      <w:r w:rsidRPr="00BA16E1">
        <w:t xml:space="preserve"> not define “invention”</w:t>
      </w:r>
      <w:r w:rsidR="00C23E36">
        <w:t xml:space="preserve">, but </w:t>
      </w:r>
      <w:r w:rsidR="00E75D08">
        <w:t xml:space="preserve">provides that </w:t>
      </w:r>
      <w:r w:rsidR="00C23E36">
        <w:t>patentable inventions a</w:t>
      </w:r>
      <w:r w:rsidR="00CE66EF">
        <w:t>re</w:t>
      </w:r>
      <w:r w:rsidR="00C23E36">
        <w:t xml:space="preserve"> inventions which are new, involve an inventive step and are capable of industrial application</w:t>
      </w:r>
      <w:r w:rsidR="00E75D08">
        <w:t xml:space="preserve"> (these are </w:t>
      </w:r>
      <w:r w:rsidR="00EE4A26">
        <w:t xml:space="preserve">what are </w:t>
      </w:r>
      <w:r w:rsidR="00E75D08">
        <w:t xml:space="preserve">referred to </w:t>
      </w:r>
      <w:r w:rsidR="00EE4A26">
        <w:t xml:space="preserve">in IGC discussions </w:t>
      </w:r>
      <w:r w:rsidR="00E75D08">
        <w:t>as “eligibility criteria”</w:t>
      </w:r>
      <w:r w:rsidR="004D2A4A">
        <w:t>)</w:t>
      </w:r>
      <w:r w:rsidRPr="00BA16E1">
        <w:t xml:space="preserve">. </w:t>
      </w:r>
      <w:r>
        <w:t xml:space="preserve"> The </w:t>
      </w:r>
      <w:r w:rsidR="00C23E36" w:rsidRPr="00E75D08">
        <w:t xml:space="preserve">Paris Convention </w:t>
      </w:r>
      <w:r w:rsidR="00C23E36" w:rsidRPr="00E75D08">
        <w:rPr>
          <w:shd w:val="clear" w:color="auto" w:fill="FFFFFF"/>
        </w:rPr>
        <w:t>for the Protection of Industrial Property, 1979 (“the Paris Convention”)</w:t>
      </w:r>
      <w:r w:rsidR="00C23E36">
        <w:rPr>
          <w:color w:val="222222"/>
          <w:shd w:val="clear" w:color="auto" w:fill="FFFFFF"/>
        </w:rPr>
        <w:t xml:space="preserve"> </w:t>
      </w:r>
      <w:r>
        <w:t>defines “industrial property”</w:t>
      </w:r>
      <w:r w:rsidRPr="00BA16E1">
        <w:t xml:space="preserve"> in broad and expansive terms.</w:t>
      </w:r>
      <w:r>
        <w:t xml:space="preserve">  </w:t>
      </w:r>
      <w:r w:rsidR="004018A1">
        <w:t>T</w:t>
      </w:r>
      <w:r w:rsidR="0037092D">
        <w:t xml:space="preserve">he </w:t>
      </w:r>
      <w:r w:rsidR="0037092D" w:rsidRPr="008D0D4B">
        <w:t>Berne Convention for the Protection of Literary and Artistic Works</w:t>
      </w:r>
      <w:r w:rsidR="00980803">
        <w:t>, 1979</w:t>
      </w:r>
      <w:r w:rsidR="0037092D">
        <w:t xml:space="preserve"> (“the Berne Convention”) </w:t>
      </w:r>
      <w:r w:rsidR="00E75D08">
        <w:t xml:space="preserve">provides a general description of </w:t>
      </w:r>
      <w:r w:rsidR="0037092D">
        <w:t>“literary and artistic works”</w:t>
      </w:r>
      <w:r w:rsidR="00E75D08">
        <w:t xml:space="preserve">, </w:t>
      </w:r>
      <w:r w:rsidR="0037092D">
        <w:t>an illustrative list of e</w:t>
      </w:r>
      <w:r w:rsidR="00E75D08">
        <w:t>xamples</w:t>
      </w:r>
      <w:r w:rsidR="00E21EA7">
        <w:t xml:space="preserve"> and </w:t>
      </w:r>
      <w:r w:rsidR="00EE4A26">
        <w:t>criteria</w:t>
      </w:r>
      <w:r w:rsidR="00E21EA7">
        <w:t>, such as originality and fixation in material form</w:t>
      </w:r>
      <w:r w:rsidR="00EE4A26">
        <w:t xml:space="preserve">, to </w:t>
      </w:r>
      <w:r w:rsidR="00950A4C">
        <w:t xml:space="preserve">identify </w:t>
      </w:r>
      <w:r w:rsidR="00EE4A26">
        <w:t xml:space="preserve">which literary and artistic works </w:t>
      </w:r>
      <w:r w:rsidR="00DC5D23">
        <w:t xml:space="preserve">are </w:t>
      </w:r>
      <w:r w:rsidR="00EE4A26">
        <w:t>protectable as copyright works</w:t>
      </w:r>
      <w:r w:rsidR="00E21EA7">
        <w:t xml:space="preserve">. </w:t>
      </w:r>
    </w:p>
    <w:p w:rsidR="007301FA" w:rsidRDefault="007301FA" w:rsidP="000D4BD5"/>
    <w:p w:rsidR="00D66B9B" w:rsidRPr="00D66B9B" w:rsidRDefault="002965AA" w:rsidP="00150D56">
      <w:r>
        <w:lastRenderedPageBreak/>
        <w:fldChar w:fldCharType="begin"/>
      </w:r>
      <w:r>
        <w:instrText xml:space="preserve"> AUTONUM  </w:instrText>
      </w:r>
      <w:r>
        <w:fldChar w:fldCharType="end"/>
      </w:r>
      <w:r>
        <w:tab/>
        <w:t xml:space="preserve">If the </w:t>
      </w:r>
      <w:r w:rsidRPr="002965AA">
        <w:rPr>
          <w:i/>
        </w:rPr>
        <w:t>ad hoc</w:t>
      </w:r>
      <w:r>
        <w:t xml:space="preserve"> expert group considers that there is a need to define TK and TCEs</w:t>
      </w:r>
      <w:r w:rsidR="00572A09">
        <w:t xml:space="preserve"> in an international legal instrument</w:t>
      </w:r>
      <w:r w:rsidR="00980803">
        <w:t>(s)</w:t>
      </w:r>
      <w:r>
        <w:t>, it is invited to</w:t>
      </w:r>
      <w:r w:rsidR="00150D56">
        <w:t xml:space="preserve"> f</w:t>
      </w:r>
      <w:r>
        <w:t xml:space="preserve">urther </w:t>
      </w:r>
      <w:r w:rsidR="005E07C0">
        <w:t>clarify</w:t>
      </w:r>
      <w:r w:rsidR="00150D56">
        <w:t xml:space="preserve"> the meaning of “traditional”.  T</w:t>
      </w:r>
      <w:r w:rsidR="005E07C0" w:rsidRPr="00150D56">
        <w:rPr>
          <w:szCs w:val="22"/>
        </w:rPr>
        <w:t>he characteristics of TK and TCEs throughout the world vary greatly, hence the importance of identifying those high-level and universal characteristics that belong in an international instrument</w:t>
      </w:r>
      <w:r w:rsidRPr="00150D56">
        <w:rPr>
          <w:szCs w:val="22"/>
        </w:rPr>
        <w:t>(s)</w:t>
      </w:r>
      <w:r w:rsidR="00D66B9B" w:rsidRPr="00150D56">
        <w:rPr>
          <w:szCs w:val="22"/>
        </w:rPr>
        <w:t xml:space="preserve">.  In particular, the </w:t>
      </w:r>
      <w:r w:rsidR="00D66B9B" w:rsidRPr="00150D56">
        <w:rPr>
          <w:i/>
          <w:szCs w:val="22"/>
        </w:rPr>
        <w:t>ad hoc</w:t>
      </w:r>
      <w:r w:rsidR="00D66B9B" w:rsidRPr="00150D56">
        <w:rPr>
          <w:szCs w:val="22"/>
        </w:rPr>
        <w:t xml:space="preserve"> expert group is invited to discuss how best to articulate:</w:t>
      </w:r>
    </w:p>
    <w:p w:rsidR="00D66B9B" w:rsidRPr="00D66B9B" w:rsidRDefault="00D66B9B" w:rsidP="00150D56">
      <w:pPr>
        <w:pStyle w:val="ListParagraph"/>
        <w:numPr>
          <w:ilvl w:val="0"/>
          <w:numId w:val="21"/>
        </w:numPr>
      </w:pPr>
      <w:r w:rsidRPr="004C6D67">
        <w:rPr>
          <w:szCs w:val="22"/>
        </w:rPr>
        <w:t>the intergenera</w:t>
      </w:r>
      <w:r>
        <w:rPr>
          <w:szCs w:val="22"/>
        </w:rPr>
        <w:t xml:space="preserve">tional nature of </w:t>
      </w:r>
      <w:r w:rsidR="00E21EA7">
        <w:rPr>
          <w:szCs w:val="22"/>
        </w:rPr>
        <w:t xml:space="preserve">maintenance and </w:t>
      </w:r>
      <w:r>
        <w:rPr>
          <w:szCs w:val="22"/>
        </w:rPr>
        <w:t xml:space="preserve">transmission;  </w:t>
      </w:r>
    </w:p>
    <w:p w:rsidR="00D66B9B" w:rsidRPr="00D66B9B" w:rsidRDefault="00D66B9B" w:rsidP="00150D56">
      <w:pPr>
        <w:pStyle w:val="ListParagraph"/>
        <w:numPr>
          <w:ilvl w:val="0"/>
          <w:numId w:val="21"/>
        </w:numPr>
      </w:pPr>
      <w:r w:rsidRPr="004C6D67">
        <w:rPr>
          <w:szCs w:val="22"/>
        </w:rPr>
        <w:t>the link</w:t>
      </w:r>
      <w:r w:rsidR="00E21EA7">
        <w:rPr>
          <w:szCs w:val="22"/>
        </w:rPr>
        <w:t>/s</w:t>
      </w:r>
      <w:r w:rsidRPr="004C6D67">
        <w:rPr>
          <w:szCs w:val="22"/>
        </w:rPr>
        <w:t xml:space="preserve"> between the TK and TCEs</w:t>
      </w:r>
      <w:r w:rsidR="00E21EA7">
        <w:rPr>
          <w:szCs w:val="22"/>
        </w:rPr>
        <w:t>, on the one hand,</w:t>
      </w:r>
      <w:r w:rsidRPr="004C6D67">
        <w:rPr>
          <w:szCs w:val="22"/>
        </w:rPr>
        <w:t xml:space="preserve"> and the ori</w:t>
      </w:r>
      <w:r>
        <w:rPr>
          <w:szCs w:val="22"/>
        </w:rPr>
        <w:t>ginating culture and community</w:t>
      </w:r>
      <w:r w:rsidR="00E21EA7">
        <w:rPr>
          <w:szCs w:val="22"/>
        </w:rPr>
        <w:t>, on the other</w:t>
      </w:r>
      <w:r>
        <w:rPr>
          <w:szCs w:val="22"/>
        </w:rPr>
        <w:t>;</w:t>
      </w:r>
      <w:r w:rsidRPr="004C6D67">
        <w:rPr>
          <w:szCs w:val="22"/>
        </w:rPr>
        <w:t xml:space="preserve"> </w:t>
      </w:r>
      <w:r>
        <w:rPr>
          <w:szCs w:val="22"/>
        </w:rPr>
        <w:t xml:space="preserve"> </w:t>
      </w:r>
    </w:p>
    <w:p w:rsidR="00D66B9B" w:rsidRPr="00D66B9B" w:rsidRDefault="00D66B9B" w:rsidP="00150D56">
      <w:pPr>
        <w:pStyle w:val="ListParagraph"/>
        <w:numPr>
          <w:ilvl w:val="0"/>
          <w:numId w:val="21"/>
        </w:numPr>
      </w:pPr>
      <w:r w:rsidRPr="004C6D67">
        <w:rPr>
          <w:szCs w:val="22"/>
        </w:rPr>
        <w:t>the collective nature of TK</w:t>
      </w:r>
      <w:r>
        <w:rPr>
          <w:szCs w:val="22"/>
        </w:rPr>
        <w:t xml:space="preserve"> and TCEs;</w:t>
      </w:r>
      <w:r w:rsidRPr="004C6D67">
        <w:rPr>
          <w:szCs w:val="22"/>
        </w:rPr>
        <w:t xml:space="preserve"> and </w:t>
      </w:r>
    </w:p>
    <w:p w:rsidR="002965AA" w:rsidRPr="002965AA" w:rsidRDefault="00D66B9B" w:rsidP="00150D56">
      <w:pPr>
        <w:pStyle w:val="ListParagraph"/>
        <w:numPr>
          <w:ilvl w:val="0"/>
          <w:numId w:val="21"/>
        </w:numPr>
      </w:pPr>
      <w:proofErr w:type="gramStart"/>
      <w:r w:rsidRPr="004C6D67">
        <w:rPr>
          <w:szCs w:val="22"/>
        </w:rPr>
        <w:t>their</w:t>
      </w:r>
      <w:proofErr w:type="gramEnd"/>
      <w:r w:rsidRPr="004C6D67">
        <w:rPr>
          <w:szCs w:val="22"/>
        </w:rPr>
        <w:t xml:space="preserve"> dynamic and evolving nature</w:t>
      </w:r>
      <w:r>
        <w:rPr>
          <w:szCs w:val="22"/>
        </w:rPr>
        <w:t>.</w:t>
      </w:r>
    </w:p>
    <w:p w:rsidR="00150D56" w:rsidRDefault="00150D56" w:rsidP="00150D56">
      <w:pPr>
        <w:rPr>
          <w:szCs w:val="22"/>
        </w:rPr>
      </w:pPr>
    </w:p>
    <w:p w:rsidR="00D66B9B" w:rsidRDefault="00150D56" w:rsidP="00150D56">
      <w:r>
        <w:rPr>
          <w:szCs w:val="22"/>
        </w:rPr>
        <w:fldChar w:fldCharType="begin"/>
      </w:r>
      <w:r>
        <w:rPr>
          <w:szCs w:val="22"/>
        </w:rPr>
        <w:instrText xml:space="preserve"> AUTONUM  </w:instrText>
      </w:r>
      <w:r>
        <w:rPr>
          <w:szCs w:val="22"/>
        </w:rPr>
        <w:fldChar w:fldCharType="end"/>
      </w:r>
      <w:r>
        <w:rPr>
          <w:szCs w:val="22"/>
        </w:rPr>
        <w:tab/>
      </w:r>
      <w:r w:rsidRPr="00150D56">
        <w:rPr>
          <w:szCs w:val="22"/>
        </w:rPr>
        <w:t>T</w:t>
      </w:r>
      <w:r w:rsidR="00D66B9B" w:rsidRPr="00150D56">
        <w:rPr>
          <w:szCs w:val="22"/>
        </w:rPr>
        <w:t>he</w:t>
      </w:r>
      <w:r w:rsidR="008B4576">
        <w:t xml:space="preserve"> </w:t>
      </w:r>
      <w:r w:rsidR="00D66B9B" w:rsidRPr="00150D56">
        <w:rPr>
          <w:i/>
        </w:rPr>
        <w:t>ad hoc</w:t>
      </w:r>
      <w:r w:rsidR="00D66B9B">
        <w:t xml:space="preserve"> expert </w:t>
      </w:r>
      <w:r w:rsidR="000807DB">
        <w:t xml:space="preserve">group </w:t>
      </w:r>
      <w:r w:rsidR="00D66B9B">
        <w:t xml:space="preserve">is </w:t>
      </w:r>
      <w:r>
        <w:t xml:space="preserve">also </w:t>
      </w:r>
      <w:r w:rsidR="00D66B9B">
        <w:t>invited to consider</w:t>
      </w:r>
      <w:r>
        <w:t xml:space="preserve"> </w:t>
      </w:r>
      <w:r w:rsidR="00D66B9B">
        <w:t>t</w:t>
      </w:r>
      <w:r w:rsidR="003D12FC">
        <w:t>he necessity of including a temporal</w:t>
      </w:r>
      <w:r w:rsidR="00D66B9B">
        <w:t xml:space="preserve"> component (</w:t>
      </w:r>
      <w:r w:rsidR="00980803">
        <w:t>for example,</w:t>
      </w:r>
      <w:r w:rsidR="00D66B9B">
        <w:t xml:space="preserve"> “not less than 50 years”).</w:t>
      </w:r>
    </w:p>
    <w:p w:rsidR="008B4576" w:rsidRDefault="008B4576" w:rsidP="000D4BD5"/>
    <w:p w:rsidR="00E53211" w:rsidRDefault="008B4576" w:rsidP="00E53211">
      <w:r>
        <w:fldChar w:fldCharType="begin"/>
      </w:r>
      <w:r>
        <w:instrText xml:space="preserve"> AUTONUM  </w:instrText>
      </w:r>
      <w:r>
        <w:fldChar w:fldCharType="end"/>
      </w:r>
      <w:r>
        <w:tab/>
      </w:r>
      <w:r w:rsidR="00E53211">
        <w:t xml:space="preserve">Regarding the definition of TCEs, the </w:t>
      </w:r>
      <w:r w:rsidR="00E53211" w:rsidRPr="00E53211">
        <w:rPr>
          <w:i/>
        </w:rPr>
        <w:t>ad hoc</w:t>
      </w:r>
      <w:r w:rsidR="00E53211">
        <w:t xml:space="preserve"> expert group is invited to discuss the necessity of including examples of different forms of TCEs in the definition of TCEs </w:t>
      </w:r>
      <w:r w:rsidR="00980803">
        <w:t xml:space="preserve">(in the body of the definition or </w:t>
      </w:r>
      <w:r w:rsidR="00E53211">
        <w:t>as footnotes</w:t>
      </w:r>
      <w:r w:rsidR="00980803">
        <w:t>)</w:t>
      </w:r>
      <w:r w:rsidR="00E53211">
        <w:t xml:space="preserve">. </w:t>
      </w:r>
    </w:p>
    <w:p w:rsidR="000D4BD5" w:rsidRDefault="000D4BD5" w:rsidP="000D4BD5"/>
    <w:p w:rsidR="00CE1AD8" w:rsidRPr="00816953" w:rsidRDefault="00D1181D" w:rsidP="00C81E70">
      <w:pPr>
        <w:rPr>
          <w:b/>
        </w:rPr>
      </w:pPr>
      <w:r w:rsidRPr="00D1181D">
        <w:rPr>
          <w:b/>
        </w:rPr>
        <w:t xml:space="preserve">Cross-cutting issues related to </w:t>
      </w:r>
      <w:r>
        <w:rPr>
          <w:b/>
        </w:rPr>
        <w:t>TK and TCEs</w:t>
      </w:r>
    </w:p>
    <w:p w:rsidR="00CE1AD8" w:rsidRDefault="00CE1AD8" w:rsidP="00C81E70"/>
    <w:p w:rsidR="00150D56" w:rsidRDefault="00A74AE9" w:rsidP="00150D56">
      <w:pPr>
        <w:rPr>
          <w:szCs w:val="22"/>
        </w:rPr>
      </w:pPr>
      <w:r>
        <w:rPr>
          <w:szCs w:val="22"/>
        </w:rPr>
        <w:fldChar w:fldCharType="begin"/>
      </w:r>
      <w:r>
        <w:rPr>
          <w:szCs w:val="22"/>
        </w:rPr>
        <w:instrText xml:space="preserve"> AUTONUM  </w:instrText>
      </w:r>
      <w:r>
        <w:rPr>
          <w:szCs w:val="22"/>
        </w:rPr>
        <w:fldChar w:fldCharType="end"/>
      </w:r>
      <w:r>
        <w:rPr>
          <w:szCs w:val="22"/>
        </w:rPr>
        <w:tab/>
      </w:r>
      <w:r w:rsidR="00150D56" w:rsidRPr="00E30D0E">
        <w:rPr>
          <w:szCs w:val="22"/>
        </w:rPr>
        <w:t xml:space="preserve">Some of the issues </w:t>
      </w:r>
      <w:r w:rsidR="000807DB">
        <w:rPr>
          <w:szCs w:val="22"/>
        </w:rPr>
        <w:t>under discussion</w:t>
      </w:r>
      <w:r w:rsidR="00150D56" w:rsidRPr="00E30D0E">
        <w:rPr>
          <w:szCs w:val="22"/>
        </w:rPr>
        <w:t xml:space="preserve"> cut across both the TK and TCE</w:t>
      </w:r>
      <w:r w:rsidR="00150D56">
        <w:rPr>
          <w:szCs w:val="22"/>
        </w:rPr>
        <w:t>s</w:t>
      </w:r>
      <w:r w:rsidR="00150D56" w:rsidRPr="00E30D0E">
        <w:rPr>
          <w:szCs w:val="22"/>
        </w:rPr>
        <w:t xml:space="preserve"> texts (horizontal cross-cutting) and/or pervade </w:t>
      </w:r>
      <w:r w:rsidR="00150D56">
        <w:rPr>
          <w:szCs w:val="22"/>
        </w:rPr>
        <w:t>two</w:t>
      </w:r>
      <w:r w:rsidR="00150D56" w:rsidRPr="00E30D0E">
        <w:rPr>
          <w:szCs w:val="22"/>
        </w:rPr>
        <w:t xml:space="preserve"> or mo</w:t>
      </w:r>
      <w:r w:rsidR="00150D56">
        <w:rPr>
          <w:szCs w:val="22"/>
        </w:rPr>
        <w:t>re</w:t>
      </w:r>
      <w:r w:rsidR="00150D56" w:rsidRPr="00E30D0E">
        <w:rPr>
          <w:szCs w:val="22"/>
        </w:rPr>
        <w:t xml:space="preserve"> articles of at least one of the texts (vertical cross-cutting).</w:t>
      </w:r>
    </w:p>
    <w:p w:rsidR="00150D56" w:rsidRDefault="00150D56" w:rsidP="000831C9">
      <w:pPr>
        <w:rPr>
          <w:szCs w:val="22"/>
        </w:rPr>
      </w:pPr>
    </w:p>
    <w:p w:rsidR="000831C9" w:rsidRDefault="00150D56" w:rsidP="000831C9">
      <w:r>
        <w:rPr>
          <w:szCs w:val="22"/>
        </w:rPr>
        <w:fldChar w:fldCharType="begin"/>
      </w:r>
      <w:r>
        <w:rPr>
          <w:szCs w:val="22"/>
        </w:rPr>
        <w:instrText xml:space="preserve"> AUTONUM  </w:instrText>
      </w:r>
      <w:r>
        <w:rPr>
          <w:szCs w:val="22"/>
        </w:rPr>
        <w:fldChar w:fldCharType="end"/>
      </w:r>
      <w:r>
        <w:rPr>
          <w:szCs w:val="22"/>
        </w:rPr>
        <w:tab/>
      </w:r>
      <w:r w:rsidR="000831C9" w:rsidRPr="004C6D67">
        <w:rPr>
          <w:szCs w:val="22"/>
        </w:rPr>
        <w:t xml:space="preserve">In more general </w:t>
      </w:r>
      <w:r w:rsidR="000831C9" w:rsidRPr="004426F1">
        <w:rPr>
          <w:szCs w:val="22"/>
        </w:rPr>
        <w:t>terms</w:t>
      </w:r>
      <w:r w:rsidR="00517798" w:rsidRPr="004426F1">
        <w:rPr>
          <w:szCs w:val="22"/>
        </w:rPr>
        <w:t xml:space="preserve"> and relating again to the question</w:t>
      </w:r>
      <w:r w:rsidR="004426F1" w:rsidRPr="004426F1">
        <w:rPr>
          <w:szCs w:val="22"/>
        </w:rPr>
        <w:t xml:space="preserve"> of “subject matter”</w:t>
      </w:r>
      <w:r w:rsidR="000831C9" w:rsidRPr="004426F1">
        <w:rPr>
          <w:szCs w:val="22"/>
        </w:rPr>
        <w:t>,</w:t>
      </w:r>
      <w:r w:rsidR="000831C9" w:rsidRPr="004C6D67">
        <w:rPr>
          <w:szCs w:val="22"/>
        </w:rPr>
        <w:t xml:space="preserve"> one view is that the definition</w:t>
      </w:r>
      <w:r w:rsidR="004426F1">
        <w:rPr>
          <w:szCs w:val="22"/>
        </w:rPr>
        <w:t>s</w:t>
      </w:r>
      <w:r w:rsidR="000831C9">
        <w:rPr>
          <w:szCs w:val="22"/>
        </w:rPr>
        <w:t xml:space="preserve"> of</w:t>
      </w:r>
      <w:r w:rsidR="000831C9" w:rsidRPr="004C6D67">
        <w:rPr>
          <w:szCs w:val="22"/>
        </w:rPr>
        <w:t xml:space="preserve"> </w:t>
      </w:r>
      <w:r w:rsidR="00A74AE9">
        <w:rPr>
          <w:szCs w:val="22"/>
        </w:rPr>
        <w:t>TK and TCEs</w:t>
      </w:r>
      <w:r w:rsidR="000831C9">
        <w:rPr>
          <w:szCs w:val="22"/>
        </w:rPr>
        <w:t xml:space="preserve"> </w:t>
      </w:r>
      <w:r w:rsidR="000831C9" w:rsidRPr="004C6D67">
        <w:rPr>
          <w:szCs w:val="22"/>
        </w:rPr>
        <w:t>should be broad enough to cover all kinds of</w:t>
      </w:r>
      <w:r w:rsidR="000831C9">
        <w:rPr>
          <w:szCs w:val="22"/>
        </w:rPr>
        <w:t xml:space="preserve"> TK and TCEs</w:t>
      </w:r>
      <w:r w:rsidR="000831C9" w:rsidRPr="004C6D67">
        <w:rPr>
          <w:szCs w:val="22"/>
        </w:rPr>
        <w:t>, while another view is that the definition should be precise and limited</w:t>
      </w:r>
      <w:r w:rsidR="000831C9">
        <w:rPr>
          <w:szCs w:val="22"/>
        </w:rPr>
        <w:t xml:space="preserve"> for clarity and transparency purposes</w:t>
      </w:r>
      <w:r w:rsidR="000831C9" w:rsidRPr="004C6D67">
        <w:rPr>
          <w:szCs w:val="22"/>
        </w:rPr>
        <w:t xml:space="preserve">.  If the definition is broad, then </w:t>
      </w:r>
      <w:r w:rsidR="000831C9">
        <w:rPr>
          <w:szCs w:val="22"/>
        </w:rPr>
        <w:t xml:space="preserve">other elements, such as </w:t>
      </w:r>
      <w:r w:rsidR="000831C9" w:rsidRPr="004C6D67">
        <w:rPr>
          <w:szCs w:val="22"/>
        </w:rPr>
        <w:t xml:space="preserve">the </w:t>
      </w:r>
      <w:r w:rsidR="00950A4C">
        <w:rPr>
          <w:szCs w:val="22"/>
        </w:rPr>
        <w:t>“</w:t>
      </w:r>
      <w:r w:rsidR="000831C9" w:rsidRPr="004C6D67">
        <w:rPr>
          <w:szCs w:val="22"/>
        </w:rPr>
        <w:t>criteria for eligibility</w:t>
      </w:r>
      <w:r w:rsidR="00950A4C">
        <w:rPr>
          <w:szCs w:val="22"/>
        </w:rPr>
        <w:t>”</w:t>
      </w:r>
      <w:r w:rsidR="000831C9" w:rsidRPr="004C6D67">
        <w:rPr>
          <w:szCs w:val="22"/>
        </w:rPr>
        <w:t xml:space="preserve"> </w:t>
      </w:r>
      <w:r w:rsidR="00E21EA7">
        <w:rPr>
          <w:szCs w:val="22"/>
        </w:rPr>
        <w:t xml:space="preserve">(if any) </w:t>
      </w:r>
      <w:r w:rsidR="000831C9" w:rsidRPr="004C6D67">
        <w:rPr>
          <w:szCs w:val="22"/>
        </w:rPr>
        <w:t>and/or the exceptions and limitations</w:t>
      </w:r>
      <w:r w:rsidR="000831C9">
        <w:rPr>
          <w:szCs w:val="22"/>
        </w:rPr>
        <w:t>,</w:t>
      </w:r>
      <w:r w:rsidR="000831C9" w:rsidRPr="004C6D67">
        <w:rPr>
          <w:szCs w:val="22"/>
        </w:rPr>
        <w:t xml:space="preserve"> </w:t>
      </w:r>
      <w:r w:rsidR="004426F1">
        <w:rPr>
          <w:szCs w:val="22"/>
        </w:rPr>
        <w:t>may</w:t>
      </w:r>
      <w:r w:rsidR="000831C9" w:rsidRPr="004C6D67">
        <w:rPr>
          <w:szCs w:val="22"/>
        </w:rPr>
        <w:t xml:space="preserve"> need to act as a limiting filter, </w:t>
      </w:r>
      <w:r w:rsidR="00E21EA7">
        <w:rPr>
          <w:szCs w:val="22"/>
        </w:rPr>
        <w:t xml:space="preserve">and/or </w:t>
      </w:r>
      <w:r w:rsidR="000831C9" w:rsidRPr="004C6D67">
        <w:rPr>
          <w:szCs w:val="22"/>
        </w:rPr>
        <w:t>the scope of protection (the extent of the rights)</w:t>
      </w:r>
      <w:r w:rsidR="00E21EA7">
        <w:rPr>
          <w:szCs w:val="22"/>
        </w:rPr>
        <w:t xml:space="preserve"> may need to do so. </w:t>
      </w:r>
      <w:r w:rsidR="000831C9" w:rsidRPr="004C6D67">
        <w:rPr>
          <w:szCs w:val="22"/>
        </w:rPr>
        <w:t xml:space="preserve"> Th</w:t>
      </w:r>
      <w:r w:rsidR="00E21EA7">
        <w:rPr>
          <w:szCs w:val="22"/>
        </w:rPr>
        <w:t xml:space="preserve">is example is used simply to illustrate that </w:t>
      </w:r>
      <w:r w:rsidR="000831C9" w:rsidRPr="004C6D67">
        <w:rPr>
          <w:szCs w:val="22"/>
        </w:rPr>
        <w:t xml:space="preserve">there is </w:t>
      </w:r>
      <w:proofErr w:type="gramStart"/>
      <w:r w:rsidR="00980803">
        <w:rPr>
          <w:szCs w:val="22"/>
        </w:rPr>
        <w:t xml:space="preserve">an </w:t>
      </w:r>
      <w:r w:rsidR="000831C9" w:rsidRPr="004C6D67">
        <w:rPr>
          <w:szCs w:val="22"/>
        </w:rPr>
        <w:t>interplay</w:t>
      </w:r>
      <w:proofErr w:type="gramEnd"/>
      <w:r w:rsidR="000831C9" w:rsidRPr="004C6D67">
        <w:rPr>
          <w:szCs w:val="22"/>
        </w:rPr>
        <w:t xml:space="preserve"> between </w:t>
      </w:r>
      <w:r w:rsidR="00980803">
        <w:rPr>
          <w:szCs w:val="22"/>
        </w:rPr>
        <w:t xml:space="preserve">the </w:t>
      </w:r>
      <w:r w:rsidR="000831C9" w:rsidRPr="004C6D67">
        <w:rPr>
          <w:szCs w:val="22"/>
        </w:rPr>
        <w:t xml:space="preserve">definition of subject matter, scope of </w:t>
      </w:r>
      <w:r w:rsidR="000831C9">
        <w:rPr>
          <w:szCs w:val="22"/>
        </w:rPr>
        <w:t>protection</w:t>
      </w:r>
      <w:r w:rsidR="000831C9" w:rsidRPr="004C6D67">
        <w:rPr>
          <w:szCs w:val="22"/>
        </w:rPr>
        <w:t xml:space="preserve"> and exceptions and limitations. </w:t>
      </w:r>
      <w:r w:rsidR="000831C9">
        <w:rPr>
          <w:szCs w:val="22"/>
        </w:rPr>
        <w:t xml:space="preserve"> This interplay may relate also to the balance that is inherent in all types of </w:t>
      </w:r>
      <w:r w:rsidR="00980803">
        <w:rPr>
          <w:szCs w:val="22"/>
        </w:rPr>
        <w:t>IP</w:t>
      </w:r>
      <w:r w:rsidR="000831C9">
        <w:rPr>
          <w:szCs w:val="22"/>
        </w:rPr>
        <w:t xml:space="preserve"> protection systems (and that underlies all cross-cutting issues), i.e. the balance between private rights and public interests.</w:t>
      </w:r>
    </w:p>
    <w:p w:rsidR="000831C9" w:rsidRDefault="000831C9" w:rsidP="00C81E70"/>
    <w:p w:rsidR="00233C45" w:rsidRDefault="00CE1AD8" w:rsidP="00C81E70">
      <w:pPr>
        <w:rPr>
          <w:bCs/>
          <w:szCs w:val="22"/>
        </w:rPr>
      </w:pPr>
      <w:r>
        <w:fldChar w:fldCharType="begin"/>
      </w:r>
      <w:r>
        <w:instrText xml:space="preserve"> AUTONUM  </w:instrText>
      </w:r>
      <w:r>
        <w:fldChar w:fldCharType="end"/>
      </w:r>
      <w:r>
        <w:tab/>
      </w:r>
      <w:r w:rsidR="00150D56">
        <w:t>Thus, t</w:t>
      </w:r>
      <w:r w:rsidR="00A73D7E">
        <w:t xml:space="preserve">he </w:t>
      </w:r>
      <w:r w:rsidR="00A73D7E" w:rsidRPr="00A73D7E">
        <w:rPr>
          <w:i/>
        </w:rPr>
        <w:t>ad hoc</w:t>
      </w:r>
      <w:r w:rsidR="00A73D7E">
        <w:t xml:space="preserve"> expert group is invited to look at the interface </w:t>
      </w:r>
      <w:r w:rsidR="00A73D7E">
        <w:rPr>
          <w:szCs w:val="22"/>
        </w:rPr>
        <w:t xml:space="preserve">between </w:t>
      </w:r>
      <w:r w:rsidR="00A73D7E" w:rsidRPr="0019535F">
        <w:rPr>
          <w:szCs w:val="22"/>
        </w:rPr>
        <w:t>subject matter, c</w:t>
      </w:r>
      <w:r w:rsidR="00A73D7E" w:rsidRPr="0019535F">
        <w:rPr>
          <w:bCs/>
          <w:szCs w:val="22"/>
        </w:rPr>
        <w:t>riteria for eligibility</w:t>
      </w:r>
      <w:r w:rsidR="000E2B93">
        <w:rPr>
          <w:bCs/>
          <w:szCs w:val="22"/>
        </w:rPr>
        <w:t>,</w:t>
      </w:r>
      <w:r w:rsidR="00A73D7E" w:rsidRPr="0019535F">
        <w:rPr>
          <w:bCs/>
          <w:szCs w:val="22"/>
        </w:rPr>
        <w:t xml:space="preserve"> scope of protection</w:t>
      </w:r>
      <w:r w:rsidR="000E2B93" w:rsidRPr="000E2B93">
        <w:rPr>
          <w:bCs/>
          <w:szCs w:val="22"/>
        </w:rPr>
        <w:t xml:space="preserve"> </w:t>
      </w:r>
      <w:r w:rsidR="000E2B93" w:rsidRPr="0019535F">
        <w:rPr>
          <w:bCs/>
          <w:szCs w:val="22"/>
        </w:rPr>
        <w:t>and</w:t>
      </w:r>
      <w:r w:rsidR="000E2B93">
        <w:rPr>
          <w:bCs/>
          <w:szCs w:val="22"/>
        </w:rPr>
        <w:t xml:space="preserve"> exceptions and limitations</w:t>
      </w:r>
      <w:r w:rsidR="00A73D7E">
        <w:rPr>
          <w:bCs/>
          <w:szCs w:val="22"/>
        </w:rPr>
        <w:t xml:space="preserve">, </w:t>
      </w:r>
      <w:r>
        <w:rPr>
          <w:bCs/>
          <w:szCs w:val="22"/>
        </w:rPr>
        <w:t xml:space="preserve">and </w:t>
      </w:r>
      <w:r w:rsidR="00A73D7E">
        <w:rPr>
          <w:bCs/>
          <w:szCs w:val="22"/>
        </w:rPr>
        <w:t xml:space="preserve">to </w:t>
      </w:r>
      <w:r w:rsidR="000807DB">
        <w:rPr>
          <w:bCs/>
          <w:szCs w:val="22"/>
        </w:rPr>
        <w:t>consider</w:t>
      </w:r>
      <w:r w:rsidR="00A73D7E">
        <w:rPr>
          <w:bCs/>
          <w:szCs w:val="22"/>
        </w:rPr>
        <w:t>:</w:t>
      </w:r>
    </w:p>
    <w:p w:rsidR="00A73D7E" w:rsidRDefault="00A73D7E" w:rsidP="00A73D7E">
      <w:pPr>
        <w:pStyle w:val="ListParagraph"/>
        <w:numPr>
          <w:ilvl w:val="0"/>
          <w:numId w:val="17"/>
        </w:numPr>
      </w:pPr>
      <w:r>
        <w:t xml:space="preserve">whether eligibility criteria </w:t>
      </w:r>
      <w:r w:rsidR="00950A4C">
        <w:t xml:space="preserve">(as that term is used in the IGC context) </w:t>
      </w:r>
      <w:r>
        <w:t>are necessary at all</w:t>
      </w:r>
      <w:r w:rsidR="004426F1">
        <w:t xml:space="preserve"> in relation to subject matter</w:t>
      </w:r>
      <w:r>
        <w:t xml:space="preserve">, since in elaborating rights </w:t>
      </w:r>
      <w:r w:rsidR="00CE1AD8">
        <w:t>it</w:t>
      </w:r>
      <w:r>
        <w:t xml:space="preserve"> could be left to the scope of protection and to the exceptions and limitations to define </w:t>
      </w:r>
      <w:r w:rsidR="007A1575">
        <w:t xml:space="preserve">more clearly </w:t>
      </w:r>
      <w:r>
        <w:t>what is ultimately to be protected;  and</w:t>
      </w:r>
    </w:p>
    <w:p w:rsidR="00A73D7E" w:rsidRPr="00BC0D80" w:rsidRDefault="00A73D7E" w:rsidP="00A73D7E">
      <w:pPr>
        <w:pStyle w:val="ListParagraph"/>
        <w:numPr>
          <w:ilvl w:val="0"/>
          <w:numId w:val="17"/>
        </w:numPr>
      </w:pPr>
      <w:proofErr w:type="gramStart"/>
      <w:r>
        <w:t>b</w:t>
      </w:r>
      <w:r w:rsidRPr="00BC0D80">
        <w:t>ased</w:t>
      </w:r>
      <w:proofErr w:type="gramEnd"/>
      <w:r w:rsidRPr="00BC0D80">
        <w:t xml:space="preserve"> on </w:t>
      </w:r>
      <w:r>
        <w:t>the</w:t>
      </w:r>
      <w:r w:rsidRPr="00BC0D80">
        <w:t xml:space="preserve"> </w:t>
      </w:r>
      <w:r>
        <w:t xml:space="preserve">possible </w:t>
      </w:r>
      <w:r w:rsidRPr="00BC0D80">
        <w:t>introduction of a tiered approach</w:t>
      </w:r>
      <w:r w:rsidR="00980803">
        <w:t xml:space="preserve"> (see further below)</w:t>
      </w:r>
      <w:r w:rsidRPr="00BC0D80">
        <w:t xml:space="preserve"> to defining the scope of protection, whether the provisions on exceptions and limitations should also follow this approach, i.e., that various degrees of excepted acts would mirror the various kinds of subject matter and the tiered rights applied to them. </w:t>
      </w:r>
    </w:p>
    <w:p w:rsidR="00A73D7E" w:rsidRDefault="00A73D7E" w:rsidP="00A73D7E"/>
    <w:p w:rsidR="00A05DB8" w:rsidRDefault="00A73D7E" w:rsidP="00233C45">
      <w:pPr>
        <w:rPr>
          <w:szCs w:val="22"/>
        </w:rPr>
      </w:pPr>
      <w:r>
        <w:fldChar w:fldCharType="begin"/>
      </w:r>
      <w:r>
        <w:instrText xml:space="preserve"> AUTONUM  </w:instrText>
      </w:r>
      <w:r>
        <w:fldChar w:fldCharType="end"/>
      </w:r>
      <w:r>
        <w:tab/>
      </w:r>
      <w:r w:rsidR="000807DB">
        <w:t>The s</w:t>
      </w:r>
      <w:r w:rsidR="007C4728">
        <w:t>cope of protection</w:t>
      </w:r>
      <w:r w:rsidR="00D53171">
        <w:t xml:space="preserve"> </w:t>
      </w:r>
      <w:r w:rsidR="00233C45">
        <w:rPr>
          <w:szCs w:val="22"/>
        </w:rPr>
        <w:t xml:space="preserve">seeks to </w:t>
      </w:r>
      <w:r w:rsidR="000807DB">
        <w:rPr>
          <w:szCs w:val="22"/>
        </w:rPr>
        <w:t>determine</w:t>
      </w:r>
      <w:r w:rsidR="00233C45">
        <w:rPr>
          <w:szCs w:val="22"/>
        </w:rPr>
        <w:t xml:space="preserve"> which speci</w:t>
      </w:r>
      <w:r w:rsidR="00AE5D78">
        <w:rPr>
          <w:szCs w:val="22"/>
        </w:rPr>
        <w:t>fic acts in respect of protectable</w:t>
      </w:r>
      <w:r w:rsidR="00233C45">
        <w:rPr>
          <w:szCs w:val="22"/>
        </w:rPr>
        <w:t xml:space="preserve"> TK and/or TCEs ought to be prohibited or prevented.  </w:t>
      </w:r>
      <w:r w:rsidR="00D53171">
        <w:rPr>
          <w:szCs w:val="22"/>
        </w:rPr>
        <w:t xml:space="preserve">From the outset, the </w:t>
      </w:r>
      <w:r w:rsidR="00D53171" w:rsidRPr="00D53171">
        <w:rPr>
          <w:i/>
          <w:szCs w:val="22"/>
        </w:rPr>
        <w:t>ad hoc</w:t>
      </w:r>
      <w:r w:rsidR="00D53171">
        <w:rPr>
          <w:szCs w:val="22"/>
        </w:rPr>
        <w:t xml:space="preserve"> expert group is invited to cl</w:t>
      </w:r>
      <w:r w:rsidR="00A05DB8">
        <w:rPr>
          <w:szCs w:val="22"/>
        </w:rPr>
        <w:t>arify:</w:t>
      </w:r>
    </w:p>
    <w:p w:rsidR="0043177A" w:rsidRDefault="0043177A" w:rsidP="00A05DB8">
      <w:pPr>
        <w:pStyle w:val="ListParagraph"/>
        <w:numPr>
          <w:ilvl w:val="0"/>
          <w:numId w:val="22"/>
        </w:numPr>
        <w:rPr>
          <w:szCs w:val="22"/>
        </w:rPr>
      </w:pPr>
      <w:r>
        <w:rPr>
          <w:szCs w:val="22"/>
        </w:rPr>
        <w:t>w</w:t>
      </w:r>
      <w:r w:rsidR="004426F1">
        <w:rPr>
          <w:szCs w:val="22"/>
        </w:rPr>
        <w:t xml:space="preserve">hat is the appropriate approach: </w:t>
      </w:r>
      <w:r>
        <w:rPr>
          <w:szCs w:val="22"/>
        </w:rPr>
        <w:t xml:space="preserve"> </w:t>
      </w:r>
      <w:r w:rsidR="00980803">
        <w:rPr>
          <w:szCs w:val="22"/>
        </w:rPr>
        <w:t xml:space="preserve">a </w:t>
      </w:r>
      <w:r>
        <w:rPr>
          <w:szCs w:val="22"/>
        </w:rPr>
        <w:t xml:space="preserve">rights-based approach, </w:t>
      </w:r>
      <w:r w:rsidR="00980803">
        <w:rPr>
          <w:szCs w:val="22"/>
        </w:rPr>
        <w:t xml:space="preserve">a </w:t>
      </w:r>
      <w:r>
        <w:rPr>
          <w:szCs w:val="22"/>
        </w:rPr>
        <w:t xml:space="preserve">measures-based approach or a combination of </w:t>
      </w:r>
      <w:r w:rsidR="00980803">
        <w:rPr>
          <w:szCs w:val="22"/>
        </w:rPr>
        <w:t>the two</w:t>
      </w:r>
      <w:r>
        <w:rPr>
          <w:szCs w:val="22"/>
        </w:rPr>
        <w:t>; and</w:t>
      </w:r>
    </w:p>
    <w:p w:rsidR="00AE5D78" w:rsidRPr="00A05DB8" w:rsidRDefault="00E57D3D" w:rsidP="00A05DB8">
      <w:pPr>
        <w:pStyle w:val="ListParagraph"/>
        <w:numPr>
          <w:ilvl w:val="0"/>
          <w:numId w:val="22"/>
        </w:numPr>
        <w:rPr>
          <w:szCs w:val="22"/>
        </w:rPr>
      </w:pPr>
      <w:proofErr w:type="gramStart"/>
      <w:r>
        <w:rPr>
          <w:szCs w:val="22"/>
        </w:rPr>
        <w:t>the</w:t>
      </w:r>
      <w:proofErr w:type="gramEnd"/>
      <w:r>
        <w:rPr>
          <w:szCs w:val="22"/>
        </w:rPr>
        <w:t xml:space="preserve"> </w:t>
      </w:r>
      <w:r w:rsidR="0043177A">
        <w:rPr>
          <w:szCs w:val="22"/>
        </w:rPr>
        <w:t xml:space="preserve">flexibility </w:t>
      </w:r>
      <w:r>
        <w:rPr>
          <w:szCs w:val="22"/>
        </w:rPr>
        <w:t xml:space="preserve">necessary </w:t>
      </w:r>
      <w:r w:rsidR="0043177A">
        <w:rPr>
          <w:szCs w:val="22"/>
        </w:rPr>
        <w:t xml:space="preserve">to </w:t>
      </w:r>
      <w:r w:rsidR="00B77005">
        <w:rPr>
          <w:szCs w:val="22"/>
        </w:rPr>
        <w:t xml:space="preserve">allow </w:t>
      </w:r>
      <w:r w:rsidR="00774DAD">
        <w:rPr>
          <w:szCs w:val="22"/>
        </w:rPr>
        <w:t xml:space="preserve">the </w:t>
      </w:r>
      <w:r w:rsidR="0043177A">
        <w:rPr>
          <w:szCs w:val="22"/>
        </w:rPr>
        <w:t xml:space="preserve">scope </w:t>
      </w:r>
      <w:r w:rsidR="00774DAD">
        <w:rPr>
          <w:szCs w:val="22"/>
        </w:rPr>
        <w:t xml:space="preserve">of protection </w:t>
      </w:r>
      <w:r w:rsidR="00B77005">
        <w:rPr>
          <w:szCs w:val="22"/>
        </w:rPr>
        <w:t xml:space="preserve">to be determined </w:t>
      </w:r>
      <w:r w:rsidR="0043177A">
        <w:rPr>
          <w:szCs w:val="22"/>
        </w:rPr>
        <w:t xml:space="preserve">at </w:t>
      </w:r>
      <w:r w:rsidR="00774DAD">
        <w:rPr>
          <w:szCs w:val="22"/>
        </w:rPr>
        <w:t xml:space="preserve">the </w:t>
      </w:r>
      <w:r w:rsidR="0043177A">
        <w:rPr>
          <w:szCs w:val="22"/>
        </w:rPr>
        <w:t>national level</w:t>
      </w:r>
      <w:r w:rsidR="00D53171" w:rsidRPr="00A05DB8">
        <w:rPr>
          <w:szCs w:val="22"/>
        </w:rPr>
        <w:t>.</w:t>
      </w:r>
    </w:p>
    <w:p w:rsidR="00AE5D78" w:rsidRDefault="00AE5D78" w:rsidP="00233C45">
      <w:pPr>
        <w:rPr>
          <w:szCs w:val="22"/>
        </w:rPr>
      </w:pPr>
    </w:p>
    <w:p w:rsidR="00233C45" w:rsidRDefault="00AE5D78" w:rsidP="00233C45">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D53171">
        <w:rPr>
          <w:szCs w:val="22"/>
        </w:rPr>
        <w:t>T</w:t>
      </w:r>
      <w:r w:rsidR="00233C45" w:rsidRPr="00233C45">
        <w:rPr>
          <w:szCs w:val="22"/>
        </w:rPr>
        <w:t>he current draft articles</w:t>
      </w:r>
      <w:r w:rsidR="00D53171">
        <w:rPr>
          <w:szCs w:val="22"/>
        </w:rPr>
        <w:t xml:space="preserve"> (Article 5 of the TK and TCEs texts, respectively)</w:t>
      </w:r>
      <w:r w:rsidR="00233C45" w:rsidRPr="00233C45">
        <w:rPr>
          <w:szCs w:val="22"/>
        </w:rPr>
        <w:t xml:space="preserve"> evidence two main options</w:t>
      </w:r>
      <w:r w:rsidR="004F668B">
        <w:rPr>
          <w:szCs w:val="22"/>
        </w:rPr>
        <w:t>, which</w:t>
      </w:r>
      <w:r w:rsidR="00233C45" w:rsidRPr="00233C45">
        <w:rPr>
          <w:szCs w:val="22"/>
        </w:rPr>
        <w:t xml:space="preserve"> are, to put it plainly, “the right to say no” option and “the </w:t>
      </w:r>
      <w:r w:rsidR="00233C45">
        <w:rPr>
          <w:szCs w:val="22"/>
        </w:rPr>
        <w:t>right to be compensated” option:</w:t>
      </w:r>
    </w:p>
    <w:p w:rsidR="00233C45" w:rsidRPr="00233C45" w:rsidRDefault="00233C45" w:rsidP="00233C45">
      <w:pPr>
        <w:pStyle w:val="ListParagraph"/>
        <w:numPr>
          <w:ilvl w:val="0"/>
          <w:numId w:val="20"/>
        </w:numPr>
        <w:rPr>
          <w:szCs w:val="22"/>
        </w:rPr>
      </w:pPr>
      <w:r w:rsidRPr="00233C45">
        <w:rPr>
          <w:szCs w:val="22"/>
        </w:rPr>
        <w:t>The first option would follow the model of exclusive rights, where rights holders have a bundle of rights which they own and can transfer or waive, as the case may be.  Under this approach, rights holders have a set of rights which they can enforce against third parties.  They, therefore, have the possibility to say “no” to uses that fall within</w:t>
      </w:r>
      <w:r w:rsidR="004426F1">
        <w:rPr>
          <w:szCs w:val="22"/>
        </w:rPr>
        <w:t xml:space="preserve"> their exclusive prerogatives;</w:t>
      </w:r>
    </w:p>
    <w:p w:rsidR="00233C45" w:rsidRPr="00233C45" w:rsidRDefault="00233C45" w:rsidP="00233C45">
      <w:pPr>
        <w:pStyle w:val="ListParagraph"/>
        <w:numPr>
          <w:ilvl w:val="0"/>
          <w:numId w:val="20"/>
        </w:numPr>
        <w:rPr>
          <w:szCs w:val="22"/>
        </w:rPr>
      </w:pPr>
      <w:r w:rsidRPr="00233C45">
        <w:rPr>
          <w:szCs w:val="22"/>
        </w:rPr>
        <w:t xml:space="preserve">The second option is a right to remuneration or compensation.  Stated otherwise, it is the right to be paid for certain uses, without the possibility to prevent or oppose those uses.  This option is related to what has been described in literature as a “compensatory liability regime”.  Existing </w:t>
      </w:r>
      <w:r w:rsidR="00980803">
        <w:rPr>
          <w:szCs w:val="22"/>
        </w:rPr>
        <w:t>IP</w:t>
      </w:r>
      <w:r w:rsidRPr="00233C45">
        <w:rPr>
          <w:szCs w:val="22"/>
        </w:rPr>
        <w:t xml:space="preserve"> systems </w:t>
      </w:r>
      <w:r w:rsidR="00950A4C">
        <w:rPr>
          <w:szCs w:val="22"/>
        </w:rPr>
        <w:t>are not wholly comprised of exclusive rights and do include rights to remuneration or compensation in certain cases.</w:t>
      </w:r>
      <w:r w:rsidRPr="00233C45">
        <w:rPr>
          <w:szCs w:val="22"/>
        </w:rPr>
        <w:t xml:space="preserve"> </w:t>
      </w:r>
      <w:r>
        <w:rPr>
          <w:szCs w:val="22"/>
        </w:rPr>
        <w:t xml:space="preserve"> </w:t>
      </w:r>
    </w:p>
    <w:p w:rsidR="00233C45" w:rsidRDefault="00233C45" w:rsidP="008C10CF"/>
    <w:p w:rsidR="00520061" w:rsidRDefault="00520061" w:rsidP="008C10CF">
      <w:r>
        <w:fldChar w:fldCharType="begin"/>
      </w:r>
      <w:r>
        <w:instrText xml:space="preserve"> AUTONUM  </w:instrText>
      </w:r>
      <w:r>
        <w:fldChar w:fldCharType="end"/>
      </w:r>
      <w:r>
        <w:tab/>
      </w:r>
      <w:r w:rsidR="001D088E">
        <w:t>A</w:t>
      </w:r>
      <w:r>
        <w:t xml:space="preserve"> distinction may </w:t>
      </w:r>
      <w:r w:rsidR="001D088E">
        <w:t xml:space="preserve">also </w:t>
      </w:r>
      <w:r>
        <w:t xml:space="preserve">be made between economic rights and moral rights.  For example, under copyright law, economic rights allow the rights owner to derive financial reward from the use of his or her works by others, while moral rights refer to the right to claim authorship of a work and the right to object to any mutilation or deformation or other modification of, or other derogatory action in relation to, the work which would be prejudicial to the author’s honor or reputation. </w:t>
      </w:r>
    </w:p>
    <w:p w:rsidR="00520061" w:rsidRDefault="00520061" w:rsidP="008C10CF"/>
    <w:p w:rsidR="000D4BD5" w:rsidRDefault="00233C45" w:rsidP="008C10CF">
      <w:r>
        <w:fldChar w:fldCharType="begin"/>
      </w:r>
      <w:r>
        <w:instrText xml:space="preserve"> AUTONUM  </w:instrText>
      </w:r>
      <w:r>
        <w:fldChar w:fldCharType="end"/>
      </w:r>
      <w:r>
        <w:tab/>
        <w:t>T</w:t>
      </w:r>
      <w:r w:rsidR="007C4728">
        <w:t xml:space="preserve">he IGC has discussed for several years </w:t>
      </w:r>
      <w:r w:rsidR="001D088E">
        <w:t>a</w:t>
      </w:r>
      <w:r w:rsidR="007C4728">
        <w:t xml:space="preserve"> </w:t>
      </w:r>
      <w:r w:rsidR="007C4728" w:rsidRPr="00716D78">
        <w:t xml:space="preserve">so-called </w:t>
      </w:r>
      <w:r w:rsidR="007C4728">
        <w:t>“</w:t>
      </w:r>
      <w:r w:rsidR="007C4728" w:rsidRPr="00716D78">
        <w:t>tiered approach</w:t>
      </w:r>
      <w:r w:rsidR="007C4728">
        <w:t>”</w:t>
      </w:r>
      <w:r w:rsidR="00CE1AD8">
        <w:t xml:space="preserve"> (also referred to as</w:t>
      </w:r>
      <w:r w:rsidR="007C4728" w:rsidRPr="00716D78">
        <w:t xml:space="preserve"> </w:t>
      </w:r>
      <w:r w:rsidR="007C4728">
        <w:t>“</w:t>
      </w:r>
      <w:r w:rsidR="007C4728" w:rsidRPr="00716D78">
        <w:t>differentiated protection</w:t>
      </w:r>
      <w:r w:rsidR="007C4728">
        <w:t>”</w:t>
      </w:r>
      <w:r w:rsidR="00CE1AD8">
        <w:t>)</w:t>
      </w:r>
      <w:r w:rsidR="007C4728" w:rsidRPr="00716D78">
        <w:t>, whereby different</w:t>
      </w:r>
      <w:r w:rsidR="007C4728">
        <w:t xml:space="preserve"> kinds or levels of rights or measures would be available to rights holders depending on the nature and characteristics of the subject matter, the level of control retained by the beneficiaries and its degree of diffusion. </w:t>
      </w:r>
    </w:p>
    <w:p w:rsidR="00816717" w:rsidRDefault="00816717" w:rsidP="00816717"/>
    <w:p w:rsidR="00980803" w:rsidRDefault="00816717" w:rsidP="00816717">
      <w:r>
        <w:fldChar w:fldCharType="begin"/>
      </w:r>
      <w:r>
        <w:instrText xml:space="preserve"> AUTONUM  </w:instrText>
      </w:r>
      <w:r>
        <w:fldChar w:fldCharType="end"/>
      </w:r>
      <w:r>
        <w:tab/>
      </w:r>
      <w:r w:rsidRPr="002B3042">
        <w:t xml:space="preserve">The tiered approach proposes differentiated protection along a spectrum from </w:t>
      </w:r>
      <w:r>
        <w:t>TK/</w:t>
      </w:r>
      <w:r w:rsidRPr="002B3042">
        <w:t xml:space="preserve">TCEs that are available to the general public to </w:t>
      </w:r>
      <w:r>
        <w:t>TK/</w:t>
      </w:r>
      <w:r w:rsidRPr="002B3042">
        <w:t>TCEs that are secret, sacred or not known outside the community and controlled by the be</w:t>
      </w:r>
      <w:r>
        <w:t>neficiaries</w:t>
      </w:r>
      <w:r w:rsidRPr="002B3042">
        <w:t>.</w:t>
      </w:r>
      <w:r>
        <w:t xml:space="preserve">  </w:t>
      </w:r>
    </w:p>
    <w:p w:rsidR="00980803" w:rsidRDefault="00980803" w:rsidP="00816717"/>
    <w:p w:rsidR="0043177A" w:rsidRDefault="00980803" w:rsidP="00816717">
      <w:r>
        <w:fldChar w:fldCharType="begin"/>
      </w:r>
      <w:r>
        <w:instrText xml:space="preserve"> AUTONUM  </w:instrText>
      </w:r>
      <w:r>
        <w:fldChar w:fldCharType="end"/>
      </w:r>
      <w:r>
        <w:tab/>
      </w:r>
      <w:r w:rsidR="00816717">
        <w:t xml:space="preserve">The </w:t>
      </w:r>
      <w:r w:rsidR="00816717" w:rsidRPr="00EA1441">
        <w:rPr>
          <w:i/>
        </w:rPr>
        <w:t>ad hoc</w:t>
      </w:r>
      <w:r w:rsidR="00816717">
        <w:t xml:space="preserve"> expert group is invited to discuss</w:t>
      </w:r>
      <w:r w:rsidR="0043177A">
        <w:t>:</w:t>
      </w:r>
    </w:p>
    <w:p w:rsidR="0043177A" w:rsidRDefault="0043177A" w:rsidP="0043177A">
      <w:pPr>
        <w:pStyle w:val="ListParagraph"/>
        <w:numPr>
          <w:ilvl w:val="0"/>
          <w:numId w:val="23"/>
        </w:numPr>
      </w:pPr>
      <w:proofErr w:type="gramStart"/>
      <w:r>
        <w:t>the</w:t>
      </w:r>
      <w:proofErr w:type="gramEnd"/>
      <w:r>
        <w:t xml:space="preserve"> appropriateness of economic and moral rights for different forms of TK/TCEs.  For example, </w:t>
      </w:r>
      <w:r w:rsidRPr="002B3042">
        <w:t xml:space="preserve">exclusive economic rights could be appropriate for some forms of </w:t>
      </w:r>
      <w:r>
        <w:t>TK/</w:t>
      </w:r>
      <w:r w:rsidRPr="002B3042">
        <w:t>TCEs (for instance, secret and</w:t>
      </w:r>
      <w:r>
        <w:t>/or</w:t>
      </w:r>
      <w:r w:rsidRPr="002B3042">
        <w:t xml:space="preserve"> sacred </w:t>
      </w:r>
      <w:r>
        <w:t>TK/</w:t>
      </w:r>
      <w:r w:rsidRPr="002B3042">
        <w:t xml:space="preserve">TCEs), whereas a moral rights-based model could, for example, be appropriate for </w:t>
      </w:r>
      <w:r>
        <w:t>TK/</w:t>
      </w:r>
      <w:r w:rsidRPr="002B3042">
        <w:t>TCEs that are publicly available or widely known but still attributable to specific indigenou</w:t>
      </w:r>
      <w:r>
        <w:t>s peoples and local communities;</w:t>
      </w:r>
    </w:p>
    <w:p w:rsidR="0043177A" w:rsidRDefault="0043177A" w:rsidP="0043177A">
      <w:pPr>
        <w:pStyle w:val="ListParagraph"/>
        <w:numPr>
          <w:ilvl w:val="0"/>
          <w:numId w:val="23"/>
        </w:numPr>
      </w:pPr>
      <w:r>
        <w:t>quality, level of control, degree of diffusion</w:t>
      </w:r>
      <w:r w:rsidR="006F4E56">
        <w:t xml:space="preserve">, including the issue on </w:t>
      </w:r>
      <w:r w:rsidR="007B44F7">
        <w:t xml:space="preserve">the </w:t>
      </w:r>
      <w:r w:rsidR="006F4E56">
        <w:t>relationship with public domain</w:t>
      </w:r>
      <w:r>
        <w:t>;  and</w:t>
      </w:r>
    </w:p>
    <w:p w:rsidR="00EA1441" w:rsidRDefault="001D088E" w:rsidP="0043177A">
      <w:pPr>
        <w:pStyle w:val="ListParagraph"/>
        <w:numPr>
          <w:ilvl w:val="0"/>
          <w:numId w:val="23"/>
        </w:numPr>
      </w:pPr>
      <w:proofErr w:type="gramStart"/>
      <w:r>
        <w:t>the</w:t>
      </w:r>
      <w:proofErr w:type="gramEnd"/>
      <w:r>
        <w:t xml:space="preserve"> </w:t>
      </w:r>
      <w:r w:rsidR="004426F1">
        <w:t>p</w:t>
      </w:r>
      <w:r w:rsidR="0043177A">
        <w:t xml:space="preserve">racticality and legal implications of the proposed tiers.  </w:t>
      </w:r>
    </w:p>
    <w:p w:rsidR="000D4BD5" w:rsidRDefault="000D4BD5" w:rsidP="000D4BD5"/>
    <w:p w:rsidR="00816717" w:rsidRDefault="00816717" w:rsidP="00816717">
      <w:r>
        <w:fldChar w:fldCharType="begin"/>
      </w:r>
      <w:r>
        <w:instrText xml:space="preserve"> AUTONUM  </w:instrText>
      </w:r>
      <w:r>
        <w:fldChar w:fldCharType="end"/>
      </w:r>
      <w:r>
        <w:tab/>
        <w:t xml:space="preserve">In the TK context, differentiated protection in the tiered approach offers an opportunity to respond to the reality of the differences among secret TK, narrowly diffused TK and widely diffused TK, the definitions of which the </w:t>
      </w:r>
      <w:r w:rsidRPr="00816717">
        <w:rPr>
          <w:i/>
        </w:rPr>
        <w:t>ad hoc</w:t>
      </w:r>
      <w:r>
        <w:t xml:space="preserve"> expert group is invited to discuss.  </w:t>
      </w:r>
    </w:p>
    <w:p w:rsidR="00816717" w:rsidRDefault="00816717" w:rsidP="00816717"/>
    <w:p w:rsidR="00816717" w:rsidRDefault="00816717" w:rsidP="00816717">
      <w:r>
        <w:fldChar w:fldCharType="begin"/>
      </w:r>
      <w:r>
        <w:instrText xml:space="preserve"> AUTONUM  </w:instrText>
      </w:r>
      <w:r>
        <w:fldChar w:fldCharType="end"/>
      </w:r>
      <w:r>
        <w:tab/>
        <w:t xml:space="preserve">In the TCEs context, taking into account </w:t>
      </w:r>
      <w:r w:rsidRPr="00AE3F0C">
        <w:t>the practicality and legal implications of the proposed tiers</w:t>
      </w:r>
      <w:r>
        <w:t xml:space="preserve">, the </w:t>
      </w:r>
      <w:r w:rsidRPr="00E77050">
        <w:rPr>
          <w:i/>
        </w:rPr>
        <w:t>ad hoc</w:t>
      </w:r>
      <w:r>
        <w:t xml:space="preserve"> expert group </w:t>
      </w:r>
      <w:r w:rsidR="00CE1AD8">
        <w:t xml:space="preserve">is </w:t>
      </w:r>
      <w:r>
        <w:t xml:space="preserve">invited to discuss </w:t>
      </w:r>
      <w:r w:rsidRPr="00AE3F0C">
        <w:t xml:space="preserve">what criteria are appropriate and should be used in the TCEs context, in order to determine the tiers. </w:t>
      </w:r>
      <w:r>
        <w:t xml:space="preserve"> It</w:t>
      </w:r>
      <w:r w:rsidRPr="00AE3F0C">
        <w:t xml:space="preserve"> should be noted that criteria that may be relevant in the TK context may not necessarily apply in the TCEs context.</w:t>
      </w:r>
    </w:p>
    <w:p w:rsidR="00816717" w:rsidRDefault="00816717" w:rsidP="000D4BD5"/>
    <w:p w:rsidR="000831C9" w:rsidRPr="00A05DB8" w:rsidRDefault="000831C9" w:rsidP="000D4BD5">
      <w:pPr>
        <w:rPr>
          <w:b/>
        </w:rPr>
      </w:pPr>
      <w:r w:rsidRPr="00A05DB8">
        <w:rPr>
          <w:b/>
        </w:rPr>
        <w:t>Other issue</w:t>
      </w:r>
    </w:p>
    <w:p w:rsidR="000831C9" w:rsidRDefault="000831C9" w:rsidP="000831C9"/>
    <w:p w:rsidR="000831C9" w:rsidRDefault="000831C9" w:rsidP="006F4E56">
      <w:r>
        <w:fldChar w:fldCharType="begin"/>
      </w:r>
      <w:r>
        <w:instrText xml:space="preserve"> AUTONUM  </w:instrText>
      </w:r>
      <w:r>
        <w:fldChar w:fldCharType="end"/>
      </w:r>
      <w:r>
        <w:tab/>
      </w:r>
      <w:r w:rsidR="004426F1">
        <w:t>T</w:t>
      </w:r>
      <w:r>
        <w:t xml:space="preserve">he </w:t>
      </w:r>
      <w:r w:rsidRPr="007435C7">
        <w:rPr>
          <w:i/>
        </w:rPr>
        <w:t>ad hoc</w:t>
      </w:r>
      <w:r>
        <w:t xml:space="preserve"> expert group </w:t>
      </w:r>
      <w:r w:rsidR="00E02CE2">
        <w:t xml:space="preserve">may also wish </w:t>
      </w:r>
      <w:r w:rsidR="00DE45DC">
        <w:t xml:space="preserve">to </w:t>
      </w:r>
      <w:r>
        <w:t>discuss</w:t>
      </w:r>
      <w:r w:rsidR="006F4E56">
        <w:t xml:space="preserve"> national laws designed to ensure the authenticity of the arts and crafts produced by indigenous peoples and local communities.</w:t>
      </w:r>
    </w:p>
    <w:p w:rsidR="006F4E56" w:rsidRDefault="006F4E56" w:rsidP="006F4E56">
      <w:pPr>
        <w:pStyle w:val="ListParagraph"/>
      </w:pPr>
    </w:p>
    <w:p w:rsidR="00E77050" w:rsidRPr="00000A0A" w:rsidRDefault="00E77050" w:rsidP="00E77050">
      <w:pPr>
        <w:outlineLvl w:val="0"/>
        <w:rPr>
          <w:b/>
          <w:u w:val="single"/>
        </w:rPr>
      </w:pPr>
      <w:r>
        <w:rPr>
          <w:b/>
          <w:u w:val="single"/>
        </w:rPr>
        <w:lastRenderedPageBreak/>
        <w:t>U</w:t>
      </w:r>
      <w:r w:rsidRPr="00000A0A">
        <w:rPr>
          <w:b/>
          <w:u w:val="single"/>
        </w:rPr>
        <w:t xml:space="preserve">seful resources </w:t>
      </w:r>
    </w:p>
    <w:p w:rsidR="00E77050" w:rsidRDefault="00E77050" w:rsidP="00E77050"/>
    <w:p w:rsidR="00E77050" w:rsidRDefault="00E77050" w:rsidP="00E77050">
      <w:r>
        <w:fldChar w:fldCharType="begin"/>
      </w:r>
      <w:r>
        <w:instrText xml:space="preserve"> AUTONUM  </w:instrText>
      </w:r>
      <w:r>
        <w:fldChar w:fldCharType="end"/>
      </w:r>
      <w:r>
        <w:tab/>
        <w:t>T</w:t>
      </w:r>
      <w:r w:rsidRPr="00000A0A">
        <w:t xml:space="preserve">here are some useful resources available on the WIPO website which </w:t>
      </w:r>
      <w:r>
        <w:t xml:space="preserve">the </w:t>
      </w:r>
      <w:r w:rsidRPr="00E77050">
        <w:rPr>
          <w:i/>
        </w:rPr>
        <w:t>ad hoc</w:t>
      </w:r>
      <w:r>
        <w:t xml:space="preserve"> expert group </w:t>
      </w:r>
      <w:r w:rsidRPr="00000A0A">
        <w:t>may wish to use as reference materials</w:t>
      </w:r>
      <w:r>
        <w:t>, such as:</w:t>
      </w:r>
    </w:p>
    <w:p w:rsidR="00E77050" w:rsidRDefault="00E77050" w:rsidP="00E77050"/>
    <w:p w:rsidR="00CE1AD8" w:rsidRDefault="00CE1AD8" w:rsidP="00CE1AD8">
      <w:pPr>
        <w:pStyle w:val="ListParagraph"/>
        <w:numPr>
          <w:ilvl w:val="0"/>
          <w:numId w:val="19"/>
        </w:numPr>
      </w:pPr>
      <w:r>
        <w:t xml:space="preserve">Chair’s Information Note Prepared for IGC 38, </w:t>
      </w:r>
      <w:r w:rsidRPr="00CE1AD8">
        <w:t>http://www.wipo.int/meetings/en/doc_details.jsp?doc_id=420992</w:t>
      </w:r>
      <w:r>
        <w:t>.</w:t>
      </w:r>
    </w:p>
    <w:p w:rsidR="00CE1AD8" w:rsidRDefault="00CE1AD8" w:rsidP="00CE1AD8">
      <w:pPr>
        <w:pStyle w:val="ListParagraph"/>
      </w:pPr>
    </w:p>
    <w:p w:rsidR="00E77050" w:rsidRDefault="00E77050" w:rsidP="00E77050">
      <w:pPr>
        <w:pStyle w:val="ListParagraph"/>
        <w:numPr>
          <w:ilvl w:val="0"/>
          <w:numId w:val="19"/>
        </w:numPr>
      </w:pPr>
      <w:r>
        <w:t xml:space="preserve">WIPO/GRTKF/IC/38/6, </w:t>
      </w:r>
      <w:r w:rsidRPr="00E92021">
        <w:t xml:space="preserve">The Protection of Traditional </w:t>
      </w:r>
      <w:r>
        <w:t>Knowledge</w:t>
      </w:r>
      <w:r w:rsidRPr="00E92021">
        <w:t xml:space="preserve">: </w:t>
      </w:r>
      <w:r>
        <w:t xml:space="preserve"> </w:t>
      </w:r>
      <w:r w:rsidRPr="00E92021">
        <w:t>Updated Draft Gap Analysis</w:t>
      </w:r>
      <w:r>
        <w:t xml:space="preserve">, </w:t>
      </w:r>
      <w:r w:rsidRPr="008C50AF">
        <w:t>http://www.wipo.int/meetings/en/doc_details.jsp?doc_id=411448</w:t>
      </w:r>
      <w:r>
        <w:t>;</w:t>
      </w:r>
    </w:p>
    <w:p w:rsidR="00E77050" w:rsidRDefault="00E77050" w:rsidP="00E77050">
      <w:pPr>
        <w:pStyle w:val="ListParagraph"/>
      </w:pPr>
    </w:p>
    <w:p w:rsidR="00E77050" w:rsidRDefault="00E77050" w:rsidP="00E77050">
      <w:pPr>
        <w:pStyle w:val="ListParagraph"/>
        <w:numPr>
          <w:ilvl w:val="0"/>
          <w:numId w:val="19"/>
        </w:numPr>
      </w:pPr>
      <w:r>
        <w:t xml:space="preserve">WIPO/GRTKF/IC/38/7, </w:t>
      </w:r>
      <w:r w:rsidRPr="00E92021">
        <w:t xml:space="preserve">The Protection of Traditional Cultural Expressions: </w:t>
      </w:r>
      <w:r>
        <w:t xml:space="preserve"> </w:t>
      </w:r>
      <w:r w:rsidRPr="00E92021">
        <w:t>Updated Draft Gap Analysis</w:t>
      </w:r>
      <w:r>
        <w:t xml:space="preserve">, </w:t>
      </w:r>
      <w:r w:rsidRPr="00E92021">
        <w:t>http://www.wipo.int/meetings/en/doc_details.jsp?doc_id=410365</w:t>
      </w:r>
      <w:r>
        <w:t>;</w:t>
      </w:r>
    </w:p>
    <w:p w:rsidR="00E77050" w:rsidRDefault="00E77050" w:rsidP="00E77050">
      <w:pPr>
        <w:pStyle w:val="ListParagraph"/>
      </w:pPr>
    </w:p>
    <w:p w:rsidR="00E77050" w:rsidRDefault="00E77050" w:rsidP="00E77050">
      <w:pPr>
        <w:pStyle w:val="ListParagraph"/>
        <w:numPr>
          <w:ilvl w:val="0"/>
          <w:numId w:val="19"/>
        </w:numPr>
      </w:pPr>
      <w:r w:rsidRPr="00000A0A">
        <w:t>WIPO/GRTKF/IC/17/INF/8, Note on the Meanings of the Term “Public Domain” in the Intellectual Property System with Special Reference to the Protection of Traditional Knowledge and Traditional Cultural Expressions/Expressions of Folklore, http://www.wipo.int/meetings/en</w:t>
      </w:r>
      <w:r>
        <w:t>/doc_details.jsp?doc_id=149213;</w:t>
      </w:r>
    </w:p>
    <w:p w:rsidR="00E77050" w:rsidRDefault="00E77050" w:rsidP="00E77050">
      <w:pPr>
        <w:pStyle w:val="ListParagraph"/>
      </w:pPr>
    </w:p>
    <w:p w:rsidR="00E77050" w:rsidRDefault="00E77050" w:rsidP="00E77050">
      <w:pPr>
        <w:pStyle w:val="ListParagraph"/>
        <w:numPr>
          <w:ilvl w:val="0"/>
          <w:numId w:val="19"/>
        </w:numPr>
      </w:pPr>
      <w:r>
        <w:t>WIPO/GRTKF/IC/17/INF/9, List and Brief Technical Explanation of Various Forms in Which Traditional Knowledge May Be Found,</w:t>
      </w:r>
      <w:r w:rsidRPr="00000A0A">
        <w:t xml:space="preserve"> http://www.wipo.int/meetings/en/doc_details.jsp?doc_id=147152</w:t>
      </w:r>
      <w:r>
        <w:t>;</w:t>
      </w:r>
    </w:p>
    <w:p w:rsidR="00E77050" w:rsidRDefault="00E77050" w:rsidP="00E77050">
      <w:pPr>
        <w:pStyle w:val="ListParagraph"/>
      </w:pPr>
    </w:p>
    <w:p w:rsidR="00E77050" w:rsidRDefault="00E77050" w:rsidP="00E77050">
      <w:pPr>
        <w:pStyle w:val="ListParagraph"/>
        <w:numPr>
          <w:ilvl w:val="0"/>
          <w:numId w:val="19"/>
        </w:numPr>
      </w:pPr>
      <w:r w:rsidRPr="00000A0A">
        <w:t>Regional, National, Local and Community Experiences, http://www.wipo.int/tk/en</w:t>
      </w:r>
      <w:r>
        <w:t>/resources/tk_experiences.html;</w:t>
      </w:r>
    </w:p>
    <w:p w:rsidR="00E77050" w:rsidRDefault="00E77050" w:rsidP="00E77050"/>
    <w:p w:rsidR="00E77050" w:rsidRDefault="00E77050" w:rsidP="00E77050">
      <w:pPr>
        <w:pStyle w:val="ListParagraph"/>
        <w:numPr>
          <w:ilvl w:val="0"/>
          <w:numId w:val="19"/>
        </w:numPr>
      </w:pPr>
      <w:r w:rsidRPr="00000A0A">
        <w:t>Lectures and presentations on the selected topics, http://www.wipo.int/tk/en/re</w:t>
      </w:r>
      <w:r>
        <w:t>sources/tk_experiences.html#4.</w:t>
      </w:r>
    </w:p>
    <w:p w:rsidR="00E77050" w:rsidRDefault="00E77050" w:rsidP="00E77050"/>
    <w:p w:rsidR="00816717" w:rsidRDefault="00816717" w:rsidP="000D4BD5"/>
    <w:p w:rsidR="000D4BD5" w:rsidRDefault="000D4BD5" w:rsidP="000D4BD5">
      <w:pPr>
        <w:ind w:left="5760"/>
      </w:pPr>
      <w:r>
        <w:t>[End of document]</w:t>
      </w:r>
    </w:p>
    <w:p w:rsidR="002928D3" w:rsidRDefault="002928D3"/>
    <w:p w:rsidR="002928D3" w:rsidRDefault="002928D3" w:rsidP="0053057A"/>
    <w:p w:rsidR="002928D3" w:rsidRDefault="002928D3">
      <w:bookmarkStart w:id="5" w:name="_GoBack"/>
      <w:bookmarkEnd w:id="5"/>
    </w:p>
    <w:sectPr w:rsidR="002928D3" w:rsidSect="000D4BD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880" w:rsidRDefault="009C3880">
      <w:r>
        <w:separator/>
      </w:r>
    </w:p>
  </w:endnote>
  <w:endnote w:type="continuationSeparator" w:id="0">
    <w:p w:rsidR="009C3880" w:rsidRDefault="009C3880" w:rsidP="003B38C1">
      <w:r>
        <w:separator/>
      </w:r>
    </w:p>
    <w:p w:rsidR="009C3880" w:rsidRPr="003B38C1" w:rsidRDefault="009C3880" w:rsidP="003B38C1">
      <w:pPr>
        <w:spacing w:after="60"/>
        <w:rPr>
          <w:sz w:val="17"/>
        </w:rPr>
      </w:pPr>
      <w:r>
        <w:rPr>
          <w:sz w:val="17"/>
        </w:rPr>
        <w:t>[Endnote continued from previous page]</w:t>
      </w:r>
    </w:p>
  </w:endnote>
  <w:endnote w:type="continuationNotice" w:id="1">
    <w:p w:rsidR="009C3880" w:rsidRPr="003B38C1" w:rsidRDefault="009C38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880" w:rsidRDefault="009C3880">
      <w:r>
        <w:separator/>
      </w:r>
    </w:p>
  </w:footnote>
  <w:footnote w:type="continuationSeparator" w:id="0">
    <w:p w:rsidR="009C3880" w:rsidRDefault="009C3880" w:rsidP="008B60B2">
      <w:r>
        <w:separator/>
      </w:r>
    </w:p>
    <w:p w:rsidR="009C3880" w:rsidRPr="00ED77FB" w:rsidRDefault="009C3880" w:rsidP="008B60B2">
      <w:pPr>
        <w:spacing w:after="60"/>
        <w:rPr>
          <w:sz w:val="17"/>
          <w:szCs w:val="17"/>
        </w:rPr>
      </w:pPr>
      <w:r w:rsidRPr="00ED77FB">
        <w:rPr>
          <w:sz w:val="17"/>
          <w:szCs w:val="17"/>
        </w:rPr>
        <w:t>[Footnote continued from previous page]</w:t>
      </w:r>
    </w:p>
  </w:footnote>
  <w:footnote w:type="continuationNotice" w:id="1">
    <w:p w:rsidR="009C3880" w:rsidRPr="00ED77FB" w:rsidRDefault="009C388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50AD4" w:rsidRDefault="000D4BD5" w:rsidP="00477D6B">
    <w:pPr>
      <w:jc w:val="right"/>
      <w:rPr>
        <w:lang w:val="fr-CH"/>
      </w:rPr>
    </w:pPr>
    <w:bookmarkStart w:id="6" w:name="Code2"/>
    <w:bookmarkEnd w:id="6"/>
    <w:r w:rsidRPr="00750AD4">
      <w:rPr>
        <w:lang w:val="fr-CH"/>
      </w:rPr>
      <w:t>W</w:t>
    </w:r>
    <w:r w:rsidR="00610789" w:rsidRPr="00750AD4">
      <w:rPr>
        <w:lang w:val="fr-CH"/>
      </w:rPr>
      <w:t>IPO/EXP/IPTK/GE/18/2</w:t>
    </w:r>
  </w:p>
  <w:p w:rsidR="00EC4E49" w:rsidRPr="00750AD4" w:rsidRDefault="00EC4E49" w:rsidP="00477D6B">
    <w:pPr>
      <w:jc w:val="right"/>
      <w:rPr>
        <w:lang w:val="fr-CH"/>
      </w:rPr>
    </w:pPr>
    <w:proofErr w:type="gramStart"/>
    <w:r w:rsidRPr="00750AD4">
      <w:rPr>
        <w:lang w:val="fr-CH"/>
      </w:rPr>
      <w:t>page</w:t>
    </w:r>
    <w:proofErr w:type="gramEnd"/>
    <w:r w:rsidRPr="00750AD4">
      <w:rPr>
        <w:lang w:val="fr-CH"/>
      </w:rPr>
      <w:t xml:space="preserve"> </w:t>
    </w:r>
    <w:r>
      <w:fldChar w:fldCharType="begin"/>
    </w:r>
    <w:r w:rsidRPr="00750AD4">
      <w:rPr>
        <w:lang w:val="fr-CH"/>
      </w:rPr>
      <w:instrText xml:space="preserve"> PAGE  \* MERGEFORMAT </w:instrText>
    </w:r>
    <w:r>
      <w:fldChar w:fldCharType="separate"/>
    </w:r>
    <w:r w:rsidR="00951AC5">
      <w:rPr>
        <w:noProof/>
        <w:lang w:val="fr-CH"/>
      </w:rPr>
      <w:t>5</w:t>
    </w:r>
    <w:r>
      <w:fldChar w:fldCharType="end"/>
    </w:r>
  </w:p>
  <w:p w:rsidR="00EC4E49" w:rsidRPr="00750AD4" w:rsidRDefault="00EC4E49" w:rsidP="00477D6B">
    <w:pPr>
      <w:jc w:val="right"/>
      <w:rPr>
        <w:lang w:val="fr-CH"/>
      </w:rPr>
    </w:pPr>
  </w:p>
  <w:p w:rsidR="008A134B" w:rsidRPr="00750AD4" w:rsidRDefault="008A134B"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430170"/>
    <w:multiLevelType w:val="hybridMultilevel"/>
    <w:tmpl w:val="CB680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57071B"/>
    <w:multiLevelType w:val="hybridMultilevel"/>
    <w:tmpl w:val="B2FC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404D3"/>
    <w:multiLevelType w:val="hybridMultilevel"/>
    <w:tmpl w:val="79BE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C47C86"/>
    <w:multiLevelType w:val="hybridMultilevel"/>
    <w:tmpl w:val="E46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65187"/>
    <w:multiLevelType w:val="hybridMultilevel"/>
    <w:tmpl w:val="C8668644"/>
    <w:lvl w:ilvl="0" w:tplc="9BE8828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8317F8"/>
    <w:multiLevelType w:val="hybridMultilevel"/>
    <w:tmpl w:val="97C04836"/>
    <w:lvl w:ilvl="0" w:tplc="94FE7FF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4410B"/>
    <w:multiLevelType w:val="hybridMultilevel"/>
    <w:tmpl w:val="1840C94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430D048F"/>
    <w:multiLevelType w:val="hybridMultilevel"/>
    <w:tmpl w:val="06568D42"/>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4328111E"/>
    <w:multiLevelType w:val="hybridMultilevel"/>
    <w:tmpl w:val="CB6ECA54"/>
    <w:lvl w:ilvl="0" w:tplc="9BE8828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40E0D81"/>
    <w:multiLevelType w:val="hybridMultilevel"/>
    <w:tmpl w:val="6B4E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4512A0F"/>
    <w:multiLevelType w:val="hybridMultilevel"/>
    <w:tmpl w:val="5E7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91F7C"/>
    <w:multiLevelType w:val="hybridMultilevel"/>
    <w:tmpl w:val="02CC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235D38"/>
    <w:multiLevelType w:val="hybridMultilevel"/>
    <w:tmpl w:val="E26E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3404D"/>
    <w:multiLevelType w:val="hybridMultilevel"/>
    <w:tmpl w:val="F738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127EF"/>
    <w:multiLevelType w:val="hybridMultilevel"/>
    <w:tmpl w:val="8280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EC25B6"/>
    <w:multiLevelType w:val="hybridMultilevel"/>
    <w:tmpl w:val="D746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4B187D"/>
    <w:multiLevelType w:val="hybridMultilevel"/>
    <w:tmpl w:val="5CF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8"/>
  </w:num>
  <w:num w:numId="5">
    <w:abstractNumId w:val="1"/>
  </w:num>
  <w:num w:numId="6">
    <w:abstractNumId w:val="5"/>
  </w:num>
  <w:num w:numId="7">
    <w:abstractNumId w:val="16"/>
  </w:num>
  <w:num w:numId="8">
    <w:abstractNumId w:val="10"/>
  </w:num>
  <w:num w:numId="9">
    <w:abstractNumId w:val="12"/>
  </w:num>
  <w:num w:numId="10">
    <w:abstractNumId w:val="13"/>
  </w:num>
  <w:num w:numId="11">
    <w:abstractNumId w:val="9"/>
  </w:num>
  <w:num w:numId="12">
    <w:abstractNumId w:val="17"/>
  </w:num>
  <w:num w:numId="13">
    <w:abstractNumId w:val="19"/>
  </w:num>
  <w:num w:numId="14">
    <w:abstractNumId w:val="20"/>
  </w:num>
  <w:num w:numId="15">
    <w:abstractNumId w:val="23"/>
  </w:num>
  <w:num w:numId="16">
    <w:abstractNumId w:val="8"/>
  </w:num>
  <w:num w:numId="17">
    <w:abstractNumId w:val="21"/>
  </w:num>
  <w:num w:numId="18">
    <w:abstractNumId w:val="11"/>
  </w:num>
  <w:num w:numId="19">
    <w:abstractNumId w:val="3"/>
  </w:num>
  <w:num w:numId="20">
    <w:abstractNumId w:val="7"/>
  </w:num>
  <w:num w:numId="21">
    <w:abstractNumId w:val="2"/>
  </w:num>
  <w:num w:numId="22">
    <w:abstractNumId w:val="6"/>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D5"/>
    <w:rsid w:val="00003BD6"/>
    <w:rsid w:val="00031920"/>
    <w:rsid w:val="00043CAA"/>
    <w:rsid w:val="00075432"/>
    <w:rsid w:val="000807DB"/>
    <w:rsid w:val="000831C9"/>
    <w:rsid w:val="00084F25"/>
    <w:rsid w:val="000968ED"/>
    <w:rsid w:val="000D4BD5"/>
    <w:rsid w:val="000E2B93"/>
    <w:rsid w:val="000F5E56"/>
    <w:rsid w:val="001362EE"/>
    <w:rsid w:val="00150D56"/>
    <w:rsid w:val="001647D5"/>
    <w:rsid w:val="00166A92"/>
    <w:rsid w:val="0018292F"/>
    <w:rsid w:val="001832A6"/>
    <w:rsid w:val="00187F6C"/>
    <w:rsid w:val="001D088E"/>
    <w:rsid w:val="001F084E"/>
    <w:rsid w:val="0021217E"/>
    <w:rsid w:val="00233C45"/>
    <w:rsid w:val="002634C4"/>
    <w:rsid w:val="002928D3"/>
    <w:rsid w:val="0029357E"/>
    <w:rsid w:val="002965AA"/>
    <w:rsid w:val="002B6D96"/>
    <w:rsid w:val="002F1FE6"/>
    <w:rsid w:val="002F4E68"/>
    <w:rsid w:val="00312F7F"/>
    <w:rsid w:val="00340AE9"/>
    <w:rsid w:val="00361450"/>
    <w:rsid w:val="003673CF"/>
    <w:rsid w:val="0037092D"/>
    <w:rsid w:val="003845C1"/>
    <w:rsid w:val="003A6F89"/>
    <w:rsid w:val="003B1152"/>
    <w:rsid w:val="003B27D2"/>
    <w:rsid w:val="003B38C1"/>
    <w:rsid w:val="003D12FC"/>
    <w:rsid w:val="003E3795"/>
    <w:rsid w:val="004018A1"/>
    <w:rsid w:val="00423E3E"/>
    <w:rsid w:val="00427AF4"/>
    <w:rsid w:val="0043177A"/>
    <w:rsid w:val="00441DB4"/>
    <w:rsid w:val="004426F1"/>
    <w:rsid w:val="004647DA"/>
    <w:rsid w:val="00474062"/>
    <w:rsid w:val="00477D6B"/>
    <w:rsid w:val="004B350D"/>
    <w:rsid w:val="004D2A4A"/>
    <w:rsid w:val="004F668B"/>
    <w:rsid w:val="005019FF"/>
    <w:rsid w:val="00516C2D"/>
    <w:rsid w:val="00517798"/>
    <w:rsid w:val="00520061"/>
    <w:rsid w:val="0053057A"/>
    <w:rsid w:val="00560A29"/>
    <w:rsid w:val="00562D1E"/>
    <w:rsid w:val="00572A09"/>
    <w:rsid w:val="005C4023"/>
    <w:rsid w:val="005C6649"/>
    <w:rsid w:val="005E07C0"/>
    <w:rsid w:val="0060323A"/>
    <w:rsid w:val="00605827"/>
    <w:rsid w:val="00610789"/>
    <w:rsid w:val="00623AE8"/>
    <w:rsid w:val="00646050"/>
    <w:rsid w:val="006713CA"/>
    <w:rsid w:val="00676C5C"/>
    <w:rsid w:val="006D3C9F"/>
    <w:rsid w:val="006F4E56"/>
    <w:rsid w:val="007043EE"/>
    <w:rsid w:val="007301FA"/>
    <w:rsid w:val="007435C7"/>
    <w:rsid w:val="00750AD4"/>
    <w:rsid w:val="00774DAD"/>
    <w:rsid w:val="007767BE"/>
    <w:rsid w:val="007A1575"/>
    <w:rsid w:val="007B44F7"/>
    <w:rsid w:val="007C4728"/>
    <w:rsid w:val="007D1613"/>
    <w:rsid w:val="007E46A9"/>
    <w:rsid w:val="007E4C0E"/>
    <w:rsid w:val="007E71EB"/>
    <w:rsid w:val="00816717"/>
    <w:rsid w:val="00816953"/>
    <w:rsid w:val="00846707"/>
    <w:rsid w:val="00847939"/>
    <w:rsid w:val="008A134B"/>
    <w:rsid w:val="008B2CC1"/>
    <w:rsid w:val="008B4576"/>
    <w:rsid w:val="008B60B2"/>
    <w:rsid w:val="008C10CF"/>
    <w:rsid w:val="008D0D4B"/>
    <w:rsid w:val="0090731E"/>
    <w:rsid w:val="00916EE2"/>
    <w:rsid w:val="00950A4C"/>
    <w:rsid w:val="00951AC5"/>
    <w:rsid w:val="00966A22"/>
    <w:rsid w:val="0096722F"/>
    <w:rsid w:val="00967756"/>
    <w:rsid w:val="00980803"/>
    <w:rsid w:val="00980843"/>
    <w:rsid w:val="009A0B04"/>
    <w:rsid w:val="009C2752"/>
    <w:rsid w:val="009C3880"/>
    <w:rsid w:val="009C3F61"/>
    <w:rsid w:val="009E2791"/>
    <w:rsid w:val="009E3F6F"/>
    <w:rsid w:val="009F499F"/>
    <w:rsid w:val="009F7789"/>
    <w:rsid w:val="00A05DB8"/>
    <w:rsid w:val="00A2390D"/>
    <w:rsid w:val="00A37342"/>
    <w:rsid w:val="00A42DAF"/>
    <w:rsid w:val="00A45BD8"/>
    <w:rsid w:val="00A67FE6"/>
    <w:rsid w:val="00A73D7E"/>
    <w:rsid w:val="00A74AE9"/>
    <w:rsid w:val="00A869B7"/>
    <w:rsid w:val="00AC205C"/>
    <w:rsid w:val="00AE5D78"/>
    <w:rsid w:val="00AF0A6B"/>
    <w:rsid w:val="00AF1ED6"/>
    <w:rsid w:val="00B05A69"/>
    <w:rsid w:val="00B112D7"/>
    <w:rsid w:val="00B77005"/>
    <w:rsid w:val="00B9734B"/>
    <w:rsid w:val="00BA16E1"/>
    <w:rsid w:val="00BA30E2"/>
    <w:rsid w:val="00BD6FAC"/>
    <w:rsid w:val="00BE6183"/>
    <w:rsid w:val="00BF6A83"/>
    <w:rsid w:val="00C11BFE"/>
    <w:rsid w:val="00C23E36"/>
    <w:rsid w:val="00C5068F"/>
    <w:rsid w:val="00C57CEF"/>
    <w:rsid w:val="00C605A3"/>
    <w:rsid w:val="00C7365D"/>
    <w:rsid w:val="00C81E70"/>
    <w:rsid w:val="00C86D74"/>
    <w:rsid w:val="00CC0C14"/>
    <w:rsid w:val="00CC5FF5"/>
    <w:rsid w:val="00CD04F1"/>
    <w:rsid w:val="00CE1AD8"/>
    <w:rsid w:val="00CE66EF"/>
    <w:rsid w:val="00D05554"/>
    <w:rsid w:val="00D1181D"/>
    <w:rsid w:val="00D45252"/>
    <w:rsid w:val="00D53171"/>
    <w:rsid w:val="00D61185"/>
    <w:rsid w:val="00D66B9B"/>
    <w:rsid w:val="00D71B4D"/>
    <w:rsid w:val="00D80FF7"/>
    <w:rsid w:val="00D93D55"/>
    <w:rsid w:val="00DC5D23"/>
    <w:rsid w:val="00DE079F"/>
    <w:rsid w:val="00DE45DC"/>
    <w:rsid w:val="00E02CE2"/>
    <w:rsid w:val="00E1184A"/>
    <w:rsid w:val="00E15015"/>
    <w:rsid w:val="00E163E8"/>
    <w:rsid w:val="00E21EA7"/>
    <w:rsid w:val="00E335FE"/>
    <w:rsid w:val="00E408B2"/>
    <w:rsid w:val="00E53211"/>
    <w:rsid w:val="00E57D3D"/>
    <w:rsid w:val="00E65079"/>
    <w:rsid w:val="00E723B6"/>
    <w:rsid w:val="00E75D08"/>
    <w:rsid w:val="00E77050"/>
    <w:rsid w:val="00E94608"/>
    <w:rsid w:val="00EA1441"/>
    <w:rsid w:val="00EA7D6E"/>
    <w:rsid w:val="00EC4815"/>
    <w:rsid w:val="00EC4E49"/>
    <w:rsid w:val="00EC7882"/>
    <w:rsid w:val="00ED77FB"/>
    <w:rsid w:val="00EE45FA"/>
    <w:rsid w:val="00EE4A26"/>
    <w:rsid w:val="00EF1964"/>
    <w:rsid w:val="00EF442A"/>
    <w:rsid w:val="00F54D37"/>
    <w:rsid w:val="00F66152"/>
    <w:rsid w:val="00F83C2E"/>
    <w:rsid w:val="00FA6B85"/>
    <w:rsid w:val="00FC01F4"/>
    <w:rsid w:val="00FE22F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D4BD5"/>
    <w:pPr>
      <w:ind w:left="720"/>
      <w:contextualSpacing/>
    </w:pPr>
  </w:style>
  <w:style w:type="table" w:styleId="TableGrid">
    <w:name w:val="Table Grid"/>
    <w:basedOn w:val="TableNormal"/>
    <w:rsid w:val="000D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47939"/>
    <w:rPr>
      <w:rFonts w:ascii="Segoe UI" w:hAnsi="Segoe UI" w:cs="Segoe UI"/>
      <w:sz w:val="18"/>
      <w:szCs w:val="18"/>
    </w:rPr>
  </w:style>
  <w:style w:type="character" w:customStyle="1" w:styleId="BalloonTextChar">
    <w:name w:val="Balloon Text Char"/>
    <w:basedOn w:val="DefaultParagraphFont"/>
    <w:link w:val="BalloonText"/>
    <w:semiHidden/>
    <w:rsid w:val="00847939"/>
    <w:rPr>
      <w:rFonts w:ascii="Segoe UI" w:eastAsia="SimSun" w:hAnsi="Segoe UI" w:cs="Segoe UI"/>
      <w:sz w:val="18"/>
      <w:szCs w:val="18"/>
      <w:lang w:val="en-US" w:eastAsia="zh-CN"/>
    </w:rPr>
  </w:style>
  <w:style w:type="character" w:styleId="Hyperlink">
    <w:name w:val="Hyperlink"/>
    <w:basedOn w:val="DefaultParagraphFont"/>
    <w:unhideWhenUsed/>
    <w:rsid w:val="00E770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D4BD5"/>
    <w:pPr>
      <w:ind w:left="720"/>
      <w:contextualSpacing/>
    </w:pPr>
  </w:style>
  <w:style w:type="table" w:styleId="TableGrid">
    <w:name w:val="Table Grid"/>
    <w:basedOn w:val="TableNormal"/>
    <w:rsid w:val="000D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47939"/>
    <w:rPr>
      <w:rFonts w:ascii="Segoe UI" w:hAnsi="Segoe UI" w:cs="Segoe UI"/>
      <w:sz w:val="18"/>
      <w:szCs w:val="18"/>
    </w:rPr>
  </w:style>
  <w:style w:type="character" w:customStyle="1" w:styleId="BalloonTextChar">
    <w:name w:val="Balloon Text Char"/>
    <w:basedOn w:val="DefaultParagraphFont"/>
    <w:link w:val="BalloonText"/>
    <w:semiHidden/>
    <w:rsid w:val="00847939"/>
    <w:rPr>
      <w:rFonts w:ascii="Segoe UI" w:eastAsia="SimSun" w:hAnsi="Segoe UI" w:cs="Segoe UI"/>
      <w:sz w:val="18"/>
      <w:szCs w:val="18"/>
      <w:lang w:val="en-US" w:eastAsia="zh-CN"/>
    </w:rPr>
  </w:style>
  <w:style w:type="character" w:styleId="Hyperlink">
    <w:name w:val="Hyperlink"/>
    <w:basedOn w:val="DefaultParagraphFont"/>
    <w:unhideWhenUsed/>
    <w:rsid w:val="00E77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30299">
      <w:bodyDiv w:val="1"/>
      <w:marLeft w:val="0"/>
      <w:marRight w:val="0"/>
      <w:marTop w:val="0"/>
      <w:marBottom w:val="0"/>
      <w:divBdr>
        <w:top w:val="none" w:sz="0" w:space="0" w:color="auto"/>
        <w:left w:val="none" w:sz="0" w:space="0" w:color="auto"/>
        <w:bottom w:val="none" w:sz="0" w:space="0" w:color="auto"/>
        <w:right w:val="none" w:sz="0" w:space="0" w:color="auto"/>
      </w:divBdr>
    </w:div>
    <w:div w:id="19552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Wendland</cp:lastModifiedBy>
  <cp:revision>10</cp:revision>
  <cp:lastPrinted>2018-11-14T10:41:00Z</cp:lastPrinted>
  <dcterms:created xsi:type="dcterms:W3CDTF">2018-11-27T05:55:00Z</dcterms:created>
  <dcterms:modified xsi:type="dcterms:W3CDTF">2018-11-27T06:20:00Z</dcterms:modified>
</cp:coreProperties>
</file>