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14:anchorId="5918C31D" wp14:editId="26021BF5">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2366C8"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2366C8" w:rsidRDefault="00CC261B" w:rsidP="00916EE2">
            <w:pPr>
              <w:jc w:val="right"/>
              <w:rPr>
                <w:rFonts w:ascii="Arial Black" w:hAnsi="Arial Black"/>
                <w:caps/>
                <w:sz w:val="15"/>
                <w:highlight w:val="yellow"/>
              </w:rPr>
            </w:pPr>
            <w:bookmarkStart w:id="0" w:name="Code"/>
            <w:bookmarkEnd w:id="0"/>
            <w:r w:rsidRPr="00CC261B">
              <w:rPr>
                <w:rFonts w:ascii="Arial Black" w:hAnsi="Arial Black"/>
                <w:caps/>
                <w:sz w:val="15"/>
              </w:rPr>
              <w:t>WIPO/EXP/GR/GE/18</w:t>
            </w:r>
            <w:r w:rsidR="00973CA7">
              <w:rPr>
                <w:rFonts w:ascii="Arial Black" w:hAnsi="Arial Black"/>
                <w:caps/>
                <w:sz w:val="15"/>
              </w:rPr>
              <w:t>/2</w:t>
            </w:r>
            <w:r w:rsidR="008B2CC1" w:rsidRPr="002366C8">
              <w:rPr>
                <w:rFonts w:ascii="Arial Black" w:hAnsi="Arial Black"/>
                <w:caps/>
                <w:sz w:val="15"/>
                <w:highlight w:val="yellow"/>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2366C8">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218B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E840BC">
              <w:rPr>
                <w:rFonts w:ascii="Arial Black" w:hAnsi="Arial Black"/>
                <w:caps/>
                <w:sz w:val="15"/>
              </w:rPr>
              <w:t>June 1</w:t>
            </w:r>
            <w:r w:rsidR="00B218B1">
              <w:rPr>
                <w:rFonts w:ascii="Arial Black" w:hAnsi="Arial Black"/>
                <w:caps/>
                <w:sz w:val="15"/>
              </w:rPr>
              <w:t>4</w:t>
            </w:r>
            <w:r w:rsidR="002366C8">
              <w:rPr>
                <w:rFonts w:ascii="Arial Black" w:hAnsi="Arial Black"/>
                <w:caps/>
                <w:sz w:val="15"/>
              </w:rPr>
              <w:t>,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EA2B1E" w:rsidP="008B2CC1">
      <w:pPr>
        <w:rPr>
          <w:b/>
          <w:sz w:val="28"/>
          <w:szCs w:val="28"/>
        </w:rPr>
      </w:pPr>
      <w:r w:rsidRPr="00EA2B1E">
        <w:rPr>
          <w:b/>
          <w:i/>
          <w:sz w:val="28"/>
          <w:szCs w:val="28"/>
        </w:rPr>
        <w:t>Ad Hoc</w:t>
      </w:r>
      <w:r>
        <w:rPr>
          <w:b/>
          <w:sz w:val="28"/>
          <w:szCs w:val="28"/>
        </w:rPr>
        <w:t xml:space="preserve"> Expert Group on Genetic Resources</w:t>
      </w:r>
    </w:p>
    <w:p w:rsidR="003845C1" w:rsidRDefault="003845C1" w:rsidP="003845C1"/>
    <w:p w:rsidR="003845C1" w:rsidRDefault="003845C1" w:rsidP="003845C1"/>
    <w:p w:rsidR="008B2CC1" w:rsidRPr="003845C1" w:rsidRDefault="00EA2B1E" w:rsidP="008B2CC1">
      <w:pPr>
        <w:rPr>
          <w:b/>
          <w:sz w:val="24"/>
          <w:szCs w:val="24"/>
        </w:rPr>
      </w:pPr>
      <w:r>
        <w:rPr>
          <w:b/>
          <w:sz w:val="24"/>
          <w:szCs w:val="24"/>
        </w:rPr>
        <w:t>Geneva, June 24,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973CA7" w:rsidP="008B2CC1">
      <w:pPr>
        <w:rPr>
          <w:caps/>
          <w:sz w:val="24"/>
        </w:rPr>
      </w:pPr>
      <w:bookmarkStart w:id="3" w:name="TitleOfDoc"/>
      <w:bookmarkEnd w:id="3"/>
      <w:r>
        <w:rPr>
          <w:caps/>
          <w:sz w:val="24"/>
        </w:rPr>
        <w:t>Substantive background</w:t>
      </w:r>
      <w:r w:rsidR="002366C8">
        <w:rPr>
          <w:caps/>
          <w:sz w:val="24"/>
        </w:rPr>
        <w:t xml:space="preserve"> Note</w:t>
      </w:r>
    </w:p>
    <w:p w:rsidR="008B2CC1" w:rsidRPr="008B2CC1" w:rsidRDefault="008B2CC1" w:rsidP="008B2CC1"/>
    <w:p w:rsidR="008B2CC1" w:rsidRPr="008B2CC1" w:rsidRDefault="002366C8" w:rsidP="008B2CC1">
      <w:pPr>
        <w:rPr>
          <w:i/>
        </w:rPr>
      </w:pPr>
      <w:bookmarkStart w:id="4" w:name="Prepared"/>
      <w:bookmarkEnd w:id="4"/>
      <w:r>
        <w:rPr>
          <w:i/>
        </w:rPr>
        <w:t xml:space="preserve">Prepared by the </w:t>
      </w:r>
      <w:r w:rsidR="00EA2B1E">
        <w:rPr>
          <w:i/>
        </w:rPr>
        <w:t>International Bureau of WIPO</w:t>
      </w:r>
    </w:p>
    <w:p w:rsidR="00AC205C" w:rsidRDefault="00AC205C"/>
    <w:p w:rsidR="000F5E56" w:rsidRDefault="000F5E56"/>
    <w:p w:rsidR="002928D3" w:rsidRDefault="002928D3"/>
    <w:p w:rsidR="002928D3" w:rsidRDefault="002928D3" w:rsidP="0053057A"/>
    <w:p w:rsidR="00EA2B1E" w:rsidRDefault="00EA2B1E">
      <w:r>
        <w:br w:type="page"/>
      </w:r>
    </w:p>
    <w:p w:rsidR="002928D3" w:rsidRDefault="00EA2B1E" w:rsidP="000728DF">
      <w:pPr>
        <w:rPr>
          <w:szCs w:val="22"/>
        </w:rPr>
      </w:pPr>
      <w:r>
        <w:lastRenderedPageBreak/>
        <w:fldChar w:fldCharType="begin"/>
      </w:r>
      <w:r>
        <w:instrText xml:space="preserve"> AUTONUM  </w:instrText>
      </w:r>
      <w:r>
        <w:fldChar w:fldCharType="end"/>
      </w:r>
      <w:r w:rsidR="00596D83">
        <w:tab/>
        <w:t>The</w:t>
      </w:r>
      <w:r>
        <w:t xml:space="preserve"> overall objective of the </w:t>
      </w:r>
      <w:r w:rsidR="00D33D96" w:rsidRPr="00EA2B1E">
        <w:rPr>
          <w:i/>
        </w:rPr>
        <w:t>ad hoc</w:t>
      </w:r>
      <w:r w:rsidR="00D33D96">
        <w:t xml:space="preserve"> expert group on genetic resources </w:t>
      </w:r>
      <w:r>
        <w:t xml:space="preserve">is, as indicated in the </w:t>
      </w:r>
      <w:r w:rsidRPr="00E90B6B">
        <w:rPr>
          <w:szCs w:val="22"/>
        </w:rPr>
        <w:t>mandate of the Intergovernmental Committee on Intellectual Property and Genetic Resources, Tradition</w:t>
      </w:r>
      <w:r>
        <w:rPr>
          <w:szCs w:val="22"/>
        </w:rPr>
        <w:t xml:space="preserve">al Knowledge and Folklore (“IGC”) and the Decisions of </w:t>
      </w:r>
      <w:r w:rsidR="00F67CF9">
        <w:rPr>
          <w:szCs w:val="22"/>
        </w:rPr>
        <w:t xml:space="preserve">the </w:t>
      </w:r>
      <w:r w:rsidR="002F28BB">
        <w:rPr>
          <w:szCs w:val="22"/>
        </w:rPr>
        <w:t>Thirty-Fifth S</w:t>
      </w:r>
      <w:r w:rsidR="00F67CF9">
        <w:rPr>
          <w:szCs w:val="22"/>
        </w:rPr>
        <w:t xml:space="preserve">ession of the </w:t>
      </w:r>
      <w:r>
        <w:rPr>
          <w:szCs w:val="22"/>
        </w:rPr>
        <w:t>IGC</w:t>
      </w:r>
      <w:r w:rsidR="002F28BB">
        <w:rPr>
          <w:szCs w:val="22"/>
        </w:rPr>
        <w:t xml:space="preserve"> (“IGC 35”)</w:t>
      </w:r>
      <w:r w:rsidR="00F67CF9">
        <w:rPr>
          <w:szCs w:val="22"/>
        </w:rPr>
        <w:t>, which took place from March 19 to 23, 2018</w:t>
      </w:r>
      <w:r>
        <w:rPr>
          <w:szCs w:val="22"/>
        </w:rPr>
        <w:t xml:space="preserve">, </w:t>
      </w:r>
      <w:r w:rsidR="00B50079">
        <w:rPr>
          <w:szCs w:val="22"/>
        </w:rPr>
        <w:t xml:space="preserve">to </w:t>
      </w:r>
      <w:r w:rsidR="00D33D96">
        <w:rPr>
          <w:szCs w:val="22"/>
        </w:rPr>
        <w:t>address specific le</w:t>
      </w:r>
      <w:r w:rsidR="00B50079">
        <w:rPr>
          <w:szCs w:val="22"/>
        </w:rPr>
        <w:t>gal, policy or technical issues</w:t>
      </w:r>
      <w:r w:rsidR="00D33D96">
        <w:rPr>
          <w:szCs w:val="22"/>
        </w:rPr>
        <w:t xml:space="preserve">.  The results of the work will be </w:t>
      </w:r>
      <w:r w:rsidR="000728DF">
        <w:rPr>
          <w:szCs w:val="22"/>
        </w:rPr>
        <w:t xml:space="preserve">reported </w:t>
      </w:r>
      <w:r w:rsidR="00D33D96">
        <w:rPr>
          <w:szCs w:val="22"/>
        </w:rPr>
        <w:t xml:space="preserve">to </w:t>
      </w:r>
      <w:r w:rsidR="00F67CF9">
        <w:rPr>
          <w:szCs w:val="22"/>
        </w:rPr>
        <w:t xml:space="preserve">and further addressed by </w:t>
      </w:r>
      <w:r w:rsidR="00D33D96">
        <w:rPr>
          <w:szCs w:val="22"/>
        </w:rPr>
        <w:t>the IGC</w:t>
      </w:r>
      <w:r w:rsidR="000728DF">
        <w:rPr>
          <w:szCs w:val="22"/>
        </w:rPr>
        <w:t xml:space="preserve">. </w:t>
      </w:r>
    </w:p>
    <w:p w:rsidR="00D33D96" w:rsidRDefault="00D33D96">
      <w:pPr>
        <w:rPr>
          <w:szCs w:val="22"/>
        </w:rPr>
      </w:pPr>
    </w:p>
    <w:p w:rsidR="00973CA7" w:rsidRDefault="00D33D96">
      <w:r>
        <w:fldChar w:fldCharType="begin"/>
      </w:r>
      <w:r>
        <w:instrText xml:space="preserve"> AUTONUM  </w:instrText>
      </w:r>
      <w:r>
        <w:fldChar w:fldCharType="end"/>
      </w:r>
      <w:r>
        <w:tab/>
      </w:r>
      <w:r w:rsidR="00973CA7">
        <w:t>I</w:t>
      </w:r>
      <w:r w:rsidR="000728DF">
        <w:t>n accordance with the Decisions taken at IGC 35</w:t>
      </w:r>
      <w:r w:rsidR="00973CA7">
        <w:t xml:space="preserve">, </w:t>
      </w:r>
      <w:r w:rsidR="009D6D01">
        <w:t xml:space="preserve">Member States, through the Regional Coordinators, were invited to suggest the specific issues to be considered by the </w:t>
      </w:r>
      <w:r w:rsidR="009D6D01" w:rsidRPr="00064EE6">
        <w:rPr>
          <w:i/>
        </w:rPr>
        <w:t>ad hoc</w:t>
      </w:r>
      <w:r w:rsidR="009D6D01">
        <w:t xml:space="preserve"> expert group.  The IGC Chair and Vice-</w:t>
      </w:r>
      <w:r w:rsidR="00064EE6">
        <w:t xml:space="preserve">Chairs identified the list of issues from the suggestions made by Member States and provided </w:t>
      </w:r>
      <w:r w:rsidR="00C562F3">
        <w:t xml:space="preserve">them </w:t>
      </w:r>
      <w:r w:rsidR="00064EE6">
        <w:t xml:space="preserve">to the Regional Coordinators for comments. </w:t>
      </w:r>
      <w:r w:rsidR="00973CA7">
        <w:t xml:space="preserve"> </w:t>
      </w:r>
      <w:r w:rsidR="00064EE6">
        <w:t>T</w:t>
      </w:r>
      <w:r w:rsidR="00973CA7">
        <w:t xml:space="preserve">he </w:t>
      </w:r>
      <w:r w:rsidR="00973CA7" w:rsidRPr="00CB63A8">
        <w:rPr>
          <w:i/>
        </w:rPr>
        <w:t>ad hoc</w:t>
      </w:r>
      <w:r w:rsidR="00973CA7">
        <w:t xml:space="preserve"> expert group will</w:t>
      </w:r>
      <w:r w:rsidR="00C562F3">
        <w:t>,</w:t>
      </w:r>
      <w:r w:rsidR="00973CA7">
        <w:t xml:space="preserve"> </w:t>
      </w:r>
      <w:r w:rsidR="00064EE6">
        <w:t>therefore</w:t>
      </w:r>
      <w:r w:rsidR="00C562F3">
        <w:t>,</w:t>
      </w:r>
      <w:r w:rsidR="00064EE6">
        <w:t xml:space="preserve"> </w:t>
      </w:r>
      <w:r w:rsidR="00973CA7">
        <w:t>address the following issues:</w:t>
      </w:r>
    </w:p>
    <w:p w:rsidR="00973CA7" w:rsidRDefault="00973CA7"/>
    <w:p w:rsidR="00973CA7" w:rsidRPr="00AD3CB6" w:rsidRDefault="00973CA7" w:rsidP="00973CA7">
      <w:pPr>
        <w:numPr>
          <w:ilvl w:val="0"/>
          <w:numId w:val="8"/>
        </w:numPr>
        <w:rPr>
          <w:lang w:val="en-AU"/>
        </w:rPr>
      </w:pPr>
      <w:r w:rsidRPr="00AD3CB6">
        <w:rPr>
          <w:u w:val="single"/>
        </w:rPr>
        <w:t>Subject Matter</w:t>
      </w:r>
      <w:r>
        <w:t>, including scope (intellectual property</w:t>
      </w:r>
      <w:r w:rsidRPr="00AD3CB6">
        <w:t xml:space="preserve"> </w:t>
      </w:r>
      <w:r>
        <w:t>or patents) and use of terms – genetic resources, traditional k</w:t>
      </w:r>
      <w:r w:rsidRPr="00AD3CB6">
        <w:t>nowledge associated with</w:t>
      </w:r>
      <w:r>
        <w:t xml:space="preserve"> genetic resources, derivatives;</w:t>
      </w:r>
    </w:p>
    <w:p w:rsidR="00973CA7" w:rsidRPr="00AD3CB6" w:rsidRDefault="00973CA7" w:rsidP="00973CA7">
      <w:pPr>
        <w:numPr>
          <w:ilvl w:val="0"/>
          <w:numId w:val="8"/>
        </w:numPr>
        <w:rPr>
          <w:lang w:val="en-AU"/>
        </w:rPr>
      </w:pPr>
      <w:r w:rsidRPr="00AD3CB6">
        <w:rPr>
          <w:u w:val="single"/>
        </w:rPr>
        <w:t>Disclosure</w:t>
      </w:r>
      <w:r w:rsidRPr="00AD3CB6">
        <w:t>:</w:t>
      </w:r>
    </w:p>
    <w:p w:rsidR="00973CA7" w:rsidRPr="00AD3CB6" w:rsidRDefault="00973CA7" w:rsidP="00973CA7">
      <w:pPr>
        <w:pStyle w:val="ListParagraph"/>
        <w:numPr>
          <w:ilvl w:val="0"/>
          <w:numId w:val="9"/>
        </w:numPr>
        <w:rPr>
          <w:lang w:val="en-AU"/>
        </w:rPr>
      </w:pPr>
      <w:r w:rsidRPr="00AD3CB6">
        <w:t>Trigger and use of terms – directly based on, utilization.</w:t>
      </w:r>
    </w:p>
    <w:p w:rsidR="00973CA7" w:rsidRPr="00AD3CB6" w:rsidRDefault="00973CA7" w:rsidP="00973CA7">
      <w:pPr>
        <w:pStyle w:val="ListParagraph"/>
        <w:numPr>
          <w:ilvl w:val="0"/>
          <w:numId w:val="9"/>
        </w:numPr>
        <w:rPr>
          <w:lang w:val="en-AU"/>
        </w:rPr>
      </w:pPr>
      <w:r w:rsidRPr="00AD3CB6">
        <w:t>Content and use of terms – source, providing country, country of origin.</w:t>
      </w:r>
    </w:p>
    <w:p w:rsidR="00973CA7" w:rsidRPr="00AD3CB6" w:rsidRDefault="00973CA7" w:rsidP="00973CA7">
      <w:pPr>
        <w:pStyle w:val="ListParagraph"/>
        <w:numPr>
          <w:ilvl w:val="0"/>
          <w:numId w:val="9"/>
        </w:numPr>
        <w:rPr>
          <w:lang w:val="en-AU"/>
        </w:rPr>
      </w:pPr>
      <w:r w:rsidRPr="00AD3CB6">
        <w:t>Consequences of non-c</w:t>
      </w:r>
      <w:r>
        <w:t>ompliance – sanctions/remedies</w:t>
      </w:r>
      <w:r w:rsidRPr="00AD3CB6">
        <w:rPr>
          <w:lang w:val="en-AU"/>
        </w:rPr>
        <w:t>;</w:t>
      </w:r>
    </w:p>
    <w:p w:rsidR="00973CA7" w:rsidRDefault="00973CA7" w:rsidP="00973CA7">
      <w:pPr>
        <w:numPr>
          <w:ilvl w:val="0"/>
          <w:numId w:val="7"/>
        </w:numPr>
      </w:pPr>
      <w:r w:rsidRPr="00AD3CB6">
        <w:rPr>
          <w:u w:val="single"/>
        </w:rPr>
        <w:t>Databases</w:t>
      </w:r>
      <w:r w:rsidRPr="00AD3CB6">
        <w:t xml:space="preserve">:  </w:t>
      </w:r>
      <w:r w:rsidR="00D94448">
        <w:t xml:space="preserve">technical issues such as </w:t>
      </w:r>
      <w:r w:rsidRPr="00AD3CB6">
        <w:t>safeguards</w:t>
      </w:r>
      <w:r w:rsidR="00285849">
        <w:t xml:space="preserve"> and practical issues relating to the establishment </w:t>
      </w:r>
      <w:r w:rsidR="00C562F3">
        <w:t xml:space="preserve">and functioning </w:t>
      </w:r>
      <w:r w:rsidR="00285849">
        <w:t>of databases</w:t>
      </w:r>
      <w:r>
        <w:t>;</w:t>
      </w:r>
    </w:p>
    <w:p w:rsidR="00B50079" w:rsidRDefault="00973CA7" w:rsidP="00973CA7">
      <w:pPr>
        <w:numPr>
          <w:ilvl w:val="0"/>
          <w:numId w:val="7"/>
        </w:numPr>
      </w:pPr>
      <w:r w:rsidRPr="00973CA7">
        <w:rPr>
          <w:u w:val="single"/>
        </w:rPr>
        <w:t>Due Diligence Mechanisms</w:t>
      </w:r>
      <w:r w:rsidRPr="00AD3CB6">
        <w:t xml:space="preserve">:  </w:t>
      </w:r>
      <w:r w:rsidR="00D94448">
        <w:t>technical issues relating to the</w:t>
      </w:r>
      <w:r w:rsidR="00285849">
        <w:t xml:space="preserve"> </w:t>
      </w:r>
      <w:r w:rsidR="00C562F3">
        <w:t xml:space="preserve">establishment and functioning of </w:t>
      </w:r>
      <w:r w:rsidR="00285849">
        <w:t>various kinds of such mechanisms</w:t>
      </w:r>
      <w:r w:rsidR="000728DF">
        <w:t xml:space="preserve">.  </w:t>
      </w:r>
    </w:p>
    <w:p w:rsidR="00B50079" w:rsidRDefault="00B50079"/>
    <w:p w:rsidR="00D33D96" w:rsidRDefault="00B50079" w:rsidP="00973CA7">
      <w:r>
        <w:fldChar w:fldCharType="begin"/>
      </w:r>
      <w:r>
        <w:instrText xml:space="preserve"> AUTONUM  </w:instrText>
      </w:r>
      <w:r>
        <w:fldChar w:fldCharType="end"/>
      </w:r>
      <w:r>
        <w:tab/>
      </w:r>
      <w:r w:rsidR="00973CA7">
        <w:t>This</w:t>
      </w:r>
      <w:r w:rsidR="00BE0B0E">
        <w:t xml:space="preserve"> </w:t>
      </w:r>
      <w:r w:rsidR="000728DF">
        <w:t xml:space="preserve">Substantive Background Note </w:t>
      </w:r>
      <w:r w:rsidR="00D33D96">
        <w:t>provide</w:t>
      </w:r>
      <w:r w:rsidR="00973CA7">
        <w:t>s</w:t>
      </w:r>
      <w:r w:rsidR="00D33D96">
        <w:t xml:space="preserve"> some background in</w:t>
      </w:r>
      <w:r w:rsidR="00973CA7">
        <w:t>formation on the list of issues</w:t>
      </w:r>
      <w:r w:rsidR="00CB63A8">
        <w:t xml:space="preserve">, and proposes some questions for the </w:t>
      </w:r>
      <w:r w:rsidR="00CB63A8" w:rsidRPr="00CB63A8">
        <w:rPr>
          <w:i/>
        </w:rPr>
        <w:t>ad hoc</w:t>
      </w:r>
      <w:r w:rsidR="00CB63A8">
        <w:t xml:space="preserve"> expert group to consider</w:t>
      </w:r>
      <w:r w:rsidR="00973CA7">
        <w:t xml:space="preserve">.  </w:t>
      </w:r>
    </w:p>
    <w:p w:rsidR="007F1806" w:rsidRDefault="007F1806" w:rsidP="007F1806"/>
    <w:p w:rsidR="00D33D96" w:rsidRPr="00D33D96" w:rsidRDefault="00973CA7">
      <w:pPr>
        <w:rPr>
          <w:b/>
        </w:rPr>
      </w:pPr>
      <w:r>
        <w:rPr>
          <w:b/>
        </w:rPr>
        <w:t>Subject matter</w:t>
      </w:r>
    </w:p>
    <w:p w:rsidR="00D33D96" w:rsidRDefault="00D33D96"/>
    <w:p w:rsidR="00580A9D" w:rsidRDefault="00D33D96">
      <w:r>
        <w:fldChar w:fldCharType="begin"/>
      </w:r>
      <w:r>
        <w:instrText xml:space="preserve"> AUTONUM  </w:instrText>
      </w:r>
      <w:r>
        <w:fldChar w:fldCharType="end"/>
      </w:r>
      <w:r>
        <w:tab/>
      </w:r>
      <w:r w:rsidR="00B31BA5">
        <w:t>A determination of the subject matter of the instrument</w:t>
      </w:r>
      <w:r w:rsidR="00CB63A8">
        <w:t xml:space="preserve"> negotiated by the IGC</w:t>
      </w:r>
      <w:r w:rsidR="00B31BA5">
        <w:t xml:space="preserve"> is one important issue.  Two questions </w:t>
      </w:r>
      <w:r w:rsidR="00B04684">
        <w:t xml:space="preserve">the </w:t>
      </w:r>
      <w:r w:rsidR="00B04684" w:rsidRPr="00B04684">
        <w:rPr>
          <w:i/>
        </w:rPr>
        <w:t>ad hoc</w:t>
      </w:r>
      <w:r w:rsidR="00B04684">
        <w:t xml:space="preserve"> expert group is invited to</w:t>
      </w:r>
      <w:r w:rsidR="00B31BA5">
        <w:t xml:space="preserve"> discuss are:</w:t>
      </w:r>
      <w:r w:rsidR="00EE7EEB">
        <w:br/>
      </w:r>
    </w:p>
    <w:p w:rsidR="00B31BA5" w:rsidRPr="00B31BA5" w:rsidRDefault="00B31BA5" w:rsidP="00B31BA5">
      <w:pPr>
        <w:pStyle w:val="ListParagraph"/>
        <w:numPr>
          <w:ilvl w:val="0"/>
          <w:numId w:val="13"/>
        </w:numPr>
      </w:pPr>
      <w:r w:rsidRPr="00B31BA5">
        <w:rPr>
          <w:bCs/>
        </w:rPr>
        <w:t xml:space="preserve">While there is consensus that the instrument should apply to </w:t>
      </w:r>
      <w:r>
        <w:rPr>
          <w:bCs/>
        </w:rPr>
        <w:t>genetic resources (</w:t>
      </w:r>
      <w:r w:rsidRPr="00B31BA5">
        <w:rPr>
          <w:bCs/>
        </w:rPr>
        <w:t>GRs</w:t>
      </w:r>
      <w:r>
        <w:rPr>
          <w:bCs/>
        </w:rPr>
        <w:t>)</w:t>
      </w:r>
      <w:r w:rsidRPr="00B31BA5">
        <w:rPr>
          <w:bCs/>
        </w:rPr>
        <w:t xml:space="preserve">, should it also apply to </w:t>
      </w:r>
      <w:r>
        <w:rPr>
          <w:bCs/>
        </w:rPr>
        <w:t>traditional knowledge (TK)</w:t>
      </w:r>
      <w:r w:rsidRPr="00B31BA5">
        <w:rPr>
          <w:bCs/>
        </w:rPr>
        <w:t xml:space="preserve"> associa</w:t>
      </w:r>
      <w:r>
        <w:rPr>
          <w:bCs/>
        </w:rPr>
        <w:t xml:space="preserve">ted with GRs, </w:t>
      </w:r>
      <w:r w:rsidR="00CB63A8">
        <w:rPr>
          <w:bCs/>
        </w:rPr>
        <w:t xml:space="preserve">noting </w:t>
      </w:r>
      <w:r w:rsidRPr="00B31BA5">
        <w:rPr>
          <w:bCs/>
        </w:rPr>
        <w:t>that TK is not always associated with a GR</w:t>
      </w:r>
      <w:r w:rsidR="00EE7EEB">
        <w:rPr>
          <w:bCs/>
        </w:rPr>
        <w:t xml:space="preserve">.  Furthermore, TK is addressed in a separate </w:t>
      </w:r>
      <w:r w:rsidR="00BE1719">
        <w:rPr>
          <w:bCs/>
        </w:rPr>
        <w:t>draft</w:t>
      </w:r>
      <w:r w:rsidR="001E64F6">
        <w:rPr>
          <w:bCs/>
        </w:rPr>
        <w:t xml:space="preserve"> IGC </w:t>
      </w:r>
      <w:r w:rsidR="00EE7EEB">
        <w:rPr>
          <w:bCs/>
        </w:rPr>
        <w:t>text</w:t>
      </w:r>
      <w:r>
        <w:rPr>
          <w:bCs/>
        </w:rPr>
        <w:t xml:space="preserve">, </w:t>
      </w:r>
      <w:r w:rsidR="00EE7EEB">
        <w:rPr>
          <w:bCs/>
        </w:rPr>
        <w:t xml:space="preserve">which includes </w:t>
      </w:r>
      <w:r w:rsidR="00EE7EEB" w:rsidRPr="00096371">
        <w:rPr>
          <w:bCs/>
          <w:i/>
        </w:rPr>
        <w:t>inter alia</w:t>
      </w:r>
      <w:r w:rsidR="00EE7EEB">
        <w:rPr>
          <w:bCs/>
        </w:rPr>
        <w:t xml:space="preserve"> </w:t>
      </w:r>
      <w:r w:rsidRPr="00B31BA5">
        <w:rPr>
          <w:bCs/>
        </w:rPr>
        <w:t xml:space="preserve">a </w:t>
      </w:r>
      <w:r w:rsidR="00EE7EEB">
        <w:rPr>
          <w:bCs/>
        </w:rPr>
        <w:t xml:space="preserve">proposed </w:t>
      </w:r>
      <w:r w:rsidRPr="00B31BA5">
        <w:rPr>
          <w:bCs/>
        </w:rPr>
        <w:t>disclosure requirement</w:t>
      </w:r>
      <w:r w:rsidR="00EE7EEB">
        <w:rPr>
          <w:bCs/>
        </w:rPr>
        <w:t>.</w:t>
      </w:r>
      <w:r w:rsidRPr="00B31BA5">
        <w:rPr>
          <w:bCs/>
        </w:rPr>
        <w:t xml:space="preserve">  </w:t>
      </w:r>
    </w:p>
    <w:p w:rsidR="00B31BA5" w:rsidRDefault="00B31BA5" w:rsidP="00B31BA5">
      <w:pPr>
        <w:pStyle w:val="ListParagraph"/>
        <w:numPr>
          <w:ilvl w:val="0"/>
          <w:numId w:val="13"/>
        </w:numPr>
      </w:pPr>
      <w:r>
        <w:rPr>
          <w:bCs/>
        </w:rPr>
        <w:t>S</w:t>
      </w:r>
      <w:r w:rsidRPr="00B31BA5">
        <w:rPr>
          <w:bCs/>
        </w:rPr>
        <w:t>houl</w:t>
      </w:r>
      <w:r>
        <w:rPr>
          <w:bCs/>
        </w:rPr>
        <w:t>d the instrument apply to any intellectual property</w:t>
      </w:r>
      <w:r w:rsidR="00271EB2">
        <w:rPr>
          <w:bCs/>
        </w:rPr>
        <w:t xml:space="preserve"> (IP)</w:t>
      </w:r>
      <w:r w:rsidRPr="00B31BA5">
        <w:rPr>
          <w:bCs/>
        </w:rPr>
        <w:t xml:space="preserve"> right or to patent rights only?</w:t>
      </w:r>
    </w:p>
    <w:p w:rsidR="000728DF" w:rsidRDefault="000728DF"/>
    <w:p w:rsidR="00B31BA5" w:rsidRDefault="00B31BA5">
      <w:r>
        <w:fldChar w:fldCharType="begin"/>
      </w:r>
      <w:r>
        <w:instrText xml:space="preserve"> AUTONUM  </w:instrText>
      </w:r>
      <w:r>
        <w:fldChar w:fldCharType="end"/>
      </w:r>
      <w:r>
        <w:tab/>
      </w:r>
      <w:r w:rsidR="00B04684">
        <w:t xml:space="preserve">In relation to this issue, the </w:t>
      </w:r>
      <w:r w:rsidR="00B04684" w:rsidRPr="00B04684">
        <w:rPr>
          <w:i/>
        </w:rPr>
        <w:t>ad hoc</w:t>
      </w:r>
      <w:r w:rsidR="00B04684">
        <w:t xml:space="preserve"> expert group needs to </w:t>
      </w:r>
      <w:r w:rsidR="00CB63A8">
        <w:t>consider</w:t>
      </w:r>
      <w:r w:rsidR="00B04684">
        <w:t xml:space="preserve"> the use of terms, such as </w:t>
      </w:r>
      <w:r w:rsidR="00BE1719">
        <w:t>“genetic resources”</w:t>
      </w:r>
      <w:r w:rsidR="00B04684">
        <w:rPr>
          <w:szCs w:val="22"/>
        </w:rPr>
        <w:t xml:space="preserve"> (including the issue of whether </w:t>
      </w:r>
      <w:r w:rsidR="00BE1719">
        <w:rPr>
          <w:szCs w:val="22"/>
        </w:rPr>
        <w:t>“</w:t>
      </w:r>
      <w:r w:rsidR="00B04684">
        <w:rPr>
          <w:szCs w:val="22"/>
        </w:rPr>
        <w:t>derivatives</w:t>
      </w:r>
      <w:r w:rsidR="00BE1719">
        <w:rPr>
          <w:szCs w:val="22"/>
        </w:rPr>
        <w:t>”</w:t>
      </w:r>
      <w:r w:rsidR="00B04684">
        <w:rPr>
          <w:szCs w:val="22"/>
        </w:rPr>
        <w:t xml:space="preserve"> should be included in the definition of GRs) and TK associated with GRs.</w:t>
      </w:r>
    </w:p>
    <w:p w:rsidR="00B31BA5" w:rsidRDefault="00B31BA5"/>
    <w:p w:rsidR="000728DF" w:rsidRPr="00BF4858" w:rsidRDefault="00973CA7" w:rsidP="000728DF">
      <w:pPr>
        <w:rPr>
          <w:b/>
        </w:rPr>
      </w:pPr>
      <w:r>
        <w:rPr>
          <w:b/>
        </w:rPr>
        <w:t>Disclosure</w:t>
      </w:r>
    </w:p>
    <w:p w:rsidR="000728DF" w:rsidRDefault="000728DF" w:rsidP="000728DF"/>
    <w:p w:rsidR="0094779F" w:rsidRDefault="000728DF" w:rsidP="00973CA7">
      <w:pPr>
        <w:rPr>
          <w:bCs/>
          <w:szCs w:val="22"/>
        </w:rPr>
      </w:pPr>
      <w:r>
        <w:fldChar w:fldCharType="begin"/>
      </w:r>
      <w:r>
        <w:instrText xml:space="preserve"> AUTONUM  </w:instrText>
      </w:r>
      <w:r>
        <w:fldChar w:fldCharType="end"/>
      </w:r>
      <w:r>
        <w:tab/>
      </w:r>
      <w:r w:rsidR="00271EB2" w:rsidRPr="00271EB2">
        <w:t>Disclosure requirements</w:t>
      </w:r>
      <w:r w:rsidR="00271EB2">
        <w:t xml:space="preserve"> are</w:t>
      </w:r>
      <w:r w:rsidR="00C9716D">
        <w:t xml:space="preserve"> </w:t>
      </w:r>
      <w:r w:rsidR="00C9716D" w:rsidRPr="00C9716D">
        <w:rPr>
          <w:bCs/>
        </w:rPr>
        <w:t xml:space="preserve">provisions which require </w:t>
      </w:r>
      <w:r w:rsidR="00C9716D">
        <w:rPr>
          <w:bCs/>
        </w:rPr>
        <w:t>IP/</w:t>
      </w:r>
      <w:r w:rsidR="00C9716D" w:rsidRPr="00C9716D">
        <w:rPr>
          <w:bCs/>
        </w:rPr>
        <w:t>patent applicants to include as part of the application several additional categories of information, such as the source or origin of GRs, as well as evidence of prior informed consent and a benefit-sharing agreement</w:t>
      </w:r>
      <w:r w:rsidR="00271EB2">
        <w:t xml:space="preserve">.  </w:t>
      </w:r>
      <w:r w:rsidR="00C9716D">
        <w:t>While the IGC needs to determine</w:t>
      </w:r>
      <w:r w:rsidR="00BE1719">
        <w:t>, as a policy matter,</w:t>
      </w:r>
      <w:r w:rsidR="00C9716D">
        <w:t xml:space="preserve"> </w:t>
      </w:r>
      <w:r w:rsidR="00C9716D" w:rsidRPr="00E3186C">
        <w:rPr>
          <w:bCs/>
          <w:szCs w:val="22"/>
        </w:rPr>
        <w:t xml:space="preserve">whether </w:t>
      </w:r>
      <w:r w:rsidR="00CB63A8">
        <w:rPr>
          <w:bCs/>
          <w:szCs w:val="22"/>
        </w:rPr>
        <w:t xml:space="preserve">or not </w:t>
      </w:r>
      <w:r w:rsidR="00C9716D" w:rsidRPr="00E3186C">
        <w:rPr>
          <w:bCs/>
          <w:szCs w:val="22"/>
        </w:rPr>
        <w:t>a disclosure requirement</w:t>
      </w:r>
      <w:r w:rsidR="00C9716D">
        <w:rPr>
          <w:bCs/>
          <w:szCs w:val="22"/>
        </w:rPr>
        <w:t xml:space="preserve"> is needed</w:t>
      </w:r>
      <w:r w:rsidR="00BE1719">
        <w:rPr>
          <w:bCs/>
          <w:szCs w:val="22"/>
        </w:rPr>
        <w:t xml:space="preserve"> at the international level</w:t>
      </w:r>
      <w:r w:rsidR="00C9716D">
        <w:rPr>
          <w:bCs/>
          <w:szCs w:val="22"/>
        </w:rPr>
        <w:t xml:space="preserve">, the </w:t>
      </w:r>
      <w:r w:rsidR="00C9716D" w:rsidRPr="00C9716D">
        <w:rPr>
          <w:bCs/>
          <w:i/>
          <w:szCs w:val="22"/>
        </w:rPr>
        <w:t>ad hoc</w:t>
      </w:r>
      <w:r w:rsidR="00C9716D">
        <w:rPr>
          <w:bCs/>
          <w:szCs w:val="22"/>
        </w:rPr>
        <w:t xml:space="preserve"> expert group is invited to discuss certain sub</w:t>
      </w:r>
      <w:r w:rsidR="00C9716D">
        <w:rPr>
          <w:bCs/>
          <w:szCs w:val="22"/>
        </w:rPr>
        <w:noBreakHyphen/>
        <w:t>issues</w:t>
      </w:r>
      <w:r w:rsidR="00CB63A8">
        <w:rPr>
          <w:bCs/>
          <w:szCs w:val="22"/>
        </w:rPr>
        <w:t xml:space="preserve"> relating to disclosure requirements</w:t>
      </w:r>
      <w:r w:rsidR="00C9716D">
        <w:rPr>
          <w:bCs/>
          <w:szCs w:val="22"/>
        </w:rPr>
        <w:t xml:space="preserve">. </w:t>
      </w:r>
    </w:p>
    <w:p w:rsidR="00C9716D" w:rsidRDefault="00C9716D" w:rsidP="00973CA7">
      <w:pPr>
        <w:rPr>
          <w:bCs/>
          <w:szCs w:val="22"/>
        </w:rPr>
      </w:pPr>
    </w:p>
    <w:p w:rsidR="00CB1329" w:rsidRDefault="00CB1329">
      <w:pPr>
        <w:rPr>
          <w:bCs/>
          <w:i/>
          <w:szCs w:val="22"/>
          <w:u w:val="single"/>
        </w:rPr>
      </w:pPr>
      <w:r>
        <w:rPr>
          <w:bCs/>
          <w:i/>
          <w:szCs w:val="22"/>
          <w:u w:val="single"/>
        </w:rPr>
        <w:br w:type="page"/>
      </w:r>
    </w:p>
    <w:p w:rsidR="00C9716D" w:rsidRPr="00C9716D" w:rsidRDefault="00C9716D" w:rsidP="00C9716D">
      <w:pPr>
        <w:ind w:left="567"/>
        <w:rPr>
          <w:bCs/>
          <w:i/>
          <w:szCs w:val="22"/>
          <w:u w:val="single"/>
        </w:rPr>
      </w:pPr>
      <w:r w:rsidRPr="00C9716D">
        <w:rPr>
          <w:bCs/>
          <w:i/>
          <w:szCs w:val="22"/>
          <w:u w:val="single"/>
        </w:rPr>
        <w:lastRenderedPageBreak/>
        <w:t>Trigger</w:t>
      </w:r>
    </w:p>
    <w:p w:rsidR="00C9716D" w:rsidRDefault="00C9716D" w:rsidP="00973CA7">
      <w:pPr>
        <w:rPr>
          <w:bCs/>
          <w:szCs w:val="22"/>
        </w:rPr>
      </w:pPr>
    </w:p>
    <w:p w:rsidR="00C9716D" w:rsidRDefault="00C9716D" w:rsidP="00973CA7">
      <w:pPr>
        <w:rPr>
          <w:bCs/>
          <w:szCs w:val="22"/>
        </w:rPr>
      </w:pPr>
      <w:r>
        <w:fldChar w:fldCharType="begin"/>
      </w:r>
      <w:r>
        <w:instrText xml:space="preserve"> AUTONUM  </w:instrText>
      </w:r>
      <w:r>
        <w:fldChar w:fldCharType="end"/>
      </w:r>
      <w:r>
        <w:tab/>
        <w:t xml:space="preserve">The </w:t>
      </w:r>
      <w:r w:rsidRPr="00686125">
        <w:rPr>
          <w:i/>
        </w:rPr>
        <w:t>ad hoc</w:t>
      </w:r>
      <w:r>
        <w:t xml:space="preserve"> expert group </w:t>
      </w:r>
      <w:r w:rsidR="00CB63A8">
        <w:t>is invited</w:t>
      </w:r>
      <w:r>
        <w:t xml:space="preserve"> to consider </w:t>
      </w:r>
      <w:r>
        <w:rPr>
          <w:bCs/>
          <w:szCs w:val="22"/>
        </w:rPr>
        <w:t>w</w:t>
      </w:r>
      <w:r w:rsidRPr="00A84324">
        <w:rPr>
          <w:bCs/>
          <w:szCs w:val="22"/>
        </w:rPr>
        <w:t xml:space="preserve">hat should be </w:t>
      </w:r>
      <w:r w:rsidR="0076547F">
        <w:rPr>
          <w:bCs/>
          <w:szCs w:val="22"/>
        </w:rPr>
        <w:t xml:space="preserve">the </w:t>
      </w:r>
      <w:r w:rsidRPr="00A84324">
        <w:rPr>
          <w:bCs/>
          <w:szCs w:val="22"/>
        </w:rPr>
        <w:t xml:space="preserve">relationship or “link” between the subject matter of disclosure (e.g. </w:t>
      </w:r>
      <w:r>
        <w:rPr>
          <w:bCs/>
          <w:szCs w:val="22"/>
        </w:rPr>
        <w:t>GRs</w:t>
      </w:r>
      <w:r w:rsidRPr="00A84324">
        <w:rPr>
          <w:bCs/>
          <w:szCs w:val="22"/>
        </w:rPr>
        <w:t>) and the claimed invention in order to trigger the application of a</w:t>
      </w:r>
      <w:r>
        <w:rPr>
          <w:bCs/>
          <w:szCs w:val="22"/>
        </w:rPr>
        <w:t>n</w:t>
      </w:r>
      <w:r w:rsidRPr="00A84324">
        <w:rPr>
          <w:bCs/>
          <w:szCs w:val="22"/>
        </w:rPr>
        <w:t xml:space="preserve"> </w:t>
      </w:r>
      <w:r>
        <w:rPr>
          <w:bCs/>
          <w:szCs w:val="22"/>
        </w:rPr>
        <w:t>IP/</w:t>
      </w:r>
      <w:r w:rsidRPr="00A84324">
        <w:rPr>
          <w:bCs/>
          <w:szCs w:val="22"/>
        </w:rPr>
        <w:t>patent disclosure requirement</w:t>
      </w:r>
      <w:r>
        <w:rPr>
          <w:bCs/>
          <w:szCs w:val="22"/>
        </w:rPr>
        <w:t xml:space="preserve">, </w:t>
      </w:r>
      <w:r w:rsidR="00CB1329">
        <w:rPr>
          <w:bCs/>
          <w:szCs w:val="22"/>
        </w:rPr>
        <w:t>such as</w:t>
      </w:r>
      <w:r>
        <w:rPr>
          <w:bCs/>
          <w:szCs w:val="22"/>
        </w:rPr>
        <w:t xml:space="preserve"> </w:t>
      </w:r>
      <w:r w:rsidR="00CB1329">
        <w:rPr>
          <w:szCs w:val="22"/>
        </w:rPr>
        <w:t>“utilization of”,</w:t>
      </w:r>
      <w:r>
        <w:rPr>
          <w:szCs w:val="22"/>
        </w:rPr>
        <w:t xml:space="preserve"> “directly based on”</w:t>
      </w:r>
      <w:r w:rsidR="00CB1329">
        <w:rPr>
          <w:szCs w:val="22"/>
        </w:rPr>
        <w:t xml:space="preserve"> or any other terms</w:t>
      </w:r>
      <w:r>
        <w:rPr>
          <w:bCs/>
          <w:szCs w:val="22"/>
        </w:rPr>
        <w:t xml:space="preserve">.  </w:t>
      </w:r>
    </w:p>
    <w:p w:rsidR="00C9716D" w:rsidRDefault="00C9716D" w:rsidP="00973CA7">
      <w:pPr>
        <w:rPr>
          <w:bCs/>
          <w:szCs w:val="22"/>
        </w:rPr>
      </w:pPr>
    </w:p>
    <w:p w:rsidR="00C9716D" w:rsidRDefault="00C9716D" w:rsidP="00973CA7">
      <w:pPr>
        <w:rPr>
          <w:szCs w:val="22"/>
        </w:rPr>
      </w:pPr>
      <w:r>
        <w:fldChar w:fldCharType="begin"/>
      </w:r>
      <w:r>
        <w:instrText xml:space="preserve"> AUTONUM  </w:instrText>
      </w:r>
      <w:r>
        <w:fldChar w:fldCharType="end"/>
      </w:r>
      <w:r>
        <w:tab/>
      </w:r>
      <w:r>
        <w:rPr>
          <w:szCs w:val="22"/>
        </w:rPr>
        <w:t xml:space="preserve">The </w:t>
      </w:r>
      <w:r w:rsidR="00CB1329">
        <w:rPr>
          <w:szCs w:val="22"/>
        </w:rPr>
        <w:t xml:space="preserve">definitions of “utilization of”, </w:t>
      </w:r>
      <w:r>
        <w:rPr>
          <w:szCs w:val="22"/>
        </w:rPr>
        <w:t>“directly based on”</w:t>
      </w:r>
      <w:r w:rsidR="00CB1329">
        <w:rPr>
          <w:szCs w:val="22"/>
        </w:rPr>
        <w:t xml:space="preserve"> or any other terms for trigger</w:t>
      </w:r>
      <w:r>
        <w:rPr>
          <w:szCs w:val="22"/>
        </w:rPr>
        <w:t xml:space="preserve"> are the other issues to be considered.</w:t>
      </w:r>
    </w:p>
    <w:p w:rsidR="00C9716D" w:rsidRDefault="00C9716D" w:rsidP="00973CA7">
      <w:pPr>
        <w:rPr>
          <w:szCs w:val="22"/>
        </w:rPr>
      </w:pPr>
    </w:p>
    <w:p w:rsidR="00C9716D" w:rsidRPr="00C9716D" w:rsidRDefault="00C9716D" w:rsidP="00C9716D">
      <w:pPr>
        <w:ind w:left="567"/>
        <w:rPr>
          <w:i/>
          <w:szCs w:val="22"/>
          <w:u w:val="single"/>
        </w:rPr>
      </w:pPr>
      <w:r w:rsidRPr="00C9716D">
        <w:rPr>
          <w:i/>
          <w:szCs w:val="22"/>
          <w:u w:val="single"/>
        </w:rPr>
        <w:t>Content</w:t>
      </w:r>
    </w:p>
    <w:p w:rsidR="00C9716D" w:rsidRDefault="00C9716D" w:rsidP="00973CA7">
      <w:pPr>
        <w:rPr>
          <w:szCs w:val="22"/>
        </w:rPr>
      </w:pPr>
    </w:p>
    <w:p w:rsidR="00C9716D" w:rsidRDefault="00C9716D" w:rsidP="00973CA7">
      <w:pPr>
        <w:rPr>
          <w:bCs/>
          <w:szCs w:val="22"/>
        </w:rPr>
      </w:pPr>
      <w:r>
        <w:fldChar w:fldCharType="begin"/>
      </w:r>
      <w:r>
        <w:instrText xml:space="preserve"> AUTONUM  </w:instrText>
      </w:r>
      <w:r>
        <w:fldChar w:fldCharType="end"/>
      </w:r>
      <w:r>
        <w:tab/>
      </w:r>
      <w:r w:rsidR="00686125" w:rsidRPr="00E3186C">
        <w:rPr>
          <w:bCs/>
          <w:szCs w:val="22"/>
        </w:rPr>
        <w:t xml:space="preserve">With respect to content, </w:t>
      </w:r>
      <w:r w:rsidR="00686125">
        <w:rPr>
          <w:bCs/>
          <w:szCs w:val="22"/>
        </w:rPr>
        <w:t xml:space="preserve">the </w:t>
      </w:r>
      <w:r w:rsidR="00686125" w:rsidRPr="00686125">
        <w:rPr>
          <w:bCs/>
          <w:i/>
          <w:szCs w:val="22"/>
        </w:rPr>
        <w:t>ad hoc</w:t>
      </w:r>
      <w:r w:rsidR="00686125">
        <w:rPr>
          <w:bCs/>
          <w:szCs w:val="22"/>
        </w:rPr>
        <w:t xml:space="preserve"> expert group </w:t>
      </w:r>
      <w:r w:rsidR="00CB63A8">
        <w:rPr>
          <w:bCs/>
          <w:szCs w:val="22"/>
        </w:rPr>
        <w:t>is invited</w:t>
      </w:r>
      <w:r w:rsidR="00686125">
        <w:rPr>
          <w:bCs/>
          <w:szCs w:val="22"/>
        </w:rPr>
        <w:t xml:space="preserve"> to consider what would need to be disclosed in the IP/patent application.</w:t>
      </w:r>
      <w:r w:rsidR="00686125" w:rsidRPr="00E3186C">
        <w:rPr>
          <w:bCs/>
          <w:szCs w:val="22"/>
        </w:rPr>
        <w:t xml:space="preserve">  For example, should it be the source of the GRs, their origin, evidence of PIC, </w:t>
      </w:r>
      <w:r w:rsidR="00686125">
        <w:rPr>
          <w:bCs/>
          <w:szCs w:val="22"/>
        </w:rPr>
        <w:t xml:space="preserve">and/or </w:t>
      </w:r>
      <w:r w:rsidR="00686125" w:rsidRPr="00E3186C">
        <w:rPr>
          <w:bCs/>
          <w:szCs w:val="22"/>
        </w:rPr>
        <w:t>evidence of benefit-sharing through mutually agreed terms?</w:t>
      </w:r>
    </w:p>
    <w:p w:rsidR="00686125" w:rsidRDefault="00686125" w:rsidP="00973CA7">
      <w:pPr>
        <w:rPr>
          <w:bCs/>
          <w:szCs w:val="22"/>
        </w:rPr>
      </w:pPr>
    </w:p>
    <w:p w:rsidR="00686125" w:rsidRDefault="00686125" w:rsidP="00973CA7">
      <w:pPr>
        <w:rPr>
          <w:szCs w:val="22"/>
        </w:rPr>
      </w:pPr>
      <w:r>
        <w:fldChar w:fldCharType="begin"/>
      </w:r>
      <w:r>
        <w:instrText xml:space="preserve"> AUTONUM  </w:instrText>
      </w:r>
      <w:r>
        <w:fldChar w:fldCharType="end"/>
      </w:r>
      <w:r>
        <w:tab/>
        <w:t xml:space="preserve">In relation to this issue, the </w:t>
      </w:r>
      <w:r w:rsidRPr="00B04684">
        <w:rPr>
          <w:i/>
        </w:rPr>
        <w:t>ad hoc</w:t>
      </w:r>
      <w:r>
        <w:t xml:space="preserve"> expert group </w:t>
      </w:r>
      <w:r w:rsidR="00CB63A8">
        <w:t>is invited</w:t>
      </w:r>
      <w:r>
        <w:t xml:space="preserve"> to provide advice and analysis on the use of terms, such as “</w:t>
      </w:r>
      <w:r w:rsidRPr="00AD3CB6">
        <w:t>source</w:t>
      </w:r>
      <w:r>
        <w:t>”</w:t>
      </w:r>
      <w:r w:rsidRPr="00AD3CB6">
        <w:t xml:space="preserve">, </w:t>
      </w:r>
      <w:r>
        <w:t>“</w:t>
      </w:r>
      <w:r w:rsidRPr="00AD3CB6">
        <w:t>providing country</w:t>
      </w:r>
      <w:r>
        <w:t>”</w:t>
      </w:r>
      <w:r w:rsidRPr="00AD3CB6">
        <w:t xml:space="preserve">, </w:t>
      </w:r>
      <w:r>
        <w:t>and “</w:t>
      </w:r>
      <w:r w:rsidRPr="00AD3CB6">
        <w:t>country of origin</w:t>
      </w:r>
      <w:r>
        <w:t>”</w:t>
      </w:r>
      <w:r>
        <w:rPr>
          <w:szCs w:val="22"/>
        </w:rPr>
        <w:t>.</w:t>
      </w:r>
    </w:p>
    <w:p w:rsidR="00686125" w:rsidRDefault="00686125" w:rsidP="00973CA7">
      <w:pPr>
        <w:rPr>
          <w:szCs w:val="22"/>
        </w:rPr>
      </w:pPr>
    </w:p>
    <w:p w:rsidR="00686125" w:rsidRPr="00096371" w:rsidRDefault="00686125" w:rsidP="00686125">
      <w:pPr>
        <w:ind w:left="567"/>
        <w:rPr>
          <w:i/>
          <w:szCs w:val="22"/>
          <w:u w:val="single"/>
        </w:rPr>
      </w:pPr>
      <w:r w:rsidRPr="00096371">
        <w:rPr>
          <w:i/>
          <w:szCs w:val="22"/>
          <w:u w:val="single"/>
        </w:rPr>
        <w:t>Consequence of non-compliance</w:t>
      </w:r>
    </w:p>
    <w:p w:rsidR="00686125" w:rsidRDefault="00686125" w:rsidP="00973CA7">
      <w:pPr>
        <w:rPr>
          <w:szCs w:val="22"/>
        </w:rPr>
      </w:pPr>
    </w:p>
    <w:p w:rsidR="00686125" w:rsidRDefault="00686125" w:rsidP="00973CA7">
      <w:r>
        <w:fldChar w:fldCharType="begin"/>
      </w:r>
      <w:r>
        <w:instrText xml:space="preserve"> AUTONUM  </w:instrText>
      </w:r>
      <w:r>
        <w:fldChar w:fldCharType="end"/>
      </w:r>
      <w:r>
        <w:tab/>
      </w:r>
      <w:r w:rsidRPr="00686125">
        <w:t>An important question</w:t>
      </w:r>
      <w:r>
        <w:t xml:space="preserve"> relating to disclosure requirements </w:t>
      </w:r>
      <w:r w:rsidRPr="00686125">
        <w:t>is to determine how situations of non-c</w:t>
      </w:r>
      <w:r>
        <w:t xml:space="preserve">ompliance should be addressed.  Two questions the </w:t>
      </w:r>
      <w:r w:rsidRPr="00B04684">
        <w:rPr>
          <w:i/>
        </w:rPr>
        <w:t>ad hoc</w:t>
      </w:r>
      <w:r>
        <w:t xml:space="preserve"> expert group is invited to discuss are:</w:t>
      </w:r>
      <w:r w:rsidR="00164C87">
        <w:br/>
      </w:r>
    </w:p>
    <w:p w:rsidR="00686125" w:rsidRDefault="00686125" w:rsidP="00686125">
      <w:pPr>
        <w:pStyle w:val="ListParagraph"/>
        <w:numPr>
          <w:ilvl w:val="0"/>
          <w:numId w:val="14"/>
        </w:numPr>
      </w:pPr>
      <w:r>
        <w:t>What legal and</w:t>
      </w:r>
      <w:r w:rsidRPr="00686125">
        <w:t xml:space="preserve"> administrative measures should be tak</w:t>
      </w:r>
      <w:r w:rsidR="0093271A">
        <w:t>en to address situations of non</w:t>
      </w:r>
      <w:r w:rsidR="0093271A">
        <w:noBreakHyphen/>
      </w:r>
      <w:r w:rsidRPr="00686125">
        <w:t xml:space="preserve">compliance?  </w:t>
      </w:r>
    </w:p>
    <w:p w:rsidR="00686125" w:rsidRDefault="00686125" w:rsidP="00686125">
      <w:pPr>
        <w:pStyle w:val="ListParagraph"/>
        <w:numPr>
          <w:ilvl w:val="0"/>
          <w:numId w:val="14"/>
        </w:numPr>
      </w:pPr>
      <w:r w:rsidRPr="00686125">
        <w:t xml:space="preserve">Should such measures be able to affect the validity of a granted patent?  </w:t>
      </w:r>
      <w:r w:rsidR="00001225">
        <w:rPr>
          <w:szCs w:val="22"/>
        </w:rPr>
        <w:t>If so, what would the permissible condition</w:t>
      </w:r>
      <w:r w:rsidR="00096371">
        <w:rPr>
          <w:szCs w:val="22"/>
        </w:rPr>
        <w:t>(</w:t>
      </w:r>
      <w:r w:rsidR="001B1D8B">
        <w:rPr>
          <w:szCs w:val="22"/>
        </w:rPr>
        <w:t>s</w:t>
      </w:r>
      <w:r w:rsidR="00096371">
        <w:rPr>
          <w:szCs w:val="22"/>
        </w:rPr>
        <w:t>)</w:t>
      </w:r>
      <w:r w:rsidR="00001225">
        <w:rPr>
          <w:szCs w:val="22"/>
        </w:rPr>
        <w:t xml:space="preserve"> for revocation be?</w:t>
      </w:r>
      <w:r w:rsidR="00346ACD">
        <w:rPr>
          <w:szCs w:val="22"/>
        </w:rPr>
        <w:t xml:space="preserve">  Aside from revocation, what other options are there? </w:t>
      </w:r>
    </w:p>
    <w:p w:rsidR="001203CF" w:rsidRDefault="001203CF"/>
    <w:p w:rsidR="003E7073" w:rsidRPr="003E7073" w:rsidRDefault="00973CA7">
      <w:pPr>
        <w:rPr>
          <w:b/>
        </w:rPr>
      </w:pPr>
      <w:r>
        <w:rPr>
          <w:b/>
        </w:rPr>
        <w:t>Databases</w:t>
      </w:r>
    </w:p>
    <w:p w:rsidR="003E7073" w:rsidRDefault="003E7073"/>
    <w:p w:rsidR="00032D27" w:rsidRDefault="00580A9D">
      <w:r>
        <w:fldChar w:fldCharType="begin"/>
      </w:r>
      <w:r>
        <w:instrText xml:space="preserve"> AUTONUM  </w:instrText>
      </w:r>
      <w:r>
        <w:fldChar w:fldCharType="end"/>
      </w:r>
      <w:r>
        <w:tab/>
      </w:r>
      <w:r w:rsidR="00001225" w:rsidRPr="00001225">
        <w:t>Databases and other information systems</w:t>
      </w:r>
      <w:r w:rsidR="00001225">
        <w:t xml:space="preserve"> related to GRs are considered </w:t>
      </w:r>
      <w:r w:rsidR="00EA0D5F">
        <w:t xml:space="preserve">by many </w:t>
      </w:r>
      <w:r w:rsidR="00001225">
        <w:t>to have a key role to play to</w:t>
      </w:r>
      <w:r w:rsidR="00001225" w:rsidRPr="00001225">
        <w:t xml:space="preserve"> help patent examiners find relevant prior art and avoid th</w:t>
      </w:r>
      <w:r w:rsidR="00001225">
        <w:t xml:space="preserve">e granting of erroneous patents.  </w:t>
      </w:r>
    </w:p>
    <w:p w:rsidR="00032D27" w:rsidRDefault="00032D27"/>
    <w:p w:rsidR="00AA1E72" w:rsidRDefault="00032D27" w:rsidP="00576D54">
      <w:pPr>
        <w:rPr>
          <w:szCs w:val="22"/>
        </w:rPr>
      </w:pPr>
      <w:r>
        <w:fldChar w:fldCharType="begin"/>
      </w:r>
      <w:r>
        <w:instrText xml:space="preserve"> AUTONUM  </w:instrText>
      </w:r>
      <w:r>
        <w:fldChar w:fldCharType="end"/>
      </w:r>
      <w:r>
        <w:tab/>
      </w:r>
      <w:r w:rsidR="00001225">
        <w:t xml:space="preserve">The </w:t>
      </w:r>
      <w:r w:rsidR="00001225" w:rsidRPr="00032D27">
        <w:rPr>
          <w:i/>
        </w:rPr>
        <w:t>ad hoc</w:t>
      </w:r>
      <w:r w:rsidR="00001225">
        <w:t xml:space="preserve"> expert group is invited to provide advice and analysis </w:t>
      </w:r>
      <w:r>
        <w:t>on</w:t>
      </w:r>
      <w:r w:rsidR="00AA1E72">
        <w:rPr>
          <w:szCs w:val="22"/>
        </w:rPr>
        <w:t xml:space="preserve"> </w:t>
      </w:r>
      <w:r w:rsidR="00576D54">
        <w:rPr>
          <w:szCs w:val="22"/>
        </w:rPr>
        <w:t>whether or not</w:t>
      </w:r>
      <w:r w:rsidR="0076547F">
        <w:rPr>
          <w:szCs w:val="22"/>
        </w:rPr>
        <w:t>, and, if so, which,</w:t>
      </w:r>
      <w:r w:rsidR="00576D54">
        <w:rPr>
          <w:szCs w:val="22"/>
        </w:rPr>
        <w:t xml:space="preserve"> safeguards are needed</w:t>
      </w:r>
      <w:r w:rsidR="0076547F">
        <w:rPr>
          <w:szCs w:val="22"/>
        </w:rPr>
        <w:t xml:space="preserve"> relating to </w:t>
      </w:r>
      <w:r w:rsidR="00106B2E">
        <w:rPr>
          <w:szCs w:val="22"/>
        </w:rPr>
        <w:t xml:space="preserve">databases of information related to </w:t>
      </w:r>
      <w:r w:rsidR="00576D54">
        <w:rPr>
          <w:szCs w:val="22"/>
        </w:rPr>
        <w:t xml:space="preserve">GRs.  If the instrument </w:t>
      </w:r>
      <w:r w:rsidR="0076547F">
        <w:rPr>
          <w:szCs w:val="22"/>
        </w:rPr>
        <w:t xml:space="preserve">also </w:t>
      </w:r>
      <w:r w:rsidR="00576D54">
        <w:rPr>
          <w:szCs w:val="22"/>
        </w:rPr>
        <w:t xml:space="preserve">applies </w:t>
      </w:r>
      <w:r w:rsidR="00934356">
        <w:rPr>
          <w:szCs w:val="22"/>
        </w:rPr>
        <w:t xml:space="preserve">to </w:t>
      </w:r>
      <w:r w:rsidR="00576D54">
        <w:rPr>
          <w:szCs w:val="22"/>
        </w:rPr>
        <w:t>TK associated with GRs, w</w:t>
      </w:r>
      <w:r w:rsidR="00AA1E72">
        <w:rPr>
          <w:szCs w:val="22"/>
        </w:rPr>
        <w:t xml:space="preserve">hat </w:t>
      </w:r>
      <w:r w:rsidR="00576D54">
        <w:rPr>
          <w:szCs w:val="22"/>
        </w:rPr>
        <w:t xml:space="preserve">kind of </w:t>
      </w:r>
      <w:r w:rsidR="0076547F">
        <w:rPr>
          <w:szCs w:val="22"/>
        </w:rPr>
        <w:t xml:space="preserve">additional </w:t>
      </w:r>
      <w:r w:rsidR="00576D54">
        <w:rPr>
          <w:szCs w:val="22"/>
        </w:rPr>
        <w:t xml:space="preserve">safeguards </w:t>
      </w:r>
      <w:r w:rsidR="0076547F">
        <w:rPr>
          <w:szCs w:val="22"/>
        </w:rPr>
        <w:t xml:space="preserve">might </w:t>
      </w:r>
      <w:r w:rsidR="00576D54">
        <w:rPr>
          <w:szCs w:val="22"/>
        </w:rPr>
        <w:t>be needed for TK that is widely held and/or publicly available?</w:t>
      </w:r>
    </w:p>
    <w:p w:rsidR="00AA1E72" w:rsidRDefault="00AA1E72" w:rsidP="00AA1E72">
      <w:pPr>
        <w:rPr>
          <w:szCs w:val="22"/>
        </w:rPr>
      </w:pPr>
    </w:p>
    <w:p w:rsidR="00576D54" w:rsidRDefault="00AA1E72" w:rsidP="00AA1E72">
      <w:pPr>
        <w:rPr>
          <w:bCs/>
          <w:szCs w:val="22"/>
        </w:rPr>
      </w:pPr>
      <w:r>
        <w:rPr>
          <w:szCs w:val="22"/>
        </w:rPr>
        <w:fldChar w:fldCharType="begin"/>
      </w:r>
      <w:r>
        <w:rPr>
          <w:szCs w:val="22"/>
        </w:rPr>
        <w:instrText xml:space="preserve"> AUTONUM  </w:instrText>
      </w:r>
      <w:r>
        <w:rPr>
          <w:szCs w:val="22"/>
        </w:rPr>
        <w:fldChar w:fldCharType="end"/>
      </w:r>
      <w:r>
        <w:rPr>
          <w:szCs w:val="22"/>
        </w:rPr>
        <w:tab/>
      </w:r>
      <w:r w:rsidR="00576D54">
        <w:t xml:space="preserve">The </w:t>
      </w:r>
      <w:r w:rsidR="00576D54" w:rsidRPr="00032D27">
        <w:rPr>
          <w:i/>
        </w:rPr>
        <w:t>ad hoc</w:t>
      </w:r>
      <w:r w:rsidR="00576D54">
        <w:t xml:space="preserve"> expert group is </w:t>
      </w:r>
      <w:r w:rsidR="000455C7">
        <w:t xml:space="preserve">also </w:t>
      </w:r>
      <w:r w:rsidR="00576D54">
        <w:t xml:space="preserve">invited to consider </w:t>
      </w:r>
      <w:r w:rsidR="00BB49F0">
        <w:t xml:space="preserve">practical </w:t>
      </w:r>
      <w:r w:rsidR="00576D54">
        <w:t xml:space="preserve">questions </w:t>
      </w:r>
      <w:r w:rsidR="00576D54" w:rsidRPr="00E3186C">
        <w:rPr>
          <w:bCs/>
          <w:szCs w:val="22"/>
        </w:rPr>
        <w:t xml:space="preserve">that would need to be addressed when considering the establishment </w:t>
      </w:r>
      <w:r w:rsidR="00BB49F0">
        <w:rPr>
          <w:bCs/>
          <w:szCs w:val="22"/>
        </w:rPr>
        <w:t xml:space="preserve">and functioning </w:t>
      </w:r>
      <w:r w:rsidR="00576D54" w:rsidRPr="00E3186C">
        <w:rPr>
          <w:bCs/>
          <w:szCs w:val="22"/>
        </w:rPr>
        <w:t xml:space="preserve">of such databases, </w:t>
      </w:r>
      <w:r w:rsidR="00E50840">
        <w:rPr>
          <w:bCs/>
          <w:szCs w:val="22"/>
        </w:rPr>
        <w:t xml:space="preserve">such as </w:t>
      </w:r>
      <w:r w:rsidR="00576D54" w:rsidRPr="00E3186C">
        <w:rPr>
          <w:bCs/>
          <w:szCs w:val="22"/>
        </w:rPr>
        <w:t>in particular</w:t>
      </w:r>
      <w:r w:rsidR="00C52C67">
        <w:rPr>
          <w:bCs/>
          <w:szCs w:val="22"/>
        </w:rPr>
        <w:t>:</w:t>
      </w:r>
      <w:r w:rsidR="00576D54" w:rsidRPr="00E3186C">
        <w:rPr>
          <w:bCs/>
          <w:szCs w:val="22"/>
        </w:rPr>
        <w:t xml:space="preserve"> </w:t>
      </w:r>
    </w:p>
    <w:p w:rsidR="00576D54" w:rsidRPr="00576D54" w:rsidRDefault="00576D54" w:rsidP="00576D54">
      <w:pPr>
        <w:pStyle w:val="ListParagraph"/>
        <w:numPr>
          <w:ilvl w:val="0"/>
          <w:numId w:val="16"/>
        </w:numPr>
        <w:rPr>
          <w:szCs w:val="22"/>
        </w:rPr>
      </w:pPr>
      <w:r w:rsidRPr="00576D54">
        <w:rPr>
          <w:bCs/>
          <w:szCs w:val="22"/>
        </w:rPr>
        <w:t xml:space="preserve">the responsibility for compiling and maintaining </w:t>
      </w:r>
      <w:r w:rsidR="00106B2E">
        <w:rPr>
          <w:bCs/>
          <w:szCs w:val="22"/>
        </w:rPr>
        <w:t xml:space="preserve">such a </w:t>
      </w:r>
      <w:r w:rsidRPr="00576D54">
        <w:rPr>
          <w:bCs/>
          <w:szCs w:val="22"/>
        </w:rPr>
        <w:t xml:space="preserve">database;  </w:t>
      </w:r>
    </w:p>
    <w:p w:rsidR="00576D54" w:rsidRPr="00576D54" w:rsidRDefault="00576D54" w:rsidP="00576D54">
      <w:pPr>
        <w:pStyle w:val="ListParagraph"/>
        <w:numPr>
          <w:ilvl w:val="0"/>
          <w:numId w:val="16"/>
        </w:numPr>
        <w:rPr>
          <w:szCs w:val="22"/>
        </w:rPr>
      </w:pPr>
      <w:r w:rsidRPr="00576D54">
        <w:rPr>
          <w:bCs/>
          <w:szCs w:val="22"/>
        </w:rPr>
        <w:t xml:space="preserve">the structure and content of the database; </w:t>
      </w:r>
    </w:p>
    <w:p w:rsidR="00576D54" w:rsidRPr="00576D54" w:rsidRDefault="00576D54" w:rsidP="00576D54">
      <w:pPr>
        <w:pStyle w:val="ListParagraph"/>
        <w:numPr>
          <w:ilvl w:val="0"/>
          <w:numId w:val="16"/>
        </w:numPr>
        <w:rPr>
          <w:szCs w:val="22"/>
        </w:rPr>
      </w:pPr>
      <w:r w:rsidRPr="00576D54">
        <w:rPr>
          <w:bCs/>
          <w:szCs w:val="22"/>
        </w:rPr>
        <w:t xml:space="preserve">the form in which that content would be expressed;  </w:t>
      </w:r>
    </w:p>
    <w:p w:rsidR="00576D54" w:rsidRPr="00576D54" w:rsidRDefault="00576D54" w:rsidP="00576D54">
      <w:pPr>
        <w:pStyle w:val="ListParagraph"/>
        <w:numPr>
          <w:ilvl w:val="0"/>
          <w:numId w:val="16"/>
        </w:numPr>
        <w:rPr>
          <w:szCs w:val="22"/>
        </w:rPr>
      </w:pPr>
      <w:r w:rsidRPr="00576D54">
        <w:rPr>
          <w:bCs/>
          <w:szCs w:val="22"/>
        </w:rPr>
        <w:t xml:space="preserve">its interoperability with other databases both nationally and internationally;  </w:t>
      </w:r>
    </w:p>
    <w:p w:rsidR="00576D54" w:rsidRPr="00576D54" w:rsidRDefault="00576D54" w:rsidP="00576D54">
      <w:pPr>
        <w:pStyle w:val="ListParagraph"/>
        <w:numPr>
          <w:ilvl w:val="0"/>
          <w:numId w:val="16"/>
        </w:numPr>
        <w:rPr>
          <w:szCs w:val="22"/>
        </w:rPr>
      </w:pPr>
      <w:r w:rsidRPr="00576D54">
        <w:rPr>
          <w:bCs/>
          <w:szCs w:val="22"/>
        </w:rPr>
        <w:t xml:space="preserve">a determination of the category of people authorized to access the content of the database;  </w:t>
      </w:r>
      <w:r>
        <w:rPr>
          <w:bCs/>
          <w:szCs w:val="22"/>
        </w:rPr>
        <w:t xml:space="preserve">and </w:t>
      </w:r>
    </w:p>
    <w:p w:rsidR="00BF4858" w:rsidRDefault="00576D54" w:rsidP="001E64F6">
      <w:pPr>
        <w:pStyle w:val="ListParagraph"/>
        <w:numPr>
          <w:ilvl w:val="0"/>
          <w:numId w:val="16"/>
        </w:numPr>
      </w:pPr>
      <w:proofErr w:type="gramStart"/>
      <w:r w:rsidRPr="001E64F6">
        <w:rPr>
          <w:bCs/>
          <w:szCs w:val="22"/>
        </w:rPr>
        <w:t>the</w:t>
      </w:r>
      <w:proofErr w:type="gramEnd"/>
      <w:r w:rsidRPr="001E64F6">
        <w:rPr>
          <w:bCs/>
          <w:szCs w:val="22"/>
        </w:rPr>
        <w:t xml:space="preserve"> type of protection afforded to the information included in the database and the management of the rights pertaining to the database.</w:t>
      </w:r>
    </w:p>
    <w:p w:rsidR="00047DAC" w:rsidRDefault="00047DAC">
      <w:pPr>
        <w:rPr>
          <w:b/>
        </w:rPr>
      </w:pPr>
      <w:r>
        <w:rPr>
          <w:b/>
        </w:rPr>
        <w:br w:type="page"/>
      </w:r>
    </w:p>
    <w:p w:rsidR="007F1806" w:rsidRPr="007F1806" w:rsidRDefault="00973CA7">
      <w:pPr>
        <w:rPr>
          <w:b/>
        </w:rPr>
      </w:pPr>
      <w:r>
        <w:rPr>
          <w:b/>
        </w:rPr>
        <w:lastRenderedPageBreak/>
        <w:t>Due diligence mechanisms</w:t>
      </w:r>
    </w:p>
    <w:p w:rsidR="00580A9D" w:rsidRDefault="00580A9D"/>
    <w:p w:rsidR="00973CA7" w:rsidRDefault="00973CA7">
      <w:pPr>
        <w:rPr>
          <w:szCs w:val="22"/>
        </w:rPr>
      </w:pPr>
      <w:r>
        <w:fldChar w:fldCharType="begin"/>
      </w:r>
      <w:r>
        <w:instrText xml:space="preserve"> AUTONUM  </w:instrText>
      </w:r>
      <w:r>
        <w:fldChar w:fldCharType="end"/>
      </w:r>
      <w:r>
        <w:tab/>
      </w:r>
      <w:r w:rsidR="00032D27">
        <w:t>Some IGC participants consider that due diligence mechanisms</w:t>
      </w:r>
      <w:r w:rsidR="006C7753">
        <w:t>, such as databases</w:t>
      </w:r>
      <w:r w:rsidR="00C52C67">
        <w:t xml:space="preserve">, </w:t>
      </w:r>
      <w:r w:rsidR="006C7753">
        <w:t>voluntary codes of conduct</w:t>
      </w:r>
      <w:bookmarkStart w:id="5" w:name="_GoBack"/>
      <w:bookmarkEnd w:id="5"/>
      <w:r w:rsidR="006C7753">
        <w:t xml:space="preserve"> and guidelines</w:t>
      </w:r>
      <w:r w:rsidR="000916CE">
        <w:t xml:space="preserve"> </w:t>
      </w:r>
      <w:r w:rsidR="00032D27">
        <w:t xml:space="preserve">are needed as defensive/complementary measures to </w:t>
      </w:r>
      <w:r w:rsidR="000916CE">
        <w:t xml:space="preserve">assess and verify </w:t>
      </w:r>
      <w:r w:rsidR="00032D27">
        <w:rPr>
          <w:szCs w:val="22"/>
        </w:rPr>
        <w:t xml:space="preserve">the access to GRs in accordance with applicable </w:t>
      </w:r>
      <w:r w:rsidR="000916CE">
        <w:rPr>
          <w:szCs w:val="22"/>
        </w:rPr>
        <w:t xml:space="preserve">national and regional </w:t>
      </w:r>
      <w:r w:rsidR="00032D27">
        <w:rPr>
          <w:szCs w:val="22"/>
        </w:rPr>
        <w:t xml:space="preserve">access and benefit-sharing </w:t>
      </w:r>
      <w:r w:rsidR="000916CE">
        <w:rPr>
          <w:szCs w:val="22"/>
        </w:rPr>
        <w:t>systems</w:t>
      </w:r>
      <w:r w:rsidR="00032D27">
        <w:rPr>
          <w:szCs w:val="22"/>
        </w:rPr>
        <w:t xml:space="preserve">. </w:t>
      </w:r>
    </w:p>
    <w:p w:rsidR="00032D27" w:rsidRDefault="00032D27">
      <w:pPr>
        <w:rPr>
          <w:szCs w:val="22"/>
        </w:rPr>
      </w:pPr>
    </w:p>
    <w:p w:rsidR="003A4209" w:rsidRDefault="00032D27" w:rsidP="003A4209">
      <w:r>
        <w:fldChar w:fldCharType="begin"/>
      </w:r>
      <w:r>
        <w:instrText xml:space="preserve"> AUTONUM  </w:instrText>
      </w:r>
      <w:r>
        <w:fldChar w:fldCharType="end"/>
      </w:r>
      <w:r>
        <w:tab/>
        <w:t xml:space="preserve">The </w:t>
      </w:r>
      <w:r w:rsidRPr="00032D27">
        <w:rPr>
          <w:i/>
        </w:rPr>
        <w:t>ad hoc</w:t>
      </w:r>
      <w:r>
        <w:t xml:space="preserve"> expert group is invited to </w:t>
      </w:r>
      <w:r w:rsidR="003A4209">
        <w:t xml:space="preserve">discuss </w:t>
      </w:r>
      <w:r w:rsidR="00C52C67">
        <w:t xml:space="preserve">what kinds of mechanisms might be needed, and technical issues relating to the establishment and functioning of such mechanisms. </w:t>
      </w:r>
    </w:p>
    <w:p w:rsidR="00047DAC" w:rsidRDefault="00047DAC" w:rsidP="003A4209">
      <w:pPr>
        <w:rPr>
          <w:b/>
        </w:rPr>
      </w:pPr>
    </w:p>
    <w:p w:rsidR="00EA0D5F" w:rsidRDefault="00EA0D5F">
      <w:pPr>
        <w:rPr>
          <w:b/>
        </w:rPr>
      </w:pPr>
      <w:r w:rsidRPr="00096371">
        <w:rPr>
          <w:b/>
        </w:rPr>
        <w:t>Other matters</w:t>
      </w:r>
      <w:r>
        <w:rPr>
          <w:b/>
        </w:rPr>
        <w:br/>
      </w:r>
    </w:p>
    <w:p w:rsidR="00EA0D5F" w:rsidRPr="00EA0D5F" w:rsidRDefault="00EA0D5F">
      <w:r>
        <w:fldChar w:fldCharType="begin"/>
      </w:r>
      <w:r>
        <w:instrText xml:space="preserve"> AUTONUM  </w:instrText>
      </w:r>
      <w:r>
        <w:fldChar w:fldCharType="end"/>
      </w:r>
      <w:r>
        <w:tab/>
        <w:t xml:space="preserve">The </w:t>
      </w:r>
      <w:r w:rsidRPr="00096371">
        <w:rPr>
          <w:i/>
        </w:rPr>
        <w:t>ad hoc</w:t>
      </w:r>
      <w:r>
        <w:t xml:space="preserve"> expert group is invited to identify any other </w:t>
      </w:r>
      <w:r>
        <w:rPr>
          <w:szCs w:val="22"/>
        </w:rPr>
        <w:t xml:space="preserve">legal, policy or technical issues that the IGC may need to address, as well as provide </w:t>
      </w:r>
      <w:r w:rsidR="0001564D">
        <w:rPr>
          <w:szCs w:val="22"/>
        </w:rPr>
        <w:t xml:space="preserve">to the IGC </w:t>
      </w:r>
      <w:r>
        <w:rPr>
          <w:szCs w:val="22"/>
        </w:rPr>
        <w:t xml:space="preserve">any other analysis or advice </w:t>
      </w:r>
      <w:r w:rsidR="00417FA1">
        <w:rPr>
          <w:szCs w:val="22"/>
        </w:rPr>
        <w:t xml:space="preserve">or recommendations </w:t>
      </w:r>
      <w:r>
        <w:rPr>
          <w:szCs w:val="22"/>
        </w:rPr>
        <w:t xml:space="preserve">that it might wish. </w:t>
      </w:r>
    </w:p>
    <w:p w:rsidR="00032D27" w:rsidRDefault="00032D27"/>
    <w:p w:rsidR="004944BF" w:rsidRDefault="004944BF"/>
    <w:p w:rsidR="004944BF" w:rsidRDefault="001203CF" w:rsidP="001E64F6">
      <w:pPr>
        <w:ind w:left="5670"/>
      </w:pPr>
      <w:r>
        <w:t>[End of document]</w:t>
      </w:r>
    </w:p>
    <w:sectPr w:rsidR="004944BF" w:rsidSect="002366C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48C" w:rsidRDefault="00A6248C">
      <w:r>
        <w:separator/>
      </w:r>
    </w:p>
  </w:endnote>
  <w:endnote w:type="continuationSeparator" w:id="0">
    <w:p w:rsidR="00A6248C" w:rsidRDefault="00A6248C" w:rsidP="003B38C1">
      <w:r>
        <w:separator/>
      </w:r>
    </w:p>
    <w:p w:rsidR="00A6248C" w:rsidRPr="003B38C1" w:rsidRDefault="00A6248C" w:rsidP="003B38C1">
      <w:pPr>
        <w:spacing w:after="60"/>
        <w:rPr>
          <w:sz w:val="17"/>
        </w:rPr>
      </w:pPr>
      <w:r>
        <w:rPr>
          <w:sz w:val="17"/>
        </w:rPr>
        <w:t>[Endnote continued from previous page]</w:t>
      </w:r>
    </w:p>
  </w:endnote>
  <w:endnote w:type="continuationNotice" w:id="1">
    <w:p w:rsidR="00A6248C" w:rsidRPr="003B38C1" w:rsidRDefault="00A6248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48C" w:rsidRDefault="00A6248C">
      <w:r>
        <w:separator/>
      </w:r>
    </w:p>
  </w:footnote>
  <w:footnote w:type="continuationSeparator" w:id="0">
    <w:p w:rsidR="00A6248C" w:rsidRDefault="00A6248C" w:rsidP="008B60B2">
      <w:r>
        <w:separator/>
      </w:r>
    </w:p>
    <w:p w:rsidR="00A6248C" w:rsidRPr="00ED77FB" w:rsidRDefault="00A6248C" w:rsidP="008B60B2">
      <w:pPr>
        <w:spacing w:after="60"/>
        <w:rPr>
          <w:sz w:val="17"/>
          <w:szCs w:val="17"/>
        </w:rPr>
      </w:pPr>
      <w:r w:rsidRPr="00ED77FB">
        <w:rPr>
          <w:sz w:val="17"/>
          <w:szCs w:val="17"/>
        </w:rPr>
        <w:t>[Footnote continued from previous page]</w:t>
      </w:r>
    </w:p>
  </w:footnote>
  <w:footnote w:type="continuationNotice" w:id="1">
    <w:p w:rsidR="00A6248C" w:rsidRPr="00ED77FB" w:rsidRDefault="00A6248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CC261B" w:rsidRDefault="00CC261B" w:rsidP="00477D6B">
    <w:pPr>
      <w:jc w:val="right"/>
      <w:rPr>
        <w:lang w:val="es-ES_tradnl"/>
      </w:rPr>
    </w:pPr>
    <w:r w:rsidRPr="00CC261B">
      <w:rPr>
        <w:lang w:val="es-ES_tradnl"/>
      </w:rPr>
      <w:t>WIPO/EXP/GR/GE/18</w:t>
    </w:r>
    <w:r w:rsidR="00973CA7">
      <w:rPr>
        <w:lang w:val="es-ES_tradnl"/>
      </w:rPr>
      <w:t>/2</w:t>
    </w:r>
  </w:p>
  <w:p w:rsidR="00EC4E49" w:rsidRPr="00CC261B" w:rsidRDefault="00EC4E49" w:rsidP="00477D6B">
    <w:pPr>
      <w:jc w:val="right"/>
      <w:rPr>
        <w:lang w:val="es-ES_tradnl"/>
      </w:rPr>
    </w:pPr>
    <w:r w:rsidRPr="00CC261B">
      <w:rPr>
        <w:lang w:val="es-ES_tradnl"/>
      </w:rPr>
      <w:t xml:space="preserve">page </w:t>
    </w:r>
    <w:r>
      <w:fldChar w:fldCharType="begin"/>
    </w:r>
    <w:r w:rsidRPr="00CC261B">
      <w:rPr>
        <w:lang w:val="es-ES_tradnl"/>
      </w:rPr>
      <w:instrText xml:space="preserve"> PAGE  \* MERGEFORMAT </w:instrText>
    </w:r>
    <w:r>
      <w:fldChar w:fldCharType="separate"/>
    </w:r>
    <w:r w:rsidR="0041630A">
      <w:rPr>
        <w:noProof/>
        <w:lang w:val="es-ES_tradnl"/>
      </w:rPr>
      <w:t>4</w:t>
    </w:r>
    <w:r>
      <w:fldChar w:fldCharType="end"/>
    </w:r>
  </w:p>
  <w:p w:rsidR="00EC4E49" w:rsidRPr="00CC261B" w:rsidRDefault="00EC4E49" w:rsidP="00477D6B">
    <w:pPr>
      <w:jc w:val="right"/>
      <w:rPr>
        <w:lang w:val="es-ES_tradnl"/>
      </w:rPr>
    </w:pPr>
  </w:p>
  <w:p w:rsidR="008A134B" w:rsidRPr="00CC261B" w:rsidRDefault="008A134B" w:rsidP="00477D6B">
    <w:pPr>
      <w:jc w:val="right"/>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BC1EEE"/>
    <w:multiLevelType w:val="hybridMultilevel"/>
    <w:tmpl w:val="A5D2D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0681EF0"/>
    <w:multiLevelType w:val="hybridMultilevel"/>
    <w:tmpl w:val="279E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A465187"/>
    <w:multiLevelType w:val="hybridMultilevel"/>
    <w:tmpl w:val="C8668644"/>
    <w:lvl w:ilvl="0" w:tplc="9BE8828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D8317F8"/>
    <w:multiLevelType w:val="hybridMultilevel"/>
    <w:tmpl w:val="97C04836"/>
    <w:lvl w:ilvl="0" w:tplc="94FE7FF0">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0D048F"/>
    <w:multiLevelType w:val="hybridMultilevel"/>
    <w:tmpl w:val="06568D42"/>
    <w:lvl w:ilvl="0" w:tplc="04090003">
      <w:start w:val="1"/>
      <w:numFmt w:val="bullet"/>
      <w:lvlText w:val="o"/>
      <w:lvlJc w:val="left"/>
      <w:pPr>
        <w:ind w:left="1494" w:hanging="360"/>
      </w:pPr>
      <w:rPr>
        <w:rFonts w:ascii="Courier New" w:hAnsi="Courier New" w:cs="Courier New"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nsid w:val="4328111E"/>
    <w:multiLevelType w:val="hybridMultilevel"/>
    <w:tmpl w:val="CB6ECA54"/>
    <w:lvl w:ilvl="0" w:tplc="9BE8828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4512A0F"/>
    <w:multiLevelType w:val="hybridMultilevel"/>
    <w:tmpl w:val="5E705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591F7C"/>
    <w:multiLevelType w:val="hybridMultilevel"/>
    <w:tmpl w:val="02CCA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EB323D"/>
    <w:multiLevelType w:val="hybridMultilevel"/>
    <w:tmpl w:val="1362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A92A06"/>
    <w:multiLevelType w:val="hybridMultilevel"/>
    <w:tmpl w:val="D7C07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0"/>
  </w:num>
  <w:num w:numId="4">
    <w:abstractNumId w:val="13"/>
  </w:num>
  <w:num w:numId="5">
    <w:abstractNumId w:val="2"/>
  </w:num>
  <w:num w:numId="6">
    <w:abstractNumId w:val="5"/>
  </w:num>
  <w:num w:numId="7">
    <w:abstractNumId w:val="11"/>
  </w:num>
  <w:num w:numId="8">
    <w:abstractNumId w:val="7"/>
  </w:num>
  <w:num w:numId="9">
    <w:abstractNumId w:val="8"/>
  </w:num>
  <w:num w:numId="10">
    <w:abstractNumId w:val="9"/>
  </w:num>
  <w:num w:numId="11">
    <w:abstractNumId w:val="6"/>
  </w:num>
  <w:num w:numId="12">
    <w:abstractNumId w:val="12"/>
  </w:num>
  <w:num w:numId="13">
    <w:abstractNumId w:val="14"/>
  </w:num>
  <w:num w:numId="14">
    <w:abstractNumId w:val="15"/>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activeWritingStyle w:appName="MSWord" w:lang="en-US" w:vendorID="64" w:dllVersion="6" w:nlCheck="1" w:checkStyle="0"/>
  <w:activeWritingStyle w:appName="MSWord" w:lang="es-ES_tradnl" w:vendorID="64" w:dllVersion="6" w:nlCheck="1" w:checkStyle="1"/>
  <w:activeWritingStyle w:appName="MSWord" w:lang="en-US" w:vendorID="64" w:dllVersion="4096" w:nlCheck="1" w:checkStyle="0"/>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6C8"/>
    <w:rsid w:val="00001225"/>
    <w:rsid w:val="00001F27"/>
    <w:rsid w:val="0001564D"/>
    <w:rsid w:val="00032D27"/>
    <w:rsid w:val="00043CAA"/>
    <w:rsid w:val="000455C7"/>
    <w:rsid w:val="00047DAC"/>
    <w:rsid w:val="00064EE6"/>
    <w:rsid w:val="000728DF"/>
    <w:rsid w:val="00075432"/>
    <w:rsid w:val="000916CE"/>
    <w:rsid w:val="00096371"/>
    <w:rsid w:val="000968ED"/>
    <w:rsid w:val="000A4458"/>
    <w:rsid w:val="000A6F1D"/>
    <w:rsid w:val="000F467F"/>
    <w:rsid w:val="000F5E56"/>
    <w:rsid w:val="00106B2E"/>
    <w:rsid w:val="001203CF"/>
    <w:rsid w:val="001362EE"/>
    <w:rsid w:val="001425CF"/>
    <w:rsid w:val="00153FC0"/>
    <w:rsid w:val="001647D5"/>
    <w:rsid w:val="00164C87"/>
    <w:rsid w:val="001832A6"/>
    <w:rsid w:val="001B1D8B"/>
    <w:rsid w:val="001E64F6"/>
    <w:rsid w:val="0021217E"/>
    <w:rsid w:val="002366C8"/>
    <w:rsid w:val="002401EA"/>
    <w:rsid w:val="002634C4"/>
    <w:rsid w:val="00271EB2"/>
    <w:rsid w:val="00285849"/>
    <w:rsid w:val="002928D3"/>
    <w:rsid w:val="002B3598"/>
    <w:rsid w:val="002F1FE6"/>
    <w:rsid w:val="002F28BB"/>
    <w:rsid w:val="002F4E68"/>
    <w:rsid w:val="00312F7F"/>
    <w:rsid w:val="00346ACD"/>
    <w:rsid w:val="00361450"/>
    <w:rsid w:val="003673CF"/>
    <w:rsid w:val="003845C1"/>
    <w:rsid w:val="003A4209"/>
    <w:rsid w:val="003A6F89"/>
    <w:rsid w:val="003B38C1"/>
    <w:rsid w:val="003D41D5"/>
    <w:rsid w:val="003E267E"/>
    <w:rsid w:val="003E7073"/>
    <w:rsid w:val="003F17A3"/>
    <w:rsid w:val="0041630A"/>
    <w:rsid w:val="00417FA1"/>
    <w:rsid w:val="00423E3E"/>
    <w:rsid w:val="00427AF4"/>
    <w:rsid w:val="004647DA"/>
    <w:rsid w:val="00474062"/>
    <w:rsid w:val="00476FE1"/>
    <w:rsid w:val="00477D6B"/>
    <w:rsid w:val="004944BF"/>
    <w:rsid w:val="004C48BB"/>
    <w:rsid w:val="004C7E2F"/>
    <w:rsid w:val="005019FF"/>
    <w:rsid w:val="0053057A"/>
    <w:rsid w:val="005369CE"/>
    <w:rsid w:val="00540CC9"/>
    <w:rsid w:val="00560A29"/>
    <w:rsid w:val="00562265"/>
    <w:rsid w:val="00576D54"/>
    <w:rsid w:val="00580A9D"/>
    <w:rsid w:val="005901EA"/>
    <w:rsid w:val="00596D83"/>
    <w:rsid w:val="005C6649"/>
    <w:rsid w:val="00605827"/>
    <w:rsid w:val="00646050"/>
    <w:rsid w:val="006713CA"/>
    <w:rsid w:val="00676C5C"/>
    <w:rsid w:val="00686125"/>
    <w:rsid w:val="00695AB4"/>
    <w:rsid w:val="006C0B93"/>
    <w:rsid w:val="006C7753"/>
    <w:rsid w:val="00704D6F"/>
    <w:rsid w:val="007112E8"/>
    <w:rsid w:val="00763E8B"/>
    <w:rsid w:val="0076547F"/>
    <w:rsid w:val="007A2A06"/>
    <w:rsid w:val="007D1613"/>
    <w:rsid w:val="007E0D7B"/>
    <w:rsid w:val="007E4C0E"/>
    <w:rsid w:val="007F1806"/>
    <w:rsid w:val="007F731E"/>
    <w:rsid w:val="00885E30"/>
    <w:rsid w:val="008A134B"/>
    <w:rsid w:val="008B2CC1"/>
    <w:rsid w:val="008B60B2"/>
    <w:rsid w:val="0090731E"/>
    <w:rsid w:val="00916EE2"/>
    <w:rsid w:val="00924F46"/>
    <w:rsid w:val="0093186E"/>
    <w:rsid w:val="0093271A"/>
    <w:rsid w:val="00934356"/>
    <w:rsid w:val="0094105A"/>
    <w:rsid w:val="0094779F"/>
    <w:rsid w:val="009658ED"/>
    <w:rsid w:val="00966A22"/>
    <w:rsid w:val="0096722F"/>
    <w:rsid w:val="00973CA7"/>
    <w:rsid w:val="00980843"/>
    <w:rsid w:val="009D6D01"/>
    <w:rsid w:val="009E2791"/>
    <w:rsid w:val="009E3F6F"/>
    <w:rsid w:val="009F499F"/>
    <w:rsid w:val="00A23C65"/>
    <w:rsid w:val="00A35BC8"/>
    <w:rsid w:val="00A37342"/>
    <w:rsid w:val="00A41344"/>
    <w:rsid w:val="00A42DAF"/>
    <w:rsid w:val="00A45BD8"/>
    <w:rsid w:val="00A470AE"/>
    <w:rsid w:val="00A6248C"/>
    <w:rsid w:val="00A869B7"/>
    <w:rsid w:val="00A94AF4"/>
    <w:rsid w:val="00AA1E72"/>
    <w:rsid w:val="00AC205C"/>
    <w:rsid w:val="00AD3CB6"/>
    <w:rsid w:val="00AE1C35"/>
    <w:rsid w:val="00AF0A6B"/>
    <w:rsid w:val="00B04684"/>
    <w:rsid w:val="00B05A69"/>
    <w:rsid w:val="00B218B1"/>
    <w:rsid w:val="00B31BA5"/>
    <w:rsid w:val="00B50079"/>
    <w:rsid w:val="00B73C3F"/>
    <w:rsid w:val="00B9734B"/>
    <w:rsid w:val="00BA30E2"/>
    <w:rsid w:val="00BB49F0"/>
    <w:rsid w:val="00BC7B93"/>
    <w:rsid w:val="00BE0B0E"/>
    <w:rsid w:val="00BE1719"/>
    <w:rsid w:val="00BF4858"/>
    <w:rsid w:val="00C11BFE"/>
    <w:rsid w:val="00C12B10"/>
    <w:rsid w:val="00C5068F"/>
    <w:rsid w:val="00C52C67"/>
    <w:rsid w:val="00C562F3"/>
    <w:rsid w:val="00C81FEB"/>
    <w:rsid w:val="00C86D74"/>
    <w:rsid w:val="00C9716D"/>
    <w:rsid w:val="00CB1329"/>
    <w:rsid w:val="00CB63A8"/>
    <w:rsid w:val="00CC261B"/>
    <w:rsid w:val="00CD04F1"/>
    <w:rsid w:val="00D33090"/>
    <w:rsid w:val="00D33D96"/>
    <w:rsid w:val="00D45252"/>
    <w:rsid w:val="00D71B4D"/>
    <w:rsid w:val="00D93D55"/>
    <w:rsid w:val="00D94448"/>
    <w:rsid w:val="00E15015"/>
    <w:rsid w:val="00E335FE"/>
    <w:rsid w:val="00E50840"/>
    <w:rsid w:val="00E64710"/>
    <w:rsid w:val="00E71C6B"/>
    <w:rsid w:val="00E840BC"/>
    <w:rsid w:val="00EA0D5F"/>
    <w:rsid w:val="00EA2B1E"/>
    <w:rsid w:val="00EA7D6E"/>
    <w:rsid w:val="00EC4E49"/>
    <w:rsid w:val="00ED77FB"/>
    <w:rsid w:val="00EE45FA"/>
    <w:rsid w:val="00EE7EEB"/>
    <w:rsid w:val="00F43329"/>
    <w:rsid w:val="00F66152"/>
    <w:rsid w:val="00F67CF9"/>
    <w:rsid w:val="00F93974"/>
    <w:rsid w:val="00FD00D0"/>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366C8"/>
    <w:rPr>
      <w:rFonts w:ascii="Tahoma" w:hAnsi="Tahoma" w:cs="Tahoma"/>
      <w:sz w:val="16"/>
      <w:szCs w:val="16"/>
    </w:rPr>
  </w:style>
  <w:style w:type="character" w:customStyle="1" w:styleId="BalloonTextChar">
    <w:name w:val="Balloon Text Char"/>
    <w:basedOn w:val="DefaultParagraphFont"/>
    <w:link w:val="BalloonText"/>
    <w:rsid w:val="002366C8"/>
    <w:rPr>
      <w:rFonts w:ascii="Tahoma" w:eastAsia="SimSun" w:hAnsi="Tahoma" w:cs="Tahoma"/>
      <w:sz w:val="16"/>
      <w:szCs w:val="16"/>
      <w:lang w:val="en-US" w:eastAsia="zh-CN"/>
    </w:rPr>
  </w:style>
  <w:style w:type="paragraph" w:styleId="ListParagraph">
    <w:name w:val="List Paragraph"/>
    <w:basedOn w:val="Normal"/>
    <w:uiPriority w:val="34"/>
    <w:qFormat/>
    <w:rsid w:val="00AD3CB6"/>
    <w:pPr>
      <w:ind w:left="720"/>
      <w:contextualSpacing/>
    </w:pPr>
  </w:style>
  <w:style w:type="table" w:styleId="TableGrid">
    <w:name w:val="Table Grid"/>
    <w:basedOn w:val="TableNormal"/>
    <w:rsid w:val="00763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0728DF"/>
    <w:rPr>
      <w:sz w:val="16"/>
      <w:szCs w:val="16"/>
    </w:rPr>
  </w:style>
  <w:style w:type="paragraph" w:styleId="CommentSubject">
    <w:name w:val="annotation subject"/>
    <w:basedOn w:val="CommentText"/>
    <w:next w:val="CommentText"/>
    <w:link w:val="CommentSubjectChar"/>
    <w:semiHidden/>
    <w:unhideWhenUsed/>
    <w:rsid w:val="000728DF"/>
    <w:rPr>
      <w:b/>
      <w:bCs/>
      <w:sz w:val="20"/>
    </w:rPr>
  </w:style>
  <w:style w:type="character" w:customStyle="1" w:styleId="CommentTextChar">
    <w:name w:val="Comment Text Char"/>
    <w:basedOn w:val="DefaultParagraphFont"/>
    <w:link w:val="CommentText"/>
    <w:semiHidden/>
    <w:rsid w:val="000728D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728DF"/>
    <w:rPr>
      <w:rFonts w:ascii="Arial" w:eastAsia="SimSun" w:hAnsi="Arial" w:cs="Arial"/>
      <w:b/>
      <w:bCs/>
      <w:sz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366C8"/>
    <w:rPr>
      <w:rFonts w:ascii="Tahoma" w:hAnsi="Tahoma" w:cs="Tahoma"/>
      <w:sz w:val="16"/>
      <w:szCs w:val="16"/>
    </w:rPr>
  </w:style>
  <w:style w:type="character" w:customStyle="1" w:styleId="BalloonTextChar">
    <w:name w:val="Balloon Text Char"/>
    <w:basedOn w:val="DefaultParagraphFont"/>
    <w:link w:val="BalloonText"/>
    <w:rsid w:val="002366C8"/>
    <w:rPr>
      <w:rFonts w:ascii="Tahoma" w:eastAsia="SimSun" w:hAnsi="Tahoma" w:cs="Tahoma"/>
      <w:sz w:val="16"/>
      <w:szCs w:val="16"/>
      <w:lang w:val="en-US" w:eastAsia="zh-CN"/>
    </w:rPr>
  </w:style>
  <w:style w:type="paragraph" w:styleId="ListParagraph">
    <w:name w:val="List Paragraph"/>
    <w:basedOn w:val="Normal"/>
    <w:uiPriority w:val="34"/>
    <w:qFormat/>
    <w:rsid w:val="00AD3CB6"/>
    <w:pPr>
      <w:ind w:left="720"/>
      <w:contextualSpacing/>
    </w:pPr>
  </w:style>
  <w:style w:type="table" w:styleId="TableGrid">
    <w:name w:val="Table Grid"/>
    <w:basedOn w:val="TableNormal"/>
    <w:rsid w:val="00763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0728DF"/>
    <w:rPr>
      <w:sz w:val="16"/>
      <w:szCs w:val="16"/>
    </w:rPr>
  </w:style>
  <w:style w:type="paragraph" w:styleId="CommentSubject">
    <w:name w:val="annotation subject"/>
    <w:basedOn w:val="CommentText"/>
    <w:next w:val="CommentText"/>
    <w:link w:val="CommentSubjectChar"/>
    <w:semiHidden/>
    <w:unhideWhenUsed/>
    <w:rsid w:val="000728DF"/>
    <w:rPr>
      <w:b/>
      <w:bCs/>
      <w:sz w:val="20"/>
    </w:rPr>
  </w:style>
  <w:style w:type="character" w:customStyle="1" w:styleId="CommentTextChar">
    <w:name w:val="Comment Text Char"/>
    <w:basedOn w:val="DefaultParagraphFont"/>
    <w:link w:val="CommentText"/>
    <w:semiHidden/>
    <w:rsid w:val="000728D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728DF"/>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1055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6944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JIAO Fei</dc:creator>
  <cp:lastModifiedBy>MORENO PALESTINI Maria Del Pilar</cp:lastModifiedBy>
  <cp:revision>33</cp:revision>
  <cp:lastPrinted>2018-06-15T12:07:00Z</cp:lastPrinted>
  <dcterms:created xsi:type="dcterms:W3CDTF">2018-06-10T07:25:00Z</dcterms:created>
  <dcterms:modified xsi:type="dcterms:W3CDTF">2018-06-15T12:07:00Z</dcterms:modified>
</cp:coreProperties>
</file>