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0A68"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6BAA9C01" wp14:editId="0B2FC10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87B0721" w14:textId="502FC577"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5A0150">
        <w:rPr>
          <w:rFonts w:ascii="Arial Black" w:hAnsi="Arial Black"/>
          <w:caps/>
          <w:sz w:val="15"/>
          <w:szCs w:val="15"/>
        </w:rPr>
        <w:t>INF/4</w:t>
      </w:r>
    </w:p>
    <w:p w14:paraId="02CD648B" w14:textId="688F41CF"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A0150">
        <w:rPr>
          <w:rFonts w:ascii="Arial Black" w:hAnsi="Arial Black"/>
          <w:caps/>
          <w:sz w:val="15"/>
          <w:szCs w:val="15"/>
        </w:rPr>
        <w:t xml:space="preserve"> English</w:t>
      </w:r>
    </w:p>
    <w:bookmarkEnd w:id="1"/>
    <w:p w14:paraId="1C96DD06" w14:textId="0B85EB9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5A0150">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5A0150">
        <w:rPr>
          <w:rFonts w:ascii="Arial Black" w:hAnsi="Arial Black"/>
          <w:caps/>
          <w:sz w:val="15"/>
          <w:szCs w:val="15"/>
        </w:rPr>
        <w:t>December 14, 2023</w:t>
      </w:r>
    </w:p>
    <w:bookmarkEnd w:id="2"/>
    <w:p w14:paraId="62A9EF52" w14:textId="52EEDE71" w:rsidR="008B2CC1" w:rsidRPr="00720EFD" w:rsidRDefault="00F067C4" w:rsidP="004A5A63">
      <w:pPr>
        <w:pStyle w:val="Heading1"/>
        <w:spacing w:before="0" w:after="600"/>
        <w:rPr>
          <w:sz w:val="28"/>
          <w:szCs w:val="28"/>
        </w:rPr>
      </w:pPr>
      <w:r w:rsidRPr="00F067C4">
        <w:rPr>
          <w:caps w:val="0"/>
          <w:sz w:val="28"/>
          <w:szCs w:val="28"/>
        </w:rPr>
        <w:t xml:space="preserve">Diplomatic Conference to </w:t>
      </w:r>
      <w:r w:rsidR="005A0150">
        <w:rPr>
          <w:caps w:val="0"/>
          <w:sz w:val="28"/>
          <w:szCs w:val="28"/>
        </w:rPr>
        <w:t>C</w:t>
      </w:r>
      <w:r w:rsidRPr="00F067C4">
        <w:rPr>
          <w:caps w:val="0"/>
          <w:sz w:val="28"/>
          <w:szCs w:val="28"/>
        </w:rPr>
        <w:t>onclude an International Legal Instrument Relating to Intellectual Property, Genetic Resources and Traditional Knowledge Associated with Genetic Resources</w:t>
      </w:r>
    </w:p>
    <w:p w14:paraId="2C4EF9DA"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6CD3EA99" w14:textId="2350E995" w:rsidR="008B2CC1" w:rsidRPr="003845C1" w:rsidRDefault="004117AB" w:rsidP="004117AB">
      <w:pPr>
        <w:spacing w:after="360"/>
        <w:outlineLvl w:val="0"/>
        <w:rPr>
          <w:caps/>
          <w:sz w:val="24"/>
        </w:rPr>
      </w:pPr>
      <w:bookmarkStart w:id="3" w:name="TitleOfDoc"/>
      <w:r>
        <w:rPr>
          <w:sz w:val="23"/>
          <w:szCs w:val="23"/>
        </w:rPr>
        <w:t>NOTES TO THE TEXT OF A DRAFT INTERNATIONAL LEGAL INSTRUMENT RELATING TO INTELLECTUAL PROPERTY, GENETIC RESOURCES AND TRADITIONAL KNOWLEDGE ASSOCIATED WITH GENETIC RESOURCES</w:t>
      </w:r>
    </w:p>
    <w:p w14:paraId="18DBD796" w14:textId="5014BF9C" w:rsidR="002928D3" w:rsidRPr="00F9165B" w:rsidRDefault="004627E4" w:rsidP="004117AB">
      <w:pPr>
        <w:spacing w:after="1040"/>
        <w:rPr>
          <w:i/>
        </w:rPr>
      </w:pPr>
      <w:bookmarkStart w:id="4" w:name="Prepared"/>
      <w:bookmarkEnd w:id="3"/>
      <w:bookmarkEnd w:id="4"/>
      <w:r>
        <w:rPr>
          <w:i/>
          <w:iCs/>
          <w:szCs w:val="22"/>
        </w:rPr>
        <w:t>p</w:t>
      </w:r>
      <w:r w:rsidR="004117AB">
        <w:rPr>
          <w:i/>
          <w:iCs/>
          <w:szCs w:val="22"/>
        </w:rPr>
        <w:t xml:space="preserve">repared by the </w:t>
      </w:r>
      <w:proofErr w:type="gramStart"/>
      <w:r w:rsidR="004117AB">
        <w:rPr>
          <w:i/>
          <w:iCs/>
          <w:szCs w:val="22"/>
        </w:rPr>
        <w:t>Secretariat</w:t>
      </w:r>
      <w:proofErr w:type="gramEnd"/>
    </w:p>
    <w:p w14:paraId="30D56005" w14:textId="042CB2B6" w:rsidR="004117AB" w:rsidRPr="004117AB" w:rsidRDefault="004117AB" w:rsidP="004117AB">
      <w:pPr>
        <w:spacing w:after="220"/>
        <w:rPr>
          <w:lang w:val="en-150"/>
        </w:rPr>
      </w:pPr>
      <w:r>
        <w:rPr>
          <w:lang w:val="en-150"/>
        </w:rPr>
        <w:fldChar w:fldCharType="begin"/>
      </w:r>
      <w:r>
        <w:rPr>
          <w:lang w:val="en-150"/>
        </w:rPr>
        <w:instrText xml:space="preserve"> AUTONUM  </w:instrText>
      </w:r>
      <w:r>
        <w:rPr>
          <w:lang w:val="en-150"/>
        </w:rPr>
        <w:fldChar w:fldCharType="end"/>
      </w:r>
      <w:r>
        <w:rPr>
          <w:lang w:val="en-150"/>
        </w:rPr>
        <w:tab/>
      </w:r>
      <w:r w:rsidRPr="004117AB">
        <w:rPr>
          <w:lang w:val="en-150"/>
        </w:rPr>
        <w:t>The Special Session of the Intergovernmental Committee on Intellectual Property and Genetic Resources, Traditional Knowledge and Folklore (“IGC”)</w:t>
      </w:r>
      <w:r>
        <w:t>, which took place from September 4 to 8, 2023,</w:t>
      </w:r>
      <w:r w:rsidRPr="004117AB">
        <w:rPr>
          <w:lang w:val="en-150"/>
        </w:rPr>
        <w:t xml:space="preserve"> decided that the notes on each article as contained in document WIPO/GRTKF/IC/SS/GE/23/2 be published separately as an information document for the Diplomatic Conference to Conclude an International Legal Instrument Relating to Intellectual Property, Genetic Resources and Traditional Knowledge Associated with Genetic Resources. </w:t>
      </w:r>
      <w:r>
        <w:t xml:space="preserve"> </w:t>
      </w:r>
      <w:r w:rsidRPr="004117AB">
        <w:rPr>
          <w:lang w:val="en-150"/>
        </w:rPr>
        <w:t xml:space="preserve">These notes were prepared by Mr. Ian Goss in April 2019, when he was the Chair of the IGC. </w:t>
      </w:r>
    </w:p>
    <w:p w14:paraId="04D17B88" w14:textId="441CD715" w:rsidR="004117AB" w:rsidRPr="004117AB" w:rsidRDefault="004117AB" w:rsidP="004117AB">
      <w:pPr>
        <w:spacing w:after="220"/>
        <w:rPr>
          <w:lang w:val="en-150"/>
        </w:rPr>
      </w:pPr>
      <w:r>
        <w:rPr>
          <w:lang w:val="en-150"/>
        </w:rPr>
        <w:fldChar w:fldCharType="begin"/>
      </w:r>
      <w:r>
        <w:rPr>
          <w:lang w:val="en-150"/>
        </w:rPr>
        <w:instrText xml:space="preserve"> AUTONUM  </w:instrText>
      </w:r>
      <w:r>
        <w:rPr>
          <w:lang w:val="en-150"/>
        </w:rPr>
        <w:fldChar w:fldCharType="end"/>
      </w:r>
      <w:r>
        <w:rPr>
          <w:lang w:val="en-150"/>
        </w:rPr>
        <w:tab/>
      </w:r>
      <w:r w:rsidRPr="004117AB">
        <w:rPr>
          <w:lang w:val="en-150"/>
        </w:rPr>
        <w:t>Pursuant to this decision,</w:t>
      </w:r>
      <w:r w:rsidR="002523D4" w:rsidRPr="002523D4">
        <w:t xml:space="preserve"> </w:t>
      </w:r>
      <w:r w:rsidR="002523D4" w:rsidRPr="0091333F">
        <w:t>th</w:t>
      </w:r>
      <w:r w:rsidR="002523D4">
        <w:t>e notes on each article are annexed to this document</w:t>
      </w:r>
      <w:r w:rsidRPr="004117AB">
        <w:rPr>
          <w:lang w:val="en-150"/>
        </w:rPr>
        <w:t xml:space="preserve">. </w:t>
      </w:r>
    </w:p>
    <w:p w14:paraId="44EA4D77" w14:textId="7E036E54" w:rsidR="002326AB" w:rsidRDefault="004117AB" w:rsidP="004117AB">
      <w:pPr>
        <w:spacing w:after="220"/>
        <w:ind w:left="5533"/>
        <w:rPr>
          <w:lang w:val="en-150"/>
        </w:rPr>
      </w:pPr>
      <w:r w:rsidRPr="004117AB">
        <w:rPr>
          <w:lang w:val="en-150"/>
        </w:rPr>
        <w:t>[Annex follows]</w:t>
      </w:r>
    </w:p>
    <w:p w14:paraId="1E906FBE" w14:textId="77777777" w:rsidR="004117AB" w:rsidRDefault="004117AB">
      <w:pPr>
        <w:sectPr w:rsidR="004117AB"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p w14:paraId="2453B3D0" w14:textId="2F0B85CF" w:rsidR="004117AB" w:rsidRPr="004117AB" w:rsidRDefault="004117AB" w:rsidP="004117AB">
      <w:pPr>
        <w:pStyle w:val="Default"/>
        <w:rPr>
          <w:sz w:val="22"/>
          <w:szCs w:val="22"/>
          <w:u w:val="single"/>
        </w:rPr>
      </w:pPr>
      <w:r w:rsidRPr="004117AB">
        <w:rPr>
          <w:sz w:val="22"/>
          <w:szCs w:val="22"/>
          <w:u w:val="single"/>
        </w:rPr>
        <w:lastRenderedPageBreak/>
        <w:t>Notes on Article 1</w:t>
      </w:r>
    </w:p>
    <w:p w14:paraId="747C1795" w14:textId="77777777" w:rsidR="004117AB" w:rsidRDefault="004117AB" w:rsidP="004117AB">
      <w:pPr>
        <w:pStyle w:val="Default"/>
        <w:rPr>
          <w:sz w:val="22"/>
          <w:szCs w:val="22"/>
        </w:rPr>
      </w:pPr>
    </w:p>
    <w:p w14:paraId="64AC9423" w14:textId="3A25EA29" w:rsidR="004117AB" w:rsidRDefault="004117AB" w:rsidP="004117AB">
      <w:r>
        <w:rPr>
          <w:szCs w:val="22"/>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Pr>
          <w:i/>
          <w:iCs/>
          <w:szCs w:val="22"/>
        </w:rPr>
        <w:t xml:space="preserve">Pandemic Influenza Preparedness Framework, </w:t>
      </w:r>
      <w:r>
        <w:rPr>
          <w:szCs w:val="22"/>
        </w:rPr>
        <w:t xml:space="preserve">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easily </w:t>
      </w:r>
      <w:proofErr w:type="gramStart"/>
      <w:r>
        <w:rPr>
          <w:szCs w:val="22"/>
        </w:rPr>
        <w:t>implementable</w:t>
      </w:r>
      <w:proofErr w:type="gramEnd"/>
      <w:r>
        <w:rPr>
          <w:szCs w:val="22"/>
        </w:rPr>
        <w:t xml:space="preserve"> and not result in overly burdensome transaction costs.</w:t>
      </w:r>
    </w:p>
    <w:p w14:paraId="032B2CB1" w14:textId="57A1B074" w:rsidR="004117AB" w:rsidRDefault="004117AB" w:rsidP="004117AB">
      <w:pPr>
        <w:spacing w:after="220"/>
      </w:pPr>
    </w:p>
    <w:p w14:paraId="70FB3FC2" w14:textId="71C9EBB6" w:rsidR="004117AB" w:rsidRDefault="004117AB">
      <w:r>
        <w:br w:type="page"/>
      </w:r>
    </w:p>
    <w:p w14:paraId="47266ED5" w14:textId="77777777" w:rsidR="004117AB" w:rsidRPr="009F285E" w:rsidRDefault="004117AB" w:rsidP="004117AB">
      <w:pPr>
        <w:rPr>
          <w:b/>
          <w:i/>
          <w:szCs w:val="22"/>
        </w:rPr>
      </w:pPr>
      <w:r w:rsidRPr="009F285E">
        <w:rPr>
          <w:szCs w:val="22"/>
          <w:u w:val="single"/>
        </w:rPr>
        <w:lastRenderedPageBreak/>
        <w:t>Notes on Article 2</w:t>
      </w:r>
    </w:p>
    <w:p w14:paraId="2876C629" w14:textId="77777777" w:rsidR="004117AB" w:rsidRPr="009F285E" w:rsidRDefault="004117AB" w:rsidP="004117AB">
      <w:pPr>
        <w:ind w:left="360"/>
        <w:rPr>
          <w:szCs w:val="22"/>
        </w:rPr>
      </w:pPr>
    </w:p>
    <w:p w14:paraId="6F9CD222"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 xml:space="preserve">The definitions of </w:t>
      </w:r>
      <w:r w:rsidRPr="009F285E">
        <w:rPr>
          <w:i/>
          <w:lang w:val="en-AU"/>
        </w:rPr>
        <w:t>genetic resources</w:t>
      </w:r>
      <w:r w:rsidRPr="009F285E">
        <w:rPr>
          <w:lang w:val="en-AU"/>
        </w:rPr>
        <w:t xml:space="preserve">, </w:t>
      </w:r>
      <w:r w:rsidRPr="009F285E">
        <w:rPr>
          <w:i/>
          <w:lang w:val="en-AU"/>
        </w:rPr>
        <w:t>genetic material</w:t>
      </w:r>
      <w:r w:rsidRPr="009F285E">
        <w:rPr>
          <w:lang w:val="en-AU"/>
        </w:rPr>
        <w:t xml:space="preserve">, </w:t>
      </w:r>
      <w:r w:rsidRPr="009F285E">
        <w:rPr>
          <w:i/>
          <w:lang w:val="en-AU"/>
        </w:rPr>
        <w:t>country of origin</w:t>
      </w:r>
      <w:r w:rsidRPr="009F285E">
        <w:rPr>
          <w:lang w:val="en-AU"/>
        </w:rPr>
        <w:t xml:space="preserve"> and </w:t>
      </w:r>
      <w:r w:rsidRPr="009F285E">
        <w:rPr>
          <w:i/>
          <w:lang w:val="en-AU"/>
        </w:rPr>
        <w:t>in situ</w:t>
      </w:r>
      <w:r w:rsidRPr="009F285E">
        <w:rPr>
          <w:lang w:val="en-AU"/>
        </w:rPr>
        <w:t xml:space="preserve"> </w:t>
      </w:r>
      <w:r w:rsidRPr="009F285E">
        <w:rPr>
          <w:i/>
          <w:lang w:val="en-AU"/>
        </w:rPr>
        <w:t>conditions</w:t>
      </w:r>
      <w:r w:rsidRPr="009F285E">
        <w:rPr>
          <w:lang w:val="en-AU"/>
        </w:rPr>
        <w:t xml:space="preserve"> detailed in the list of terms have been taken directly from existing multilateral agreements relati</w:t>
      </w:r>
      <w:r>
        <w:rPr>
          <w:lang w:val="en-AU"/>
        </w:rPr>
        <w:t>ng to the GRs, notably the CBD.</w:t>
      </w:r>
    </w:p>
    <w:p w14:paraId="6E3647E0" w14:textId="77777777" w:rsidR="004117AB" w:rsidRPr="009F285E" w:rsidRDefault="004117AB" w:rsidP="004117AB">
      <w:pPr>
        <w:pStyle w:val="ListParagraph"/>
        <w:keepLines/>
        <w:ind w:left="0"/>
        <w:rPr>
          <w:lang w:val="en-AU"/>
        </w:rPr>
      </w:pPr>
    </w:p>
    <w:p w14:paraId="33706160"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 xml:space="preserve">The following definitions have not previously been defined at the multilateral level: </w:t>
      </w:r>
      <w:r w:rsidRPr="009F285E">
        <w:rPr>
          <w:i/>
          <w:lang w:val="en-AU"/>
        </w:rPr>
        <w:t>materially/directly based on</w:t>
      </w:r>
      <w:r w:rsidRPr="009F285E">
        <w:rPr>
          <w:lang w:val="en-AU"/>
        </w:rPr>
        <w:t xml:space="preserve">, </w:t>
      </w:r>
      <w:r w:rsidRPr="009F285E">
        <w:rPr>
          <w:i/>
          <w:lang w:val="en-AU"/>
        </w:rPr>
        <w:t>source of genetic resources</w:t>
      </w:r>
      <w:r w:rsidRPr="009F285E">
        <w:rPr>
          <w:lang w:val="en-AU"/>
        </w:rPr>
        <w:t xml:space="preserve">, and </w:t>
      </w:r>
      <w:r w:rsidRPr="009F285E">
        <w:rPr>
          <w:i/>
          <w:lang w:val="en-AU"/>
        </w:rPr>
        <w:t>source of traditional knowledge associated with genetic resources.</w:t>
      </w:r>
    </w:p>
    <w:p w14:paraId="7954633B" w14:textId="77777777" w:rsidR="004117AB" w:rsidRPr="009F285E" w:rsidRDefault="004117AB" w:rsidP="004117AB">
      <w:pPr>
        <w:pStyle w:val="ListParagraph"/>
        <w:keepLines/>
        <w:ind w:left="0"/>
        <w:rPr>
          <w:lang w:val="en-AU"/>
        </w:rPr>
      </w:pPr>
    </w:p>
    <w:p w14:paraId="356FD9F3"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The term “</w:t>
      </w:r>
      <w:r w:rsidRPr="009F285E">
        <w:rPr>
          <w:i/>
          <w:lang w:val="en-AU"/>
        </w:rPr>
        <w:t>materially/directly based on”</w:t>
      </w:r>
      <w:r w:rsidRPr="009F285E">
        <w:rPr>
          <w:lang w:val="en-AU"/>
        </w:rPr>
        <w:t xml:space="preserve"> specifies the relationship between the claimed invention and the GRs and Associated TK which activates the obligation to disclose (referred to in the IGC</w:t>
      </w:r>
      <w:r>
        <w:rPr>
          <w:lang w:val="en-AU"/>
        </w:rPr>
        <w:t xml:space="preserve"> discussions as the “trigger”).</w:t>
      </w:r>
    </w:p>
    <w:p w14:paraId="1F092183" w14:textId="77777777" w:rsidR="004117AB" w:rsidRPr="009F285E" w:rsidRDefault="004117AB" w:rsidP="004117AB">
      <w:pPr>
        <w:pStyle w:val="ListParagraph"/>
        <w:keepLines/>
        <w:ind w:left="0"/>
        <w:rPr>
          <w:lang w:val="en-AU"/>
        </w:rPr>
      </w:pPr>
    </w:p>
    <w:p w14:paraId="3C575716"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 xml:space="preserve">Currently there is a significant divergence in triggers at the national and regional levels </w:t>
      </w:r>
      <w:proofErr w:type="gramStart"/>
      <w:r w:rsidRPr="009F285E">
        <w:rPr>
          <w:lang w:val="en-AU"/>
        </w:rPr>
        <w:t>e.g.</w:t>
      </w:r>
      <w:proofErr w:type="gramEnd"/>
      <w:r w:rsidRPr="009F285E">
        <w:rPr>
          <w:lang w:val="en-AU"/>
        </w:rPr>
        <w:t xml:space="preserve"> </w:t>
      </w:r>
      <w:r w:rsidRPr="009F285E">
        <w:rPr>
          <w:i/>
          <w:lang w:val="en-AU"/>
        </w:rPr>
        <w:t>directly based on</w:t>
      </w:r>
      <w:r w:rsidRPr="009F285E">
        <w:rPr>
          <w:lang w:val="en-AU"/>
        </w:rPr>
        <w:t xml:space="preserve">, </w:t>
      </w:r>
      <w:r w:rsidRPr="009F285E">
        <w:rPr>
          <w:i/>
          <w:lang w:val="en-AU"/>
        </w:rPr>
        <w:t>based on, based on or derived from, is the basis of</w:t>
      </w:r>
      <w:r w:rsidRPr="009F285E">
        <w:rPr>
          <w:lang w:val="en-AU"/>
        </w:rPr>
        <w:t xml:space="preserve">, </w:t>
      </w:r>
      <w:r w:rsidRPr="009F285E">
        <w:rPr>
          <w:i/>
          <w:lang w:val="en-AU"/>
        </w:rPr>
        <w:t>used in an invention, invention concerns, relates to or makes use</w:t>
      </w:r>
      <w:r w:rsidRPr="009F285E">
        <w:rPr>
          <w:b/>
          <w:i/>
          <w:lang w:val="en-AU"/>
        </w:rPr>
        <w:t xml:space="preserve">, </w:t>
      </w:r>
      <w:r w:rsidRPr="009F285E">
        <w:rPr>
          <w:rStyle w:val="Strong"/>
          <w:i/>
          <w:bdr w:val="none" w:sz="0" w:space="0" w:color="auto" w:frame="1"/>
          <w:lang w:val="en-AU"/>
        </w:rPr>
        <w:t>an invention-creation accomplished by relying on genetic resources.</w:t>
      </w:r>
      <w:r w:rsidRPr="009F285E">
        <w:rPr>
          <w:rStyle w:val="Strong"/>
          <w:bdr w:val="none" w:sz="0" w:space="0" w:color="auto" w:frame="1"/>
          <w:lang w:val="en-AU"/>
        </w:rPr>
        <w:t xml:space="preserve">  </w:t>
      </w:r>
      <w:r w:rsidRPr="009F285E">
        <w:rPr>
          <w:lang w:val="en-AU"/>
        </w:rPr>
        <w:t xml:space="preserve">There is also significant ambiguity regarding the meaning of these terms.  </w:t>
      </w:r>
      <w:proofErr w:type="gramStart"/>
      <w:r w:rsidRPr="009F285E">
        <w:rPr>
          <w:lang w:val="en-AU"/>
        </w:rPr>
        <w:t>In order to</w:t>
      </w:r>
      <w:proofErr w:type="gramEnd"/>
      <w:r w:rsidRPr="009F285E">
        <w:rPr>
          <w:lang w:val="en-AU"/>
        </w:rPr>
        <w:t xml:space="preserve"> maximise legal certainty, two amplifying adverbs (</w:t>
      </w:r>
      <w:r w:rsidRPr="009F285E">
        <w:rPr>
          <w:i/>
          <w:lang w:val="en-AU"/>
        </w:rPr>
        <w:t>materially/directly</w:t>
      </w:r>
      <w:r w:rsidRPr="009F285E">
        <w:rPr>
          <w:lang w:val="en-AU"/>
        </w:rPr>
        <w:t>) have been proposed, in addition to the trigger concept “</w:t>
      </w:r>
      <w:r w:rsidRPr="009F285E">
        <w:rPr>
          <w:i/>
          <w:lang w:val="en-AU"/>
        </w:rPr>
        <w:t>based on”</w:t>
      </w:r>
      <w:r w:rsidRPr="009F285E">
        <w:rPr>
          <w:lang w:val="en-AU"/>
        </w:rPr>
        <w:t xml:space="preserve">, for consideration by Member States, reflecting discussions held during IGC 36 in June 2018.  The alternate term </w:t>
      </w:r>
      <w:r w:rsidRPr="009F285E">
        <w:rPr>
          <w:i/>
          <w:lang w:val="en-AU"/>
        </w:rPr>
        <w:t xml:space="preserve">“materially” </w:t>
      </w:r>
      <w:r w:rsidRPr="009F285E">
        <w:rPr>
          <w:lang w:val="en-AU"/>
        </w:rPr>
        <w:t>has been included as the term “</w:t>
      </w:r>
      <w:r w:rsidRPr="009F285E">
        <w:rPr>
          <w:i/>
          <w:lang w:val="en-AU"/>
        </w:rPr>
        <w:t xml:space="preserve">directly” </w:t>
      </w:r>
      <w:r w:rsidRPr="009F285E">
        <w:rPr>
          <w:lang w:val="en-AU"/>
        </w:rPr>
        <w:t>has been contentious within the IGC’s deliberations.  However, by defining the term in the list of terms it is hoped that this concern has been addressed.  An alternative to the inclusion of amplifying adverbs (“</w:t>
      </w:r>
      <w:r w:rsidRPr="009F285E">
        <w:rPr>
          <w:i/>
          <w:lang w:val="en-AU"/>
        </w:rPr>
        <w:t>materially/directly”</w:t>
      </w:r>
      <w:r w:rsidRPr="009F285E">
        <w:rPr>
          <w:lang w:val="en-AU"/>
        </w:rPr>
        <w:t>) in the trigger language is to simply retain the trigger concept “</w:t>
      </w:r>
      <w:r w:rsidRPr="009F285E">
        <w:rPr>
          <w:i/>
          <w:lang w:val="en-AU"/>
        </w:rPr>
        <w:t>based on”</w:t>
      </w:r>
      <w:r w:rsidRPr="009F285E">
        <w:rPr>
          <w:lang w:val="en-AU"/>
        </w:rPr>
        <w:t xml:space="preserve"> and use a definition of “</w:t>
      </w:r>
      <w:r w:rsidRPr="009F285E">
        <w:rPr>
          <w:i/>
          <w:lang w:val="en-AU"/>
        </w:rPr>
        <w:t>based on”</w:t>
      </w:r>
      <w:r w:rsidRPr="009F285E">
        <w:rPr>
          <w:lang w:val="en-AU"/>
        </w:rPr>
        <w:t xml:space="preserve"> to clarify the scope of the trigger.</w:t>
      </w:r>
    </w:p>
    <w:p w14:paraId="7DB4BF2E" w14:textId="77777777" w:rsidR="004117AB" w:rsidRPr="009F285E" w:rsidRDefault="004117AB" w:rsidP="004117AB">
      <w:pPr>
        <w:pStyle w:val="ListParagraph"/>
        <w:keepLines/>
        <w:ind w:left="0"/>
        <w:rPr>
          <w:lang w:val="en-AU"/>
        </w:rPr>
      </w:pPr>
    </w:p>
    <w:p w14:paraId="1A173FE6"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A contentious issue related to the concept of “</w:t>
      </w:r>
      <w:r w:rsidRPr="009F285E">
        <w:rPr>
          <w:i/>
          <w:lang w:val="en-AU"/>
        </w:rPr>
        <w:t>directly based on”</w:t>
      </w:r>
      <w:r w:rsidRPr="009F285E">
        <w:rPr>
          <w:lang w:val="en-AU"/>
        </w:rPr>
        <w:t>, which is included in the proposal of the EU first tabled in 2005</w:t>
      </w:r>
      <w:r w:rsidRPr="009F285E">
        <w:rPr>
          <w:rStyle w:val="FootnoteReference"/>
          <w:lang w:val="en-AU"/>
        </w:rPr>
        <w:footnoteReference w:id="2"/>
      </w:r>
      <w:r w:rsidRPr="009F285E">
        <w:rPr>
          <w:lang w:val="en-AU"/>
        </w:rPr>
        <w:t xml:space="preserve">, is the requirement for the inventor to have physically accessed the GRs.  This touches on different views within the IGC as to </w:t>
      </w:r>
      <w:proofErr w:type="gramStart"/>
      <w:r w:rsidRPr="009F285E">
        <w:rPr>
          <w:lang w:val="en-AU"/>
        </w:rPr>
        <w:t>whether or not</w:t>
      </w:r>
      <w:proofErr w:type="gramEnd"/>
      <w:r w:rsidRPr="009F285E">
        <w:rPr>
          <w:lang w:val="en-AU"/>
        </w:rPr>
        <w:t xml:space="preserve">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9F285E">
        <w:rPr>
          <w:i/>
          <w:lang w:val="en-AU"/>
        </w:rPr>
        <w:t>must make immediate use</w:t>
      </w:r>
      <w:r w:rsidRPr="009F285E">
        <w:rPr>
          <w:lang w:val="en-AU"/>
        </w:rPr>
        <w:t>”.  In my view, respectfully, there is a lack of clarity in relation to the meaning of this term.  To address this issue, the terms “</w:t>
      </w:r>
      <w:r w:rsidRPr="009F285E">
        <w:rPr>
          <w:i/>
          <w:lang w:val="en-AU"/>
        </w:rPr>
        <w:t>necessary</w:t>
      </w:r>
      <w:r w:rsidRPr="009F285E">
        <w:rPr>
          <w:lang w:val="en-AU"/>
        </w:rPr>
        <w:t xml:space="preserve">” and </w:t>
      </w:r>
      <w:r w:rsidRPr="009F285E">
        <w:rPr>
          <w:i/>
          <w:lang w:val="en-AU"/>
        </w:rPr>
        <w:t xml:space="preserve">“material to” </w:t>
      </w:r>
      <w:r w:rsidRPr="009F285E">
        <w:rPr>
          <w:lang w:val="en-AU"/>
        </w:rPr>
        <w:t xml:space="preserve">have been included to reduce ambiguity.  In addition, the phrase </w:t>
      </w:r>
      <w:r w:rsidRPr="009F285E">
        <w:rPr>
          <w:i/>
          <w:lang w:val="en-AU"/>
        </w:rPr>
        <w:t xml:space="preserve">“the claimed invention must depend on the specific properties of the GRs and Associated TK” </w:t>
      </w:r>
      <w:r w:rsidRPr="009F285E">
        <w:rPr>
          <w:lang w:val="en-AU"/>
        </w:rPr>
        <w:t xml:space="preserve">is included in the definition. </w:t>
      </w:r>
    </w:p>
    <w:p w14:paraId="08FB1B85" w14:textId="77777777" w:rsidR="004117AB" w:rsidRPr="009F285E" w:rsidRDefault="004117AB" w:rsidP="004117AB">
      <w:pPr>
        <w:pStyle w:val="ListParagraph"/>
        <w:keepLines/>
        <w:ind w:left="0"/>
        <w:rPr>
          <w:lang w:val="en-AU"/>
        </w:rPr>
      </w:pPr>
    </w:p>
    <w:p w14:paraId="245B834D" w14:textId="77777777" w:rsidR="004117AB" w:rsidRPr="009F285E" w:rsidRDefault="004117AB" w:rsidP="004117AB">
      <w:pPr>
        <w:pStyle w:val="ListParagraph"/>
        <w:keepLines/>
        <w:numPr>
          <w:ilvl w:val="0"/>
          <w:numId w:val="7"/>
        </w:numPr>
        <w:ind w:left="0" w:firstLine="0"/>
        <w:contextualSpacing w:val="0"/>
        <w:rPr>
          <w:lang w:val="en-AU"/>
        </w:rPr>
      </w:pPr>
      <w:r w:rsidRPr="009F285E">
        <w:rPr>
          <w:i/>
          <w:lang w:val="en-AU"/>
        </w:rPr>
        <w:t>“Source”</w:t>
      </w:r>
      <w:r w:rsidRPr="009F285E">
        <w:rPr>
          <w:lang w:val="en-AU"/>
        </w:rPr>
        <w:t xml:space="preserve"> should be understood from its common meaning </w:t>
      </w:r>
      <w:r w:rsidRPr="009F285E">
        <w:rPr>
          <w:i/>
          <w:lang w:val="en-AU"/>
        </w:rPr>
        <w:t>“from which something originates or can be obtained”</w:t>
      </w:r>
      <w:r w:rsidRPr="009F285E">
        <w:rPr>
          <w:rStyle w:val="FootnoteReference"/>
          <w:i/>
          <w:lang w:val="en-AU"/>
        </w:rPr>
        <w:footnoteReference w:id="3"/>
      </w:r>
      <w:r w:rsidRPr="009F285E">
        <w:rPr>
          <w:i/>
          <w:lang w:val="en-AU"/>
        </w:rPr>
        <w:t>.</w:t>
      </w:r>
      <w:r w:rsidRPr="009F285E">
        <w:rPr>
          <w:lang w:val="en-AU"/>
        </w:rPr>
        <w:t xml:space="preserve">  The two definitions relating to GRs and Associated TK simply provide a non-exhaustive list of from where GRs or Associated TK may have been sourced. </w:t>
      </w:r>
    </w:p>
    <w:p w14:paraId="65C8ED79" w14:textId="77777777" w:rsidR="004117AB" w:rsidRPr="009F285E" w:rsidRDefault="004117AB" w:rsidP="004117AB">
      <w:pPr>
        <w:pStyle w:val="ListParagraph"/>
        <w:keepLines/>
        <w:ind w:left="0"/>
        <w:rPr>
          <w:lang w:val="en-AU"/>
        </w:rPr>
      </w:pPr>
    </w:p>
    <w:p w14:paraId="684B2641" w14:textId="77777777" w:rsidR="004117AB" w:rsidRPr="009F285E" w:rsidRDefault="004117AB" w:rsidP="004117AB">
      <w:pPr>
        <w:pStyle w:val="ListParagraph"/>
        <w:keepLines/>
        <w:numPr>
          <w:ilvl w:val="0"/>
          <w:numId w:val="7"/>
        </w:numPr>
        <w:ind w:left="0" w:firstLine="0"/>
        <w:contextualSpacing w:val="0"/>
        <w:rPr>
          <w:lang w:val="en-AU"/>
        </w:rPr>
      </w:pPr>
      <w:r w:rsidRPr="009F285E">
        <w:rPr>
          <w:lang w:val="en-AU"/>
        </w:rPr>
        <w:t>The definition for</w:t>
      </w:r>
      <w:r w:rsidRPr="009F285E">
        <w:rPr>
          <w:i/>
          <w:lang w:val="en-AU"/>
        </w:rPr>
        <w:t xml:space="preserve"> traditional knowledge</w:t>
      </w:r>
      <w:r w:rsidRPr="009F285E">
        <w:rPr>
          <w:lang w:val="en-AU"/>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w:t>
      </w:r>
      <w:proofErr w:type="gramStart"/>
      <w:r w:rsidRPr="009F285E">
        <w:rPr>
          <w:lang w:val="en-AU"/>
        </w:rPr>
        <w:t>at this time</w:t>
      </w:r>
      <w:proofErr w:type="gramEnd"/>
      <w:r w:rsidRPr="009F285E">
        <w:rPr>
          <w:lang w:val="en-AU"/>
        </w:rPr>
        <w:t xml:space="preserve"> and leave it to national interpretation.</w:t>
      </w:r>
    </w:p>
    <w:p w14:paraId="6A64973B" w14:textId="0BC1981A" w:rsidR="004117AB" w:rsidRDefault="004117AB">
      <w:pPr>
        <w:rPr>
          <w:lang w:val="en-AU"/>
        </w:rPr>
      </w:pPr>
      <w:r>
        <w:rPr>
          <w:lang w:val="en-AU"/>
        </w:rPr>
        <w:br w:type="page"/>
      </w:r>
    </w:p>
    <w:p w14:paraId="52A38608" w14:textId="77777777" w:rsidR="004117AB" w:rsidRPr="009F285E" w:rsidRDefault="004117AB" w:rsidP="004117AB">
      <w:pPr>
        <w:rPr>
          <w:szCs w:val="22"/>
          <w:u w:val="single"/>
        </w:rPr>
      </w:pPr>
      <w:r w:rsidRPr="009F285E">
        <w:rPr>
          <w:szCs w:val="22"/>
          <w:u w:val="single"/>
        </w:rPr>
        <w:lastRenderedPageBreak/>
        <w:t>Notes on Article 3</w:t>
      </w:r>
    </w:p>
    <w:p w14:paraId="6659B187" w14:textId="77777777" w:rsidR="004117AB" w:rsidRPr="009F285E" w:rsidRDefault="004117AB" w:rsidP="004117AB">
      <w:pPr>
        <w:pStyle w:val="ListParagraph"/>
        <w:ind w:left="360"/>
        <w:rPr>
          <w:u w:val="single"/>
          <w:lang w:val="en-AU"/>
        </w:rPr>
      </w:pPr>
    </w:p>
    <w:p w14:paraId="19FC72F8" w14:textId="77777777" w:rsidR="004117AB" w:rsidRPr="009F285E" w:rsidRDefault="004117AB" w:rsidP="004117AB">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14:paraId="04D34F4B" w14:textId="77777777" w:rsidR="004117AB" w:rsidRPr="009F285E" w:rsidRDefault="004117AB" w:rsidP="004117AB">
      <w:pPr>
        <w:pStyle w:val="ListParagraph"/>
        <w:ind w:left="0"/>
        <w:rPr>
          <w:lang w:val="en-AU"/>
        </w:rPr>
      </w:pPr>
    </w:p>
    <w:p w14:paraId="39959064" w14:textId="77777777" w:rsidR="004117AB" w:rsidRPr="009F285E" w:rsidRDefault="004117AB" w:rsidP="004117AB">
      <w:pPr>
        <w:pStyle w:val="NormalWeb"/>
        <w:numPr>
          <w:ilvl w:val="0"/>
          <w:numId w:val="8"/>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proofErr w:type="gramStart"/>
      <w:r w:rsidRPr="009F285E">
        <w:rPr>
          <w:rFonts w:ascii="Arial" w:hAnsi="Arial" w:cs="Arial"/>
          <w:i/>
          <w:sz w:val="22"/>
          <w:szCs w:val="22"/>
        </w:rPr>
        <w:t>”</w:t>
      </w:r>
      <w:r w:rsidRPr="009F285E">
        <w:rPr>
          <w:rFonts w:ascii="Arial" w:hAnsi="Arial" w:cs="Arial"/>
          <w:sz w:val="22"/>
          <w:szCs w:val="22"/>
        </w:rPr>
        <w:t>;  and</w:t>
      </w:r>
      <w:proofErr w:type="gramEnd"/>
      <w:r w:rsidRPr="009F285E">
        <w:rPr>
          <w:rFonts w:ascii="Arial" w:hAnsi="Arial" w:cs="Arial"/>
          <w:sz w:val="22"/>
          <w:szCs w:val="22"/>
        </w:rPr>
        <w:t>,</w:t>
      </w:r>
    </w:p>
    <w:p w14:paraId="39D1233F" w14:textId="77777777" w:rsidR="004117AB" w:rsidRPr="009F285E" w:rsidRDefault="004117AB" w:rsidP="004117AB">
      <w:pPr>
        <w:pStyle w:val="NormalWeb"/>
        <w:spacing w:before="0" w:beforeAutospacing="0" w:after="0" w:afterAutospacing="0"/>
        <w:ind w:left="1010"/>
        <w:rPr>
          <w:rFonts w:ascii="Arial" w:hAnsi="Arial" w:cs="Arial"/>
          <w:sz w:val="22"/>
          <w:szCs w:val="22"/>
        </w:rPr>
      </w:pPr>
    </w:p>
    <w:p w14:paraId="2741F657" w14:textId="77777777" w:rsidR="004117AB" w:rsidRPr="009F285E" w:rsidRDefault="004117AB" w:rsidP="004117AB">
      <w:pPr>
        <w:pStyle w:val="NormalWeb"/>
        <w:numPr>
          <w:ilvl w:val="0"/>
          <w:numId w:val="8"/>
        </w:numPr>
        <w:spacing w:before="0" w:beforeAutospacing="0" w:after="0" w:afterAutospacing="0"/>
        <w:rPr>
          <w:rFonts w:ascii="Arial" w:hAnsi="Arial" w:cs="Arial"/>
          <w:sz w:val="22"/>
          <w:szCs w:val="22"/>
        </w:rPr>
      </w:pPr>
      <w:r w:rsidRPr="009F285E">
        <w:rPr>
          <w:rFonts w:ascii="Arial" w:hAnsi="Arial" w:cs="Arial"/>
          <w:sz w:val="22"/>
          <w:szCs w:val="22"/>
        </w:rPr>
        <w:t xml:space="preserve">the information which needs to be disclosed, referred to in the IGC discussions as the </w:t>
      </w:r>
      <w:r w:rsidRPr="009F285E">
        <w:rPr>
          <w:rFonts w:ascii="Arial" w:hAnsi="Arial" w:cs="Arial"/>
          <w:i/>
          <w:sz w:val="22"/>
          <w:szCs w:val="22"/>
        </w:rPr>
        <w:t>“content”.</w:t>
      </w:r>
    </w:p>
    <w:p w14:paraId="289421E7" w14:textId="77777777" w:rsidR="004117AB" w:rsidRPr="009F285E" w:rsidRDefault="004117AB" w:rsidP="004117AB">
      <w:pPr>
        <w:rPr>
          <w:szCs w:val="22"/>
        </w:rPr>
      </w:pPr>
    </w:p>
    <w:p w14:paraId="55E55A88" w14:textId="77777777" w:rsidR="004117AB" w:rsidRPr="009F285E" w:rsidRDefault="004117AB" w:rsidP="004117AB">
      <w:pPr>
        <w:rPr>
          <w:szCs w:val="22"/>
        </w:rPr>
      </w:pPr>
      <w:r w:rsidRPr="009F285E">
        <w:rPr>
          <w:szCs w:val="22"/>
        </w:rPr>
        <w:t>2.</w:t>
      </w:r>
      <w:r w:rsidRPr="009F285E">
        <w:rPr>
          <w:szCs w:val="22"/>
        </w:rPr>
        <w:tab/>
        <w:t xml:space="preserve">The trigger and the content should be workable in practice and reflect the various circumstances where GRs and Associated TK can be sourced.  This means that any disclosure requirement should not lead to obligations for patent applicants which cannot be </w:t>
      </w:r>
      <w:proofErr w:type="gramStart"/>
      <w:r w:rsidRPr="009F285E">
        <w:rPr>
          <w:szCs w:val="22"/>
        </w:rPr>
        <w:t>fulfilled</w:t>
      </w:r>
      <w:proofErr w:type="gramEnd"/>
      <w:r w:rsidRPr="009F285E">
        <w:rPr>
          <w:szCs w:val="22"/>
        </w:rPr>
        <w:t xml:space="preserve"> or which can only be fulfilled with unreasonable time and effort and which would, therefore, hinder innovation based on GRs and Associated TK.</w:t>
      </w:r>
    </w:p>
    <w:p w14:paraId="5ACEF569" w14:textId="77777777" w:rsidR="004117AB" w:rsidRPr="009F285E" w:rsidRDefault="004117AB" w:rsidP="004117AB">
      <w:pPr>
        <w:rPr>
          <w:szCs w:val="22"/>
        </w:rPr>
      </w:pPr>
    </w:p>
    <w:p w14:paraId="50A9AD76" w14:textId="77777777" w:rsidR="004117AB" w:rsidRPr="009F285E" w:rsidRDefault="004117AB" w:rsidP="004117AB">
      <w:pPr>
        <w:rPr>
          <w:i/>
          <w:szCs w:val="22"/>
        </w:rPr>
      </w:pPr>
      <w:r w:rsidRPr="009F285E">
        <w:rPr>
          <w:i/>
          <w:szCs w:val="22"/>
        </w:rPr>
        <w:t>Trigger</w:t>
      </w:r>
    </w:p>
    <w:p w14:paraId="18706C6C" w14:textId="77777777" w:rsidR="004117AB" w:rsidRPr="009F285E" w:rsidRDefault="004117AB" w:rsidP="004117AB">
      <w:pPr>
        <w:rPr>
          <w:b/>
          <w:i/>
          <w:szCs w:val="22"/>
        </w:rPr>
      </w:pPr>
    </w:p>
    <w:p w14:paraId="2BFC3BEF" w14:textId="77777777" w:rsidR="004117AB" w:rsidRPr="009F285E" w:rsidRDefault="004117AB" w:rsidP="004117AB">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14:paraId="06940B5B" w14:textId="77777777" w:rsidR="004117AB" w:rsidRPr="009F285E" w:rsidRDefault="004117AB" w:rsidP="004117AB">
      <w:pPr>
        <w:rPr>
          <w:szCs w:val="22"/>
          <w:u w:val="single"/>
        </w:rPr>
      </w:pPr>
    </w:p>
    <w:p w14:paraId="78845921" w14:textId="77777777" w:rsidR="004117AB" w:rsidRPr="009F285E" w:rsidRDefault="004117AB" w:rsidP="004117AB">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xml:space="preserve">” indicates that there must be a causal link between the invention and the GRs.  In practical terms, this means that only those GRs without which the invention could not be made, should be disclosed.  Those GRs, which may be involved in the development of the </w:t>
      </w:r>
      <w:proofErr w:type="gramStart"/>
      <w:r w:rsidRPr="009F285E">
        <w:rPr>
          <w:szCs w:val="22"/>
        </w:rPr>
        <w:t>invention</w:t>
      </w:r>
      <w:proofErr w:type="gramEnd"/>
      <w:r w:rsidRPr="009F285E">
        <w:rPr>
          <w:szCs w:val="22"/>
        </w:rPr>
        <w:t xml:space="preserve"> but which are not material to the claimed invention, shall not trigger the disclosure requirement.  This includes </w:t>
      </w:r>
      <w:proofErr w:type="gramStart"/>
      <w:r w:rsidRPr="009F285E">
        <w:rPr>
          <w:szCs w:val="22"/>
        </w:rPr>
        <w:t>in particular research</w:t>
      </w:r>
      <w:proofErr w:type="gramEnd"/>
      <w:r w:rsidRPr="009F285E">
        <w:rPr>
          <w:szCs w:val="22"/>
        </w:rPr>
        <w:t xml:space="preserve">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14:paraId="085C343D" w14:textId="77777777" w:rsidR="004117AB" w:rsidRPr="009F285E" w:rsidRDefault="004117AB" w:rsidP="004117AB">
      <w:pPr>
        <w:rPr>
          <w:szCs w:val="22"/>
        </w:rPr>
      </w:pPr>
    </w:p>
    <w:p w14:paraId="544CB557" w14:textId="77777777" w:rsidR="004117AB" w:rsidRPr="009F285E" w:rsidRDefault="004117AB" w:rsidP="004117AB">
      <w:pPr>
        <w:rPr>
          <w:szCs w:val="22"/>
        </w:rPr>
      </w:pPr>
      <w:r w:rsidRPr="009F285E">
        <w:rPr>
          <w:szCs w:val="22"/>
        </w:rPr>
        <w:t>5.</w:t>
      </w:r>
      <w:r w:rsidRPr="009F285E">
        <w:rPr>
          <w:szCs w:val="22"/>
        </w:rPr>
        <w:tab/>
        <w:t xml:space="preserve">In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14:paraId="1DD5B8C1" w14:textId="77777777" w:rsidR="004117AB" w:rsidRPr="009F285E" w:rsidRDefault="004117AB" w:rsidP="004117AB">
      <w:pPr>
        <w:rPr>
          <w:b/>
          <w:i/>
          <w:szCs w:val="22"/>
        </w:rPr>
      </w:pPr>
    </w:p>
    <w:p w14:paraId="2B1D780A" w14:textId="77777777" w:rsidR="004117AB" w:rsidRPr="009F285E" w:rsidRDefault="004117AB" w:rsidP="004117AB">
      <w:pPr>
        <w:rPr>
          <w:i/>
          <w:szCs w:val="22"/>
        </w:rPr>
      </w:pPr>
      <w:r w:rsidRPr="009F285E">
        <w:rPr>
          <w:i/>
          <w:szCs w:val="22"/>
        </w:rPr>
        <w:t>Content of Disclosure</w:t>
      </w:r>
    </w:p>
    <w:p w14:paraId="2492ECC1" w14:textId="77777777" w:rsidR="004117AB" w:rsidRPr="009F285E" w:rsidRDefault="004117AB" w:rsidP="004117AB">
      <w:pPr>
        <w:rPr>
          <w:szCs w:val="22"/>
        </w:rPr>
      </w:pPr>
    </w:p>
    <w:p w14:paraId="339168C7" w14:textId="77777777" w:rsidR="004117AB" w:rsidRPr="009F285E" w:rsidRDefault="004117AB" w:rsidP="004117AB">
      <w:pPr>
        <w:rPr>
          <w:szCs w:val="22"/>
        </w:rPr>
      </w:pPr>
      <w:r w:rsidRPr="009F285E">
        <w:rPr>
          <w:szCs w:val="22"/>
        </w:rPr>
        <w:t>6.</w:t>
      </w:r>
      <w:r w:rsidRPr="009F285E">
        <w:rPr>
          <w:szCs w:val="22"/>
        </w:rPr>
        <w:tab/>
        <w:t>Depending on the specific circumstances, Article 3 requires different information to be disclosed in patent applications:</w:t>
      </w:r>
    </w:p>
    <w:p w14:paraId="6C6D6AC3" w14:textId="77777777" w:rsidR="004117AB" w:rsidRPr="009F285E" w:rsidRDefault="004117AB" w:rsidP="004117AB">
      <w:pPr>
        <w:rPr>
          <w:szCs w:val="22"/>
        </w:rPr>
      </w:pPr>
    </w:p>
    <w:p w14:paraId="3CA5BE31" w14:textId="77777777" w:rsidR="004117AB" w:rsidRPr="009F285E" w:rsidRDefault="004117AB" w:rsidP="004117AB">
      <w:pPr>
        <w:pStyle w:val="ListParagraph"/>
        <w:numPr>
          <w:ilvl w:val="0"/>
          <w:numId w:val="9"/>
        </w:numPr>
        <w:ind w:left="900" w:hanging="540"/>
        <w:contextualSpacing w:val="0"/>
      </w:pPr>
      <w:r w:rsidRPr="009F285E">
        <w:t>Paragraphs 3.1 and 3.2 detail the information which should be disclosed, if applicable and if known to the patent applicant.</w:t>
      </w:r>
    </w:p>
    <w:p w14:paraId="3D7E2150" w14:textId="77777777" w:rsidR="004117AB" w:rsidRPr="009F285E" w:rsidRDefault="004117AB" w:rsidP="004117AB">
      <w:pPr>
        <w:pStyle w:val="ListParagraph"/>
        <w:ind w:left="357"/>
        <w:rPr>
          <w:u w:val="single"/>
          <w:lang w:val="en-AU"/>
        </w:rPr>
      </w:pPr>
    </w:p>
    <w:p w14:paraId="2AD0C6CA" w14:textId="77777777" w:rsidR="004117AB" w:rsidRPr="009F285E" w:rsidRDefault="004117AB" w:rsidP="004117AB">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w:t>
      </w:r>
      <w:proofErr w:type="gramStart"/>
      <w:r w:rsidRPr="009F285E">
        <w:rPr>
          <w:szCs w:val="22"/>
        </w:rPr>
        <w:t>In order to</w:t>
      </w:r>
      <w:proofErr w:type="gramEnd"/>
      <w:r w:rsidRPr="009F285E">
        <w:rPr>
          <w:szCs w:val="22"/>
        </w:rPr>
        <w:t xml:space="preserve"> ensure mutual supportiveness with other international instruments, in accord with the principles of this instrument, the country of origin should be understood as defined in the CBD, i.e., the country which possesses the GRs in </w:t>
      </w:r>
    </w:p>
    <w:p w14:paraId="26670D39" w14:textId="77777777" w:rsidR="004117AB" w:rsidRPr="009F285E" w:rsidRDefault="004117AB" w:rsidP="004117AB">
      <w:pPr>
        <w:ind w:left="900"/>
        <w:rPr>
          <w:szCs w:val="22"/>
        </w:rPr>
      </w:pPr>
      <w:r w:rsidRPr="009F285E">
        <w:rPr>
          <w:i/>
          <w:szCs w:val="22"/>
        </w:rPr>
        <w:lastRenderedPageBreak/>
        <w:t>in situ</w:t>
      </w:r>
      <w:r w:rsidRPr="009F285E">
        <w:rPr>
          <w:szCs w:val="22"/>
        </w:rPr>
        <w:t xml:space="preserve"> conditions.  However, many GRs are found </w:t>
      </w:r>
      <w:r w:rsidRPr="009F285E">
        <w:rPr>
          <w:i/>
          <w:szCs w:val="22"/>
        </w:rPr>
        <w:t>in situ</w:t>
      </w:r>
      <w:r w:rsidRPr="009F285E">
        <w:rPr>
          <w:szCs w:val="22"/>
        </w:rPr>
        <w:t xml:space="preserve"> in more than one country.  Therefore, there often exists more than one country of origin for a specific GR. However, according to Article 3.1 (a), what should be disclosed is the specific “country of origin of </w:t>
      </w:r>
      <w:r w:rsidRPr="009F285E">
        <w:rPr>
          <w:szCs w:val="22"/>
          <w:u w:val="single"/>
        </w:rPr>
        <w:t>the</w:t>
      </w:r>
      <w:r w:rsidRPr="009F285E">
        <w:rPr>
          <w:szCs w:val="22"/>
        </w:rPr>
        <w:t xml:space="preserve"> GR” (underlining added), </w:t>
      </w:r>
      <w:proofErr w:type="gramStart"/>
      <w:r w:rsidRPr="009F285E">
        <w:rPr>
          <w:szCs w:val="22"/>
        </w:rPr>
        <w:t>i.e.</w:t>
      </w:r>
      <w:proofErr w:type="gramEnd"/>
      <w:r w:rsidRPr="009F285E">
        <w:rPr>
          <w:szCs w:val="22"/>
        </w:rPr>
        <w:t xml:space="preserv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14:paraId="5A731561" w14:textId="77777777" w:rsidR="004117AB" w:rsidRPr="009F285E" w:rsidRDefault="004117AB" w:rsidP="004117AB">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was accessed or learned.  </w:t>
      </w:r>
      <w:r w:rsidRPr="009F285E">
        <w:rPr>
          <w:szCs w:val="22"/>
        </w:rPr>
        <w:br/>
      </w:r>
    </w:p>
    <w:p w14:paraId="0C0803A2" w14:textId="77777777" w:rsidR="004117AB" w:rsidRPr="009F285E" w:rsidRDefault="004117AB" w:rsidP="004117AB">
      <w:pPr>
        <w:pStyle w:val="ListParagraph"/>
        <w:numPr>
          <w:ilvl w:val="0"/>
          <w:numId w:val="9"/>
        </w:numPr>
        <w:ind w:left="907" w:hanging="540"/>
        <w:contextualSpacing w:val="0"/>
      </w:pPr>
      <w:r w:rsidRPr="009F285E">
        <w:t xml:space="preserve">Sub paragraphs 3.1(b) and/or 3.2(b) apply in those cases where the information in sub paragraph 3.1(a) and/or 3.2(a) is not available or these sub-paragraphs do not apply, and thus it is not possible for the patent applicant to disclose this information.  For example, GRs in areas beyond national jurisdiction such as the high seas. </w:t>
      </w:r>
    </w:p>
    <w:p w14:paraId="2A8005B7" w14:textId="77777777" w:rsidR="004117AB" w:rsidRPr="009F285E" w:rsidRDefault="004117AB" w:rsidP="004117AB">
      <w:pPr>
        <w:ind w:left="907"/>
        <w:rPr>
          <w:i/>
          <w:szCs w:val="22"/>
        </w:rPr>
      </w:pPr>
    </w:p>
    <w:p w14:paraId="0C68093D" w14:textId="77777777" w:rsidR="004117AB" w:rsidRPr="009F285E" w:rsidRDefault="004117AB" w:rsidP="004117AB">
      <w:pPr>
        <w:ind w:left="907"/>
        <w:rPr>
          <w:szCs w:val="22"/>
        </w:rPr>
      </w:pPr>
      <w:r w:rsidRPr="009F285E">
        <w:rPr>
          <w:i/>
          <w:szCs w:val="22"/>
        </w:rPr>
        <w:t>In the context of GRs,</w:t>
      </w:r>
      <w:r w:rsidRPr="009F285E">
        <w:rPr>
          <w:szCs w:val="22"/>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14:paraId="0E370EC7" w14:textId="77777777" w:rsidR="004117AB" w:rsidRPr="009F285E" w:rsidRDefault="004117AB" w:rsidP="004117AB">
      <w:pPr>
        <w:ind w:left="907"/>
        <w:rPr>
          <w:szCs w:val="22"/>
        </w:rPr>
      </w:pPr>
      <w:r w:rsidRPr="009F285E">
        <w:rPr>
          <w:i/>
          <w:szCs w:val="22"/>
        </w:rPr>
        <w:t>In the context of Associated TK,</w:t>
      </w:r>
      <w:r w:rsidRPr="009F285E">
        <w:rPr>
          <w:szCs w:val="22"/>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9F285E">
        <w:rPr>
          <w:szCs w:val="22"/>
        </w:rPr>
        <w:br/>
      </w:r>
    </w:p>
    <w:p w14:paraId="713EA2CF" w14:textId="77777777" w:rsidR="004117AB" w:rsidRPr="009F285E" w:rsidRDefault="004117AB" w:rsidP="004117AB">
      <w:pPr>
        <w:pStyle w:val="ListParagraph"/>
        <w:numPr>
          <w:ilvl w:val="0"/>
          <w:numId w:val="9"/>
        </w:numPr>
        <w:ind w:left="990" w:hanging="630"/>
        <w:contextualSpacing w:val="0"/>
      </w:pPr>
      <w:r w:rsidRPr="009F285E">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i/>
        </w:rPr>
        <w:t>force majeure</w:t>
      </w:r>
      <w:r w:rsidRPr="009F285E">
        <w:t xml:space="preserve">. </w:t>
      </w:r>
      <w:r w:rsidRPr="009F285E">
        <w:br/>
      </w:r>
    </w:p>
    <w:p w14:paraId="0AF8DA16" w14:textId="77777777" w:rsidR="004117AB" w:rsidRPr="009F285E" w:rsidRDefault="004117AB" w:rsidP="004117AB">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is directed at </w:t>
      </w:r>
      <w:proofErr w:type="spellStart"/>
      <w:r w:rsidRPr="009F285E">
        <w:rPr>
          <w:szCs w:val="22"/>
        </w:rPr>
        <w:t>minimising</w:t>
      </w:r>
      <w:proofErr w:type="spellEnd"/>
      <w:r w:rsidRPr="009F285E">
        <w:rPr>
          <w:szCs w:val="22"/>
        </w:rPr>
        <w:t xml:space="preserve"> the disclosure regime’s transactional cost/burden on patent offices and ensuring it does not create unreasonable processing delays for patent applicants.  It also </w:t>
      </w:r>
      <w:proofErr w:type="spellStart"/>
      <w:r w:rsidRPr="009F285E">
        <w:rPr>
          <w:szCs w:val="22"/>
        </w:rPr>
        <w:t>recognises</w:t>
      </w:r>
      <w:proofErr w:type="spellEnd"/>
      <w:r w:rsidRPr="009F285E">
        <w:rPr>
          <w:szCs w:val="22"/>
        </w:rPr>
        <w:t xml:space="preserve"> that patent offices do not have the inherent expertise to carry out such actions. </w:t>
      </w:r>
    </w:p>
    <w:p w14:paraId="07D32D47" w14:textId="77777777" w:rsidR="004117AB" w:rsidRPr="009F285E" w:rsidRDefault="004117AB" w:rsidP="004117AB">
      <w:pPr>
        <w:rPr>
          <w:szCs w:val="22"/>
        </w:rPr>
      </w:pPr>
    </w:p>
    <w:p w14:paraId="4B7CA182" w14:textId="77777777" w:rsidR="004117AB" w:rsidRPr="009F285E" w:rsidRDefault="004117AB" w:rsidP="004117AB">
      <w:pPr>
        <w:rPr>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w:t>
      </w:r>
      <w:proofErr w:type="gramStart"/>
      <w:r w:rsidRPr="009F285E">
        <w:rPr>
          <w:szCs w:val="22"/>
        </w:rPr>
        <w:t>taking into account</w:t>
      </w:r>
      <w:proofErr w:type="gramEnd"/>
      <w:r w:rsidRPr="009F285E">
        <w:rPr>
          <w:szCs w:val="22"/>
        </w:rPr>
        <w:t xml:space="preserve"> that other international instruments refer to but do not necessarily define TK, and noting the objectives of this instrument and ongoing developments in this area, this subject matter has been retained. </w:t>
      </w:r>
    </w:p>
    <w:p w14:paraId="4F7B8104" w14:textId="77777777" w:rsidR="004117AB" w:rsidRPr="009F285E" w:rsidRDefault="004117AB" w:rsidP="004117AB">
      <w:pPr>
        <w:rPr>
          <w:szCs w:val="22"/>
        </w:rPr>
      </w:pPr>
      <w:r w:rsidRPr="009F285E">
        <w:rPr>
          <w:szCs w:val="22"/>
          <w:u w:val="single"/>
        </w:rPr>
        <w:lastRenderedPageBreak/>
        <w:t>Notes on Article 5</w:t>
      </w:r>
      <w:r w:rsidRPr="009F285E">
        <w:rPr>
          <w:szCs w:val="22"/>
          <w:u w:val="single"/>
        </w:rPr>
        <w:br/>
      </w:r>
    </w:p>
    <w:p w14:paraId="50115D67" w14:textId="77777777" w:rsidR="004117AB" w:rsidRPr="009F285E" w:rsidRDefault="004117AB" w:rsidP="004117AB">
      <w:pPr>
        <w:rPr>
          <w:szCs w:val="22"/>
        </w:rPr>
      </w:pPr>
      <w:r w:rsidRPr="009F285E">
        <w:rPr>
          <w:szCs w:val="22"/>
        </w:rPr>
        <w:t xml:space="preserve">This article </w:t>
      </w:r>
      <w:proofErr w:type="spellStart"/>
      <w:r w:rsidRPr="009F285E">
        <w:rPr>
          <w:szCs w:val="22"/>
        </w:rPr>
        <w:t>recognises</w:t>
      </w:r>
      <w:proofErr w:type="spellEnd"/>
      <w:r w:rsidRPr="009F285E">
        <w:rPr>
          <w:szCs w:val="22"/>
        </w:rPr>
        <w:t xml:space="preserve"> that </w:t>
      </w:r>
      <w:proofErr w:type="gramStart"/>
      <w:r w:rsidRPr="009F285E">
        <w:rPr>
          <w:szCs w:val="22"/>
        </w:rPr>
        <w:t>in order to</w:t>
      </w:r>
      <w:proofErr w:type="gramEnd"/>
      <w:r w:rsidRPr="009F285E">
        <w:rPr>
          <w:szCs w:val="22"/>
        </w:rPr>
        <w:t xml:space="preserve"> maintain legal certainty within the patent system a non-retroactivity clause is required.  However, it also </w:t>
      </w:r>
      <w:proofErr w:type="spellStart"/>
      <w:r w:rsidRPr="009F285E">
        <w:rPr>
          <w:szCs w:val="22"/>
        </w:rPr>
        <w:t>recognises</w:t>
      </w:r>
      <w:proofErr w:type="spellEnd"/>
      <w:r w:rsidRPr="009F285E">
        <w:rPr>
          <w:szCs w:val="22"/>
        </w:rPr>
        <w:t xml:space="preserve"> that </w:t>
      </w:r>
      <w:proofErr w:type="gramStart"/>
      <w:r w:rsidRPr="009F285E">
        <w:rPr>
          <w:szCs w:val="22"/>
        </w:rPr>
        <w:t>a number of</w:t>
      </w:r>
      <w:proofErr w:type="gramEnd"/>
      <w:r w:rsidRPr="009F285E">
        <w:rPr>
          <w:szCs w:val="22"/>
        </w:rPr>
        <w:t xml:space="preserve"> mandatory disclosure regimes already exist at the national and regional level.</w:t>
      </w:r>
    </w:p>
    <w:p w14:paraId="1CF4E155" w14:textId="6EE5F695" w:rsidR="004117AB" w:rsidRDefault="004117AB" w:rsidP="004117AB">
      <w:pPr>
        <w:spacing w:after="220"/>
      </w:pPr>
    </w:p>
    <w:p w14:paraId="0731A526" w14:textId="16994F64" w:rsidR="004117AB" w:rsidRDefault="004117AB">
      <w:r>
        <w:br w:type="page"/>
      </w:r>
    </w:p>
    <w:p w14:paraId="5E1CAA4F" w14:textId="77777777" w:rsidR="004117AB" w:rsidRPr="009F285E" w:rsidRDefault="004117AB" w:rsidP="004117AB">
      <w:pPr>
        <w:rPr>
          <w:szCs w:val="22"/>
          <w:u w:val="single"/>
        </w:rPr>
      </w:pPr>
      <w:r w:rsidRPr="009F285E">
        <w:rPr>
          <w:szCs w:val="22"/>
          <w:u w:val="single"/>
        </w:rPr>
        <w:lastRenderedPageBreak/>
        <w:t>Notes on Article 6</w:t>
      </w:r>
    </w:p>
    <w:p w14:paraId="0CBE7C48" w14:textId="77777777" w:rsidR="004117AB" w:rsidRPr="009F285E" w:rsidRDefault="004117AB" w:rsidP="004117AB">
      <w:pPr>
        <w:rPr>
          <w:szCs w:val="22"/>
          <w:u w:val="single"/>
        </w:rPr>
      </w:pPr>
    </w:p>
    <w:p w14:paraId="02B298FF" w14:textId="77777777" w:rsidR="004117AB" w:rsidRPr="009F285E" w:rsidRDefault="004117AB" w:rsidP="004117AB">
      <w:pPr>
        <w:rPr>
          <w:szCs w:val="22"/>
        </w:rPr>
      </w:pPr>
      <w:r w:rsidRPr="009F285E">
        <w:rPr>
          <w:szCs w:val="22"/>
        </w:rPr>
        <w:t>1.</w:t>
      </w:r>
      <w:r w:rsidRPr="009F285E">
        <w:rPr>
          <w:szCs w:val="22"/>
        </w:rPr>
        <w:tab/>
        <w:t xml:space="preserve">Paragraph 6.1 requires each Party to put in place appropriate and effective legal, administrative and/or policy measures to address non-compliance with the disclosure requirement of Article 3.  This provision leaves it up to the Parties to decide which measures are appropriate, </w:t>
      </w:r>
      <w:proofErr w:type="gramStart"/>
      <w:r w:rsidRPr="009F285E">
        <w:rPr>
          <w:szCs w:val="22"/>
        </w:rPr>
        <w:t>effective</w:t>
      </w:r>
      <w:proofErr w:type="gramEnd"/>
      <w:r w:rsidRPr="009F285E">
        <w:rPr>
          <w:szCs w:val="22"/>
        </w:rPr>
        <w:t xml:space="preserve"> and proportionate.  The measures could include pre-grant sanctions, such as suspending the further processing of a patent application until the disclosure requirement is </w:t>
      </w:r>
      <w:proofErr w:type="gramStart"/>
      <w:r w:rsidRPr="009F285E">
        <w:rPr>
          <w:szCs w:val="22"/>
        </w:rPr>
        <w:t>met, or</w:t>
      </w:r>
      <w:proofErr w:type="gramEnd"/>
      <w:r w:rsidRPr="009F285E">
        <w:rPr>
          <w:szCs w:val="22"/>
        </w:rPr>
        <w:t xml:space="preserve"> withdrawing/lapsing the application if the applicant fails or refuses to provide the minimum information required in Article 3 within a time period as determined at the national level.  These measures could also include post-grant sanctions, such as fines for </w:t>
      </w:r>
      <w:proofErr w:type="spellStart"/>
      <w:r w:rsidRPr="009F285E">
        <w:rPr>
          <w:szCs w:val="22"/>
        </w:rPr>
        <w:t>wilfully</w:t>
      </w:r>
      <w:proofErr w:type="spellEnd"/>
      <w:r w:rsidRPr="009F285E">
        <w:rPr>
          <w:szCs w:val="22"/>
        </w:rPr>
        <w:t xml:space="preserve"> failing to disclose the required information or intentionally providing incorrect information as well as the publication of judicial rulings.</w:t>
      </w:r>
    </w:p>
    <w:p w14:paraId="18A42304" w14:textId="77777777" w:rsidR="004117AB" w:rsidRPr="009F285E" w:rsidRDefault="004117AB" w:rsidP="004117AB">
      <w:pPr>
        <w:rPr>
          <w:szCs w:val="22"/>
        </w:rPr>
      </w:pPr>
    </w:p>
    <w:p w14:paraId="6BE002A8" w14:textId="77777777" w:rsidR="004117AB" w:rsidRPr="009F285E" w:rsidRDefault="004117AB" w:rsidP="004117AB">
      <w:pPr>
        <w:rPr>
          <w:szCs w:val="22"/>
        </w:rPr>
      </w:pPr>
      <w:r w:rsidRPr="009F285E">
        <w:rPr>
          <w:szCs w:val="22"/>
        </w:rPr>
        <w:t>2.</w:t>
      </w:r>
      <w:r w:rsidRPr="009F285E">
        <w:rPr>
          <w:szCs w:val="22"/>
        </w:rPr>
        <w:tab/>
        <w:t xml:space="preserve">Paragraph 6.2 provides for an initial opportunity for an applicant who unintentionally failed to provide the minimum information detailed in Article 3 to address the disclosure requirement.  The </w:t>
      </w:r>
      <w:proofErr w:type="gramStart"/>
      <w:r w:rsidRPr="009F285E">
        <w:rPr>
          <w:szCs w:val="22"/>
        </w:rPr>
        <w:t>time period</w:t>
      </w:r>
      <w:proofErr w:type="gramEnd"/>
      <w:r w:rsidRPr="009F285E">
        <w:rPr>
          <w:szCs w:val="22"/>
        </w:rPr>
        <w:t xml:space="preserve"> to correct the failure would be determined based on national patent laws.  See also Article 3, Paragraph 4.</w:t>
      </w:r>
    </w:p>
    <w:p w14:paraId="0BD2CC56" w14:textId="77777777" w:rsidR="004117AB" w:rsidRPr="009F285E" w:rsidRDefault="004117AB" w:rsidP="004117AB">
      <w:pPr>
        <w:rPr>
          <w:szCs w:val="22"/>
        </w:rPr>
      </w:pPr>
    </w:p>
    <w:p w14:paraId="30F5C8E6" w14:textId="77777777" w:rsidR="004117AB" w:rsidRPr="009F285E" w:rsidRDefault="004117AB" w:rsidP="004117AB">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14:paraId="6028E83C" w14:textId="77777777" w:rsidR="004117AB" w:rsidRPr="009F285E" w:rsidRDefault="004117AB" w:rsidP="004117AB">
      <w:pPr>
        <w:rPr>
          <w:szCs w:val="22"/>
        </w:rPr>
      </w:pPr>
    </w:p>
    <w:p w14:paraId="1C6226FB" w14:textId="77777777" w:rsidR="004117AB" w:rsidRPr="009F285E" w:rsidRDefault="004117AB" w:rsidP="004117AB">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w:t>
      </w:r>
      <w:proofErr w:type="gramStart"/>
      <w:r w:rsidRPr="009F285E">
        <w:rPr>
          <w:rFonts w:ascii="Arial" w:hAnsi="Arial" w:cs="Arial"/>
          <w:sz w:val="22"/>
          <w:szCs w:val="22"/>
        </w:rPr>
        <w:t>regional</w:t>
      </w:r>
      <w:proofErr w:type="gramEnd"/>
      <w:r w:rsidRPr="009F285E">
        <w:rPr>
          <w:rFonts w:ascii="Arial" w:hAnsi="Arial" w:cs="Arial"/>
          <w:sz w:val="22"/>
          <w:szCs w:val="22"/>
        </w:rPr>
        <w:t xml:space="preserve">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14:paraId="128765BB" w14:textId="2406C128" w:rsidR="004117AB" w:rsidRDefault="004117AB" w:rsidP="004117AB">
      <w:pPr>
        <w:spacing w:after="220"/>
        <w:rPr>
          <w:lang w:val="en-AU"/>
        </w:rPr>
      </w:pPr>
    </w:p>
    <w:p w14:paraId="322CE4D1" w14:textId="7F52E2C4" w:rsidR="004117AB" w:rsidRDefault="004117AB">
      <w:pPr>
        <w:rPr>
          <w:lang w:val="en-AU"/>
        </w:rPr>
      </w:pPr>
      <w:r>
        <w:rPr>
          <w:lang w:val="en-AU"/>
        </w:rPr>
        <w:br w:type="page"/>
      </w:r>
    </w:p>
    <w:p w14:paraId="2823F99D" w14:textId="77777777" w:rsidR="00324AA2" w:rsidRPr="009F285E" w:rsidRDefault="00324AA2" w:rsidP="00324AA2">
      <w:pPr>
        <w:keepLines/>
        <w:rPr>
          <w:rFonts w:eastAsia="Calibri"/>
          <w:szCs w:val="22"/>
          <w:u w:val="single"/>
        </w:rPr>
      </w:pPr>
      <w:r w:rsidRPr="009F285E">
        <w:rPr>
          <w:rFonts w:eastAsia="Calibri"/>
          <w:szCs w:val="22"/>
          <w:u w:val="single"/>
        </w:rPr>
        <w:lastRenderedPageBreak/>
        <w:t>Notes on Article 9</w:t>
      </w:r>
    </w:p>
    <w:p w14:paraId="072BCF6F" w14:textId="77777777" w:rsidR="00324AA2" w:rsidRPr="009F285E" w:rsidRDefault="00324AA2" w:rsidP="00324AA2">
      <w:pPr>
        <w:keepLines/>
        <w:rPr>
          <w:rFonts w:eastAsia="Calibri"/>
          <w:szCs w:val="22"/>
          <w:u w:val="single"/>
        </w:rPr>
      </w:pPr>
    </w:p>
    <w:p w14:paraId="36C18F2B" w14:textId="77777777" w:rsidR="00324AA2" w:rsidRPr="009F285E" w:rsidRDefault="00324AA2" w:rsidP="00324AA2">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w:t>
      </w:r>
      <w:proofErr w:type="spellStart"/>
      <w:r w:rsidRPr="009F285E">
        <w:rPr>
          <w:rFonts w:eastAsia="Calibri"/>
          <w:szCs w:val="22"/>
        </w:rPr>
        <w:t>recognised</w:t>
      </w:r>
      <w:proofErr w:type="spellEnd"/>
      <w:r w:rsidRPr="009F285E">
        <w:rPr>
          <w:rFonts w:eastAsia="Calibri"/>
          <w:szCs w:val="22"/>
        </w:rPr>
        <w:t xml:space="preserve">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14:paraId="3A9E4727" w14:textId="77777777" w:rsidR="00324AA2" w:rsidRPr="009F285E" w:rsidRDefault="00324AA2" w:rsidP="00324AA2">
      <w:pPr>
        <w:keepLines/>
        <w:rPr>
          <w:rFonts w:eastAsia="Calibri"/>
          <w:szCs w:val="22"/>
        </w:rPr>
      </w:pPr>
    </w:p>
    <w:p w14:paraId="651C7789" w14:textId="77777777" w:rsidR="00324AA2" w:rsidRPr="009F285E" w:rsidRDefault="00324AA2" w:rsidP="00324AA2">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w:t>
      </w:r>
      <w:proofErr w:type="gramStart"/>
      <w:r w:rsidRPr="009F285E">
        <w:rPr>
          <w:rFonts w:eastAsia="Calibri"/>
          <w:szCs w:val="22"/>
        </w:rPr>
        <w:t>time-frame</w:t>
      </w:r>
      <w:proofErr w:type="gramEnd"/>
      <w:r w:rsidRPr="009F285E">
        <w:rPr>
          <w:rFonts w:eastAsia="Calibri"/>
          <w:szCs w:val="22"/>
        </w:rPr>
        <w:t xml:space="preserve">. </w:t>
      </w:r>
    </w:p>
    <w:p w14:paraId="29D265ED" w14:textId="47E4722C" w:rsidR="004117AB" w:rsidRDefault="004117AB" w:rsidP="004117AB">
      <w:pPr>
        <w:spacing w:after="220"/>
      </w:pPr>
    </w:p>
    <w:p w14:paraId="21FCF035" w14:textId="7F97DC25" w:rsidR="00324AA2" w:rsidRPr="00324AA2" w:rsidRDefault="00324AA2" w:rsidP="00324AA2">
      <w:pPr>
        <w:spacing w:after="220"/>
        <w:ind w:left="5533"/>
        <w:rPr>
          <w:i/>
        </w:rPr>
      </w:pPr>
      <w:r>
        <w:rPr>
          <w:szCs w:val="22"/>
        </w:rPr>
        <w:t>[End of Annex and of document]</w:t>
      </w:r>
    </w:p>
    <w:sectPr w:rsidR="00324AA2" w:rsidRPr="00324AA2" w:rsidSect="004117AB">
      <w:headerReference w:type="first" r:id="rId15"/>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29D9" w14:textId="77777777" w:rsidR="005A0150" w:rsidRDefault="005A0150">
      <w:r>
        <w:separator/>
      </w:r>
    </w:p>
  </w:endnote>
  <w:endnote w:type="continuationSeparator" w:id="0">
    <w:p w14:paraId="5424BC59" w14:textId="77777777" w:rsidR="005A0150" w:rsidRDefault="005A0150" w:rsidP="003B38C1">
      <w:r>
        <w:separator/>
      </w:r>
    </w:p>
    <w:p w14:paraId="205A7A13" w14:textId="77777777" w:rsidR="005A0150" w:rsidRPr="003B38C1" w:rsidRDefault="005A0150" w:rsidP="003B38C1">
      <w:pPr>
        <w:spacing w:after="60"/>
        <w:rPr>
          <w:sz w:val="17"/>
        </w:rPr>
      </w:pPr>
      <w:r>
        <w:rPr>
          <w:sz w:val="17"/>
        </w:rPr>
        <w:t>[Endnote continued from previous page]</w:t>
      </w:r>
    </w:p>
  </w:endnote>
  <w:endnote w:type="continuationNotice" w:id="1">
    <w:p w14:paraId="7BACF27B" w14:textId="77777777" w:rsidR="005A0150" w:rsidRPr="003B38C1" w:rsidRDefault="005A015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35D4" w14:textId="77777777" w:rsidR="002523D4" w:rsidRDefault="0025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DD1F" w14:textId="77777777" w:rsidR="002523D4" w:rsidRDefault="0025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1497" w14:textId="77777777" w:rsidR="002523D4" w:rsidRDefault="0025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34AF" w14:textId="77777777" w:rsidR="005A0150" w:rsidRDefault="005A0150">
      <w:r>
        <w:separator/>
      </w:r>
    </w:p>
  </w:footnote>
  <w:footnote w:type="continuationSeparator" w:id="0">
    <w:p w14:paraId="2EA5BAE0" w14:textId="77777777" w:rsidR="005A0150" w:rsidRDefault="005A0150" w:rsidP="008B60B2">
      <w:r>
        <w:separator/>
      </w:r>
    </w:p>
    <w:p w14:paraId="26FF01F0" w14:textId="77777777" w:rsidR="005A0150" w:rsidRPr="00ED77FB" w:rsidRDefault="005A0150" w:rsidP="008B60B2">
      <w:pPr>
        <w:spacing w:after="60"/>
        <w:rPr>
          <w:sz w:val="17"/>
          <w:szCs w:val="17"/>
        </w:rPr>
      </w:pPr>
      <w:r w:rsidRPr="00ED77FB">
        <w:rPr>
          <w:sz w:val="17"/>
          <w:szCs w:val="17"/>
        </w:rPr>
        <w:t>[Footnote continued from previous page]</w:t>
      </w:r>
    </w:p>
  </w:footnote>
  <w:footnote w:type="continuationNotice" w:id="1">
    <w:p w14:paraId="5758072B" w14:textId="77777777" w:rsidR="005A0150" w:rsidRPr="00ED77FB" w:rsidRDefault="005A015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60769A6" w14:textId="77777777" w:rsidR="004117AB" w:rsidRPr="009F285E" w:rsidRDefault="004117AB" w:rsidP="004117AB">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3">
    <w:p w14:paraId="056CDD93" w14:textId="77777777" w:rsidR="004117AB" w:rsidRPr="007D6FC9" w:rsidRDefault="004117AB" w:rsidP="004117AB">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(3</w:t>
      </w:r>
      <w:r w:rsidRPr="009F285E">
        <w:rPr>
          <w:sz w:val="16"/>
          <w:szCs w:val="16"/>
          <w:vertAlign w:val="superscript"/>
        </w:rPr>
        <w:t>rd</w:t>
      </w:r>
      <w:r w:rsidRPr="009F285E">
        <w:rPr>
          <w:sz w:val="16"/>
          <w:szCs w:val="16"/>
        </w:rPr>
        <w:t xml:space="preserve"> Edition), (2010), OUP Oxford.</w:t>
      </w:r>
      <w:r w:rsidRPr="007D6FC9">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B23B" w14:textId="77777777" w:rsidR="002523D4" w:rsidRDefault="00252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E45D" w14:textId="3DD8E65C" w:rsidR="00D07C78" w:rsidRPr="002326AB" w:rsidRDefault="004117AB" w:rsidP="00477D6B">
    <w:pPr>
      <w:jc w:val="right"/>
      <w:rPr>
        <w:caps/>
      </w:rPr>
    </w:pPr>
    <w:bookmarkStart w:id="5" w:name="Code2"/>
    <w:bookmarkEnd w:id="5"/>
    <w:r>
      <w:rPr>
        <w:caps/>
      </w:rPr>
      <w:t>GRATK/DC/INF/4</w:t>
    </w:r>
  </w:p>
  <w:p w14:paraId="59FCC6FC" w14:textId="58DF1DFB" w:rsidR="00D07C78" w:rsidRDefault="004117AB"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516A8D7C" w14:textId="77777777" w:rsidR="00D07C78" w:rsidRDefault="00D07C78" w:rsidP="00477D6B">
    <w:pPr>
      <w:jc w:val="right"/>
    </w:pPr>
  </w:p>
  <w:p w14:paraId="7FC2A303"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EDB" w14:textId="77777777" w:rsidR="002523D4" w:rsidRDefault="00252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9CB2" w14:textId="2DAFD986" w:rsidR="004117AB" w:rsidRDefault="004117AB" w:rsidP="004117AB">
    <w:pPr>
      <w:pStyle w:val="Header"/>
      <w:jc w:val="right"/>
    </w:pPr>
    <w:r>
      <w:t>GRATK/DC/INF/4</w:t>
    </w:r>
  </w:p>
  <w:p w14:paraId="4E38C05F" w14:textId="5A1DCE0D" w:rsidR="004117AB" w:rsidRDefault="004117AB" w:rsidP="004117AB">
    <w:pPr>
      <w:pStyle w:val="Header"/>
      <w:jc w:val="right"/>
    </w:pPr>
    <w:r>
      <w:t>ANNEX</w:t>
    </w:r>
  </w:p>
  <w:p w14:paraId="4476B30C" w14:textId="18BFA389" w:rsidR="004117AB" w:rsidRDefault="004117AB" w:rsidP="004117AB">
    <w:pPr>
      <w:pStyle w:val="Header"/>
      <w:jc w:val="right"/>
    </w:pPr>
  </w:p>
  <w:p w14:paraId="0AF17FE3" w14:textId="77777777" w:rsidR="004117AB" w:rsidRDefault="004117AB" w:rsidP="004117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92477141">
    <w:abstractNumId w:val="2"/>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227884198">
    <w:abstractNumId w:val="3"/>
  </w:num>
  <w:num w:numId="8" w16cid:durableId="316032902">
    <w:abstractNumId w:val="8"/>
  </w:num>
  <w:num w:numId="9" w16cid:durableId="671951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50"/>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523D4"/>
    <w:rsid w:val="002634C4"/>
    <w:rsid w:val="002928D3"/>
    <w:rsid w:val="002F1FE6"/>
    <w:rsid w:val="002F4E68"/>
    <w:rsid w:val="00312F7F"/>
    <w:rsid w:val="00324AA2"/>
    <w:rsid w:val="00361450"/>
    <w:rsid w:val="003673CF"/>
    <w:rsid w:val="003845C1"/>
    <w:rsid w:val="003A6F89"/>
    <w:rsid w:val="003B38C1"/>
    <w:rsid w:val="003C34E9"/>
    <w:rsid w:val="004117AB"/>
    <w:rsid w:val="00423E3E"/>
    <w:rsid w:val="00427AF4"/>
    <w:rsid w:val="004627E4"/>
    <w:rsid w:val="004647DA"/>
    <w:rsid w:val="00474062"/>
    <w:rsid w:val="00477D6B"/>
    <w:rsid w:val="004A5A63"/>
    <w:rsid w:val="005019FF"/>
    <w:rsid w:val="0053057A"/>
    <w:rsid w:val="00556076"/>
    <w:rsid w:val="00560A29"/>
    <w:rsid w:val="005A0150"/>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D04F1"/>
    <w:rsid w:val="00CF681A"/>
    <w:rsid w:val="00D07C78"/>
    <w:rsid w:val="00D32C35"/>
    <w:rsid w:val="00D4292F"/>
    <w:rsid w:val="00D45252"/>
    <w:rsid w:val="00D71B4D"/>
    <w:rsid w:val="00D93D55"/>
    <w:rsid w:val="00DD7B7F"/>
    <w:rsid w:val="00E15015"/>
    <w:rsid w:val="00E335FE"/>
    <w:rsid w:val="00EA7D6E"/>
    <w:rsid w:val="00EB2F76"/>
    <w:rsid w:val="00EC4E49"/>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3FFAD"/>
  <w15:docId w15:val="{74E972E2-60EB-45A8-A194-72174D4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4117AB"/>
    <w:pPr>
      <w:autoSpaceDE w:val="0"/>
      <w:autoSpaceDN w:val="0"/>
      <w:adjustRightInd w:val="0"/>
    </w:pPr>
    <w:rPr>
      <w:rFonts w:ascii="Arial" w:hAnsi="Arial" w:cs="Arial"/>
      <w:color w:val="000000"/>
      <w:sz w:val="24"/>
      <w:szCs w:val="24"/>
      <w:lang w:val="en-150"/>
    </w:rPr>
  </w:style>
  <w:style w:type="paragraph" w:styleId="ListParagraph">
    <w:name w:val="List Paragraph"/>
    <w:basedOn w:val="Normal"/>
    <w:uiPriority w:val="34"/>
    <w:qFormat/>
    <w:rsid w:val="004117AB"/>
    <w:pPr>
      <w:ind w:left="720"/>
      <w:contextualSpacing/>
    </w:pPr>
  </w:style>
  <w:style w:type="character" w:customStyle="1" w:styleId="FootnoteTextChar">
    <w:name w:val="Footnote Text Char"/>
    <w:link w:val="FootnoteText"/>
    <w:semiHidden/>
    <w:rsid w:val="004117AB"/>
    <w:rPr>
      <w:rFonts w:ascii="Arial" w:eastAsia="SimSun" w:hAnsi="Arial" w:cs="Arial"/>
      <w:sz w:val="18"/>
      <w:lang w:val="en-US" w:eastAsia="zh-CN"/>
    </w:rPr>
  </w:style>
  <w:style w:type="character" w:styleId="FootnoteReference">
    <w:name w:val="footnote reference"/>
    <w:rsid w:val="004117AB"/>
    <w:rPr>
      <w:vertAlign w:val="superscript"/>
    </w:rPr>
  </w:style>
  <w:style w:type="character" w:styleId="Strong">
    <w:name w:val="Strong"/>
    <w:uiPriority w:val="22"/>
    <w:qFormat/>
    <w:rsid w:val="004117AB"/>
    <w:rPr>
      <w:b/>
      <w:bCs/>
    </w:rPr>
  </w:style>
  <w:style w:type="paragraph" w:styleId="NormalWeb">
    <w:name w:val="Normal (Web)"/>
    <w:basedOn w:val="Normal"/>
    <w:uiPriority w:val="99"/>
    <w:unhideWhenUsed/>
    <w:rsid w:val="004117AB"/>
    <w:pPr>
      <w:spacing w:before="100" w:beforeAutospacing="1" w:after="100" w:afterAutospacing="1"/>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41</TotalTime>
  <Pages>8</Pages>
  <Words>2641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GRATK/DC/INF/4</vt:lpstr>
    </vt:vector>
  </TitlesOfParts>
  <Company>WIPO</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GRATK/DC/INF/4</dc:title>
  <dc:creator>JIAO Fei</dc:creator>
  <cp:keywords>FOR OFFICIAL USE ONLY</cp:keywords>
  <cp:lastModifiedBy>JIAO Fei</cp:lastModifiedBy>
  <cp:revision>5</cp:revision>
  <cp:lastPrinted>2011-02-15T11:56:00Z</cp:lastPrinted>
  <dcterms:created xsi:type="dcterms:W3CDTF">2023-12-08T11:49:00Z</dcterms:created>
  <dcterms:modified xsi:type="dcterms:W3CDTF">2023-12-15T08:19:00Z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