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3275" w14:textId="77777777" w:rsidR="008B2CC1" w:rsidRPr="00446332" w:rsidRDefault="00CC3E2D" w:rsidP="00CC3E2D">
      <w:pPr>
        <w:pBdr>
          <w:bottom w:val="single" w:sz="4" w:space="10" w:color="auto"/>
        </w:pBdr>
        <w:bidi w:val="0"/>
        <w:spacing w:after="120"/>
        <w:rPr>
          <w:b/>
          <w:sz w:val="32"/>
          <w:szCs w:val="40"/>
        </w:rPr>
      </w:pPr>
      <w:r w:rsidRPr="00446332">
        <w:rPr>
          <w:b/>
          <w:noProof/>
          <w:sz w:val="32"/>
          <w:szCs w:val="40"/>
          <w:lang w:eastAsia="en-US"/>
        </w:rPr>
        <mc:AlternateContent>
          <mc:Choice Requires="wpg">
            <w:drawing>
              <wp:inline distT="0" distB="0" distL="0" distR="0" wp14:anchorId="6A797239" wp14:editId="501FDA1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B5BA5BE" w14:textId="4A24C3D2" w:rsidR="008B2CC1" w:rsidRPr="00446332" w:rsidRDefault="00D90B96" w:rsidP="00AA4217">
      <w:pPr>
        <w:bidi w:val="0"/>
        <w:rPr>
          <w:rFonts w:ascii="Arial Black" w:hAnsi="Arial Black"/>
          <w:caps/>
          <w:sz w:val="15"/>
          <w:szCs w:val="15"/>
          <w:rtl/>
          <w:lang w:val="fr-CH" w:bidi="ar-SY"/>
        </w:rPr>
      </w:pPr>
      <w:r w:rsidRPr="00446332">
        <w:rPr>
          <w:rFonts w:ascii="Arial Black" w:hAnsi="Arial Black"/>
          <w:caps/>
          <w:sz w:val="15"/>
          <w:szCs w:val="15"/>
        </w:rPr>
        <w:t>WIPO/GRTK</w:t>
      </w:r>
      <w:r w:rsidR="009B0855" w:rsidRPr="00446332">
        <w:rPr>
          <w:rFonts w:ascii="Arial Black" w:hAnsi="Arial Black"/>
          <w:caps/>
          <w:sz w:val="15"/>
          <w:szCs w:val="15"/>
        </w:rPr>
        <w:t>F</w:t>
      </w:r>
      <w:r w:rsidRPr="00446332">
        <w:rPr>
          <w:rFonts w:ascii="Arial Black" w:hAnsi="Arial Black"/>
          <w:caps/>
          <w:sz w:val="15"/>
          <w:szCs w:val="15"/>
        </w:rPr>
        <w:t>/IC/</w:t>
      </w:r>
      <w:r w:rsidR="00547CDB">
        <w:rPr>
          <w:rFonts w:ascii="Arial Black" w:hAnsi="Arial Black"/>
          <w:caps/>
          <w:sz w:val="15"/>
          <w:szCs w:val="15"/>
        </w:rPr>
        <w:t>52</w:t>
      </w:r>
      <w:r w:rsidRPr="00446332">
        <w:rPr>
          <w:rFonts w:ascii="Arial Black" w:hAnsi="Arial Black"/>
          <w:caps/>
          <w:sz w:val="15"/>
          <w:szCs w:val="15"/>
        </w:rPr>
        <w:t>/</w:t>
      </w:r>
      <w:bookmarkStart w:id="0" w:name="Code"/>
      <w:bookmarkEnd w:id="0"/>
      <w:r w:rsidR="00C752CF" w:rsidRPr="00446332">
        <w:rPr>
          <w:rFonts w:ascii="Arial Black" w:hAnsi="Arial Black"/>
          <w:caps/>
          <w:sz w:val="15"/>
          <w:szCs w:val="15"/>
        </w:rPr>
        <w:t>INF/</w:t>
      </w:r>
      <w:r w:rsidR="00547CDB">
        <w:rPr>
          <w:rFonts w:ascii="Arial Black" w:hAnsi="Arial Black"/>
          <w:caps/>
          <w:sz w:val="15"/>
          <w:szCs w:val="15"/>
        </w:rPr>
        <w:t>8</w:t>
      </w:r>
    </w:p>
    <w:p w14:paraId="05F251CE" w14:textId="77777777" w:rsidR="008B2CC1" w:rsidRPr="00446332" w:rsidRDefault="00CC3E2D" w:rsidP="00CC3E2D">
      <w:pPr>
        <w:jc w:val="right"/>
        <w:rPr>
          <w:rFonts w:asciiTheme="minorHAnsi" w:hAnsiTheme="minorHAnsi" w:cstheme="minorHAnsi"/>
          <w:b/>
          <w:bCs/>
          <w:caps/>
          <w:sz w:val="15"/>
          <w:szCs w:val="15"/>
        </w:rPr>
      </w:pPr>
      <w:bookmarkStart w:id="1" w:name="Original"/>
      <w:r w:rsidRPr="00446332">
        <w:rPr>
          <w:rFonts w:asciiTheme="minorHAnsi" w:hAnsiTheme="minorHAnsi" w:cstheme="minorHAnsi" w:hint="cs"/>
          <w:b/>
          <w:bCs/>
          <w:caps/>
          <w:sz w:val="15"/>
          <w:szCs w:val="15"/>
          <w:rtl/>
        </w:rPr>
        <w:t xml:space="preserve">الأصل: </w:t>
      </w:r>
      <w:r w:rsidR="002937BA" w:rsidRPr="00446332">
        <w:rPr>
          <w:rFonts w:asciiTheme="minorHAnsi" w:hAnsiTheme="minorHAnsi" w:cstheme="minorHAnsi" w:hint="cs"/>
          <w:b/>
          <w:bCs/>
          <w:caps/>
          <w:sz w:val="15"/>
          <w:szCs w:val="15"/>
          <w:rtl/>
        </w:rPr>
        <w:t>بالإنكليزية</w:t>
      </w:r>
    </w:p>
    <w:p w14:paraId="3C38EEFA" w14:textId="77EC166E" w:rsidR="008B2CC1" w:rsidRPr="00446332" w:rsidRDefault="00CC3E2D" w:rsidP="00C752CF">
      <w:pPr>
        <w:spacing w:after="1200"/>
        <w:jc w:val="right"/>
        <w:rPr>
          <w:rFonts w:asciiTheme="minorHAnsi" w:hAnsiTheme="minorHAnsi" w:cstheme="minorHAnsi"/>
          <w:b/>
          <w:bCs/>
          <w:caps/>
          <w:sz w:val="15"/>
          <w:szCs w:val="15"/>
        </w:rPr>
      </w:pPr>
      <w:bookmarkStart w:id="2" w:name="Date"/>
      <w:bookmarkEnd w:id="1"/>
      <w:r w:rsidRPr="00446332">
        <w:rPr>
          <w:rFonts w:asciiTheme="minorHAnsi" w:hAnsiTheme="minorHAnsi" w:cstheme="minorHAnsi" w:hint="cs"/>
          <w:b/>
          <w:bCs/>
          <w:caps/>
          <w:sz w:val="15"/>
          <w:szCs w:val="15"/>
          <w:rtl/>
        </w:rPr>
        <w:t xml:space="preserve">التاريخ: </w:t>
      </w:r>
      <w:r w:rsidR="00547CDB">
        <w:rPr>
          <w:rFonts w:asciiTheme="minorHAnsi" w:hAnsiTheme="minorHAnsi" w:cstheme="minorHAnsi" w:hint="cs"/>
          <w:b/>
          <w:bCs/>
          <w:caps/>
          <w:sz w:val="15"/>
          <w:szCs w:val="15"/>
          <w:rtl/>
        </w:rPr>
        <w:t>8</w:t>
      </w:r>
      <w:r w:rsidR="00C752CF" w:rsidRPr="00446332">
        <w:rPr>
          <w:rFonts w:asciiTheme="minorHAnsi" w:hAnsiTheme="minorHAnsi" w:cstheme="minorHAnsi" w:hint="cs"/>
          <w:b/>
          <w:bCs/>
          <w:caps/>
          <w:sz w:val="15"/>
          <w:szCs w:val="15"/>
          <w:rtl/>
        </w:rPr>
        <w:t xml:space="preserve"> يناير </w:t>
      </w:r>
      <w:r w:rsidR="00547CDB">
        <w:rPr>
          <w:rFonts w:asciiTheme="minorHAnsi" w:hAnsiTheme="minorHAnsi" w:cstheme="minorHAnsi" w:hint="cs"/>
          <w:b/>
          <w:bCs/>
          <w:caps/>
          <w:sz w:val="15"/>
          <w:szCs w:val="15"/>
          <w:rtl/>
        </w:rPr>
        <w:t>2026</w:t>
      </w:r>
    </w:p>
    <w:bookmarkEnd w:id="2"/>
    <w:p w14:paraId="6F34CDED" w14:textId="77777777" w:rsidR="008B2CC1" w:rsidRPr="00446332" w:rsidRDefault="003B355C" w:rsidP="0019592A">
      <w:pPr>
        <w:pStyle w:val="Heading1"/>
      </w:pPr>
      <w:r w:rsidRPr="00446332">
        <w:rPr>
          <w:rtl/>
        </w:rPr>
        <w:t>اللجنة الحكومية الدولية المعنية بالملكية الفكرية والموارد الوراثية والمعارف التقليدية</w:t>
      </w:r>
      <w:r w:rsidR="0019592A" w:rsidRPr="00446332">
        <w:rPr>
          <w:rFonts w:hint="cs"/>
          <w:rtl/>
        </w:rPr>
        <w:t> </w:t>
      </w:r>
      <w:r w:rsidRPr="00446332">
        <w:rPr>
          <w:rtl/>
        </w:rPr>
        <w:t>والفولكلور</w:t>
      </w:r>
    </w:p>
    <w:p w14:paraId="57CCE685" w14:textId="6CAB499F" w:rsidR="00A90F0A" w:rsidRPr="00446332" w:rsidRDefault="00D67EAE" w:rsidP="00AA4217">
      <w:pPr>
        <w:outlineLvl w:val="1"/>
        <w:rPr>
          <w:rFonts w:asciiTheme="minorHAnsi" w:hAnsiTheme="minorHAnsi" w:cstheme="minorHAnsi"/>
          <w:bCs/>
          <w:sz w:val="24"/>
          <w:szCs w:val="24"/>
        </w:rPr>
      </w:pPr>
      <w:r w:rsidRPr="00446332">
        <w:rPr>
          <w:rFonts w:asciiTheme="minorHAnsi" w:hAnsiTheme="minorHAnsi" w:cstheme="minorHAnsi" w:hint="cs"/>
          <w:bCs/>
          <w:sz w:val="24"/>
          <w:szCs w:val="24"/>
          <w:rtl/>
        </w:rPr>
        <w:t xml:space="preserve">الدورة </w:t>
      </w:r>
      <w:r w:rsidR="00AA4217" w:rsidRPr="00446332">
        <w:rPr>
          <w:rFonts w:asciiTheme="minorHAnsi" w:hAnsiTheme="minorHAnsi" w:cstheme="minorHAnsi" w:hint="cs"/>
          <w:bCs/>
          <w:sz w:val="24"/>
          <w:szCs w:val="24"/>
          <w:rtl/>
        </w:rPr>
        <w:t>الثانية</w:t>
      </w:r>
      <w:r w:rsidRPr="00446332">
        <w:rPr>
          <w:rFonts w:asciiTheme="minorHAnsi" w:hAnsiTheme="minorHAnsi" w:cstheme="minorHAnsi" w:hint="cs"/>
          <w:bCs/>
          <w:sz w:val="24"/>
          <w:szCs w:val="24"/>
          <w:rtl/>
        </w:rPr>
        <w:t xml:space="preserve"> </w:t>
      </w:r>
      <w:r w:rsidR="00547CDB">
        <w:rPr>
          <w:rFonts w:asciiTheme="minorHAnsi" w:hAnsiTheme="minorHAnsi" w:cstheme="minorHAnsi" w:hint="cs"/>
          <w:bCs/>
          <w:sz w:val="24"/>
          <w:szCs w:val="24"/>
          <w:rtl/>
        </w:rPr>
        <w:t>والخمسون</w:t>
      </w:r>
    </w:p>
    <w:p w14:paraId="6AB46C08" w14:textId="6313E4DC" w:rsidR="008B2CC1" w:rsidRPr="00446332" w:rsidRDefault="00D67EAE" w:rsidP="00AA4217">
      <w:pPr>
        <w:spacing w:after="720"/>
        <w:outlineLvl w:val="1"/>
        <w:rPr>
          <w:rFonts w:asciiTheme="minorHAnsi" w:hAnsiTheme="minorHAnsi" w:cstheme="minorHAnsi"/>
          <w:bCs/>
          <w:sz w:val="24"/>
          <w:szCs w:val="24"/>
        </w:rPr>
      </w:pPr>
      <w:r w:rsidRPr="00446332">
        <w:rPr>
          <w:rFonts w:asciiTheme="minorHAnsi" w:hAnsiTheme="minorHAnsi" w:cstheme="minorHAnsi" w:hint="cs"/>
          <w:bCs/>
          <w:sz w:val="24"/>
          <w:szCs w:val="24"/>
          <w:rtl/>
        </w:rPr>
        <w:t xml:space="preserve">جنيف، من </w:t>
      </w:r>
      <w:r w:rsidR="00547CDB">
        <w:rPr>
          <w:rFonts w:asciiTheme="minorHAnsi" w:hAnsiTheme="minorHAnsi" w:cstheme="minorHAnsi" w:hint="cs"/>
          <w:bCs/>
          <w:sz w:val="24"/>
          <w:szCs w:val="24"/>
          <w:rtl/>
        </w:rPr>
        <w:t>4</w:t>
      </w:r>
      <w:r w:rsidR="00D530E8" w:rsidRPr="00446332">
        <w:rPr>
          <w:rFonts w:asciiTheme="minorHAnsi" w:hAnsiTheme="minorHAnsi" w:cstheme="minorHAnsi" w:hint="cs"/>
          <w:bCs/>
          <w:sz w:val="24"/>
          <w:szCs w:val="24"/>
          <w:rtl/>
        </w:rPr>
        <w:t xml:space="preserve"> </w:t>
      </w:r>
      <w:r w:rsidRPr="00446332">
        <w:rPr>
          <w:rFonts w:asciiTheme="minorHAnsi" w:hAnsiTheme="minorHAnsi" w:cstheme="minorHAnsi" w:hint="cs"/>
          <w:bCs/>
          <w:sz w:val="24"/>
          <w:szCs w:val="24"/>
          <w:rtl/>
        </w:rPr>
        <w:t xml:space="preserve">إلى </w:t>
      </w:r>
      <w:r w:rsidR="00547CDB">
        <w:rPr>
          <w:rFonts w:asciiTheme="minorHAnsi" w:hAnsiTheme="minorHAnsi" w:cstheme="minorHAnsi" w:hint="cs"/>
          <w:bCs/>
          <w:sz w:val="24"/>
          <w:szCs w:val="24"/>
          <w:rtl/>
        </w:rPr>
        <w:t>13</w:t>
      </w:r>
      <w:r w:rsidRPr="00446332">
        <w:rPr>
          <w:rFonts w:asciiTheme="minorHAnsi" w:hAnsiTheme="minorHAnsi" w:cstheme="minorHAnsi" w:hint="cs"/>
          <w:bCs/>
          <w:sz w:val="24"/>
          <w:szCs w:val="24"/>
          <w:rtl/>
        </w:rPr>
        <w:t xml:space="preserve"> </w:t>
      </w:r>
      <w:r w:rsidR="00AA4217" w:rsidRPr="00446332">
        <w:rPr>
          <w:rFonts w:asciiTheme="minorHAnsi" w:hAnsiTheme="minorHAnsi" w:cstheme="minorHAnsi" w:hint="cs"/>
          <w:bCs/>
          <w:sz w:val="24"/>
          <w:szCs w:val="24"/>
          <w:rtl/>
        </w:rPr>
        <w:t>مارس</w:t>
      </w:r>
      <w:r w:rsidRPr="00446332">
        <w:rPr>
          <w:rFonts w:asciiTheme="minorHAnsi" w:hAnsiTheme="minorHAnsi" w:cstheme="minorHAnsi" w:hint="cs"/>
          <w:bCs/>
          <w:sz w:val="24"/>
          <w:szCs w:val="24"/>
          <w:rtl/>
        </w:rPr>
        <w:t xml:space="preserve"> </w:t>
      </w:r>
      <w:r w:rsidR="00547CDB">
        <w:rPr>
          <w:rFonts w:asciiTheme="minorHAnsi" w:hAnsiTheme="minorHAnsi" w:cstheme="minorHAnsi" w:hint="cs"/>
          <w:bCs/>
          <w:sz w:val="24"/>
          <w:szCs w:val="24"/>
          <w:rtl/>
        </w:rPr>
        <w:t>2026</w:t>
      </w:r>
    </w:p>
    <w:p w14:paraId="26A16871" w14:textId="77777777" w:rsidR="008B2CC1" w:rsidRPr="00446332" w:rsidRDefault="00C752CF" w:rsidP="00DD7B7F">
      <w:pPr>
        <w:spacing w:after="360"/>
        <w:outlineLvl w:val="0"/>
        <w:rPr>
          <w:rFonts w:asciiTheme="minorHAnsi" w:hAnsiTheme="minorHAnsi" w:cstheme="minorHAnsi"/>
          <w:caps/>
          <w:sz w:val="24"/>
        </w:rPr>
      </w:pPr>
      <w:bookmarkStart w:id="3" w:name="TitleOfDoc"/>
      <w:r w:rsidRPr="00446332">
        <w:rPr>
          <w:rFonts w:asciiTheme="minorHAnsi" w:hAnsiTheme="minorHAnsi"/>
          <w:caps/>
          <w:sz w:val="28"/>
          <w:szCs w:val="24"/>
          <w:rtl/>
        </w:rPr>
        <w:t>المصادر المتاحة على موقع الويبو الإلكتروني الخاص بالمعارف التقليدية وأشكال التعبير الثقافي التقليدي والموارد الوراثية</w:t>
      </w:r>
    </w:p>
    <w:p w14:paraId="1930825B" w14:textId="77777777" w:rsidR="002928D3" w:rsidRPr="00446332" w:rsidRDefault="00C752CF" w:rsidP="001D4107">
      <w:pPr>
        <w:spacing w:after="1040"/>
        <w:rPr>
          <w:rFonts w:asciiTheme="minorHAnsi" w:hAnsiTheme="minorHAnsi" w:cstheme="minorHAnsi"/>
          <w:iCs/>
          <w:rtl/>
        </w:rPr>
      </w:pPr>
      <w:bookmarkStart w:id="4" w:name="Prepared"/>
      <w:bookmarkEnd w:id="3"/>
      <w:bookmarkEnd w:id="4"/>
      <w:r w:rsidRPr="00446332">
        <w:rPr>
          <w:rFonts w:asciiTheme="minorHAnsi" w:hAnsiTheme="minorHAnsi" w:cstheme="minorHAnsi" w:hint="cs"/>
          <w:iCs/>
          <w:rtl/>
        </w:rPr>
        <w:t xml:space="preserve">وثيقة </w:t>
      </w:r>
      <w:r w:rsidR="00D67EAE" w:rsidRPr="00446332">
        <w:rPr>
          <w:rFonts w:asciiTheme="minorHAnsi" w:hAnsiTheme="minorHAnsi" w:cstheme="minorHAnsi" w:hint="cs"/>
          <w:iCs/>
          <w:rtl/>
        </w:rPr>
        <w:t>من إعداد</w:t>
      </w:r>
      <w:r w:rsidR="002937BA" w:rsidRPr="00446332">
        <w:rPr>
          <w:rFonts w:asciiTheme="minorHAnsi" w:hAnsiTheme="minorHAnsi" w:cstheme="minorHAnsi" w:hint="cs"/>
          <w:iCs/>
          <w:rtl/>
        </w:rPr>
        <w:t xml:space="preserve"> الأمانة</w:t>
      </w:r>
    </w:p>
    <w:p w14:paraId="7505A596" w14:textId="6BE249A7" w:rsidR="00C752CF" w:rsidRPr="00446332" w:rsidRDefault="00D859D5" w:rsidP="00D859D5">
      <w:pPr>
        <w:pStyle w:val="ONUME"/>
        <w:rPr>
          <w:lang w:bidi="ar-EG"/>
        </w:rPr>
      </w:pPr>
      <w:r w:rsidRPr="00D859D5">
        <w:rPr>
          <w:rFonts w:hint="cs"/>
          <w:rtl/>
        </w:rPr>
        <w:t>دعت اللجنة الحكومية الدولية المعنية بالملكية الفكرية والموارد الوراثية والمعارف التقليدية والفولكلور ("لجنة المعارف")، في دورتها العشرين المعقودة في الفترة من 14 إلى 22 فبراير 2012،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("موقع الويبو الخاص بالمعارف التقليدية")</w:t>
      </w:r>
      <w:r w:rsidRPr="00D859D5">
        <w:rPr>
          <w:vertAlign w:val="superscript"/>
          <w:lang w:bidi="ar-EG"/>
        </w:rPr>
        <w:footnoteReference w:id="2"/>
      </w:r>
      <w:r w:rsidRPr="00D859D5">
        <w:rPr>
          <w:rFonts w:hint="cs"/>
          <w:rtl/>
        </w:rPr>
        <w:t>.</w:t>
      </w:r>
    </w:p>
    <w:p w14:paraId="74AE6519" w14:textId="0A28E527" w:rsidR="00C752CF" w:rsidRPr="00446332" w:rsidRDefault="00D859D5" w:rsidP="00D859D5">
      <w:pPr>
        <w:pStyle w:val="ONUME"/>
        <w:rPr>
          <w:lang w:bidi="ar-EG"/>
        </w:rPr>
      </w:pPr>
      <w:r w:rsidRPr="00D859D5">
        <w:rPr>
          <w:rFonts w:hint="cs"/>
          <w:rtl/>
        </w:rPr>
        <w:t>وعملاً بذلك القرار، أعدت الأمانة وصفاً مفصلاً للمصادر المتاحة على الموقع المذكور (</w:t>
      </w:r>
      <w:r w:rsidRPr="00D859D5">
        <w:rPr>
          <w:lang w:bidi="ar-EG"/>
        </w:rPr>
        <w:t>https://www.wipo.int/ar/web/igc</w:t>
      </w:r>
      <w:r w:rsidRPr="00D859D5">
        <w:rPr>
          <w:rFonts w:hint="cs"/>
          <w:rtl/>
        </w:rPr>
        <w:t>) لجميع الدورات اللاحقة.  وترد أحدث نسخة من هذ الوصف في الوثيقة</w:t>
      </w:r>
      <w:r>
        <w:rPr>
          <w:rFonts w:hint="eastAsia"/>
          <w:rtl/>
        </w:rPr>
        <w:t> </w:t>
      </w:r>
      <w:r w:rsidRPr="00D859D5">
        <w:t>WIPO/GRTKF/IC/42/INF/10</w:t>
      </w:r>
      <w:r w:rsidRPr="00D859D5">
        <w:rPr>
          <w:rFonts w:hint="cs"/>
          <w:rtl/>
        </w:rPr>
        <w:t>.</w:t>
      </w:r>
    </w:p>
    <w:p w14:paraId="616968CA" w14:textId="5F8FC781" w:rsidR="00C752CF" w:rsidRPr="00446332" w:rsidRDefault="00D859D5" w:rsidP="00D859D5">
      <w:pPr>
        <w:pStyle w:val="ONUME"/>
        <w:rPr>
          <w:lang w:bidi="ar-EG"/>
        </w:rPr>
      </w:pPr>
      <w:r w:rsidRPr="00D859D5">
        <w:rPr>
          <w:rFonts w:hint="cs"/>
          <w:rtl/>
        </w:rPr>
        <w:t xml:space="preserve">وكما ورد في الوثيقة </w:t>
      </w:r>
      <w:r w:rsidRPr="00D859D5">
        <w:rPr>
          <w:lang w:bidi="ar-EG"/>
        </w:rPr>
        <w:t>WIPO/GRTKF/IC/30/INF/8</w:t>
      </w:r>
      <w:r w:rsidRPr="00D859D5">
        <w:rPr>
          <w:rFonts w:hint="cs"/>
          <w:rtl/>
        </w:rPr>
        <w:t xml:space="preserve"> التي أعِدت للدورة الثلاثين للجنة المعارف، ستصدر هذه الوثيقة الإعلامية مرّة واحدة في السنة فقط، أو عند إجراء تعديلات هامة على الموقع.</w:t>
      </w:r>
    </w:p>
    <w:p w14:paraId="23E5FF33" w14:textId="7E2C01DD" w:rsidR="00C752CF" w:rsidRPr="00446332" w:rsidRDefault="00D859D5" w:rsidP="00D859D5">
      <w:pPr>
        <w:pStyle w:val="ONUME"/>
        <w:rPr>
          <w:lang w:bidi="ar-EG"/>
        </w:rPr>
      </w:pPr>
      <w:r w:rsidRPr="00D859D5">
        <w:rPr>
          <w:rFonts w:hint="cs"/>
          <w:rtl/>
        </w:rPr>
        <w:t>ويوفر مرفق هذه الوثيقة قائمة مختصرة بالمدخلات الرئيسية لموقع الويبو الخاص بالمعارف التقليدية، وتحديثات بشأن المصادر المتاحة على الموقع منذ يناير 2022، أي منذ تاريخ إعداد الوثيقة الإعلامية السابقة.</w:t>
      </w:r>
    </w:p>
    <w:p w14:paraId="497C1DFF" w14:textId="77777777" w:rsidR="00C752CF" w:rsidRPr="00D859D5" w:rsidRDefault="00C752CF" w:rsidP="00C752CF">
      <w:pPr>
        <w:pStyle w:val="ONUME"/>
        <w:ind w:left="5530"/>
        <w:rPr>
          <w:i/>
          <w:iCs/>
          <w:lang w:bidi="ar-EG"/>
        </w:rPr>
      </w:pPr>
      <w:r w:rsidRPr="00D859D5">
        <w:rPr>
          <w:i/>
          <w:iCs/>
          <w:rtl/>
          <w:lang w:bidi="ar-EG"/>
        </w:rPr>
        <w:t>إن لجنة المعارف مدعوة إلى الإحاطة علما بمضمون هذه الوثيقة ومرفقها</w:t>
      </w:r>
      <w:r w:rsidRPr="00D859D5">
        <w:rPr>
          <w:rFonts w:hint="cs"/>
          <w:i/>
          <w:iCs/>
          <w:rtl/>
          <w:lang w:bidi="ar-EG"/>
        </w:rPr>
        <w:t>.</w:t>
      </w:r>
    </w:p>
    <w:p w14:paraId="39978AA4" w14:textId="77777777" w:rsidR="00C752CF" w:rsidRPr="00446332" w:rsidRDefault="00C752CF" w:rsidP="00C752CF">
      <w:pPr>
        <w:pStyle w:val="Endofdocument-Annex"/>
        <w:rPr>
          <w:lang w:bidi="ar-EG"/>
        </w:rPr>
      </w:pPr>
      <w:r w:rsidRPr="00446332">
        <w:rPr>
          <w:rtl/>
          <w:lang w:bidi="ar-EG"/>
        </w:rPr>
        <w:t>[يلي ذلك المرفق]</w:t>
      </w:r>
    </w:p>
    <w:p w14:paraId="05AE889A" w14:textId="77777777" w:rsidR="00C752CF" w:rsidRPr="00446332" w:rsidRDefault="00C752CF" w:rsidP="00C752CF">
      <w:pPr>
        <w:pStyle w:val="ONUME"/>
        <w:numPr>
          <w:ilvl w:val="0"/>
          <w:numId w:val="0"/>
        </w:numPr>
        <w:rPr>
          <w:rtl/>
          <w:lang w:bidi="ar-EG"/>
        </w:rPr>
        <w:sectPr w:rsidR="00C752CF" w:rsidRPr="00446332"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13BB3951" w14:textId="77777777" w:rsidR="00C752CF" w:rsidRPr="00446332" w:rsidRDefault="00C752CF" w:rsidP="005128CE">
      <w:pPr>
        <w:pStyle w:val="Heading2"/>
        <w:spacing w:after="240"/>
        <w:rPr>
          <w:i/>
          <w:iCs w:val="0"/>
          <w:lang w:bidi="ar-EG"/>
        </w:rPr>
      </w:pPr>
      <w:r w:rsidRPr="00446332">
        <w:rPr>
          <w:i/>
          <w:iCs w:val="0"/>
          <w:rtl/>
          <w:lang w:bidi="ar-EG"/>
        </w:rPr>
        <w:lastRenderedPageBreak/>
        <w:t>المصادر المتاحة على موقع الويبو الإلكتروني الخاص بالمعارف التقليدية وأشكال التعبير الثقافي التقليدي والموارد الوراثية</w:t>
      </w:r>
    </w:p>
    <w:p w14:paraId="00433D04" w14:textId="77777777" w:rsidR="00D859D5" w:rsidRPr="00D859D5" w:rsidRDefault="00D859D5" w:rsidP="00D859D5">
      <w:pPr>
        <w:pStyle w:val="BodyText"/>
        <w:numPr>
          <w:ilvl w:val="0"/>
          <w:numId w:val="16"/>
        </w:numPr>
        <w:ind w:left="-5" w:firstLine="0"/>
        <w:rPr>
          <w:rtl/>
        </w:rPr>
      </w:pPr>
      <w:r w:rsidRPr="00D859D5">
        <w:rPr>
          <w:rFonts w:hint="cs"/>
          <w:rtl/>
        </w:rPr>
        <w:t>يعرض هذا المرفق قائمة بالمدخلات الرئيسية لموقع الويبو الخاص بالمعارف التقليدية (</w:t>
      </w:r>
      <w:r w:rsidRPr="00D859D5">
        <w:rPr>
          <w:lang w:bidi="ar-EG"/>
        </w:rPr>
        <w:t>https://www.wipo.int/ar/web/traditional-knowledge</w:t>
      </w:r>
      <w:r w:rsidRPr="00D859D5">
        <w:rPr>
          <w:rFonts w:hint="cs"/>
          <w:rtl/>
        </w:rPr>
        <w:t xml:space="preserve">)، وتحديثات بشأن المصادر الجديدة منذ يناير 2022.  </w:t>
      </w:r>
    </w:p>
    <w:p w14:paraId="44B0B6AB" w14:textId="77777777" w:rsidR="00D859D5" w:rsidRPr="00D859D5" w:rsidRDefault="00D859D5" w:rsidP="00D859D5">
      <w:pPr>
        <w:pStyle w:val="BodyText"/>
        <w:numPr>
          <w:ilvl w:val="0"/>
          <w:numId w:val="16"/>
        </w:numPr>
        <w:ind w:left="-5" w:firstLine="0"/>
        <w:rPr>
          <w:rtl/>
        </w:rPr>
      </w:pPr>
      <w:r w:rsidRPr="00D859D5">
        <w:rPr>
          <w:rFonts w:hint="cs"/>
          <w:rtl/>
        </w:rPr>
        <w:t>وأعيد تصميم موقع الويبو الخاص بالمعارف التقليدية كي يعكس الخدمات التي تقدمها شعبة المعارف التقليدية على نحو أفضل.  وفي الوقت الراهن، هناك ثمانية مدخلات رئيسية للموقع الإلكتروني:</w:t>
      </w:r>
    </w:p>
    <w:p w14:paraId="5D330A8E" w14:textId="49D130FA" w:rsidR="00D859D5" w:rsidRPr="00D859D5" w:rsidRDefault="00D859D5" w:rsidP="00D859D5">
      <w:pPr>
        <w:pStyle w:val="BodyText"/>
        <w:numPr>
          <w:ilvl w:val="0"/>
          <w:numId w:val="15"/>
        </w:numPr>
        <w:rPr>
          <w:rtl/>
        </w:rPr>
      </w:pPr>
      <w:r w:rsidRPr="00D859D5">
        <w:rPr>
          <w:rFonts w:hint="cs"/>
          <w:rtl/>
        </w:rPr>
        <w:t>تيسير المفاوضات الدولية</w:t>
      </w:r>
      <w:r>
        <w:rPr>
          <w:rFonts w:hint="cs"/>
          <w:rtl/>
        </w:rPr>
        <w:t>:</w:t>
      </w:r>
      <w:r w:rsidRPr="00D859D5">
        <w:rPr>
          <w:rFonts w:hint="cs"/>
          <w:rtl/>
        </w:rPr>
        <w:t xml:space="preserve"> </w:t>
      </w:r>
      <w:hyperlink r:id="rId13" w:history="1">
        <w:r w:rsidRPr="00D859D5">
          <w:rPr>
            <w:rStyle w:val="Hyperlink"/>
            <w:lang w:bidi="ar-EG"/>
          </w:rPr>
          <w:t>https://www.wipo.int/ar/web/igc</w:t>
        </w:r>
      </w:hyperlink>
      <w:r w:rsidRPr="00D859D5">
        <w:rPr>
          <w:rFonts w:hint="cs"/>
          <w:rtl/>
        </w:rPr>
        <w:t>. وهي أهم بوابة للحصول على معلومات مفصلة عن المشاركين في لجنة المعارف.</w:t>
      </w:r>
    </w:p>
    <w:p w14:paraId="5B452298" w14:textId="7950D4F6" w:rsidR="00D859D5" w:rsidRPr="00D859D5" w:rsidRDefault="00D859D5" w:rsidP="00D859D5">
      <w:pPr>
        <w:pStyle w:val="BodyText"/>
        <w:numPr>
          <w:ilvl w:val="0"/>
          <w:numId w:val="15"/>
        </w:numPr>
        <w:rPr>
          <w:rtl/>
        </w:rPr>
      </w:pPr>
      <w:r w:rsidRPr="00D859D5">
        <w:rPr>
          <w:rFonts w:hint="cs"/>
          <w:rtl/>
        </w:rPr>
        <w:t>مركز موارد معاهدة</w:t>
      </w:r>
      <w:r>
        <w:rPr>
          <w:rFonts w:hint="cs"/>
          <w:rtl/>
        </w:rPr>
        <w:t xml:space="preserve"> </w:t>
      </w:r>
      <w:r w:rsidRPr="00D859D5">
        <w:rPr>
          <w:lang w:bidi="ar-EG"/>
        </w:rPr>
        <w:t>GRATK</w:t>
      </w:r>
      <w:r>
        <w:rPr>
          <w:rFonts w:hint="cs"/>
          <w:rtl/>
          <w:lang w:bidi="ar-EG"/>
        </w:rPr>
        <w:t>:</w:t>
      </w:r>
      <w:r w:rsidRPr="00D859D5">
        <w:rPr>
          <w:rFonts w:hint="cs"/>
          <w:rtl/>
        </w:rPr>
        <w:t> </w:t>
      </w:r>
      <w:hyperlink r:id="rId14" w:history="1">
        <w:r w:rsidRPr="00D859D5">
          <w:rPr>
            <w:rStyle w:val="Hyperlink"/>
            <w:lang w:bidi="ar-EG"/>
          </w:rPr>
          <w:t>https://www.wipo.int/ar/web/traditional-knowledge/wipo-treaty-on-ip-gr-and-associated-tk</w:t>
        </w:r>
      </w:hyperlink>
      <w:r w:rsidRPr="00D859D5">
        <w:rPr>
          <w:lang w:bidi="ar-EG"/>
        </w:rPr>
        <w:t xml:space="preserve"> </w:t>
      </w:r>
      <w:r>
        <w:rPr>
          <w:rFonts w:hint="cs"/>
          <w:rtl/>
          <w:lang w:bidi="ar-EG"/>
        </w:rPr>
        <w:t>. و</w:t>
      </w:r>
      <w:r w:rsidRPr="00D859D5">
        <w:rPr>
          <w:rFonts w:hint="cs"/>
          <w:rtl/>
        </w:rPr>
        <w:t>تُعد هذه الصفحة الإلكترونية بمثابة مركز للموارد المتعلقة بمعاهدة الويبو بشأن الملكية الفكرية والموارد الوراثية والمعارف التقليدية المرتبطة بها، إذ توفر معلومات عن تلك المعاهدة التاريخية وتتيح النفاذ إلى المواد الأساسية ونص المعاهدة والوثائق ذات الصلة التي تعكس المفاوضات وأهداف المعاهدة، بما في ذلك أهميتها بالنسبة للشعوب الأصلية والجماعات المحلية.</w:t>
      </w:r>
    </w:p>
    <w:p w14:paraId="5248401F" w14:textId="7C19AF02" w:rsidR="00D859D5" w:rsidRPr="00D859D5" w:rsidRDefault="00D859D5" w:rsidP="00D859D5">
      <w:pPr>
        <w:pStyle w:val="BodyText"/>
        <w:numPr>
          <w:ilvl w:val="0"/>
          <w:numId w:val="15"/>
        </w:numPr>
        <w:rPr>
          <w:rtl/>
        </w:rPr>
      </w:pPr>
      <w:r w:rsidRPr="00D859D5">
        <w:rPr>
          <w:rFonts w:hint="cs"/>
          <w:rtl/>
        </w:rPr>
        <w:t>الانخراط مع الشعوب الأصلية والجماعات المحلية:</w:t>
      </w:r>
      <w:r>
        <w:rPr>
          <w:rtl/>
        </w:rPr>
        <w:br/>
      </w:r>
      <w:r w:rsidRPr="00D859D5">
        <w:rPr>
          <w:rFonts w:hint="cs"/>
          <w:rtl/>
        </w:rPr>
        <w:t xml:space="preserve"> </w:t>
      </w:r>
      <w:hyperlink r:id="rId15" w:history="1">
        <w:r w:rsidRPr="00D859D5">
          <w:rPr>
            <w:rStyle w:val="Hyperlink"/>
            <w:lang w:bidi="ar-EG"/>
          </w:rPr>
          <w:t>https://www.wipo.int/en/web/traditional-knowledge/engagement</w:t>
        </w:r>
      </w:hyperlink>
      <w:r w:rsidRPr="00D859D5">
        <w:rPr>
          <w:rFonts w:hint="cs"/>
          <w:rtl/>
        </w:rPr>
        <w:t>. وهي جزء من الجهود التي تبذلها الأمانة لتحسين نفاذ الشعوب الأصلية والجماعات المحلية إلى المعلومات المتاحة والمتعلقة خصوصا بها. وتتيح روابط إلى حلقات العمل التطبيقية، ومصادر ومعلومات الويبو الوجهية بشأن إجراءات الاعتماد في لجنة المعارف والمشاركة فيها، وتتيح النفاذ إلى روابط خارجية تهم الشعوب الأصلية والجماعات المحلية.</w:t>
      </w:r>
    </w:p>
    <w:p w14:paraId="3B2EDAE5" w14:textId="5CEFFE8F" w:rsidR="00D859D5" w:rsidRPr="00D859D5" w:rsidRDefault="00D859D5" w:rsidP="00D859D5">
      <w:pPr>
        <w:pStyle w:val="BodyText"/>
        <w:numPr>
          <w:ilvl w:val="0"/>
          <w:numId w:val="15"/>
        </w:numPr>
        <w:rPr>
          <w:rtl/>
        </w:rPr>
      </w:pPr>
      <w:r w:rsidRPr="00D859D5">
        <w:rPr>
          <w:rFonts w:hint="cs"/>
          <w:rtl/>
        </w:rPr>
        <w:t>ريادة الأعمال في المجتمعت الأصلية والمحلية:</w:t>
      </w:r>
      <w:r>
        <w:rPr>
          <w:rtl/>
        </w:rPr>
        <w:br/>
      </w:r>
      <w:r w:rsidRPr="00D859D5">
        <w:rPr>
          <w:rFonts w:hint="cs"/>
          <w:rtl/>
        </w:rPr>
        <w:t xml:space="preserve"> </w:t>
      </w:r>
      <w:hyperlink r:id="rId16" w:history="1">
        <w:r w:rsidRPr="00D859D5">
          <w:rPr>
            <w:rStyle w:val="Hyperlink"/>
            <w:lang w:bidi="ar-EG"/>
          </w:rPr>
          <w:t>https://www.wipo.int/ar/web/traditional-knowledge/entrepreneurship/index</w:t>
        </w:r>
      </w:hyperlink>
      <w:r w:rsidRPr="00D859D5">
        <w:rPr>
          <w:rFonts w:hint="cs"/>
          <w:rtl/>
        </w:rPr>
        <w:t>. وتتضمن هذه الصفحة الإلكترونية معلومات عن حلقات العمل العملية وموارد الويبو ذات الصلة المصممة لتقديم المساعدة للشعوب الأصلية والمجتمعات المحلية من أجل الاستخدام الاستراتيجي والفعال لأدوات الملكية الفكرية في أعمالها.</w:t>
      </w:r>
    </w:p>
    <w:p w14:paraId="2E3165E5" w14:textId="36A4785D" w:rsidR="00D859D5" w:rsidRPr="00D859D5" w:rsidRDefault="00D859D5" w:rsidP="00D859D5">
      <w:pPr>
        <w:pStyle w:val="BodyText"/>
        <w:numPr>
          <w:ilvl w:val="0"/>
          <w:numId w:val="15"/>
        </w:numPr>
        <w:rPr>
          <w:rtl/>
        </w:rPr>
      </w:pPr>
      <w:r w:rsidRPr="00D859D5">
        <w:rPr>
          <w:rFonts w:hint="cs"/>
          <w:rtl/>
        </w:rPr>
        <w:t>توثيق المعارف التقليدية وأشكال التعبير الثقافي التقليدي:</w:t>
      </w:r>
      <w:r>
        <w:rPr>
          <w:rtl/>
        </w:rPr>
        <w:br/>
      </w:r>
      <w:r w:rsidRPr="00D859D5">
        <w:rPr>
          <w:rFonts w:hint="cs"/>
          <w:rtl/>
        </w:rPr>
        <w:t xml:space="preserve">  </w:t>
      </w:r>
      <w:hyperlink r:id="rId17" w:history="1">
        <w:r w:rsidRPr="00D859D5">
          <w:rPr>
            <w:rStyle w:val="Hyperlink"/>
            <w:lang w:bidi="ar-EG"/>
          </w:rPr>
          <w:t>https://www.wipo.int/en/web/traditional-knowledge/resources/tk-and-tces</w:t>
        </w:r>
      </w:hyperlink>
      <w:r w:rsidRPr="00D859D5">
        <w:rPr>
          <w:rFonts w:hint="cs"/>
          <w:rtl/>
        </w:rPr>
        <w:t>. وتتضمن هذه الصفحة الإلكترونية معلومات وأدوات عملية وخدمات مساعدة تقنية تقدمها شعبة المعارف التقليدية في الويبو بشأن توثيق المعارف التقليدية وأشكال التعبير الثقافي التقليدي.</w:t>
      </w:r>
    </w:p>
    <w:p w14:paraId="0E3A66A4" w14:textId="4861D4F4" w:rsidR="00D859D5" w:rsidRPr="00D859D5" w:rsidRDefault="00D859D5" w:rsidP="00D859D5">
      <w:pPr>
        <w:pStyle w:val="BodyText"/>
        <w:numPr>
          <w:ilvl w:val="0"/>
          <w:numId w:val="15"/>
        </w:numPr>
        <w:rPr>
          <w:rtl/>
        </w:rPr>
      </w:pPr>
      <w:r w:rsidRPr="00D859D5">
        <w:rPr>
          <w:rFonts w:hint="cs"/>
          <w:rtl/>
        </w:rPr>
        <w:t>إدارة حقوق الملكية الفكرية في الموارد والبيانات الوراثية:</w:t>
      </w:r>
      <w:r>
        <w:rPr>
          <w:rtl/>
        </w:rPr>
        <w:br/>
      </w:r>
      <w:r w:rsidRPr="00D859D5">
        <w:rPr>
          <w:rFonts w:hint="cs"/>
          <w:rtl/>
        </w:rPr>
        <w:t xml:space="preserve">  </w:t>
      </w:r>
      <w:hyperlink r:id="rId18" w:history="1">
        <w:r w:rsidRPr="00D859D5">
          <w:rPr>
            <w:rStyle w:val="Hyperlink"/>
            <w:lang w:bidi="ar-EG"/>
          </w:rPr>
          <w:t>https://www.wipo.int/ar/web/traditional-knowledge/ip-rights-management</w:t>
        </w:r>
      </w:hyperlink>
      <w:r w:rsidRPr="00D859D5">
        <w:rPr>
          <w:rFonts w:hint="cs"/>
          <w:rtl/>
        </w:rPr>
        <w:t>. وتتضمن هذه الصفحة الإلكترونية وصفاً موجزاً لخدمات المساعدة التقنية التي تقدمها شعبة المعارف التقليدية في الويبو بشأن إدارة الملكية الفكرية في الموارد والمعلومات والبيانات الوراثية.  وتتضمن هذه الصفحة الإلكترونية أيضاً روابط لمصادر وجيهة.</w:t>
      </w:r>
    </w:p>
    <w:p w14:paraId="62AAD300" w14:textId="0CA0B0AB" w:rsidR="00D859D5" w:rsidRPr="00D859D5" w:rsidRDefault="00D859D5" w:rsidP="00D859D5">
      <w:pPr>
        <w:pStyle w:val="BodyText"/>
        <w:numPr>
          <w:ilvl w:val="0"/>
          <w:numId w:val="15"/>
        </w:numPr>
        <w:rPr>
          <w:rtl/>
        </w:rPr>
      </w:pPr>
      <w:r w:rsidRPr="00D859D5">
        <w:rPr>
          <w:rFonts w:hint="cs"/>
          <w:rtl/>
        </w:rPr>
        <w:t>قصص عن الشعوب الأصلية والجماعات المحلية:</w:t>
      </w:r>
      <w:r>
        <w:rPr>
          <w:rtl/>
        </w:rPr>
        <w:br/>
      </w:r>
      <w:r w:rsidRPr="00D859D5">
        <w:rPr>
          <w:rFonts w:hint="cs"/>
          <w:rtl/>
        </w:rPr>
        <w:t xml:space="preserve"> </w:t>
      </w:r>
      <w:hyperlink r:id="rId19" w:history="1">
        <w:r w:rsidRPr="00D859D5">
          <w:rPr>
            <w:rStyle w:val="Hyperlink"/>
            <w:lang w:bidi="ar-EG"/>
          </w:rPr>
          <w:t>https://www.wipo.int/en/web/ip-advantage/indigenous-peoples-stories</w:t>
        </w:r>
      </w:hyperlink>
      <w:r w:rsidRPr="00D859D5">
        <w:rPr>
          <w:rFonts w:hint="cs"/>
          <w:rtl/>
        </w:rPr>
        <w:t xml:space="preserve">. وتتضمن هذه الصفحة الإلكترونية قصصاً عن الشعوب الأصلية والجماعات المحلية، وتعرض الطرق التي تتبعها تلك الشعوب والجماعات لتعزيز وحماية معارفها التقليدية وأشكال تعبيرها الثقافي التقليدي ومواردها الوراثية. </w:t>
      </w:r>
    </w:p>
    <w:p w14:paraId="5A000942" w14:textId="060304AB" w:rsidR="00D859D5" w:rsidRPr="00D859D5" w:rsidRDefault="00D859D5" w:rsidP="00D859D5">
      <w:pPr>
        <w:pStyle w:val="BodyText"/>
        <w:numPr>
          <w:ilvl w:val="0"/>
          <w:numId w:val="15"/>
        </w:numPr>
        <w:rPr>
          <w:rtl/>
        </w:rPr>
      </w:pPr>
      <w:r w:rsidRPr="00D859D5">
        <w:rPr>
          <w:rFonts w:hint="cs"/>
          <w:rtl/>
        </w:rPr>
        <w:t xml:space="preserve">المرجع العالمي للملكية الفكرية والموارد الوراثية والمعارف التقليدية وأشكال التعبير الثقافي التقليدي: </w:t>
      </w:r>
      <w:hyperlink r:id="rId20" w:history="1">
        <w:r w:rsidRPr="00D859D5">
          <w:rPr>
            <w:rStyle w:val="Hyperlink"/>
            <w:lang w:bidi="ar-EG"/>
          </w:rPr>
          <w:t>https://www.wipo.int/ar/web/traditional-knowledge/global-reference</w:t>
        </w:r>
      </w:hyperlink>
      <w:r w:rsidRPr="00D859D5">
        <w:rPr>
          <w:rFonts w:hint="cs"/>
          <w:rtl/>
        </w:rPr>
        <w:t>. وتتضمن هذه الصفحة الإلكترونية مصادر معلومات متنوعة عن الملكية الفكرية والموارد الوراثية والمعارف التقليدية وأشكال التعبير الثقافي التقليدي.</w:t>
      </w:r>
    </w:p>
    <w:p w14:paraId="3D5EF89C" w14:textId="77777777" w:rsidR="00D859D5" w:rsidRPr="00D859D5" w:rsidRDefault="00D859D5" w:rsidP="00D859D5">
      <w:pPr>
        <w:pStyle w:val="BodyText"/>
        <w:numPr>
          <w:ilvl w:val="0"/>
          <w:numId w:val="16"/>
        </w:numPr>
        <w:ind w:left="-5" w:firstLine="0"/>
        <w:rPr>
          <w:rtl/>
        </w:rPr>
      </w:pPr>
      <w:r w:rsidRPr="00D859D5">
        <w:rPr>
          <w:rFonts w:hint="cs"/>
          <w:rtl/>
        </w:rPr>
        <w:t>وفيما يلي التحديثات الرئيسية منذ يناير 2022.</w:t>
      </w:r>
    </w:p>
    <w:p w14:paraId="2E152BAD" w14:textId="77777777" w:rsidR="00D859D5" w:rsidRPr="00D859D5" w:rsidRDefault="00D859D5" w:rsidP="00D859D5">
      <w:pPr>
        <w:pStyle w:val="BodyText"/>
        <w:keepNext/>
        <w:rPr>
          <w:b/>
          <w:rtl/>
        </w:rPr>
      </w:pPr>
      <w:r w:rsidRPr="00D859D5">
        <w:rPr>
          <w:rFonts w:hint="cs"/>
          <w:b/>
          <w:bCs/>
          <w:rtl/>
        </w:rPr>
        <w:lastRenderedPageBreak/>
        <w:t>لجنة المعارف</w:t>
      </w:r>
    </w:p>
    <w:p w14:paraId="1A728B7B" w14:textId="18E1B12B" w:rsidR="00D859D5" w:rsidRPr="00D859D5" w:rsidRDefault="00D859D5" w:rsidP="00D859D5">
      <w:pPr>
        <w:pStyle w:val="BodyText"/>
        <w:numPr>
          <w:ilvl w:val="0"/>
          <w:numId w:val="16"/>
        </w:numPr>
        <w:ind w:left="-5" w:firstLine="0"/>
        <w:rPr>
          <w:rtl/>
        </w:rPr>
      </w:pPr>
      <w:r w:rsidRPr="00D859D5">
        <w:rPr>
          <w:rFonts w:hint="cs"/>
          <w:rtl/>
        </w:rPr>
        <w:t xml:space="preserve">توفر الصفحة الإلكترونية الخاصة بلجنة المعارف رابطاً مباشراً إلى مصادر عدة منها الولاية المجدّدة للجنة المعارف للثنائية 2026-2027: </w:t>
      </w:r>
      <w:hyperlink r:id="rId21" w:history="1">
        <w:r w:rsidRPr="00D859D5">
          <w:rPr>
            <w:rStyle w:val="Hyperlink"/>
            <w:lang w:bidi="ar-EG"/>
          </w:rPr>
          <w:t>https://www.wipo.int/documents/d/igc/docs-ar-igc-mandate-2026-2027.pdf</w:t>
        </w:r>
      </w:hyperlink>
      <w:r w:rsidRPr="00D859D5">
        <w:rPr>
          <w:rFonts w:hint="cs"/>
          <w:rtl/>
        </w:rPr>
        <w:t>.</w:t>
      </w:r>
    </w:p>
    <w:p w14:paraId="1DA077B5" w14:textId="255677CB" w:rsidR="00D859D5" w:rsidRPr="00D859D5" w:rsidRDefault="00D859D5" w:rsidP="00D859D5">
      <w:pPr>
        <w:pStyle w:val="BodyText"/>
        <w:numPr>
          <w:ilvl w:val="0"/>
          <w:numId w:val="16"/>
        </w:numPr>
        <w:ind w:left="-5" w:firstLine="0"/>
        <w:rPr>
          <w:rtl/>
        </w:rPr>
      </w:pPr>
      <w:r w:rsidRPr="00D859D5">
        <w:rPr>
          <w:rFonts w:hint="cs"/>
          <w:rtl/>
        </w:rPr>
        <w:t xml:space="preserve">ويمكن الاطلاع على القائمة الكاملة للوثائق المتاحة المتعلقة بالدورة الثانية والخمسين للجنة المعارف على الرابط التالي: </w:t>
      </w:r>
      <w:hyperlink r:id="rId22" w:history="1">
        <w:r w:rsidRPr="00D859D5">
          <w:rPr>
            <w:rStyle w:val="Hyperlink"/>
            <w:lang w:bidi="ar-EG"/>
          </w:rPr>
          <w:t>https://www.wipo.int/meetings/ar/details.jsp?meeting_id=89810</w:t>
        </w:r>
      </w:hyperlink>
      <w:r w:rsidRPr="00D859D5">
        <w:rPr>
          <w:rFonts w:hint="cs"/>
          <w:rtl/>
        </w:rPr>
        <w:t xml:space="preserve">. </w:t>
      </w:r>
    </w:p>
    <w:p w14:paraId="682A62E9" w14:textId="02BB6A06" w:rsidR="00D859D5" w:rsidRPr="00D859D5" w:rsidRDefault="00D859D5" w:rsidP="00D859D5">
      <w:pPr>
        <w:pStyle w:val="BodyText"/>
        <w:rPr>
          <w:rtl/>
        </w:rPr>
      </w:pPr>
      <w:r>
        <w:rPr>
          <w:rFonts w:hint="cs"/>
          <w:b/>
          <w:bCs/>
          <w:rtl/>
        </w:rPr>
        <w:t>ب</w:t>
      </w:r>
      <w:r w:rsidRPr="00D859D5">
        <w:rPr>
          <w:rFonts w:hint="cs"/>
          <w:b/>
          <w:bCs/>
          <w:rtl/>
        </w:rPr>
        <w:t>رنامج الويبو للتدريب والتوجيه والتوفيق بشأن الملكية الفكرية والمعارف الطبية التقليدية</w:t>
      </w:r>
    </w:p>
    <w:p w14:paraId="4779E6F5" w14:textId="537F0731" w:rsidR="00D859D5" w:rsidRPr="00D859D5" w:rsidRDefault="00D859D5" w:rsidP="00D859D5">
      <w:pPr>
        <w:pStyle w:val="BodyText"/>
        <w:numPr>
          <w:ilvl w:val="0"/>
          <w:numId w:val="16"/>
        </w:numPr>
        <w:ind w:left="-5" w:firstLine="0"/>
        <w:rPr>
          <w:rtl/>
        </w:rPr>
      </w:pPr>
      <w:r w:rsidRPr="00D859D5">
        <w:rPr>
          <w:rFonts w:hint="cs"/>
          <w:rtl/>
        </w:rPr>
        <w:t xml:space="preserve">أطلقت أمانة الويبو، في عام 2023، برنامج الويبو للتدريب والتوجيه والتوفيق بشأن الملكية الفكرية والمعارف الطبية التقليدية بهدف إنشاء ودعم نظام إيكولوجي للابتكار يستند إلى المعارف الطبية التقليدية.  ويتيح البرنامج للمشاركين فرصة اكتساب معارف بشأن السياسات والتشريعات الخاصة بحماية الملكية الفكرية ذات الصلة بالمعارف الطبية التقليدية؛ والاستفادة من التوجيه والتدريب المخصص في مجال الملكية الفكرية وعلاقتها بالمعارف الطبية التقليدية؛ والمشاركة في عمليات التوفيق بين المتعاونين والشركاء والمستثمرين المحتملين؛ وتكوين الكفاءات من أجل الاستخدام الفعال لنظام الملكية الفكرية.  وتُتاح معلومات عن ذلك البرنامج على الرابط التالي: </w:t>
      </w:r>
      <w:hyperlink r:id="rId23" w:history="1">
        <w:r w:rsidRPr="00D859D5">
          <w:rPr>
            <w:rStyle w:val="Hyperlink"/>
            <w:lang w:bidi="ar-EG"/>
          </w:rPr>
          <w:t>https://www.wipo.int/en/web/traditional-knowledge/entrepreneurship/tk-medical-knowledge-program</w:t>
        </w:r>
      </w:hyperlink>
      <w:r w:rsidRPr="00D859D5">
        <w:rPr>
          <w:rFonts w:hint="cs"/>
          <w:rtl/>
        </w:rPr>
        <w:t>.</w:t>
      </w:r>
    </w:p>
    <w:p w14:paraId="0CE46F3C" w14:textId="77777777" w:rsidR="00D859D5" w:rsidRPr="00D859D5" w:rsidRDefault="00D859D5" w:rsidP="00D859D5">
      <w:pPr>
        <w:pStyle w:val="BodyText"/>
        <w:rPr>
          <w:b/>
          <w:rtl/>
        </w:rPr>
      </w:pPr>
      <w:r w:rsidRPr="00D859D5">
        <w:rPr>
          <w:rFonts w:hint="cs"/>
          <w:b/>
          <w:bCs/>
          <w:rtl/>
        </w:rPr>
        <w:t>أشكال التعبير الثقافي التقليدي والأزياء</w:t>
      </w:r>
    </w:p>
    <w:p w14:paraId="3F8FCE7C" w14:textId="032F7F9F" w:rsidR="00D859D5" w:rsidRPr="00D859D5" w:rsidRDefault="00D859D5" w:rsidP="00D859D5">
      <w:pPr>
        <w:pStyle w:val="BodyText"/>
        <w:numPr>
          <w:ilvl w:val="0"/>
          <w:numId w:val="16"/>
        </w:numPr>
        <w:ind w:left="-5" w:firstLine="0"/>
        <w:rPr>
          <w:rtl/>
        </w:rPr>
      </w:pPr>
      <w:r w:rsidRPr="00D859D5">
        <w:rPr>
          <w:rFonts w:hint="cs"/>
          <w:rtl/>
        </w:rPr>
        <w:t xml:space="preserve">تقدم أمانة الويبو توجيهات لدعم الاستخدام المحترم والعادل لأشكال التعبير الثقافي التقليدي للشعوب الأصلية في صناعة الأزياء.  وتسعى الويبو إلى تيسير الحوار بين الشعوب الأصلية وشركات الأزياء، كما يتضح من الحوار الرفيع المستوى الأول بشأن الشعوب الأصلية وأشكال التعبير الثقافي التقليدي والأزياء، الذي عُقد في نوفمبر 2023.  ولدعم الانخراط الأخلاقي، قدمت أمانة الويبو أيضاً وثيقة بعنوان </w:t>
      </w:r>
      <w:r w:rsidRPr="00D859D5">
        <w:rPr>
          <w:rFonts w:hint="cs"/>
          <w:i/>
          <w:iCs/>
          <w:rtl/>
        </w:rPr>
        <w:t>مشروع خطوات عند النظر في استخدام عناصر أشكال التعبير الثقافي التقليدي للشعوب الأصلية في صناعة الأزياء</w:t>
      </w:r>
      <w:r w:rsidRPr="00D859D5">
        <w:rPr>
          <w:rFonts w:hint="cs"/>
          <w:rtl/>
        </w:rPr>
        <w:t xml:space="preserve">، تم إعدادها بالتشاور مع الشعوب الأصلية وشركات الأزياء والخبراء في الملكية الفكرية والتراث الثقافي والأزياء.  وتلك المعلومات متاحة على الرابط التالي: </w:t>
      </w:r>
      <w:hyperlink r:id="rId24" w:history="1">
        <w:r w:rsidRPr="00D859D5">
          <w:rPr>
            <w:rStyle w:val="Hyperlink"/>
            <w:lang w:bidi="ar-EG"/>
          </w:rPr>
          <w:t>https://www.wipo.int/ar/web/traditional-knowledge/fashion</w:t>
        </w:r>
      </w:hyperlink>
      <w:r w:rsidRPr="00D859D5">
        <w:rPr>
          <w:rFonts w:hint="cs"/>
          <w:rtl/>
        </w:rPr>
        <w:t xml:space="preserve">. </w:t>
      </w:r>
    </w:p>
    <w:p w14:paraId="61B66F1F" w14:textId="77777777" w:rsidR="00D859D5" w:rsidRPr="00D859D5" w:rsidRDefault="00D859D5" w:rsidP="00D859D5">
      <w:pPr>
        <w:pStyle w:val="BodyText"/>
        <w:rPr>
          <w:b/>
          <w:rtl/>
        </w:rPr>
      </w:pPr>
      <w:r w:rsidRPr="00D859D5">
        <w:rPr>
          <w:rFonts w:hint="cs"/>
          <w:b/>
          <w:bCs/>
          <w:rtl/>
        </w:rPr>
        <w:t>موارد جديدة</w:t>
      </w:r>
    </w:p>
    <w:p w14:paraId="468C520B" w14:textId="3333D1B3" w:rsidR="00D859D5" w:rsidRPr="00D859D5" w:rsidRDefault="00D859D5" w:rsidP="006D4034">
      <w:pPr>
        <w:pStyle w:val="BodyText"/>
        <w:numPr>
          <w:ilvl w:val="0"/>
          <w:numId w:val="16"/>
        </w:numPr>
        <w:ind w:left="-5" w:firstLine="0"/>
        <w:rPr>
          <w:rtl/>
        </w:rPr>
      </w:pPr>
      <w:r w:rsidRPr="00D859D5">
        <w:rPr>
          <w:rFonts w:hint="cs"/>
          <w:rtl/>
        </w:rPr>
        <w:t xml:space="preserve">أعدت أمانة الويبو دليلاً ونصائح لدعم رواد الأعمال من الشعوب الأصلية والجماعات المحلية في التعامل مع نظام الملكية الفكرية وحماية السلع والخدمات القائمة على التقاليد: </w:t>
      </w:r>
      <w:hyperlink r:id="rId25" w:history="1">
        <w:r w:rsidRPr="00D859D5">
          <w:rPr>
            <w:rStyle w:val="Hyperlink"/>
            <w:lang w:bidi="ar-EG"/>
          </w:rPr>
          <w:t>https://www.wipo.int/ar/web/traditional-knowledge/entrepreneurship/top-tips</w:t>
        </w:r>
      </w:hyperlink>
      <w:r w:rsidRPr="00D859D5">
        <w:rPr>
          <w:rFonts w:hint="cs"/>
          <w:rtl/>
        </w:rPr>
        <w:t xml:space="preserve">. </w:t>
      </w:r>
    </w:p>
    <w:p w14:paraId="405AAFEA" w14:textId="66009CA3" w:rsidR="00D859D5" w:rsidRPr="00D859D5" w:rsidRDefault="00D859D5" w:rsidP="006D4034">
      <w:pPr>
        <w:pStyle w:val="BodyText"/>
        <w:numPr>
          <w:ilvl w:val="0"/>
          <w:numId w:val="16"/>
        </w:numPr>
        <w:ind w:left="-5" w:firstLine="0"/>
        <w:rPr>
          <w:rtl/>
        </w:rPr>
      </w:pPr>
      <w:r w:rsidRPr="00D859D5">
        <w:rPr>
          <w:rFonts w:hint="cs"/>
          <w:rtl/>
        </w:rPr>
        <w:t xml:space="preserve">وتقدم أمانة الويبو توجيهات عملية للشعوب الأصلية ورواد الأعمال من الجماعات المحلية الذين يسعون إلى نقل أعمالهم التجارية القائمة على التقاليد إلى الإنترنت.  ويقدم هذا المورد نصائح عملية لنقل الأعمال القائمة على التقاليد إلى الإنترنت وتحديد الأماكن التي يمكن فيها لرواد الأعمال من الشعوب الأصلية والجماعات المحلية الحصول على مزيد من الدعم: </w:t>
      </w:r>
      <w:hyperlink r:id="rId26" w:history="1">
        <w:r w:rsidR="006D4034" w:rsidRPr="00D859D5">
          <w:rPr>
            <w:rStyle w:val="Hyperlink"/>
            <w:lang w:bidi="ar-EG"/>
          </w:rPr>
          <w:t>https://www.wipo.int/ar/web/traditional-knowledge/entrepreneurship/digital-economy-tips</w:t>
        </w:r>
      </w:hyperlink>
      <w:r w:rsidRPr="00D859D5">
        <w:rPr>
          <w:rFonts w:hint="cs"/>
          <w:rtl/>
        </w:rPr>
        <w:t xml:space="preserve">.  </w:t>
      </w:r>
    </w:p>
    <w:p w14:paraId="4306B96F" w14:textId="40860689" w:rsidR="00EE7CB5" w:rsidRPr="00446332" w:rsidRDefault="00D859D5" w:rsidP="006D4034">
      <w:pPr>
        <w:pStyle w:val="BodyText"/>
        <w:numPr>
          <w:ilvl w:val="0"/>
          <w:numId w:val="16"/>
        </w:numPr>
        <w:ind w:left="-5" w:firstLine="0"/>
        <w:rPr>
          <w:lang w:bidi="ar-EG"/>
        </w:rPr>
      </w:pPr>
      <w:r w:rsidRPr="00D859D5">
        <w:rPr>
          <w:rFonts w:hint="cs"/>
          <w:rtl/>
        </w:rPr>
        <w:t xml:space="preserve">واشتركت الويبو والإدارة الوطنية الصينية لحق المؤلف في تنظيم ندوة دولية بشأن الملكية الفكرية وأشكال التعبير الثقافي التقليدي في الفترة من 25 إلى 27 نوفمبر 2025.  وتُتاح العروض على الرابط التالي: </w:t>
      </w:r>
      <w:hyperlink r:id="rId27" w:history="1">
        <w:r w:rsidR="006D4034" w:rsidRPr="0028517B">
          <w:rPr>
            <w:rStyle w:val="Hyperlink"/>
            <w:lang w:bidi="ar-EG"/>
          </w:rPr>
          <w:t>https://www.wipo.int/meetings/ar/details.jsp?meeting_id=90468</w:t>
        </w:r>
      </w:hyperlink>
      <w:r w:rsidRPr="00D859D5">
        <w:rPr>
          <w:rFonts w:hint="cs"/>
          <w:rtl/>
        </w:rPr>
        <w:t>.</w:t>
      </w:r>
    </w:p>
    <w:p w14:paraId="7389045E" w14:textId="77777777" w:rsidR="00FE339E" w:rsidRPr="00446332" w:rsidRDefault="00FE339E" w:rsidP="00D859D5">
      <w:pPr>
        <w:pStyle w:val="Endofdocument-Annex"/>
        <w:spacing w:before="480"/>
        <w:ind w:left="5530"/>
        <w:rPr>
          <w:lang w:bidi="ar-EG"/>
        </w:rPr>
      </w:pPr>
      <w:r w:rsidRPr="00446332">
        <w:rPr>
          <w:rtl/>
        </w:rPr>
        <w:t>[نهاية</w:t>
      </w:r>
      <w:r w:rsidR="005128CE" w:rsidRPr="00446332">
        <w:rPr>
          <w:rtl/>
          <w:lang w:bidi="ar-EG"/>
        </w:rPr>
        <w:t xml:space="preserve"> المرفق</w:t>
      </w:r>
      <w:r w:rsidRPr="00446332">
        <w:rPr>
          <w:rtl/>
        </w:rPr>
        <w:t xml:space="preserve"> </w:t>
      </w:r>
      <w:r w:rsidR="005128CE" w:rsidRPr="00446332">
        <w:rPr>
          <w:rFonts w:hint="cs"/>
          <w:rtl/>
        </w:rPr>
        <w:t>و</w:t>
      </w:r>
      <w:r w:rsidRPr="00446332">
        <w:rPr>
          <w:rtl/>
        </w:rPr>
        <w:t>الوثيقة]</w:t>
      </w:r>
    </w:p>
    <w:sectPr w:rsidR="00FE339E" w:rsidRPr="00446332" w:rsidSect="00446332">
      <w:headerReference w:type="default" r:id="rId28"/>
      <w:headerReference w:type="first" r:id="rId2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B1067" w14:textId="77777777" w:rsidR="009B0FE9" w:rsidRDefault="009B0FE9">
      <w:r>
        <w:separator/>
      </w:r>
    </w:p>
  </w:endnote>
  <w:endnote w:type="continuationSeparator" w:id="0">
    <w:p w14:paraId="4E7DA23E" w14:textId="77777777" w:rsidR="009B0FE9" w:rsidRDefault="009B0FE9" w:rsidP="003B38C1">
      <w:r>
        <w:separator/>
      </w:r>
    </w:p>
    <w:p w14:paraId="44C5FE97" w14:textId="77777777" w:rsidR="009B0FE9" w:rsidRPr="003B38C1" w:rsidRDefault="009B0FE9" w:rsidP="003B38C1">
      <w:pPr>
        <w:spacing w:after="60"/>
        <w:rPr>
          <w:sz w:val="17"/>
        </w:rPr>
      </w:pPr>
      <w:r>
        <w:rPr>
          <w:sz w:val="17"/>
        </w:rPr>
        <w:t>[Endnote continued from previous page]</w:t>
      </w:r>
    </w:p>
  </w:endnote>
  <w:endnote w:type="continuationNotice" w:id="1">
    <w:p w14:paraId="68BCA2DC" w14:textId="77777777" w:rsidR="009B0FE9" w:rsidRPr="003B38C1" w:rsidRDefault="009B0FE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C7F5" w14:textId="77777777" w:rsidR="009B0FE9" w:rsidRDefault="009B0FE9">
      <w:r>
        <w:separator/>
      </w:r>
    </w:p>
  </w:footnote>
  <w:footnote w:type="continuationSeparator" w:id="0">
    <w:p w14:paraId="0AAAB1B2" w14:textId="77777777" w:rsidR="009B0FE9" w:rsidRDefault="009B0FE9" w:rsidP="008B60B2">
      <w:r>
        <w:separator/>
      </w:r>
    </w:p>
    <w:p w14:paraId="516FA619" w14:textId="77777777" w:rsidR="009B0FE9" w:rsidRPr="00ED77FB" w:rsidRDefault="009B0FE9" w:rsidP="008B60B2">
      <w:pPr>
        <w:spacing w:after="60"/>
        <w:rPr>
          <w:sz w:val="17"/>
          <w:szCs w:val="17"/>
        </w:rPr>
      </w:pPr>
      <w:r w:rsidRPr="00ED77FB">
        <w:rPr>
          <w:sz w:val="17"/>
          <w:szCs w:val="17"/>
        </w:rPr>
        <w:t>[Footnote continued from previous page]</w:t>
      </w:r>
    </w:p>
  </w:footnote>
  <w:footnote w:type="continuationNotice" w:id="1">
    <w:p w14:paraId="1D58306B" w14:textId="77777777" w:rsidR="009B0FE9" w:rsidRPr="00ED77FB" w:rsidRDefault="009B0FE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5595239" w14:textId="77777777" w:rsidR="00D859D5" w:rsidRDefault="00D859D5" w:rsidP="00D859D5">
      <w:pPr>
        <w:pStyle w:val="FootnoteText"/>
        <w:rPr>
          <w:rtl/>
        </w:rPr>
      </w:pPr>
      <w:r>
        <w:rPr>
          <w:rStyle w:val="FootnoteReference"/>
        </w:rPr>
        <w:footnoteRef/>
      </w:r>
      <w:r>
        <w:rPr>
          <w:rFonts w:hint="cs"/>
          <w:rtl/>
        </w:rPr>
        <w:t xml:space="preserve"> انظر(ي) الفقرة 801 (و) من تقرير الدورة العشرين (</w:t>
      </w:r>
      <w:r>
        <w:t>WIPO/GRTKF/IC/20/10</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F7DA" w14:textId="77777777"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14:paraId="2A0635FF" w14:textId="77777777" w:rsidR="00D07C78" w:rsidRDefault="00D07C78" w:rsidP="00210D5F">
    <w:pPr>
      <w:bidi w:val="0"/>
    </w:pPr>
    <w:r>
      <w:fldChar w:fldCharType="begin"/>
    </w:r>
    <w:r>
      <w:instrText xml:space="preserve"> PAGE  \* MERGEFORMAT </w:instrText>
    </w:r>
    <w:r>
      <w:fldChar w:fldCharType="separate"/>
    </w:r>
    <w:r w:rsidR="005128CE">
      <w:rPr>
        <w:noProof/>
      </w:rPr>
      <w:t>3</w:t>
    </w:r>
    <w:r>
      <w:fldChar w:fldCharType="end"/>
    </w:r>
  </w:p>
  <w:p w14:paraId="4B523C45" w14:textId="77777777" w:rsidR="00D07C78" w:rsidRDefault="00D07C78" w:rsidP="00210D5F">
    <w:pPr>
      <w:bidi w:val="0"/>
    </w:pPr>
  </w:p>
  <w:p w14:paraId="2CDF0B98"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7999" w14:textId="193BE423" w:rsidR="005128CE" w:rsidRDefault="005128CE" w:rsidP="005128CE">
    <w:pPr>
      <w:pStyle w:val="Header"/>
      <w:bidi w:val="0"/>
    </w:pPr>
    <w:r>
      <w:t>WIPO/GRTKF/IC/</w:t>
    </w:r>
    <w:r w:rsidR="006D4034">
      <w:t>52</w:t>
    </w:r>
    <w:r>
      <w:t>/INF/</w:t>
    </w:r>
    <w:r w:rsidR="006D4034">
      <w:t>8</w:t>
    </w:r>
  </w:p>
  <w:p w14:paraId="45C2D3E0" w14:textId="77777777" w:rsidR="005128CE" w:rsidRDefault="00446332" w:rsidP="00210D5F">
    <w:pPr>
      <w:bidi w:val="0"/>
    </w:pPr>
    <w:r>
      <w:t>Annex</w:t>
    </w:r>
  </w:p>
  <w:p w14:paraId="5E47046D" w14:textId="77777777" w:rsidR="00446332" w:rsidRDefault="00446332" w:rsidP="00446332">
    <w:pPr>
      <w:bidi w:val="0"/>
    </w:pPr>
    <w:r>
      <w:fldChar w:fldCharType="begin"/>
    </w:r>
    <w:r>
      <w:instrText xml:space="preserve"> PAGE   \* MERGEFORMAT </w:instrText>
    </w:r>
    <w:r>
      <w:fldChar w:fldCharType="separate"/>
    </w:r>
    <w:r w:rsidR="0037575E">
      <w:rPr>
        <w:noProof/>
      </w:rPr>
      <w:t>2</w:t>
    </w:r>
    <w:r>
      <w:rPr>
        <w:noProof/>
      </w:rPr>
      <w:fldChar w:fldCharType="end"/>
    </w:r>
  </w:p>
  <w:p w14:paraId="6581B172" w14:textId="77777777" w:rsidR="005128CE" w:rsidRDefault="005128CE" w:rsidP="00210D5F">
    <w:pPr>
      <w:bidi w:val="0"/>
    </w:pPr>
  </w:p>
  <w:p w14:paraId="3B81592D" w14:textId="77777777" w:rsidR="005128CE" w:rsidRDefault="005128CE"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82B4" w14:textId="29CE44B1" w:rsidR="00446332" w:rsidRDefault="00446332" w:rsidP="005128CE">
    <w:pPr>
      <w:pStyle w:val="Header"/>
      <w:bidi w:val="0"/>
    </w:pPr>
    <w:r>
      <w:t>WIPO/GRTKF/IC/</w:t>
    </w:r>
    <w:r w:rsidR="006D4034">
      <w:t>52</w:t>
    </w:r>
    <w:r>
      <w:t>/INF/</w:t>
    </w:r>
    <w:r w:rsidR="006D4034">
      <w:t>8</w:t>
    </w:r>
  </w:p>
  <w:p w14:paraId="256A1F37" w14:textId="77777777" w:rsidR="00446332" w:rsidRDefault="00446332" w:rsidP="005128CE">
    <w:pPr>
      <w:pStyle w:val="Header"/>
      <w:bidi w:val="0"/>
    </w:pPr>
    <w:r>
      <w:t>ANNEX</w:t>
    </w:r>
  </w:p>
  <w:p w14:paraId="733C4324" w14:textId="77777777" w:rsidR="00446332" w:rsidRDefault="00446332" w:rsidP="005128CE">
    <w:pPr>
      <w:pStyle w:val="Header"/>
      <w:bidi w:val="0"/>
    </w:pPr>
    <w:r>
      <w:rPr>
        <w:rFonts w:hint="cs"/>
        <w:rtl/>
      </w:rPr>
      <w:t>المرفق</w:t>
    </w:r>
  </w:p>
  <w:p w14:paraId="69E8A4D3" w14:textId="77777777" w:rsidR="00446332" w:rsidRDefault="00446332" w:rsidP="005128C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F70C3"/>
    <w:multiLevelType w:val="hybridMultilevel"/>
    <w:tmpl w:val="8AB02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7E1039"/>
    <w:multiLevelType w:val="hybridMultilevel"/>
    <w:tmpl w:val="011ABDC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C5C49602"/>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712D288C"/>
    <w:multiLevelType w:val="hybridMultilevel"/>
    <w:tmpl w:val="5C465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147348">
    <w:abstractNumId w:val="3"/>
  </w:num>
  <w:num w:numId="2" w16cid:durableId="1920670242">
    <w:abstractNumId w:val="8"/>
  </w:num>
  <w:num w:numId="3" w16cid:durableId="1311472455">
    <w:abstractNumId w:val="0"/>
  </w:num>
  <w:num w:numId="4" w16cid:durableId="1075707976">
    <w:abstractNumId w:val="10"/>
  </w:num>
  <w:num w:numId="5" w16cid:durableId="391196836">
    <w:abstractNumId w:val="1"/>
  </w:num>
  <w:num w:numId="6" w16cid:durableId="1924025135">
    <w:abstractNumId w:val="5"/>
  </w:num>
  <w:num w:numId="7" w16cid:durableId="1375690467">
    <w:abstractNumId w:val="11"/>
  </w:num>
  <w:num w:numId="8" w16cid:durableId="61105828">
    <w:abstractNumId w:val="7"/>
  </w:num>
  <w:num w:numId="9" w16cid:durableId="983244275">
    <w:abstractNumId w:val="9"/>
  </w:num>
  <w:num w:numId="10" w16cid:durableId="917179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342988">
    <w:abstractNumId w:val="12"/>
  </w:num>
  <w:num w:numId="12" w16cid:durableId="404374201">
    <w:abstractNumId w:val="11"/>
  </w:num>
  <w:num w:numId="13" w16cid:durableId="294525419">
    <w:abstractNumId w:val="11"/>
  </w:num>
  <w:num w:numId="14" w16cid:durableId="1805389263">
    <w:abstractNumId w:val="6"/>
  </w:num>
  <w:num w:numId="15" w16cid:durableId="125247628">
    <w:abstractNumId w:val="4"/>
  </w:num>
  <w:num w:numId="16" w16cid:durableId="815100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43CAA"/>
    <w:rsid w:val="00045944"/>
    <w:rsid w:val="00056816"/>
    <w:rsid w:val="00075432"/>
    <w:rsid w:val="000968ED"/>
    <w:rsid w:val="000A3D97"/>
    <w:rsid w:val="000F5E56"/>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12F7F"/>
    <w:rsid w:val="00361450"/>
    <w:rsid w:val="003673CF"/>
    <w:rsid w:val="0037575E"/>
    <w:rsid w:val="003845C1"/>
    <w:rsid w:val="003A6F89"/>
    <w:rsid w:val="003B355C"/>
    <w:rsid w:val="003B38C1"/>
    <w:rsid w:val="003C34E9"/>
    <w:rsid w:val="00423E3E"/>
    <w:rsid w:val="00427AF4"/>
    <w:rsid w:val="00446332"/>
    <w:rsid w:val="004647DA"/>
    <w:rsid w:val="00474062"/>
    <w:rsid w:val="00477D6B"/>
    <w:rsid w:val="004C2DE0"/>
    <w:rsid w:val="005019FF"/>
    <w:rsid w:val="005128CE"/>
    <w:rsid w:val="0053057A"/>
    <w:rsid w:val="00547CDB"/>
    <w:rsid w:val="00556076"/>
    <w:rsid w:val="00560A29"/>
    <w:rsid w:val="005C6649"/>
    <w:rsid w:val="005E7B89"/>
    <w:rsid w:val="00605827"/>
    <w:rsid w:val="00646050"/>
    <w:rsid w:val="006713CA"/>
    <w:rsid w:val="00676C5C"/>
    <w:rsid w:val="006A4C55"/>
    <w:rsid w:val="006B5C12"/>
    <w:rsid w:val="006D4034"/>
    <w:rsid w:val="00720EFD"/>
    <w:rsid w:val="007854AF"/>
    <w:rsid w:val="00793A7C"/>
    <w:rsid w:val="007A398A"/>
    <w:rsid w:val="007C4902"/>
    <w:rsid w:val="007D1613"/>
    <w:rsid w:val="007D2FFE"/>
    <w:rsid w:val="007E4C0E"/>
    <w:rsid w:val="007F2029"/>
    <w:rsid w:val="008A134B"/>
    <w:rsid w:val="008B2CC1"/>
    <w:rsid w:val="008B60B2"/>
    <w:rsid w:val="0090731E"/>
    <w:rsid w:val="00916EE2"/>
    <w:rsid w:val="00966A22"/>
    <w:rsid w:val="0096722F"/>
    <w:rsid w:val="00980843"/>
    <w:rsid w:val="009B0855"/>
    <w:rsid w:val="009B0FE9"/>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30E2"/>
    <w:rsid w:val="00C11BFE"/>
    <w:rsid w:val="00C5068F"/>
    <w:rsid w:val="00C752CF"/>
    <w:rsid w:val="00C86D74"/>
    <w:rsid w:val="00CB3DBA"/>
    <w:rsid w:val="00CC3E2D"/>
    <w:rsid w:val="00CD04F1"/>
    <w:rsid w:val="00CE19F8"/>
    <w:rsid w:val="00CF681A"/>
    <w:rsid w:val="00D07C78"/>
    <w:rsid w:val="00D45252"/>
    <w:rsid w:val="00D530E8"/>
    <w:rsid w:val="00D60B2C"/>
    <w:rsid w:val="00D67EAE"/>
    <w:rsid w:val="00D71B4D"/>
    <w:rsid w:val="00D859D5"/>
    <w:rsid w:val="00D90B96"/>
    <w:rsid w:val="00D93D55"/>
    <w:rsid w:val="00DD7B7F"/>
    <w:rsid w:val="00E15015"/>
    <w:rsid w:val="00E319DF"/>
    <w:rsid w:val="00E335FE"/>
    <w:rsid w:val="00E66CC5"/>
    <w:rsid w:val="00E7374D"/>
    <w:rsid w:val="00EA7D6E"/>
    <w:rsid w:val="00EB2F76"/>
    <w:rsid w:val="00EC4E49"/>
    <w:rsid w:val="00ED77FB"/>
    <w:rsid w:val="00EE066C"/>
    <w:rsid w:val="00EE45FA"/>
    <w:rsid w:val="00EE7CB5"/>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5D80BE"/>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C752CF"/>
    <w:rPr>
      <w:vertAlign w:val="superscript"/>
    </w:rPr>
  </w:style>
  <w:style w:type="paragraph" w:styleId="ListParagraph">
    <w:name w:val="List Paragraph"/>
    <w:basedOn w:val="Normal"/>
    <w:uiPriority w:val="34"/>
    <w:qFormat/>
    <w:rsid w:val="00C752CF"/>
    <w:pPr>
      <w:ind w:left="720"/>
      <w:contextualSpacing/>
    </w:pPr>
  </w:style>
  <w:style w:type="character" w:styleId="Hyperlink">
    <w:name w:val="Hyperlink"/>
    <w:basedOn w:val="DefaultParagraphFont"/>
    <w:unhideWhenUsed/>
    <w:rsid w:val="00C752CF"/>
    <w:rPr>
      <w:color w:val="0000FF" w:themeColor="hyperlink"/>
      <w:u w:val="single"/>
    </w:rPr>
  </w:style>
  <w:style w:type="character" w:styleId="UnresolvedMention">
    <w:name w:val="Unresolved Mention"/>
    <w:basedOn w:val="DefaultParagraphFont"/>
    <w:uiPriority w:val="99"/>
    <w:semiHidden/>
    <w:unhideWhenUsed/>
    <w:rsid w:val="00D8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r/web/igc" TargetMode="External"/><Relationship Id="rId18" Type="http://schemas.openxmlformats.org/officeDocument/2006/relationships/hyperlink" Target="https://www.wipo.int/ar/web/traditional-knowledge/ip-rights-management" TargetMode="External"/><Relationship Id="rId26" Type="http://schemas.openxmlformats.org/officeDocument/2006/relationships/hyperlink" Target="https://www.wipo.int/ar/web/traditional-knowledge/entrepreneurship/digital-economy-tips" TargetMode="External"/><Relationship Id="rId3" Type="http://schemas.openxmlformats.org/officeDocument/2006/relationships/styles" Target="styles.xml"/><Relationship Id="rId21" Type="http://schemas.openxmlformats.org/officeDocument/2006/relationships/hyperlink" Target="https://www.wipo.int/documents/d/igc/docs-ar-igc-mandate-2026-2027.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en/web/traditional-knowledge/resources/tk-and-tces" TargetMode="External"/><Relationship Id="rId25" Type="http://schemas.openxmlformats.org/officeDocument/2006/relationships/hyperlink" Target="https://www.wipo.int/ar/web/traditional-knowledge/entrepreneurship/top-tips" TargetMode="External"/><Relationship Id="rId2" Type="http://schemas.openxmlformats.org/officeDocument/2006/relationships/numbering" Target="numbering.xml"/><Relationship Id="rId16" Type="http://schemas.openxmlformats.org/officeDocument/2006/relationships/hyperlink" Target="https://www.wipo.int/ar/web/traditional-knowledge/entrepreneurship/index" TargetMode="External"/><Relationship Id="rId20" Type="http://schemas.openxmlformats.org/officeDocument/2006/relationships/hyperlink" Target="https://www.wipo.int/ar/web/traditional-knowledge/global-referenc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ar/web/traditional-knowledge/fashion" TargetMode="External"/><Relationship Id="rId5" Type="http://schemas.openxmlformats.org/officeDocument/2006/relationships/webSettings" Target="webSettings.xml"/><Relationship Id="rId15" Type="http://schemas.openxmlformats.org/officeDocument/2006/relationships/hyperlink" Target="https://www.wipo.int/ar/web/traditional-knowledge/engagement" TargetMode="External"/><Relationship Id="rId23" Type="http://schemas.openxmlformats.org/officeDocument/2006/relationships/hyperlink" Target="https://www.wipo.int/en/web/traditional-knowledge/entrepreneurship/tk-medical-knowledge-program" TargetMode="External"/><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www.wipo.int/en/web/ip-advantage/indigenous-peoples-stori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r/web/traditional-knowledge/wipo-treaty-on-ip-gr-and-associated-tk" TargetMode="External"/><Relationship Id="rId22" Type="http://schemas.openxmlformats.org/officeDocument/2006/relationships/hyperlink" Target="https://www.wipo.int/meetings/ar/details.jsp?meeting_id=89810" TargetMode="External"/><Relationship Id="rId27" Type="http://schemas.openxmlformats.org/officeDocument/2006/relationships/hyperlink" Target="https://www.wipo.int/meetings/ar/details.jsp?meeting_id=904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83D7-6765-4E38-BA8F-E1A03FFD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938</Words>
  <Characters>7789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WIPO/GRTK/IC/52/INF/8 (Arabic)</vt:lpstr>
    </vt:vector>
  </TitlesOfParts>
  <Company>WIPO</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WIPO/GRTK/IC/52/INF/8 (Arabic)</dc:title>
  <dc:creator>MERZOUK Fawzi</dc:creator>
  <cp:keywords>FOR OFFICIAL USE ONLY</cp:keywords>
  <cp:lastModifiedBy>MERZOUK Fawzi</cp:lastModifiedBy>
  <cp:revision>5</cp:revision>
  <cp:lastPrinted>2026-01-14T15:01:00Z</cp:lastPrinted>
  <dcterms:created xsi:type="dcterms:W3CDTF">2026-01-14T09:41:00Z</dcterms:created>
  <dcterms:modified xsi:type="dcterms:W3CDTF">2026-01-14T15:02:00Z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2026-01-14T14:51:14Z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c601d55d-d0df-4e5c-904c-adf5d71687b5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