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CD6BB"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12E9BB52" wp14:editId="2BC401D9">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DDB2A80"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1946B9A6" w14:textId="77777777" w:rsidR="00B43ED3" w:rsidRDefault="00B43ED3" w:rsidP="00CC3E2D">
      <w:pPr>
        <w:jc w:val="right"/>
        <w:rPr>
          <w:rFonts w:asciiTheme="minorHAnsi" w:hAnsiTheme="minorHAnsi" w:cstheme="minorHAnsi"/>
          <w:b/>
          <w:bCs/>
          <w:caps/>
          <w:sz w:val="15"/>
          <w:szCs w:val="15"/>
          <w:rtl/>
        </w:rPr>
      </w:pPr>
      <w:bookmarkStart w:id="0" w:name="Original"/>
    </w:p>
    <w:p w14:paraId="494CD67E" w14:textId="77777777" w:rsidR="008B2CC1" w:rsidRPr="00537947" w:rsidRDefault="00CC3E2D" w:rsidP="00CC3E2D">
      <w:pPr>
        <w:jc w:val="right"/>
        <w:rPr>
          <w:rFonts w:asciiTheme="minorHAnsi" w:hAnsiTheme="minorHAnsi" w:cstheme="minorHAnsi"/>
          <w:b/>
          <w:bCs/>
          <w:caps/>
          <w:sz w:val="15"/>
          <w:szCs w:val="15"/>
        </w:rPr>
      </w:pPr>
      <w:r w:rsidRPr="00537947">
        <w:rPr>
          <w:rFonts w:asciiTheme="minorHAnsi" w:hAnsiTheme="minorHAnsi" w:cstheme="minorHAnsi" w:hint="cs"/>
          <w:b/>
          <w:bCs/>
          <w:caps/>
          <w:sz w:val="15"/>
          <w:szCs w:val="15"/>
          <w:rtl/>
        </w:rPr>
        <w:t xml:space="preserve">الأصل: </w:t>
      </w:r>
      <w:r w:rsidR="00AC77BC" w:rsidRPr="00537947">
        <w:rPr>
          <w:rFonts w:asciiTheme="minorHAnsi" w:hAnsiTheme="minorHAnsi" w:cstheme="minorHAnsi" w:hint="cs"/>
          <w:b/>
          <w:bCs/>
          <w:caps/>
          <w:sz w:val="15"/>
          <w:szCs w:val="15"/>
          <w:rtl/>
        </w:rPr>
        <w:t>بالإنكليزية</w:t>
      </w:r>
    </w:p>
    <w:p w14:paraId="23CD7AAA" w14:textId="6945DD2D" w:rsidR="008B2CC1" w:rsidRPr="00537947" w:rsidRDefault="00CC3E2D" w:rsidP="00A947BC">
      <w:pPr>
        <w:spacing w:after="1200"/>
        <w:jc w:val="right"/>
        <w:rPr>
          <w:rFonts w:asciiTheme="minorHAnsi" w:hAnsiTheme="minorHAnsi" w:cstheme="minorHAnsi"/>
          <w:b/>
          <w:bCs/>
          <w:caps/>
          <w:sz w:val="15"/>
          <w:szCs w:val="15"/>
        </w:rPr>
      </w:pPr>
      <w:bookmarkStart w:id="1" w:name="Date"/>
      <w:bookmarkEnd w:id="0"/>
      <w:r w:rsidRPr="00537947">
        <w:rPr>
          <w:rFonts w:asciiTheme="minorHAnsi" w:hAnsiTheme="minorHAnsi" w:cstheme="minorHAnsi" w:hint="cs"/>
          <w:b/>
          <w:bCs/>
          <w:caps/>
          <w:sz w:val="15"/>
          <w:szCs w:val="15"/>
          <w:rtl/>
        </w:rPr>
        <w:t>التاريخ:</w:t>
      </w:r>
      <w:r w:rsidR="006B6A71">
        <w:rPr>
          <w:rFonts w:asciiTheme="minorHAnsi" w:hAnsiTheme="minorHAnsi" w:cstheme="minorHAnsi" w:hint="cs"/>
          <w:b/>
          <w:bCs/>
          <w:caps/>
          <w:sz w:val="15"/>
          <w:szCs w:val="15"/>
          <w:rtl/>
        </w:rPr>
        <w:t xml:space="preserve"> </w:t>
      </w:r>
      <w:r w:rsidR="002A2B1D">
        <w:rPr>
          <w:rFonts w:asciiTheme="minorHAnsi" w:hAnsiTheme="minorHAnsi" w:cstheme="minorHAnsi" w:hint="cs"/>
          <w:b/>
          <w:bCs/>
          <w:caps/>
          <w:sz w:val="15"/>
          <w:szCs w:val="15"/>
          <w:rtl/>
        </w:rPr>
        <w:t>5</w:t>
      </w:r>
      <w:r w:rsidR="006B6A71">
        <w:rPr>
          <w:rFonts w:asciiTheme="minorHAnsi" w:hAnsiTheme="minorHAnsi" w:cstheme="minorHAnsi" w:hint="cs"/>
          <w:b/>
          <w:bCs/>
          <w:caps/>
          <w:sz w:val="15"/>
          <w:szCs w:val="15"/>
          <w:rtl/>
        </w:rPr>
        <w:t xml:space="preserve"> </w:t>
      </w:r>
      <w:r w:rsidR="002A2B1D">
        <w:rPr>
          <w:rFonts w:asciiTheme="minorHAnsi" w:hAnsiTheme="minorHAnsi" w:cstheme="minorHAnsi" w:hint="cs"/>
          <w:b/>
          <w:bCs/>
          <w:caps/>
          <w:sz w:val="15"/>
          <w:szCs w:val="15"/>
          <w:rtl/>
        </w:rPr>
        <w:t>يونيو</w:t>
      </w:r>
      <w:r w:rsidR="006B6A71">
        <w:rPr>
          <w:rFonts w:asciiTheme="minorHAnsi" w:hAnsiTheme="minorHAnsi" w:cstheme="minorHAnsi" w:hint="cs"/>
          <w:b/>
          <w:bCs/>
          <w:caps/>
          <w:sz w:val="15"/>
          <w:szCs w:val="15"/>
          <w:rtl/>
        </w:rPr>
        <w:t xml:space="preserve"> </w:t>
      </w:r>
      <w:r w:rsidR="002842EF">
        <w:rPr>
          <w:rFonts w:asciiTheme="minorHAnsi" w:hAnsiTheme="minorHAnsi" w:cstheme="minorHAnsi" w:hint="cs"/>
          <w:b/>
          <w:bCs/>
          <w:caps/>
          <w:sz w:val="15"/>
          <w:szCs w:val="15"/>
          <w:rtl/>
        </w:rPr>
        <w:t>2025</w:t>
      </w:r>
    </w:p>
    <w:bookmarkEnd w:id="1"/>
    <w:p w14:paraId="1CE78BE6" w14:textId="77777777"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14:paraId="79EEBC9C" w14:textId="6919E4E5" w:rsidR="00A90F0A" w:rsidRPr="00D67EAE" w:rsidRDefault="00D67EAE" w:rsidP="00A947BC">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2A2B1D">
        <w:rPr>
          <w:rFonts w:asciiTheme="minorHAnsi" w:hAnsiTheme="minorHAnsi" w:cstheme="minorHAnsi" w:hint="cs"/>
          <w:bCs/>
          <w:sz w:val="24"/>
          <w:szCs w:val="24"/>
          <w:rtl/>
        </w:rPr>
        <w:t>الحادية و</w:t>
      </w:r>
      <w:r w:rsidR="002842EF">
        <w:rPr>
          <w:rFonts w:asciiTheme="minorHAnsi" w:hAnsiTheme="minorHAnsi" w:cstheme="minorHAnsi" w:hint="cs"/>
          <w:bCs/>
          <w:sz w:val="24"/>
          <w:szCs w:val="24"/>
          <w:rtl/>
        </w:rPr>
        <w:t>الخمسون</w:t>
      </w:r>
    </w:p>
    <w:p w14:paraId="56C6A681" w14:textId="66059E72" w:rsidR="008B2CC1" w:rsidRPr="00D67EAE" w:rsidRDefault="00D67EAE" w:rsidP="00A947BC">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من</w:t>
      </w:r>
      <w:r w:rsidR="006B6A71">
        <w:rPr>
          <w:rFonts w:asciiTheme="minorHAnsi" w:hAnsiTheme="minorHAnsi" w:cstheme="minorHAnsi" w:hint="cs"/>
          <w:bCs/>
          <w:sz w:val="24"/>
          <w:szCs w:val="24"/>
          <w:rtl/>
        </w:rPr>
        <w:t xml:space="preserve"> </w:t>
      </w:r>
      <w:r w:rsidR="002A2B1D">
        <w:rPr>
          <w:rFonts w:asciiTheme="minorHAnsi" w:hAnsiTheme="minorHAnsi" w:cstheme="minorHAnsi" w:hint="cs"/>
          <w:bCs/>
          <w:sz w:val="24"/>
          <w:szCs w:val="24"/>
          <w:rtl/>
        </w:rPr>
        <w:t>30 مايو</w:t>
      </w:r>
      <w:r w:rsidR="00A947BC">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2A2B1D">
        <w:rPr>
          <w:rFonts w:asciiTheme="minorHAnsi" w:hAnsiTheme="minorHAnsi" w:cstheme="minorHAnsi" w:hint="cs"/>
          <w:bCs/>
          <w:sz w:val="24"/>
          <w:szCs w:val="24"/>
          <w:rtl/>
        </w:rPr>
        <w:t>5</w:t>
      </w:r>
      <w:r w:rsidRPr="00D67EAE">
        <w:rPr>
          <w:rFonts w:asciiTheme="minorHAnsi" w:hAnsiTheme="minorHAnsi" w:cstheme="minorHAnsi" w:hint="cs"/>
          <w:bCs/>
          <w:sz w:val="24"/>
          <w:szCs w:val="24"/>
          <w:rtl/>
        </w:rPr>
        <w:t xml:space="preserve"> </w:t>
      </w:r>
      <w:r w:rsidR="002A2B1D">
        <w:rPr>
          <w:rFonts w:asciiTheme="minorHAnsi" w:hAnsiTheme="minorHAnsi" w:cstheme="minorHAnsi" w:hint="cs"/>
          <w:bCs/>
          <w:sz w:val="24"/>
          <w:szCs w:val="24"/>
          <w:rtl/>
        </w:rPr>
        <w:t>يونيو</w:t>
      </w:r>
      <w:r w:rsidR="006B6A71">
        <w:rPr>
          <w:rFonts w:asciiTheme="minorHAnsi" w:hAnsiTheme="minorHAnsi" w:cstheme="minorHAnsi" w:hint="cs"/>
          <w:bCs/>
          <w:sz w:val="24"/>
          <w:szCs w:val="24"/>
          <w:rtl/>
        </w:rPr>
        <w:t xml:space="preserve"> </w:t>
      </w:r>
      <w:r w:rsidR="002842EF">
        <w:rPr>
          <w:rFonts w:asciiTheme="minorHAnsi" w:hAnsiTheme="minorHAnsi" w:cstheme="minorHAnsi" w:hint="cs"/>
          <w:bCs/>
          <w:sz w:val="24"/>
          <w:szCs w:val="24"/>
          <w:rtl/>
        </w:rPr>
        <w:t>2025</w:t>
      </w:r>
    </w:p>
    <w:p w14:paraId="1DEE8A31" w14:textId="7801CAD4" w:rsidR="008B2CC1" w:rsidRPr="00D67EAE" w:rsidRDefault="00483E15" w:rsidP="00A947BC">
      <w:pPr>
        <w:spacing w:after="360"/>
        <w:outlineLvl w:val="0"/>
        <w:rPr>
          <w:rFonts w:asciiTheme="minorHAnsi" w:hAnsiTheme="minorHAnsi" w:cstheme="minorHAnsi"/>
          <w:caps/>
          <w:sz w:val="24"/>
        </w:rPr>
      </w:pPr>
      <w:bookmarkStart w:id="2" w:name="TitleOfDoc"/>
      <w:r w:rsidRPr="00483E15">
        <w:rPr>
          <w:rFonts w:asciiTheme="minorHAnsi" w:hAnsiTheme="minorHAnsi" w:cstheme="minorHAnsi"/>
          <w:caps/>
          <w:sz w:val="28"/>
          <w:szCs w:val="24"/>
          <w:rtl/>
        </w:rPr>
        <w:t xml:space="preserve">قرارات الدورة </w:t>
      </w:r>
      <w:r w:rsidR="002A2B1D">
        <w:rPr>
          <w:rFonts w:asciiTheme="minorHAnsi" w:hAnsiTheme="minorHAnsi" w:cstheme="minorHAnsi" w:hint="cs"/>
          <w:caps/>
          <w:sz w:val="28"/>
          <w:szCs w:val="24"/>
          <w:rtl/>
        </w:rPr>
        <w:t>الحادية و</w:t>
      </w:r>
      <w:r w:rsidR="002842EF">
        <w:rPr>
          <w:rFonts w:asciiTheme="minorHAnsi" w:hAnsiTheme="minorHAnsi" w:cstheme="minorHAnsi" w:hint="cs"/>
          <w:caps/>
          <w:sz w:val="28"/>
          <w:szCs w:val="24"/>
          <w:rtl/>
        </w:rPr>
        <w:t>الخمسين للجنة</w:t>
      </w:r>
    </w:p>
    <w:p w14:paraId="63383FC8" w14:textId="47228C24" w:rsidR="002928D3" w:rsidRDefault="00FD799F" w:rsidP="009C4610">
      <w:pPr>
        <w:spacing w:after="1040"/>
        <w:rPr>
          <w:rFonts w:asciiTheme="minorHAnsi" w:hAnsiTheme="minorHAnsi" w:cstheme="minorHAnsi"/>
          <w:iCs/>
        </w:rPr>
      </w:pPr>
      <w:bookmarkStart w:id="3" w:name="Prepared"/>
      <w:bookmarkEnd w:id="2"/>
      <w:bookmarkEnd w:id="3"/>
      <w:r>
        <w:rPr>
          <w:rFonts w:asciiTheme="minorHAnsi" w:hAnsiTheme="minorHAnsi" w:cstheme="minorHAnsi" w:hint="cs"/>
          <w:iCs/>
          <w:rtl/>
          <w:lang w:bidi="ar-SY"/>
        </w:rPr>
        <w:t>التي اعتمدتها اللجنة</w:t>
      </w:r>
    </w:p>
    <w:p w14:paraId="7FF3CE85" w14:textId="77777777" w:rsidR="009B0855" w:rsidRDefault="009B0855" w:rsidP="00D60B2C">
      <w:pPr>
        <w:pStyle w:val="BodyText"/>
        <w:rPr>
          <w:lang w:bidi="ar-EG"/>
        </w:rPr>
      </w:pPr>
    </w:p>
    <w:p w14:paraId="4746AF9D" w14:textId="77777777" w:rsidR="00483E15" w:rsidRDefault="00483E15">
      <w:pPr>
        <w:bidi w:val="0"/>
        <w:rPr>
          <w:rtl/>
        </w:rPr>
      </w:pPr>
      <w:r>
        <w:rPr>
          <w:rtl/>
        </w:rPr>
        <w:br w:type="page"/>
      </w:r>
    </w:p>
    <w:p w14:paraId="7DCBF811" w14:textId="77777777" w:rsidR="00483E15" w:rsidRPr="004B5B86" w:rsidRDefault="00483E15" w:rsidP="00483E15">
      <w:pPr>
        <w:pStyle w:val="Heading1"/>
        <w:spacing w:after="120"/>
        <w:rPr>
          <w:sz w:val="24"/>
          <w:szCs w:val="24"/>
        </w:rPr>
      </w:pPr>
      <w:r w:rsidRPr="004B5B86">
        <w:rPr>
          <w:sz w:val="24"/>
          <w:szCs w:val="24"/>
          <w:rtl/>
        </w:rPr>
        <w:lastRenderedPageBreak/>
        <w:t>قرار بشأن البند 2 من جدول الأعمال:</w:t>
      </w:r>
    </w:p>
    <w:p w14:paraId="14F8A2CF" w14:textId="77777777" w:rsidR="00483E15" w:rsidRPr="004B5B86" w:rsidRDefault="00483E15" w:rsidP="00483E15">
      <w:pPr>
        <w:pStyle w:val="BodyText"/>
        <w:rPr>
          <w:b/>
          <w:bCs/>
          <w:sz w:val="24"/>
          <w:szCs w:val="24"/>
        </w:rPr>
      </w:pPr>
      <w:r w:rsidRPr="004B5B86">
        <w:rPr>
          <w:b/>
          <w:bCs/>
          <w:sz w:val="24"/>
          <w:szCs w:val="24"/>
          <w:rtl/>
        </w:rPr>
        <w:t>اعتماد جدول الأعمال</w:t>
      </w:r>
    </w:p>
    <w:p w14:paraId="218A91C7" w14:textId="7B7B4095" w:rsidR="00483E15" w:rsidRPr="004B5B86" w:rsidRDefault="00483E15" w:rsidP="00A947BC">
      <w:pPr>
        <w:pStyle w:val="BodyText"/>
      </w:pPr>
      <w:r w:rsidRPr="004B5B86">
        <w:rPr>
          <w:rtl/>
        </w:rPr>
        <w:t>قدم</w:t>
      </w:r>
      <w:r w:rsidR="00AE1271">
        <w:rPr>
          <w:rFonts w:hint="cs"/>
          <w:rtl/>
        </w:rPr>
        <w:t>ت</w:t>
      </w:r>
      <w:r w:rsidRPr="004B5B86">
        <w:rPr>
          <w:rtl/>
        </w:rPr>
        <w:t xml:space="preserve"> الرئيس</w:t>
      </w:r>
      <w:r w:rsidR="00AE1271">
        <w:rPr>
          <w:rFonts w:hint="cs"/>
          <w:rtl/>
        </w:rPr>
        <w:t>ة</w:t>
      </w:r>
      <w:r w:rsidRPr="004B5B86">
        <w:rPr>
          <w:rtl/>
        </w:rPr>
        <w:t xml:space="preserve"> مشروع جدول الأعمال المُعمّم في الوثيقة </w:t>
      </w:r>
      <w:r w:rsidRPr="004B5B86">
        <w:t>WIPO/GRTKF/IC/</w:t>
      </w:r>
      <w:r w:rsidR="00BE35BF">
        <w:t>5</w:t>
      </w:r>
      <w:r w:rsidR="00753345">
        <w:t>1</w:t>
      </w:r>
      <w:r w:rsidRPr="004B5B86">
        <w:t>/1 Prov.</w:t>
      </w:r>
      <w:r w:rsidR="00753345">
        <w:t xml:space="preserve"> 2</w:t>
      </w:r>
      <w:r w:rsidR="00BE35BF">
        <w:rPr>
          <w:rFonts w:hint="cs"/>
          <w:rtl/>
        </w:rPr>
        <w:t xml:space="preserve"> كي</w:t>
      </w:r>
      <w:r w:rsidRPr="004B5B86">
        <w:rPr>
          <w:rtl/>
        </w:rPr>
        <w:t xml:space="preserve"> يُعتمد، وتم اعتماده.</w:t>
      </w:r>
    </w:p>
    <w:p w14:paraId="5C074A12" w14:textId="77777777" w:rsidR="00483E15" w:rsidRPr="004B5B86" w:rsidRDefault="00483E15" w:rsidP="00483E15">
      <w:pPr>
        <w:pStyle w:val="Heading1"/>
        <w:spacing w:after="120"/>
        <w:rPr>
          <w:sz w:val="24"/>
          <w:szCs w:val="24"/>
        </w:rPr>
      </w:pPr>
      <w:r w:rsidRPr="004B5B86">
        <w:rPr>
          <w:sz w:val="24"/>
          <w:szCs w:val="24"/>
          <w:rtl/>
        </w:rPr>
        <w:t>قرار بشأن البند 3 من جدول الأعمال:</w:t>
      </w:r>
    </w:p>
    <w:p w14:paraId="1EB17905" w14:textId="77777777" w:rsidR="00483E15" w:rsidRPr="004B5B86" w:rsidRDefault="00483E15" w:rsidP="00483E15">
      <w:pPr>
        <w:pStyle w:val="BodyText"/>
        <w:rPr>
          <w:b/>
          <w:bCs/>
          <w:sz w:val="24"/>
          <w:szCs w:val="24"/>
        </w:rPr>
      </w:pPr>
      <w:r w:rsidRPr="004B5B86">
        <w:rPr>
          <w:b/>
          <w:bCs/>
          <w:sz w:val="24"/>
          <w:szCs w:val="24"/>
          <w:rtl/>
        </w:rPr>
        <w:t>اعتماد بعض المنظمات</w:t>
      </w:r>
    </w:p>
    <w:p w14:paraId="1EA75515" w14:textId="2A1693EE" w:rsidR="00492D24" w:rsidRPr="00753345" w:rsidRDefault="00A947BC" w:rsidP="00753345">
      <w:pPr>
        <w:pStyle w:val="BodyText"/>
        <w:rPr>
          <w:rtl/>
        </w:rPr>
      </w:pPr>
      <w:r w:rsidRPr="00A947BC">
        <w:rPr>
          <w:rtl/>
        </w:rPr>
        <w:t>وافقت اللجنة بالإجماع على اعتماد</w:t>
      </w:r>
      <w:r w:rsidR="00BE35BF">
        <w:rPr>
          <w:rFonts w:hint="cs"/>
          <w:rtl/>
        </w:rPr>
        <w:t xml:space="preserve"> </w:t>
      </w:r>
      <w:r w:rsidR="00753345" w:rsidRPr="00753345">
        <w:rPr>
          <w:rFonts w:hint="cs"/>
          <w:rtl/>
        </w:rPr>
        <w:t>جمعية السدو التعاونية للنسيج</w:t>
      </w:r>
      <w:r w:rsidR="00753345">
        <w:rPr>
          <w:rFonts w:hint="cs"/>
          <w:rtl/>
        </w:rPr>
        <w:t>؛ و</w:t>
      </w:r>
      <w:r w:rsidR="00753345" w:rsidRPr="00753345">
        <w:rPr>
          <w:rFonts w:hint="cs"/>
          <w:rtl/>
        </w:rPr>
        <w:t>منظمة مبادرات الشعوب الأصلية</w:t>
      </w:r>
      <w:r w:rsidR="00753345">
        <w:rPr>
          <w:rFonts w:hint="cs"/>
          <w:rtl/>
        </w:rPr>
        <w:t>؛ و</w:t>
      </w:r>
      <w:r w:rsidR="00753345" w:rsidRPr="00753345">
        <w:rPr>
          <w:rFonts w:hint="cs"/>
          <w:rtl/>
        </w:rPr>
        <w:t>مؤسسة بانغو بورنيو المحدودة</w:t>
      </w:r>
      <w:r w:rsidR="00753345">
        <w:rPr>
          <w:rFonts w:hint="cs"/>
          <w:rtl/>
        </w:rPr>
        <w:t>؛ و</w:t>
      </w:r>
      <w:r w:rsidR="00753345" w:rsidRPr="00753345">
        <w:rPr>
          <w:rFonts w:hint="cs"/>
          <w:rtl/>
        </w:rPr>
        <w:t>المجلس الإقليمي للسكان الأصليين في كاوكا وعمله على المستوى الوطني</w:t>
      </w:r>
      <w:r w:rsidR="00753345">
        <w:rPr>
          <w:rFonts w:hint="cs"/>
          <w:rtl/>
        </w:rPr>
        <w:t>؛ و</w:t>
      </w:r>
      <w:r w:rsidR="00753345" w:rsidRPr="00753345">
        <w:rPr>
          <w:rFonts w:hint="cs"/>
          <w:rtl/>
        </w:rPr>
        <w:t>مؤسسة صامي دودجي ساميسلويدجستيفتيلسي</w:t>
      </w:r>
      <w:r w:rsidR="00753345">
        <w:rPr>
          <w:rFonts w:hint="cs"/>
          <w:rtl/>
        </w:rPr>
        <w:t>؛ و</w:t>
      </w:r>
      <w:r w:rsidR="00753345" w:rsidRPr="00753345">
        <w:rPr>
          <w:rFonts w:hint="cs"/>
          <w:rtl/>
        </w:rPr>
        <w:t>مجلس الولايات المتحدة للأعمال الدولية</w:t>
      </w:r>
      <w:r w:rsidR="00753345">
        <w:rPr>
          <w:rFonts w:hint="cs"/>
          <w:rtl/>
        </w:rPr>
        <w:t>؛ و</w:t>
      </w:r>
      <w:r w:rsidR="00753345" w:rsidRPr="00753345">
        <w:rPr>
          <w:rFonts w:hint="cs"/>
          <w:rtl/>
        </w:rPr>
        <w:t>جامعة أوسلو، قسم الآثار والحفظ والتاريخ</w:t>
      </w:r>
      <w:r w:rsidR="00753345">
        <w:rPr>
          <w:rFonts w:hint="cs"/>
          <w:rtl/>
        </w:rPr>
        <w:t xml:space="preserve">، </w:t>
      </w:r>
      <w:r w:rsidR="00492D24" w:rsidRPr="005214E1">
        <w:rPr>
          <w:rtl/>
          <w:lang w:val="fr-CH"/>
        </w:rPr>
        <w:t xml:space="preserve">بصفة مراقب </w:t>
      </w:r>
      <w:r w:rsidR="00492D24" w:rsidRPr="00A947BC">
        <w:rPr>
          <w:rtl/>
        </w:rPr>
        <w:t>مؤقت</w:t>
      </w:r>
      <w:r w:rsidR="00492D24" w:rsidRPr="005214E1">
        <w:rPr>
          <w:rtl/>
          <w:lang w:val="fr-CH"/>
        </w:rPr>
        <w:t>.</w:t>
      </w:r>
      <w:r w:rsidR="00184633">
        <w:rPr>
          <w:rFonts w:hint="cs"/>
          <w:rtl/>
          <w:lang w:val="fr-CH"/>
        </w:rPr>
        <w:t xml:space="preserve"> ولم توافق اللجنة على اعتماد </w:t>
      </w:r>
      <w:r w:rsidR="00184633" w:rsidRPr="00753345">
        <w:rPr>
          <w:rFonts w:hint="cs"/>
          <w:rtl/>
        </w:rPr>
        <w:t>المنظمة العامة الأقاليمية «اتحاد الشعوب الأصلية الصغيرة العدد "سويوز"»</w:t>
      </w:r>
      <w:r w:rsidR="00184633">
        <w:rPr>
          <w:rFonts w:hint="cs"/>
          <w:rtl/>
        </w:rPr>
        <w:t>؛</w:t>
      </w:r>
    </w:p>
    <w:p w14:paraId="580F9082" w14:textId="77777777" w:rsidR="00483E15" w:rsidRPr="004B5B86" w:rsidRDefault="00483E15" w:rsidP="00483E15">
      <w:pPr>
        <w:pStyle w:val="Heading1"/>
        <w:spacing w:after="120"/>
        <w:rPr>
          <w:sz w:val="24"/>
          <w:szCs w:val="24"/>
        </w:rPr>
      </w:pPr>
      <w:r w:rsidRPr="004B5B86">
        <w:rPr>
          <w:sz w:val="24"/>
          <w:szCs w:val="24"/>
          <w:rtl/>
        </w:rPr>
        <w:t>قرار بشأن البند 4 من جدول الأعمال:</w:t>
      </w:r>
    </w:p>
    <w:p w14:paraId="6827A849" w14:textId="77777777" w:rsidR="00483E15" w:rsidRPr="004B5B86" w:rsidRDefault="00483E15" w:rsidP="00483E15">
      <w:pPr>
        <w:pStyle w:val="BodyText"/>
        <w:rPr>
          <w:b/>
          <w:bCs/>
          <w:sz w:val="24"/>
          <w:szCs w:val="24"/>
        </w:rPr>
      </w:pPr>
      <w:r w:rsidRPr="004B5B86">
        <w:rPr>
          <w:b/>
          <w:bCs/>
          <w:sz w:val="24"/>
          <w:szCs w:val="24"/>
          <w:rtl/>
        </w:rPr>
        <w:t>مشاركة الجماعات الأصلية والمحلية</w:t>
      </w:r>
    </w:p>
    <w:p w14:paraId="64557D85" w14:textId="54A8BA55" w:rsidR="00483E15" w:rsidRDefault="00483E15" w:rsidP="006B6A71">
      <w:pPr>
        <w:pStyle w:val="BodyText"/>
      </w:pPr>
      <w:r>
        <w:rPr>
          <w:rtl/>
        </w:rPr>
        <w:t>أحاطت اللجنة علما</w:t>
      </w:r>
      <w:r w:rsidR="00AC77BC">
        <w:rPr>
          <w:rFonts w:hint="cs"/>
          <w:rtl/>
        </w:rPr>
        <w:t>ً</w:t>
      </w:r>
      <w:r>
        <w:rPr>
          <w:rtl/>
        </w:rPr>
        <w:t xml:space="preserve"> </w:t>
      </w:r>
      <w:r w:rsidR="00730734" w:rsidRPr="00A947BC">
        <w:rPr>
          <w:rtl/>
        </w:rPr>
        <w:t>ب</w:t>
      </w:r>
      <w:r w:rsidR="00730734">
        <w:rPr>
          <w:rFonts w:hint="cs"/>
          <w:rtl/>
        </w:rPr>
        <w:t xml:space="preserve">الوثيقتين </w:t>
      </w:r>
      <w:r>
        <w:t>WIPO/GRTKF/IC/</w:t>
      </w:r>
      <w:r w:rsidR="00753345">
        <w:t>51</w:t>
      </w:r>
      <w:r>
        <w:t>/3</w:t>
      </w:r>
      <w:r>
        <w:rPr>
          <w:rtl/>
        </w:rPr>
        <w:t xml:space="preserve"> و</w:t>
      </w:r>
      <w:r>
        <w:t>WIPO/GRTKF/IC/</w:t>
      </w:r>
      <w:r w:rsidR="004B44C9">
        <w:t>5</w:t>
      </w:r>
      <w:r w:rsidR="00753345">
        <w:t>1</w:t>
      </w:r>
      <w:r>
        <w:t>/INF/4</w:t>
      </w:r>
      <w:r>
        <w:rPr>
          <w:rtl/>
        </w:rPr>
        <w:t>.</w:t>
      </w:r>
    </w:p>
    <w:p w14:paraId="3EBD35A7" w14:textId="77777777" w:rsidR="00483E15" w:rsidRDefault="00483E15" w:rsidP="00483E15">
      <w:pPr>
        <w:pStyle w:val="BodyText"/>
      </w:pPr>
      <w:r>
        <w:rPr>
          <w:rtl/>
        </w:rPr>
        <w:t>وشجَّعت بشدة أعضاءها وجميع الهيئات المهتمة في القطاعين العام والخاص وحثَّتها على الإسهام في صندوق الويبو للتبرعات لفائدة الجماعات الأصلية والمحلية المعتمدة.</w:t>
      </w:r>
    </w:p>
    <w:p w14:paraId="57F57ACD" w14:textId="12055859" w:rsidR="006B6A71" w:rsidRPr="000E3BC8" w:rsidRDefault="00483E15" w:rsidP="00C41F1D">
      <w:pPr>
        <w:pStyle w:val="BodyText"/>
        <w:rPr>
          <w:rtl/>
          <w:lang w:val="fr-CH" w:bidi="ar-SY"/>
        </w:rPr>
      </w:pPr>
      <w:r>
        <w:rPr>
          <w:rtl/>
        </w:rPr>
        <w:t>واقترح</w:t>
      </w:r>
      <w:r w:rsidR="00D50F52">
        <w:rPr>
          <w:rFonts w:hint="cs"/>
          <w:rtl/>
        </w:rPr>
        <w:t>ت</w:t>
      </w:r>
      <w:r>
        <w:rPr>
          <w:rtl/>
        </w:rPr>
        <w:t xml:space="preserve"> الرئيس</w:t>
      </w:r>
      <w:r w:rsidR="00D50F52">
        <w:rPr>
          <w:rFonts w:hint="cs"/>
          <w:rtl/>
        </w:rPr>
        <w:t>ة</w:t>
      </w:r>
      <w:r>
        <w:rPr>
          <w:rtl/>
        </w:rPr>
        <w:t xml:space="preserve"> انتخاب الأعضاء</w:t>
      </w:r>
      <w:r w:rsidR="005A1C65">
        <w:rPr>
          <w:rFonts w:hint="cs"/>
          <w:rtl/>
        </w:rPr>
        <w:t xml:space="preserve"> ال</w:t>
      </w:r>
      <w:r w:rsidR="006B6A71">
        <w:rPr>
          <w:rFonts w:hint="cs"/>
          <w:rtl/>
          <w:lang w:val="fr-CH" w:bidi="ar-SY"/>
        </w:rPr>
        <w:t>ثماني</w:t>
      </w:r>
      <w:r w:rsidR="005A1C65">
        <w:rPr>
          <w:rFonts w:hint="cs"/>
          <w:rtl/>
        </w:rPr>
        <w:t xml:space="preserve">ة </w:t>
      </w:r>
      <w:r>
        <w:rPr>
          <w:rtl/>
        </w:rPr>
        <w:t>التالية أسماؤهم في المجلس الاستشاري للعمل بصفتهم الشخصية</w:t>
      </w:r>
      <w:r w:rsidR="006B6A71">
        <w:rPr>
          <w:rFonts w:hint="cs"/>
          <w:rtl/>
        </w:rPr>
        <w:t>:</w:t>
      </w:r>
      <w:r w:rsidR="000E3BC8">
        <w:rPr>
          <w:rFonts w:hint="cs"/>
          <w:rtl/>
          <w:lang w:val="fr-CH" w:bidi="ar-SY"/>
        </w:rPr>
        <w:t xml:space="preserve"> </w:t>
      </w:r>
      <w:r w:rsidR="00184633" w:rsidRPr="00184633">
        <w:rPr>
          <w:rtl/>
          <w:lang w:val="fr-CH" w:bidi="ar-SY"/>
        </w:rPr>
        <w:t xml:space="preserve">السيد محمد نور الدين أسيندوه (توغو)؛ والسيدة آن كاينديك (مركز قانون وسياسة الأمم الأصلية)؛ </w:t>
      </w:r>
      <w:r w:rsidR="00184633">
        <w:rPr>
          <w:rFonts w:hint="cs"/>
          <w:rtl/>
          <w:lang w:val="fr-CH" w:bidi="ar-SY"/>
        </w:rPr>
        <w:t>و</w:t>
      </w:r>
      <w:r w:rsidR="00184633" w:rsidRPr="00184633">
        <w:rPr>
          <w:rtl/>
          <w:lang w:val="fr-CH" w:bidi="ar-SY"/>
        </w:rPr>
        <w:t>السيدة جيسيكا فوريرو (</w:t>
      </w:r>
      <w:r w:rsidR="00184633" w:rsidRPr="00184633">
        <w:rPr>
          <w:lang w:val="fr-CH" w:bidi="ar-SY"/>
        </w:rPr>
        <w:t>ECOHUMANITA</w:t>
      </w:r>
      <w:r w:rsidR="00184633" w:rsidRPr="00184633">
        <w:rPr>
          <w:rtl/>
          <w:lang w:val="fr-CH" w:bidi="ar-SY"/>
        </w:rPr>
        <w:t>)؛ والسيد آرون جونز (قبائل تولاليب)؛ والسيدة أيليتا موساباييفا (كازاخستان)؛ والسيد تاكاشي أونو (اليابان)؛ والسيدة بورنبيمول سوغاندافانيجا (تايلند)؛ والسيدة ليجيا فاني أوتيتياج أنكواش (إكوادور).</w:t>
      </w:r>
    </w:p>
    <w:p w14:paraId="13037EB9" w14:textId="7AA01665" w:rsidR="00483E15" w:rsidRDefault="00483E15" w:rsidP="00483E15">
      <w:pPr>
        <w:pStyle w:val="BodyText"/>
      </w:pPr>
      <w:r>
        <w:rPr>
          <w:rtl/>
        </w:rPr>
        <w:t>وعيّن</w:t>
      </w:r>
      <w:r w:rsidR="00D50F52">
        <w:rPr>
          <w:rFonts w:hint="cs"/>
          <w:rtl/>
        </w:rPr>
        <w:t>ت</w:t>
      </w:r>
      <w:r>
        <w:rPr>
          <w:rtl/>
        </w:rPr>
        <w:t xml:space="preserve"> رئيس</w:t>
      </w:r>
      <w:r w:rsidR="00D50F52">
        <w:rPr>
          <w:rFonts w:hint="cs"/>
          <w:rtl/>
        </w:rPr>
        <w:t>ة</w:t>
      </w:r>
      <w:r>
        <w:rPr>
          <w:rtl/>
        </w:rPr>
        <w:t xml:space="preserve"> اللجنة </w:t>
      </w:r>
      <w:r w:rsidR="000E3BC8" w:rsidRPr="000E3BC8">
        <w:rPr>
          <w:rtl/>
        </w:rPr>
        <w:t>السيدة أودري أكويلي إيبواوا نياكواي</w:t>
      </w:r>
      <w:r>
        <w:rPr>
          <w:rtl/>
        </w:rPr>
        <w:t xml:space="preserve">، </w:t>
      </w:r>
      <w:r w:rsidR="00D80A3C">
        <w:rPr>
          <w:rFonts w:hint="cs"/>
          <w:rtl/>
        </w:rPr>
        <w:t xml:space="preserve">أحد </w:t>
      </w:r>
      <w:r>
        <w:rPr>
          <w:rtl/>
        </w:rPr>
        <w:t>نائب</w:t>
      </w:r>
      <w:r w:rsidR="00D80A3C">
        <w:rPr>
          <w:rFonts w:hint="cs"/>
          <w:rtl/>
        </w:rPr>
        <w:t>ي</w:t>
      </w:r>
      <w:r>
        <w:rPr>
          <w:rtl/>
        </w:rPr>
        <w:t xml:space="preserve"> رئيس</w:t>
      </w:r>
      <w:r w:rsidR="00AC77BC">
        <w:rPr>
          <w:rFonts w:hint="cs"/>
          <w:rtl/>
        </w:rPr>
        <w:t>ة</w:t>
      </w:r>
      <w:r>
        <w:rPr>
          <w:rtl/>
        </w:rPr>
        <w:t xml:space="preserve"> اللجنة، رئيس</w:t>
      </w:r>
      <w:r w:rsidR="000E3BC8">
        <w:rPr>
          <w:rFonts w:hint="cs"/>
          <w:rtl/>
        </w:rPr>
        <w:t>ة</w:t>
      </w:r>
      <w:r w:rsidR="00D50F52">
        <w:rPr>
          <w:rFonts w:hint="cs"/>
          <w:rtl/>
        </w:rPr>
        <w:t>ً</w:t>
      </w:r>
      <w:r>
        <w:rPr>
          <w:rtl/>
        </w:rPr>
        <w:t xml:space="preserve"> للمجلس الاستشاري.</w:t>
      </w:r>
    </w:p>
    <w:p w14:paraId="08213DA0" w14:textId="77777777" w:rsidR="00483E15" w:rsidRPr="004B5B86" w:rsidRDefault="00483E15" w:rsidP="00483E15">
      <w:pPr>
        <w:pStyle w:val="Heading1"/>
        <w:spacing w:after="120"/>
        <w:rPr>
          <w:sz w:val="24"/>
          <w:szCs w:val="24"/>
        </w:rPr>
      </w:pPr>
      <w:r w:rsidRPr="004B5B86">
        <w:rPr>
          <w:sz w:val="24"/>
          <w:szCs w:val="24"/>
          <w:rtl/>
        </w:rPr>
        <w:t>قرار بشأن البند 5 من جدول الأعمال:</w:t>
      </w:r>
    </w:p>
    <w:p w14:paraId="7BF0CC4F" w14:textId="3C9CA50A" w:rsidR="00C0015E" w:rsidRPr="00C0015E" w:rsidRDefault="00C0015E" w:rsidP="00C0015E">
      <w:pPr>
        <w:pStyle w:val="BodyText"/>
        <w:rPr>
          <w:b/>
          <w:bCs/>
          <w:sz w:val="24"/>
          <w:szCs w:val="24"/>
        </w:rPr>
      </w:pPr>
      <w:r w:rsidRPr="00C0015E">
        <w:rPr>
          <w:b/>
          <w:bCs/>
          <w:sz w:val="24"/>
          <w:szCs w:val="24"/>
          <w:rtl/>
        </w:rPr>
        <w:t>المعارف التقليدية</w:t>
      </w:r>
      <w:r>
        <w:rPr>
          <w:rFonts w:hint="cs"/>
          <w:b/>
          <w:bCs/>
          <w:sz w:val="24"/>
          <w:szCs w:val="24"/>
          <w:rtl/>
        </w:rPr>
        <w:t>/</w:t>
      </w:r>
      <w:r w:rsidR="00285F32">
        <w:rPr>
          <w:rFonts w:hint="cs"/>
          <w:b/>
          <w:bCs/>
          <w:sz w:val="24"/>
          <w:szCs w:val="24"/>
          <w:rtl/>
        </w:rPr>
        <w:t xml:space="preserve">أشكال </w:t>
      </w:r>
      <w:r w:rsidRPr="00C0015E">
        <w:rPr>
          <w:b/>
          <w:bCs/>
          <w:sz w:val="24"/>
          <w:szCs w:val="24"/>
          <w:rtl/>
        </w:rPr>
        <w:t>التعبير الثقافي التقليدي</w:t>
      </w:r>
    </w:p>
    <w:p w14:paraId="5FDAF73F" w14:textId="657E6570" w:rsidR="00D50F52" w:rsidRDefault="00D50F52" w:rsidP="00C73035">
      <w:pPr>
        <w:pStyle w:val="BodyText"/>
        <w:rPr>
          <w:rtl/>
        </w:rPr>
      </w:pPr>
      <w:r>
        <w:rPr>
          <w:rtl/>
        </w:rPr>
        <w:t>أعدت اللجنة، استنادا</w:t>
      </w:r>
      <w:r w:rsidR="00270328">
        <w:rPr>
          <w:rFonts w:hint="cs"/>
          <w:rtl/>
        </w:rPr>
        <w:t>ً</w:t>
      </w:r>
      <w:r>
        <w:rPr>
          <w:rtl/>
        </w:rPr>
        <w:t xml:space="preserve"> إلى </w:t>
      </w:r>
      <w:r w:rsidR="00C73035">
        <w:rPr>
          <w:rFonts w:hint="cs"/>
          <w:rtl/>
        </w:rPr>
        <w:t>الوثيقة</w:t>
      </w:r>
      <w:r>
        <w:rPr>
          <w:rtl/>
        </w:rPr>
        <w:t xml:space="preserve"> </w:t>
      </w:r>
      <w:r>
        <w:t>WIPO/GRTKF/IC/</w:t>
      </w:r>
      <w:r w:rsidR="005F6696">
        <w:t>49</w:t>
      </w:r>
      <w:r>
        <w:t>/4</w:t>
      </w:r>
      <w:r w:rsidR="00750CC4" w:rsidRPr="00750CC4">
        <w:rPr>
          <w:rtl/>
          <w:lang w:bidi="ar-EG"/>
        </w:rPr>
        <w:t>، نص</w:t>
      </w:r>
      <w:r w:rsidR="00750CC4" w:rsidRPr="00750CC4">
        <w:rPr>
          <w:rFonts w:hint="cs"/>
          <w:rtl/>
          <w:lang w:bidi="ar-EG"/>
        </w:rPr>
        <w:t>اً</w:t>
      </w:r>
      <w:r w:rsidR="00750CC4" w:rsidRPr="00750CC4">
        <w:rPr>
          <w:rtl/>
          <w:lang w:bidi="ar-EG"/>
        </w:rPr>
        <w:t xml:space="preserve"> آخر بعنوان "حماية المعارف التقليدية: مشروع مواد </w:t>
      </w:r>
      <w:r w:rsidR="00C73035" w:rsidRPr="00C73035">
        <w:rPr>
          <w:lang w:bidi="ar-EG"/>
        </w:rPr>
        <w:t>–</w:t>
      </w:r>
      <w:r w:rsidR="00750CC4" w:rsidRPr="00750CC4">
        <w:rPr>
          <w:rtl/>
          <w:lang w:bidi="ar-EG"/>
        </w:rPr>
        <w:t xml:space="preserve"> نسخة الميسّرين المعدّلة</w:t>
      </w:r>
      <w:r w:rsidR="00750CC4" w:rsidRPr="00750CC4">
        <w:t xml:space="preserve"> </w:t>
      </w:r>
      <w:r w:rsidR="00750CC4" w:rsidRPr="00750CC4">
        <w:rPr>
          <w:rtl/>
          <w:lang w:bidi="ar-EG"/>
        </w:rPr>
        <w:t>(</w:t>
      </w:r>
      <w:r w:rsidR="00750CC4" w:rsidRPr="00750CC4">
        <w:t>Rev.</w:t>
      </w:r>
      <w:r w:rsidR="00750CC4" w:rsidRPr="00750CC4">
        <w:rPr>
          <w:rtl/>
          <w:lang w:bidi="ar-EG"/>
        </w:rPr>
        <w:t>)"</w:t>
      </w:r>
      <w:r w:rsidR="00C73035">
        <w:rPr>
          <w:rFonts w:hint="cs"/>
          <w:rtl/>
          <w:lang w:bidi="ar-EG"/>
        </w:rPr>
        <w:t xml:space="preserve">، وأعدت، </w:t>
      </w:r>
      <w:r w:rsidR="00C73035" w:rsidRPr="00C73035">
        <w:rPr>
          <w:rtl/>
          <w:lang w:bidi="ar-EG"/>
        </w:rPr>
        <w:t xml:space="preserve">استناداً إلى الوثيقة </w:t>
      </w:r>
      <w:r w:rsidR="00C73035" w:rsidRPr="00C73035">
        <w:rPr>
          <w:lang w:bidi="ar-EG"/>
        </w:rPr>
        <w:t>WIPO/GRTKF/IC/4</w:t>
      </w:r>
      <w:r w:rsidR="00C73035">
        <w:rPr>
          <w:lang w:bidi="ar-EG"/>
        </w:rPr>
        <w:t>9</w:t>
      </w:r>
      <w:r w:rsidR="00C73035" w:rsidRPr="00C73035">
        <w:rPr>
          <w:lang w:bidi="ar-EG"/>
        </w:rPr>
        <w:t>/5</w:t>
      </w:r>
      <w:r w:rsidR="00C73035" w:rsidRPr="00C73035">
        <w:rPr>
          <w:rtl/>
          <w:lang w:bidi="ar-EG"/>
        </w:rPr>
        <w:t xml:space="preserve">، نصاً آخر بعنوان "حماية أشكال التعبير الثقافي التقليدي: مشروع مواد </w:t>
      </w:r>
      <w:r w:rsidR="00C73035" w:rsidRPr="00C73035">
        <w:rPr>
          <w:lang w:bidi="ar-EG"/>
        </w:rPr>
        <w:t>–</w:t>
      </w:r>
      <w:r w:rsidR="00C73035" w:rsidRPr="00C73035">
        <w:rPr>
          <w:rtl/>
          <w:lang w:bidi="ar-EG"/>
        </w:rPr>
        <w:t xml:space="preserve"> نسخة الميسّرين المعدّلة (</w:t>
      </w:r>
      <w:r w:rsidR="00C73035" w:rsidRPr="00C73035">
        <w:rPr>
          <w:lang w:bidi="ar-EG"/>
        </w:rPr>
        <w:t>Rev</w:t>
      </w:r>
      <w:r w:rsidR="00C73035" w:rsidRPr="00C73035">
        <w:rPr>
          <w:rtl/>
          <w:lang w:bidi="ar-EG"/>
        </w:rPr>
        <w:t>.)"</w:t>
      </w:r>
      <w:r w:rsidR="00C73035">
        <w:rPr>
          <w:rFonts w:hint="cs"/>
          <w:rtl/>
          <w:lang w:bidi="ar-EG"/>
        </w:rPr>
        <w:t>.</w:t>
      </w:r>
      <w:r w:rsidR="0092497F" w:rsidRPr="0092497F">
        <w:rPr>
          <w:rtl/>
        </w:rPr>
        <w:t xml:space="preserve"> </w:t>
      </w:r>
      <w:r w:rsidR="00C73035" w:rsidRPr="00C73035">
        <w:rPr>
          <w:rtl/>
        </w:rPr>
        <w:t xml:space="preserve">وقرّرت اللجنة، في ختام </w:t>
      </w:r>
      <w:r w:rsidR="00C73035">
        <w:rPr>
          <w:rFonts w:hint="cs"/>
          <w:rtl/>
        </w:rPr>
        <w:t xml:space="preserve">هذا </w:t>
      </w:r>
      <w:r w:rsidR="00C73035" w:rsidRPr="00C73035">
        <w:rPr>
          <w:rtl/>
        </w:rPr>
        <w:t xml:space="preserve">البند من جدول الأعمال في </w:t>
      </w:r>
      <w:r w:rsidR="00C73035">
        <w:rPr>
          <w:rFonts w:hint="cs"/>
          <w:rtl/>
        </w:rPr>
        <w:t>3</w:t>
      </w:r>
      <w:r w:rsidR="00C73035" w:rsidRPr="00C73035">
        <w:rPr>
          <w:rtl/>
        </w:rPr>
        <w:t xml:space="preserve"> يونيو </w:t>
      </w:r>
      <w:r w:rsidR="00C73035">
        <w:rPr>
          <w:rFonts w:hint="cs"/>
          <w:rtl/>
        </w:rPr>
        <w:t>2025</w:t>
      </w:r>
      <w:r w:rsidR="00C73035" w:rsidRPr="00C73035">
        <w:rPr>
          <w:rtl/>
        </w:rPr>
        <w:t xml:space="preserve">، أن تنظر اللجنة في </w:t>
      </w:r>
      <w:r w:rsidR="00C73035">
        <w:rPr>
          <w:rFonts w:hint="cs"/>
          <w:rtl/>
        </w:rPr>
        <w:t xml:space="preserve">هذين النصين </w:t>
      </w:r>
      <w:r w:rsidR="00C73035" w:rsidRPr="00C73035">
        <w:rPr>
          <w:rtl/>
        </w:rPr>
        <w:t>ضمن البند 6 من جدول الأعمال (</w:t>
      </w:r>
      <w:r w:rsidR="00C73035">
        <w:rPr>
          <w:rFonts w:hint="cs"/>
          <w:rtl/>
        </w:rPr>
        <w:t>تقييم</w:t>
      </w:r>
      <w:r w:rsidR="00C73035" w:rsidRPr="00C73035">
        <w:rPr>
          <w:rtl/>
        </w:rPr>
        <w:t xml:space="preserve"> التقدم المحرز </w:t>
      </w:r>
      <w:r w:rsidR="00C73035">
        <w:rPr>
          <w:rFonts w:hint="cs"/>
          <w:rtl/>
        </w:rPr>
        <w:t>وتقديم</w:t>
      </w:r>
      <w:r w:rsidR="00C73035" w:rsidRPr="00C73035">
        <w:rPr>
          <w:rtl/>
        </w:rPr>
        <w:t xml:space="preserve"> توصية إلى الجمعية العامة)،</w:t>
      </w:r>
      <w:r w:rsidR="00C73035">
        <w:rPr>
          <w:rFonts w:hint="cs"/>
          <w:rtl/>
        </w:rPr>
        <w:t xml:space="preserve"> وفقاً لولاية اللجنة للثنائية 2024-2025 وبرنامج عملها لعام 2025</w:t>
      </w:r>
      <w:r w:rsidR="0092497F" w:rsidRPr="0092497F">
        <w:rPr>
          <w:rtl/>
        </w:rPr>
        <w:t>.</w:t>
      </w:r>
    </w:p>
    <w:p w14:paraId="3EFB7482" w14:textId="77777777" w:rsidR="00C73035" w:rsidRPr="004B5B86" w:rsidRDefault="00C73035" w:rsidP="00C73035">
      <w:pPr>
        <w:pStyle w:val="Heading1"/>
        <w:spacing w:after="120"/>
        <w:rPr>
          <w:sz w:val="24"/>
          <w:szCs w:val="24"/>
        </w:rPr>
      </w:pPr>
      <w:r w:rsidRPr="004B5B86">
        <w:rPr>
          <w:sz w:val="24"/>
          <w:szCs w:val="24"/>
          <w:rtl/>
        </w:rPr>
        <w:t>قرار بشأن البند</w:t>
      </w:r>
      <w:r>
        <w:rPr>
          <w:rFonts w:hint="cs"/>
          <w:sz w:val="24"/>
          <w:szCs w:val="24"/>
          <w:rtl/>
        </w:rPr>
        <w:t xml:space="preserve"> 6</w:t>
      </w:r>
      <w:r w:rsidRPr="004B5B86">
        <w:rPr>
          <w:sz w:val="24"/>
          <w:szCs w:val="24"/>
          <w:rtl/>
        </w:rPr>
        <w:t xml:space="preserve"> من جدول الأعمال:</w:t>
      </w:r>
    </w:p>
    <w:p w14:paraId="4FB1807C" w14:textId="6AC1461B" w:rsidR="00C73035" w:rsidRPr="004B5B86" w:rsidRDefault="00C73035" w:rsidP="00C73035">
      <w:pPr>
        <w:pStyle w:val="BodyText"/>
        <w:rPr>
          <w:b/>
          <w:bCs/>
          <w:sz w:val="24"/>
          <w:szCs w:val="24"/>
        </w:rPr>
      </w:pPr>
      <w:r w:rsidRPr="00C73035">
        <w:rPr>
          <w:rFonts w:hint="cs"/>
          <w:b/>
          <w:bCs/>
          <w:sz w:val="24"/>
          <w:szCs w:val="24"/>
          <w:rtl/>
        </w:rPr>
        <w:t>تقييم</w:t>
      </w:r>
      <w:r w:rsidRPr="00C73035">
        <w:rPr>
          <w:b/>
          <w:bCs/>
          <w:sz w:val="24"/>
          <w:szCs w:val="24"/>
          <w:rtl/>
        </w:rPr>
        <w:t xml:space="preserve"> التقدم المحرز </w:t>
      </w:r>
      <w:r w:rsidRPr="00C73035">
        <w:rPr>
          <w:rFonts w:hint="cs"/>
          <w:b/>
          <w:bCs/>
          <w:sz w:val="24"/>
          <w:szCs w:val="24"/>
          <w:rtl/>
        </w:rPr>
        <w:t>وتقديم</w:t>
      </w:r>
      <w:r w:rsidRPr="00C73035">
        <w:rPr>
          <w:b/>
          <w:bCs/>
          <w:sz w:val="24"/>
          <w:szCs w:val="24"/>
          <w:rtl/>
        </w:rPr>
        <w:t xml:space="preserve"> توصية إلى الجمعية العامة</w:t>
      </w:r>
    </w:p>
    <w:p w14:paraId="679AE60B" w14:textId="2649CD2D" w:rsidR="00C73035" w:rsidRDefault="00655070" w:rsidP="00C73035">
      <w:pPr>
        <w:pStyle w:val="BodyText"/>
        <w:rPr>
          <w:rtl/>
        </w:rPr>
      </w:pPr>
      <w:r w:rsidRPr="00655070">
        <w:rPr>
          <w:rtl/>
        </w:rPr>
        <w:t xml:space="preserve">أجرت اللجنة تقييماً للتقدم المحرز خلال الثنائية 2024-2025، وأكّدت أن يُحال النصان الواردان في مرفقي الوثيقتين </w:t>
      </w:r>
      <w:r w:rsidRPr="00655070">
        <w:t>WIPO/GRTKF/IC/51/4</w:t>
      </w:r>
      <w:r w:rsidRPr="00655070">
        <w:rPr>
          <w:rtl/>
        </w:rPr>
        <w:t xml:space="preserve"> و</w:t>
      </w:r>
      <w:r w:rsidRPr="00655070">
        <w:t>WIPO/GRTKF/IC/51/5</w:t>
      </w:r>
      <w:r w:rsidRPr="00655070">
        <w:rPr>
          <w:rtl/>
        </w:rPr>
        <w:t xml:space="preserve"> إلى الجمعية العامة للويبو لعام 2025، وفقاً لولاية اللجنة للثنائية</w:t>
      </w:r>
      <w:r>
        <w:rPr>
          <w:rFonts w:hint="cs"/>
          <w:rtl/>
        </w:rPr>
        <w:t> </w:t>
      </w:r>
      <w:r w:rsidRPr="00655070">
        <w:rPr>
          <w:rtl/>
        </w:rPr>
        <w:t>2024-2025 وبرنامج عملها لعام 2025.</w:t>
      </w:r>
    </w:p>
    <w:p w14:paraId="001D54BD" w14:textId="78510E43" w:rsidR="00655070" w:rsidRDefault="00655070" w:rsidP="00C73035">
      <w:pPr>
        <w:pStyle w:val="BodyText"/>
        <w:rPr>
          <w:rtl/>
        </w:rPr>
      </w:pPr>
      <w:r w:rsidRPr="00655070">
        <w:rPr>
          <w:rtl/>
        </w:rPr>
        <w:t xml:space="preserve">ووافقت اللجنة على أن توصي الجمعية العامة للويبو لعام 2025 بتجديد ولاية اللجنة للثنائية 2026-2027. ووافقت اللجنة </w:t>
      </w:r>
      <w:r>
        <w:rPr>
          <w:rFonts w:hint="cs"/>
          <w:rtl/>
        </w:rPr>
        <w:t>كذلك</w:t>
      </w:r>
      <w:r w:rsidRPr="00655070">
        <w:rPr>
          <w:rtl/>
        </w:rPr>
        <w:t xml:space="preserve"> على أن توصي الجمعية العامة لعام 2025 بأن تكون شروط ولاية اللجنة وبرنامج عملها للثنائية 2026-2027 </w:t>
      </w:r>
      <w:r>
        <w:rPr>
          <w:rFonts w:hint="cs"/>
          <w:rtl/>
        </w:rPr>
        <w:t>على النحو التالي</w:t>
      </w:r>
      <w:r w:rsidRPr="00655070">
        <w:rPr>
          <w:rtl/>
        </w:rPr>
        <w:t>:</w:t>
      </w:r>
    </w:p>
    <w:p w14:paraId="3315F6BD" w14:textId="11E09008" w:rsidR="008617CF" w:rsidRPr="006C281A" w:rsidRDefault="00387DC4" w:rsidP="008617CF">
      <w:pPr>
        <w:spacing w:after="220"/>
        <w:rPr>
          <w:rtl/>
          <w:lang w:bidi="ar-EG"/>
        </w:rPr>
      </w:pPr>
      <w:r>
        <w:rPr>
          <w:rFonts w:hint="cs"/>
          <w:rtl/>
          <w:lang w:bidi="ar-EG"/>
        </w:rPr>
        <w:t>"</w:t>
      </w:r>
      <w:r w:rsidR="008617CF" w:rsidRPr="006C281A">
        <w:rPr>
          <w:rFonts w:hint="cs"/>
          <w:rtl/>
          <w:lang w:bidi="ar-EG"/>
        </w:rPr>
        <w:t>إنّ الجمعية العامة للويبو، إذ تضع في اعتبارها توصيات أجندة التنمية، وتؤكد من جديد أهمية لجنة الويبو الحكومية الدولية المعنية بالملكية الفكرية والموارد الوراثية والمعارف التقليدية والفولكلور (اللجنة)، وتلاحظ الطبيعة المختلفة لتلك القضايا وتقرّ بالتقدم المحرز، توافق على تجديد ولاية اللجنة، دون الإخلال بالعمل الجاري في محافل أخرى، على النحو التالي:</w:t>
      </w:r>
    </w:p>
    <w:p w14:paraId="6CA7785D" w14:textId="1009DA1D" w:rsidR="008617CF" w:rsidRPr="00C371A7" w:rsidRDefault="008617CF" w:rsidP="008617CF">
      <w:pPr>
        <w:numPr>
          <w:ilvl w:val="0"/>
          <w:numId w:val="9"/>
        </w:numPr>
        <w:spacing w:after="220"/>
        <w:ind w:left="1124" w:hanging="562"/>
        <w:rPr>
          <w:rFonts w:eastAsia="Times New Roman"/>
          <w:lang w:eastAsia="en-US" w:bidi="ar-EG"/>
        </w:rPr>
      </w:pPr>
      <w:r w:rsidRPr="00C371A7">
        <w:rPr>
          <w:rFonts w:eastAsia="Times New Roman" w:hint="cs"/>
          <w:rtl/>
          <w:lang w:eastAsia="en-US" w:bidi="ar-EG"/>
        </w:rPr>
        <w:lastRenderedPageBreak/>
        <w:t xml:space="preserve">ستواصل اللجنة، خلال ثنائية الميزانية 2026/2027، </w:t>
      </w:r>
      <w:r w:rsidRPr="00C371A7">
        <w:rPr>
          <w:rFonts w:eastAsia="Times New Roman"/>
          <w:rtl/>
          <w:lang w:eastAsia="en-US" w:bidi="ar-EG"/>
        </w:rPr>
        <w:t xml:space="preserve">في عملية تقودها الدول الأعضاء، عملها بشأن حماية </w:t>
      </w:r>
      <w:r w:rsidR="00E264F6">
        <w:rPr>
          <w:rFonts w:eastAsia="Times New Roman" w:hint="cs"/>
          <w:rtl/>
          <w:lang w:eastAsia="en-US"/>
        </w:rPr>
        <w:t>الموارد الوراثية و</w:t>
      </w:r>
      <w:r w:rsidRPr="00C371A7">
        <w:rPr>
          <w:rFonts w:eastAsia="Times New Roman"/>
          <w:rtl/>
          <w:lang w:eastAsia="en-US" w:bidi="ar-EG"/>
        </w:rPr>
        <w:t>المعارف التقليدية وأشكال التعبير الثقافي التقليدي،</w:t>
      </w:r>
      <w:r w:rsidRPr="00C371A7">
        <w:rPr>
          <w:rFonts w:eastAsia="Times New Roman" w:hint="cs"/>
          <w:rtl/>
          <w:lang w:eastAsia="en-US" w:bidi="ar-EG"/>
        </w:rPr>
        <w:t xml:space="preserve"> بهدف استكمال اتفاق حول صك قانوني دولي (صكوك قانونية دولية)، دون إخلال بطبيعة النتيجة (النتائج)، فيما يتعلق بالملكية الفكرية، بما يضمن الحماية المتوازنة والفعالة للمعارف التقليدية وأشكال التعبير الثقافي التقليدي.</w:t>
      </w:r>
    </w:p>
    <w:p w14:paraId="6D90B1D5" w14:textId="7C402046" w:rsidR="008617CF" w:rsidRDefault="008617CF" w:rsidP="008617CF">
      <w:pPr>
        <w:numPr>
          <w:ilvl w:val="0"/>
          <w:numId w:val="9"/>
        </w:numPr>
        <w:spacing w:after="220"/>
        <w:ind w:left="1124" w:hanging="562"/>
        <w:rPr>
          <w:rFonts w:eastAsia="Times New Roman"/>
          <w:lang w:eastAsia="en-US" w:bidi="ar-EG"/>
        </w:rPr>
      </w:pPr>
      <w:r w:rsidRPr="00986EDA">
        <w:rPr>
          <w:rFonts w:eastAsia="Times New Roman" w:hint="cs"/>
          <w:rtl/>
          <w:lang w:eastAsia="en-US" w:bidi="ar-EG"/>
        </w:rPr>
        <w:t xml:space="preserve">وسيكون عمل اللجنة </w:t>
      </w:r>
      <w:r w:rsidR="00E264F6">
        <w:rPr>
          <w:rFonts w:eastAsia="Times New Roman" w:hint="cs"/>
          <w:rtl/>
          <w:lang w:eastAsia="en-US" w:bidi="ar-EG"/>
        </w:rPr>
        <w:t>بشأن المعارف التقليدية وأشكال التعبير الثقافي التقليدي</w:t>
      </w:r>
      <w:r w:rsidR="009776C8">
        <w:rPr>
          <w:rFonts w:eastAsia="Times New Roman" w:hint="cs"/>
          <w:rtl/>
          <w:lang w:eastAsia="en-US" w:bidi="ar-EG"/>
        </w:rPr>
        <w:t>،</w:t>
      </w:r>
      <w:r w:rsidR="00E264F6">
        <w:rPr>
          <w:rFonts w:eastAsia="Times New Roman" w:hint="cs"/>
          <w:rtl/>
          <w:lang w:eastAsia="en-US" w:bidi="ar-EG"/>
        </w:rPr>
        <w:t xml:space="preserve"> </w:t>
      </w:r>
      <w:r w:rsidRPr="00986EDA">
        <w:rPr>
          <w:rFonts w:eastAsia="Times New Roman" w:hint="cs"/>
          <w:rtl/>
          <w:lang w:eastAsia="en-US" w:bidi="ar-EG"/>
        </w:rPr>
        <w:t>خلال الثنائية 2026/2027</w:t>
      </w:r>
      <w:r w:rsidR="009776C8">
        <w:rPr>
          <w:rFonts w:eastAsia="Times New Roman" w:hint="cs"/>
          <w:rtl/>
          <w:lang w:eastAsia="en-US" w:bidi="ar-EG"/>
        </w:rPr>
        <w:t xml:space="preserve">، </w:t>
      </w:r>
      <w:r w:rsidRPr="00986EDA">
        <w:rPr>
          <w:rFonts w:eastAsia="Times New Roman" w:hint="cs"/>
          <w:rtl/>
          <w:lang w:eastAsia="en-US" w:bidi="ar-EG"/>
        </w:rPr>
        <w:t>مستنداً إلى ما أنجزته من عمل، بما في ذلك المفاوضات القائمة على النصوص، مع التركيز الرئيسي على تضييق الفجوات القائمة والتوصل إلى تفاهم حول القضايا الجوهرية</w:t>
      </w:r>
      <w:r w:rsidR="00E264F6">
        <w:rPr>
          <w:rFonts w:eastAsia="Times New Roman" w:hint="cs"/>
          <w:rtl/>
          <w:lang w:eastAsia="en-US" w:bidi="ar-EG"/>
        </w:rPr>
        <w:t>.</w:t>
      </w:r>
    </w:p>
    <w:p w14:paraId="289EE303" w14:textId="1EF73AE3" w:rsidR="00E264F6" w:rsidRPr="00986EDA" w:rsidRDefault="00E264F6" w:rsidP="008617CF">
      <w:pPr>
        <w:numPr>
          <w:ilvl w:val="0"/>
          <w:numId w:val="9"/>
        </w:numPr>
        <w:spacing w:after="220"/>
        <w:ind w:left="1124" w:hanging="562"/>
        <w:rPr>
          <w:rFonts w:eastAsia="Times New Roman"/>
          <w:lang w:eastAsia="en-US" w:bidi="ar-EG"/>
        </w:rPr>
      </w:pPr>
      <w:r w:rsidRPr="00E264F6">
        <w:rPr>
          <w:rFonts w:eastAsia="Times New Roman"/>
          <w:rtl/>
          <w:lang w:eastAsia="en-US" w:bidi="ar-EG"/>
        </w:rPr>
        <w:t>وإذ تأخذ اللجنة في الاعتبار معاهدة الويبو بشأن الملكية الفكرية والموارد الوراثية والمعارف التقليدية المرتبطة بها، المعتمدة في عام 2024، ستواصل، خلال ثنائية الميزانية 2026/202</w:t>
      </w:r>
      <w:r w:rsidR="009776C8">
        <w:rPr>
          <w:rFonts w:eastAsia="Times New Roman" w:hint="cs"/>
          <w:rtl/>
          <w:lang w:eastAsia="en-US" w:bidi="ar-EG"/>
        </w:rPr>
        <w:t>7</w:t>
      </w:r>
      <w:r w:rsidRPr="00E264F6">
        <w:rPr>
          <w:rFonts w:eastAsia="Times New Roman"/>
          <w:rtl/>
          <w:lang w:eastAsia="en-US" w:bidi="ar-EG"/>
        </w:rPr>
        <w:t xml:space="preserve">، مناقشة قضايا الملكية الفكرية المتعلقة بالموارد الوراثية </w:t>
      </w:r>
      <w:r w:rsidR="009776C8">
        <w:rPr>
          <w:rFonts w:eastAsia="Times New Roman" w:hint="cs"/>
          <w:rtl/>
          <w:lang w:eastAsia="en-US" w:bidi="ar-EG"/>
        </w:rPr>
        <w:t>وترابطها</w:t>
      </w:r>
      <w:r w:rsidRPr="00E264F6">
        <w:rPr>
          <w:rFonts w:eastAsia="Times New Roman"/>
          <w:rtl/>
          <w:lang w:eastAsia="en-US" w:bidi="ar-EG"/>
        </w:rPr>
        <w:t xml:space="preserve"> </w:t>
      </w:r>
      <w:r w:rsidR="009776C8">
        <w:rPr>
          <w:rFonts w:eastAsia="Times New Roman" w:hint="cs"/>
          <w:rtl/>
          <w:lang w:eastAsia="en-US" w:bidi="ar-EG"/>
        </w:rPr>
        <w:t xml:space="preserve">مع </w:t>
      </w:r>
      <w:r w:rsidRPr="00E264F6">
        <w:rPr>
          <w:rFonts w:eastAsia="Times New Roman"/>
          <w:rtl/>
          <w:lang w:eastAsia="en-US" w:bidi="ar-EG"/>
        </w:rPr>
        <w:t>المعارف التقليدية وأشكال التعبير الثقافي التقليدي، دون الاضطلاع بعمل معياري بشأن الموارد الوراثية</w:t>
      </w:r>
      <w:r w:rsidR="009776C8">
        <w:rPr>
          <w:rFonts w:eastAsia="Times New Roman" w:hint="cs"/>
          <w:rtl/>
          <w:lang w:eastAsia="en-US" w:bidi="ar-EG"/>
        </w:rPr>
        <w:t>.</w:t>
      </w:r>
    </w:p>
    <w:p w14:paraId="63031F1B" w14:textId="690AE730" w:rsidR="008617CF" w:rsidRPr="00986EDA" w:rsidRDefault="008617CF" w:rsidP="008617CF">
      <w:pPr>
        <w:numPr>
          <w:ilvl w:val="0"/>
          <w:numId w:val="9"/>
        </w:numPr>
        <w:spacing w:after="220"/>
        <w:ind w:left="1124" w:hanging="562"/>
        <w:rPr>
          <w:rFonts w:eastAsia="Times New Roman"/>
          <w:lang w:eastAsia="en-US" w:bidi="ar-EG"/>
        </w:rPr>
      </w:pPr>
      <w:r w:rsidRPr="00986EDA">
        <w:rPr>
          <w:rFonts w:eastAsia="Times New Roman" w:hint="cs"/>
          <w:rtl/>
          <w:lang w:eastAsia="en-US" w:bidi="ar-EG"/>
        </w:rPr>
        <w:t xml:space="preserve">وستتّبع اللجنة، كما هو مبيَّن في الجدول أدناه، برنامج عمل يقوم على أساليب عمل مفتوحة وشاملة، للثنائية 2026/2027، بما في ذلك </w:t>
      </w:r>
      <w:r w:rsidR="00986EDA" w:rsidRPr="00986EDA">
        <w:rPr>
          <w:rFonts w:eastAsia="Times New Roman" w:hint="cs"/>
          <w:rtl/>
          <w:lang w:eastAsia="en-US" w:bidi="ar-EG"/>
        </w:rPr>
        <w:t>نهج</w:t>
      </w:r>
      <w:r w:rsidRPr="00986EDA">
        <w:rPr>
          <w:rFonts w:eastAsia="Times New Roman" w:hint="cs"/>
          <w:rtl/>
          <w:lang w:eastAsia="en-US" w:bidi="ar-EG"/>
        </w:rPr>
        <w:t xml:space="preserve"> قائم على الأدلة </w:t>
      </w:r>
      <w:r w:rsidR="009776C8">
        <w:rPr>
          <w:rFonts w:eastAsia="Times New Roman" w:hint="cs"/>
          <w:rtl/>
          <w:lang w:eastAsia="en-US" w:bidi="ar-EG"/>
        </w:rPr>
        <w:t xml:space="preserve">مع أمثلة واقعية، بما في ذلك تجارب وطنية/إقليمية، </w:t>
      </w:r>
      <w:r w:rsidRPr="00986EDA">
        <w:rPr>
          <w:rFonts w:eastAsia="Times New Roman" w:hint="cs"/>
          <w:rtl/>
          <w:lang w:eastAsia="en-US" w:bidi="ar-EG"/>
        </w:rPr>
        <w:t>كما هو مبيَّن في الفقرة (</w:t>
      </w:r>
      <w:r w:rsidR="00986EDA" w:rsidRPr="00986EDA">
        <w:rPr>
          <w:rFonts w:eastAsia="Times New Roman" w:hint="cs"/>
          <w:rtl/>
          <w:lang w:eastAsia="en-US" w:bidi="ar-EG"/>
        </w:rPr>
        <w:t>ه</w:t>
      </w:r>
      <w:r w:rsidRPr="00986EDA">
        <w:rPr>
          <w:rFonts w:eastAsia="Times New Roman" w:hint="cs"/>
          <w:rtl/>
          <w:lang w:eastAsia="en-US" w:bidi="ar-EG"/>
        </w:rPr>
        <w:t xml:space="preserve">). ويكفل هذا البرنامج تنظيم </w:t>
      </w:r>
      <w:r w:rsidR="009776C8">
        <w:rPr>
          <w:rFonts w:eastAsia="Times New Roman" w:hint="cs"/>
          <w:rtl/>
          <w:lang w:eastAsia="en-US" w:bidi="ar-EG"/>
        </w:rPr>
        <w:t>3</w:t>
      </w:r>
      <w:r w:rsidRPr="00986EDA">
        <w:rPr>
          <w:rFonts w:eastAsia="Times New Roman" w:hint="cs"/>
          <w:rtl/>
          <w:lang w:eastAsia="en-US" w:bidi="ar-EG"/>
        </w:rPr>
        <w:t xml:space="preserve"> دورات للجنة في 2026/2027، بما في ذلك دورات مواضيعية ومتداخلة وتقييمية.</w:t>
      </w:r>
    </w:p>
    <w:p w14:paraId="1ECB37E9" w14:textId="638F0908" w:rsidR="008617CF" w:rsidRPr="00905EB4" w:rsidRDefault="008617CF" w:rsidP="008617CF">
      <w:pPr>
        <w:numPr>
          <w:ilvl w:val="0"/>
          <w:numId w:val="9"/>
        </w:numPr>
        <w:spacing w:after="220"/>
        <w:ind w:left="1124" w:hanging="562"/>
        <w:rPr>
          <w:rFonts w:eastAsia="Times New Roman"/>
          <w:lang w:eastAsia="en-US" w:bidi="ar-EG"/>
        </w:rPr>
      </w:pPr>
      <w:r w:rsidRPr="00905EB4">
        <w:rPr>
          <w:rFonts w:eastAsia="Times New Roman" w:hint="cs"/>
          <w:rtl/>
          <w:lang w:eastAsia="en-US" w:bidi="ar-EG"/>
        </w:rPr>
        <w:t xml:space="preserve">وستستخدم اللجنة جميع وثائق عمل الويبو، بما فيها </w:t>
      </w:r>
      <w:r w:rsidRPr="00905EB4">
        <w:rPr>
          <w:rFonts w:eastAsia="Times New Roman"/>
          <w:rtl/>
          <w:lang w:eastAsia="en-US"/>
        </w:rPr>
        <w:t>الوثيقت</w:t>
      </w:r>
      <w:r w:rsidR="00905EB4" w:rsidRPr="00905EB4">
        <w:rPr>
          <w:rFonts w:eastAsia="Times New Roman" w:hint="cs"/>
          <w:rtl/>
          <w:lang w:eastAsia="en-US"/>
        </w:rPr>
        <w:t>ا</w:t>
      </w:r>
      <w:r w:rsidRPr="00905EB4">
        <w:rPr>
          <w:rFonts w:eastAsia="Times New Roman"/>
          <w:rtl/>
          <w:lang w:eastAsia="en-US"/>
        </w:rPr>
        <w:t xml:space="preserve">ن </w:t>
      </w:r>
      <w:r w:rsidRPr="00905EB4">
        <w:rPr>
          <w:rFonts w:eastAsia="Times New Roman"/>
          <w:lang w:eastAsia="en-US"/>
        </w:rPr>
        <w:t>WIPO/GRTKF/IC/51/4</w:t>
      </w:r>
      <w:r w:rsidRPr="00905EB4">
        <w:rPr>
          <w:rFonts w:eastAsia="Times New Roman" w:hint="cs"/>
          <w:rtl/>
          <w:lang w:eastAsia="en-US"/>
        </w:rPr>
        <w:t xml:space="preserve"> (</w:t>
      </w:r>
      <w:r w:rsidRPr="00905EB4">
        <w:rPr>
          <w:rFonts w:eastAsia="Times New Roman"/>
          <w:rtl/>
          <w:lang w:eastAsia="en-US"/>
        </w:rPr>
        <w:t>حماية المعارف التقليدية: مشروع مواد</w:t>
      </w:r>
      <w:r w:rsidRPr="00905EB4">
        <w:rPr>
          <w:rFonts w:eastAsia="Times New Roman" w:hint="cs"/>
          <w:rtl/>
          <w:lang w:eastAsia="en-US"/>
        </w:rPr>
        <w:t>)</w:t>
      </w:r>
      <w:r w:rsidRPr="00905EB4">
        <w:rPr>
          <w:rFonts w:eastAsia="Times New Roman"/>
          <w:rtl/>
          <w:lang w:eastAsia="en-US"/>
        </w:rPr>
        <w:t xml:space="preserve"> و</w:t>
      </w:r>
      <w:r w:rsidRPr="00905EB4">
        <w:rPr>
          <w:rFonts w:eastAsia="Times New Roman"/>
          <w:lang w:eastAsia="en-US"/>
        </w:rPr>
        <w:t>WIPO/GRTKF/IC/51/5</w:t>
      </w:r>
      <w:r w:rsidRPr="00905EB4">
        <w:rPr>
          <w:rFonts w:eastAsia="Times New Roman" w:hint="cs"/>
          <w:rtl/>
          <w:lang w:eastAsia="en-US"/>
        </w:rPr>
        <w:t xml:space="preserve"> (</w:t>
      </w:r>
      <w:r w:rsidRPr="00905EB4">
        <w:rPr>
          <w:rFonts w:eastAsia="Times New Roman"/>
          <w:rtl/>
          <w:lang w:eastAsia="en-US"/>
        </w:rPr>
        <w:t>حماية أشكال التعبير الثقافي التقليدي: مشروع مواد</w:t>
      </w:r>
      <w:r w:rsidRPr="00905EB4">
        <w:rPr>
          <w:rFonts w:eastAsia="Times New Roman" w:hint="cs"/>
          <w:rtl/>
          <w:lang w:eastAsia="en-US"/>
        </w:rPr>
        <w:t>)،</w:t>
      </w:r>
      <w:r w:rsidRPr="00905EB4">
        <w:rPr>
          <w:rFonts w:eastAsia="Times New Roman" w:hint="cs"/>
          <w:rtl/>
          <w:lang w:eastAsia="en-US" w:bidi="ar-EG"/>
        </w:rPr>
        <w:t xml:space="preserve"> فضلاً عن أي مساهمات أخرى من الدول الأعضاء، مثل إعداد/تحديث الدراسات التي تغطي جوانب من بينها الأمثلة المتعلقة بالتجارب الوطنية، بما فيها التشريعات المحلية، وتقييم الوقع، وقواعد البيانات، والأمثلة الخاصة بالموضوع القابل للحماية والموضوع الذي لا تُطلب حمايته؛ ونتائج أي أنشطة </w:t>
      </w:r>
      <w:r w:rsidR="00905EB4" w:rsidRPr="00905EB4">
        <w:rPr>
          <w:rFonts w:eastAsia="Times New Roman" w:hint="cs"/>
          <w:rtl/>
          <w:lang w:eastAsia="en-US" w:bidi="ar-EG"/>
        </w:rPr>
        <w:t xml:space="preserve">ذات صلة </w:t>
      </w:r>
      <w:r w:rsidRPr="00905EB4">
        <w:rPr>
          <w:rFonts w:eastAsia="Times New Roman" w:hint="cs"/>
          <w:rtl/>
          <w:lang w:eastAsia="en-US" w:bidi="ar-EG"/>
        </w:rPr>
        <w:t xml:space="preserve">منجزة في إطار برنامج </w:t>
      </w:r>
      <w:r w:rsidRPr="00905EB4">
        <w:rPr>
          <w:rFonts w:eastAsia="Times New Roman"/>
          <w:rtl/>
          <w:lang w:eastAsia="en-US" w:bidi="ar-EG"/>
        </w:rPr>
        <w:t>تكوين الكفاءات والمساعدة التقنية</w:t>
      </w:r>
      <w:r w:rsidRPr="00905EB4">
        <w:rPr>
          <w:rFonts w:eastAsia="Times New Roman" w:hint="cs"/>
          <w:rtl/>
          <w:lang w:eastAsia="en-US" w:bidi="ar-EG"/>
        </w:rPr>
        <w:t xml:space="preserve"> الذي تنفذه </w:t>
      </w:r>
      <w:r w:rsidRPr="00905EB4">
        <w:rPr>
          <w:rFonts w:eastAsia="Times New Roman"/>
          <w:rtl/>
          <w:lang w:eastAsia="en-US" w:bidi="ar-EG"/>
        </w:rPr>
        <w:t>الأمانة (شعبة المعارف التقليدية).</w:t>
      </w:r>
      <w:r w:rsidRPr="00905EB4">
        <w:rPr>
          <w:rFonts w:eastAsia="Times New Roman" w:hint="cs"/>
          <w:rtl/>
          <w:lang w:eastAsia="en-US" w:bidi="ar-EG"/>
        </w:rPr>
        <w:t xml:space="preserve"> ويُلتمس من الأمانة أن تستمر في جمع معلومات عن الأنظمة الوطنية والإقليمية الخاصة لحماية الملكية الفكرية المرتبطة بالمعارف التقليدية وأشكال التعبير الثقافي التقليدي، وتجميعها وإتاحتها على الإنترنت. ولا يجوز لتلك الدراسات أو الأنشطة الإضافية أن تؤخّر التقدم أو تضع شروطاً مسبقة للمفاوضات.</w:t>
      </w:r>
    </w:p>
    <w:p w14:paraId="752CA375" w14:textId="53B75906" w:rsidR="008617CF" w:rsidRPr="008C4BA5" w:rsidRDefault="008617CF" w:rsidP="008617CF">
      <w:pPr>
        <w:numPr>
          <w:ilvl w:val="0"/>
          <w:numId w:val="9"/>
        </w:numPr>
        <w:spacing w:after="220"/>
        <w:ind w:left="1124" w:hanging="562"/>
        <w:rPr>
          <w:rFonts w:eastAsia="Times New Roman"/>
          <w:lang w:eastAsia="en-US" w:bidi="ar-EG"/>
        </w:rPr>
      </w:pPr>
      <w:r w:rsidRPr="008C4BA5">
        <w:rPr>
          <w:rFonts w:eastAsia="Times New Roman" w:hint="cs"/>
          <w:rtl/>
          <w:lang w:eastAsia="en-US" w:bidi="ar-EG"/>
        </w:rPr>
        <w:t xml:space="preserve">ويُلتمس من اللجنة أن تقدِّم إلى الجمـعية العامة، في عام </w:t>
      </w:r>
      <w:r w:rsidR="009776C8">
        <w:rPr>
          <w:rFonts w:eastAsia="Times New Roman" w:hint="cs"/>
          <w:rtl/>
          <w:lang w:eastAsia="en-US" w:bidi="ar-EG"/>
        </w:rPr>
        <w:t>2026</w:t>
      </w:r>
      <w:r w:rsidRPr="008C4BA5">
        <w:rPr>
          <w:rFonts w:eastAsia="Times New Roman" w:hint="cs"/>
          <w:rtl/>
          <w:lang w:eastAsia="en-US" w:bidi="ar-EG"/>
        </w:rPr>
        <w:t>، نتائج عملها. و</w:t>
      </w:r>
      <w:r w:rsidR="00F80A95">
        <w:rPr>
          <w:rFonts w:eastAsia="Times New Roman" w:hint="cs"/>
          <w:rtl/>
          <w:lang w:eastAsia="en-US" w:bidi="ar-EG"/>
        </w:rPr>
        <w:t xml:space="preserve">في عام 2027، ستحيط الجمعية العامة علماً بالمناقشات بشأن الموارد الوراثية، وتقيّم </w:t>
      </w:r>
      <w:r w:rsidRPr="008C4BA5">
        <w:rPr>
          <w:rFonts w:eastAsia="Times New Roman" w:hint="cs"/>
          <w:rtl/>
          <w:lang w:eastAsia="en-US" w:bidi="ar-EG"/>
        </w:rPr>
        <w:t xml:space="preserve">التقدم المحرز </w:t>
      </w:r>
      <w:r w:rsidRPr="008C4BA5">
        <w:rPr>
          <w:rFonts w:eastAsia="Times New Roman"/>
          <w:rtl/>
          <w:lang w:eastAsia="en-US" w:bidi="ar-EG"/>
        </w:rPr>
        <w:t>بشأن المعارف التقليدية وأشكال التعبير الثقافي التقليدي</w:t>
      </w:r>
      <w:r w:rsidRPr="008C4BA5">
        <w:rPr>
          <w:rFonts w:eastAsia="Times New Roman" w:hint="cs"/>
          <w:rtl/>
          <w:lang w:eastAsia="en-US" w:bidi="ar-EG"/>
        </w:rPr>
        <w:t xml:space="preserve">، </w:t>
      </w:r>
      <w:r w:rsidR="00F80A95">
        <w:rPr>
          <w:rFonts w:eastAsia="Times New Roman" w:hint="cs"/>
          <w:rtl/>
          <w:lang w:eastAsia="en-US" w:bidi="ar-EG"/>
        </w:rPr>
        <w:t>وتبتّ</w:t>
      </w:r>
      <w:r w:rsidRPr="008C4BA5">
        <w:rPr>
          <w:rFonts w:eastAsia="Times New Roman" w:hint="cs"/>
          <w:rtl/>
          <w:lang w:eastAsia="en-US" w:bidi="ar-EG"/>
        </w:rPr>
        <w:t xml:space="preserve"> في الدعوة إلى عقد مؤتمر دبلوماسي و/أو مواصلة المفاوضات بناء على مستوى نضج النص (النصوص) بشأن </w:t>
      </w:r>
      <w:r w:rsidRPr="008C4BA5">
        <w:rPr>
          <w:rFonts w:eastAsia="Times New Roman"/>
          <w:rtl/>
          <w:lang w:eastAsia="en-US" w:bidi="ar-EG"/>
        </w:rPr>
        <w:t>المعارف التقليدية وأشكال التعبير الثقافي التقليدي</w:t>
      </w:r>
      <w:r w:rsidRPr="008C4BA5">
        <w:rPr>
          <w:rFonts w:eastAsia="Times New Roman" w:hint="cs"/>
          <w:rtl/>
          <w:lang w:eastAsia="en-US" w:bidi="ar-EG"/>
        </w:rPr>
        <w:t>، بما في ذلك مستويات الاتفاق على الأهداف والنطاق وطبيعة الصك (الصكوك).</w:t>
      </w:r>
    </w:p>
    <w:p w14:paraId="17DE799E" w14:textId="77777777" w:rsidR="008C4BA5" w:rsidRPr="00BB787F" w:rsidRDefault="008617CF" w:rsidP="008617CF">
      <w:pPr>
        <w:numPr>
          <w:ilvl w:val="0"/>
          <w:numId w:val="9"/>
        </w:numPr>
        <w:spacing w:after="220"/>
        <w:ind w:left="1124" w:hanging="562"/>
        <w:rPr>
          <w:rFonts w:eastAsia="Times New Roman"/>
          <w:lang w:eastAsia="en-US" w:bidi="ar-EG"/>
        </w:rPr>
      </w:pPr>
      <w:r w:rsidRPr="00BB787F">
        <w:rPr>
          <w:rFonts w:eastAsia="Times New Roman" w:hint="cs"/>
          <w:rtl/>
          <w:lang w:eastAsia="en-US" w:bidi="ar-EG"/>
        </w:rPr>
        <w:t>وتلتمس الجمعية العامة من الأمانة أن تستمر في مساعدة اللجنة بتزويد الدول الأعضاء بما يلزم من خبرة وبتمويل مشاركة الخبراء من البلدان النامية والبلدان الأقل نموا</w:t>
      </w:r>
      <w:r w:rsidR="008C4BA5" w:rsidRPr="00BB787F">
        <w:rPr>
          <w:rFonts w:eastAsia="Times New Roman" w:hint="cs"/>
          <w:rtl/>
          <w:lang w:eastAsia="en-US" w:bidi="ar-EG"/>
        </w:rPr>
        <w:t>ً</w:t>
      </w:r>
      <w:r w:rsidRPr="00BB787F">
        <w:rPr>
          <w:rFonts w:eastAsia="Times New Roman" w:hint="cs"/>
          <w:rtl/>
          <w:lang w:eastAsia="en-US" w:bidi="ar-EG"/>
        </w:rPr>
        <w:t xml:space="preserve"> بالطريقة الأكثر كفاءة، مع مراعاة الصيغة المعتاد اعتمادها في لجنة المعارف. </w:t>
      </w:r>
    </w:p>
    <w:p w14:paraId="4C87BA16" w14:textId="2B15DA36" w:rsidR="008617CF" w:rsidRDefault="008C4BA5" w:rsidP="008617CF">
      <w:pPr>
        <w:numPr>
          <w:ilvl w:val="0"/>
          <w:numId w:val="9"/>
        </w:numPr>
        <w:spacing w:after="220"/>
        <w:ind w:left="1124" w:hanging="562"/>
        <w:rPr>
          <w:rFonts w:eastAsia="Times New Roman"/>
          <w:lang w:eastAsia="en-US" w:bidi="ar-EG"/>
        </w:rPr>
      </w:pPr>
      <w:r w:rsidRPr="00BB787F">
        <w:rPr>
          <w:rFonts w:eastAsia="Times New Roman" w:hint="cs"/>
          <w:rtl/>
          <w:lang w:eastAsia="en-US" w:bidi="ar-EG"/>
        </w:rPr>
        <w:t>و</w:t>
      </w:r>
      <w:r w:rsidR="008617CF" w:rsidRPr="00BB787F">
        <w:rPr>
          <w:rFonts w:eastAsia="Times New Roman" w:hint="cs"/>
          <w:rtl/>
          <w:lang w:eastAsia="en-US" w:bidi="ar-EG"/>
        </w:rPr>
        <w:t xml:space="preserve">يُلتمس </w:t>
      </w:r>
      <w:r w:rsidR="008617CF" w:rsidRPr="00BB787F">
        <w:rPr>
          <w:rFonts w:eastAsia="Times New Roman"/>
          <w:rtl/>
          <w:lang w:eastAsia="en-US" w:bidi="ar-EG"/>
        </w:rPr>
        <w:t xml:space="preserve">من الأمانة تيسير المشاركة الفعالة للشعوب الأصلية وكذلك </w:t>
      </w:r>
      <w:r w:rsidR="008617CF" w:rsidRPr="00BB787F">
        <w:rPr>
          <w:rFonts w:eastAsia="Times New Roman" w:hint="cs"/>
          <w:rtl/>
          <w:lang w:eastAsia="en-US" w:bidi="ar-EG"/>
        </w:rPr>
        <w:t>الجماعات</w:t>
      </w:r>
      <w:r w:rsidR="008617CF" w:rsidRPr="00BB787F">
        <w:rPr>
          <w:rFonts w:eastAsia="Times New Roman"/>
          <w:rtl/>
          <w:lang w:eastAsia="en-US" w:bidi="ar-EG"/>
        </w:rPr>
        <w:t xml:space="preserve"> المحلية في عمل الويبو المعياري المتعلق بالمعارف التقليدية وأشكال التعبير الثقافي التقليدي.</w:t>
      </w:r>
      <w:r w:rsidRPr="00BB787F">
        <w:rPr>
          <w:rFonts w:eastAsia="Times New Roman" w:hint="cs"/>
          <w:rtl/>
          <w:lang w:eastAsia="en-US" w:bidi="ar-EG"/>
        </w:rPr>
        <w:t xml:space="preserve"> </w:t>
      </w:r>
      <w:r w:rsidR="00F80A95">
        <w:rPr>
          <w:rFonts w:eastAsia="Times New Roman" w:hint="cs"/>
          <w:rtl/>
          <w:lang w:eastAsia="en-US" w:bidi="ar-EG"/>
        </w:rPr>
        <w:t>وبهدف تعميق التفاعل</w:t>
      </w:r>
      <w:r w:rsidR="00BB787F" w:rsidRPr="00BB787F">
        <w:rPr>
          <w:rFonts w:eastAsia="Times New Roman"/>
          <w:rtl/>
          <w:lang w:eastAsia="en-US" w:bidi="ar-EG"/>
        </w:rPr>
        <w:t>، يُلتمس من الأمانة</w:t>
      </w:r>
      <w:r w:rsidR="00F80A95">
        <w:rPr>
          <w:rFonts w:eastAsia="Times New Roman" w:hint="cs"/>
          <w:rtl/>
          <w:lang w:eastAsia="en-US" w:bidi="ar-EG"/>
        </w:rPr>
        <w:t xml:space="preserve"> أيضاً</w:t>
      </w:r>
      <w:r w:rsidR="00BB787F" w:rsidRPr="00BB787F">
        <w:rPr>
          <w:rFonts w:eastAsia="Times New Roman"/>
          <w:rtl/>
          <w:lang w:eastAsia="en-US" w:bidi="ar-EG"/>
        </w:rPr>
        <w:t xml:space="preserve"> أن تنظ</w:t>
      </w:r>
      <w:r w:rsidR="00F80A95">
        <w:rPr>
          <w:rFonts w:eastAsia="Times New Roman" w:hint="cs"/>
          <w:rtl/>
          <w:lang w:eastAsia="en-US" w:bidi="ar-EG"/>
        </w:rPr>
        <w:t>ّ</w:t>
      </w:r>
      <w:r w:rsidR="00BB787F" w:rsidRPr="00BB787F">
        <w:rPr>
          <w:rFonts w:eastAsia="Times New Roman"/>
          <w:rtl/>
          <w:lang w:eastAsia="en-US" w:bidi="ar-EG"/>
        </w:rPr>
        <w:t xml:space="preserve">م، في حدود الموارد المتاحة، حلقة عمل </w:t>
      </w:r>
      <w:r w:rsidR="00F80A95">
        <w:rPr>
          <w:rFonts w:eastAsia="Times New Roman" w:hint="cs"/>
          <w:rtl/>
          <w:lang w:eastAsia="en-US" w:bidi="ar-EG"/>
        </w:rPr>
        <w:t>هجينة ل</w:t>
      </w:r>
      <w:r w:rsidR="00BB787F" w:rsidRPr="00BB787F">
        <w:rPr>
          <w:rFonts w:eastAsia="Times New Roman"/>
          <w:rtl/>
          <w:lang w:eastAsia="en-US" w:bidi="ar-EG"/>
        </w:rPr>
        <w:t>لخبراء، باتباع ترتيبات مماثلة لتلك التي اتُفق عليها في الدورة العشرين للجنة في إطار البند 8 من جدول الأعمال، مع إدخال ما يلزم من تعديل.</w:t>
      </w:r>
    </w:p>
    <w:p w14:paraId="5B8D5558" w14:textId="45907618" w:rsidR="00E35474" w:rsidRDefault="00E35474">
      <w:pPr>
        <w:bidi w:val="0"/>
        <w:rPr>
          <w:rFonts w:eastAsia="Times New Roman"/>
          <w:rtl/>
          <w:lang w:eastAsia="en-US" w:bidi="ar-EG"/>
        </w:rPr>
      </w:pPr>
      <w:r>
        <w:rPr>
          <w:rFonts w:eastAsia="Times New Roman"/>
          <w:rtl/>
          <w:lang w:eastAsia="en-US" w:bidi="ar-EG"/>
        </w:rPr>
        <w:br w:type="page"/>
      </w:r>
    </w:p>
    <w:p w14:paraId="0DFABE21" w14:textId="256FA128" w:rsidR="008617CF" w:rsidRPr="00E35474" w:rsidRDefault="008617CF" w:rsidP="008617CF">
      <w:pPr>
        <w:keepNext/>
        <w:keepLines/>
        <w:spacing w:after="220"/>
        <w:ind w:left="1138"/>
        <w:rPr>
          <w:b/>
          <w:bCs/>
          <w:caps/>
          <w:kern w:val="32"/>
          <w:rtl/>
          <w:lang w:bidi="ar-EG"/>
        </w:rPr>
      </w:pPr>
      <w:r w:rsidRPr="00E35474">
        <w:rPr>
          <w:rFonts w:hint="cs"/>
          <w:b/>
          <w:bCs/>
          <w:caps/>
          <w:kern w:val="32"/>
          <w:rtl/>
          <w:lang w:bidi="ar-EG"/>
        </w:rPr>
        <w:lastRenderedPageBreak/>
        <w:t xml:space="preserve">برنامج العمل </w:t>
      </w:r>
      <w:r w:rsidRPr="00E35474">
        <w:rPr>
          <w:b/>
          <w:bCs/>
          <w:caps/>
          <w:kern w:val="32"/>
          <w:rtl/>
          <w:lang w:bidi="ar-EG"/>
        </w:rPr>
        <w:t>–</w:t>
      </w:r>
      <w:r w:rsidRPr="00E35474">
        <w:rPr>
          <w:rFonts w:hint="cs"/>
          <w:b/>
          <w:bCs/>
          <w:caps/>
          <w:kern w:val="32"/>
          <w:rtl/>
          <w:lang w:bidi="ar-EG"/>
        </w:rPr>
        <w:t xml:space="preserve"> </w:t>
      </w:r>
      <w:r w:rsidR="00F80A95">
        <w:rPr>
          <w:rFonts w:hint="cs"/>
          <w:b/>
          <w:bCs/>
          <w:caps/>
          <w:kern w:val="32"/>
          <w:rtl/>
          <w:lang w:bidi="ar-EG"/>
        </w:rPr>
        <w:t>3</w:t>
      </w:r>
      <w:r w:rsidRPr="00E35474">
        <w:rPr>
          <w:rFonts w:hint="cs"/>
          <w:b/>
          <w:bCs/>
          <w:caps/>
          <w:kern w:val="32"/>
          <w:rtl/>
          <w:lang w:bidi="ar-EG"/>
        </w:rPr>
        <w:t xml:space="preserve"> دورات</w:t>
      </w:r>
    </w:p>
    <w:tbl>
      <w:tblPr>
        <w:bidiVisual/>
        <w:tblW w:w="8210" w:type="dxa"/>
        <w:tblInd w:w="1366" w:type="dxa"/>
        <w:tblCellMar>
          <w:top w:w="8" w:type="dxa"/>
          <w:right w:w="82" w:type="dxa"/>
        </w:tblCellMar>
        <w:tblLook w:val="04A0" w:firstRow="1" w:lastRow="0" w:firstColumn="1" w:lastColumn="0" w:noHBand="0" w:noVBand="1"/>
        <w:tblCaption w:val="برنامج عمل اللجنة للفترة 2022-2023 - 6 دورات"/>
      </w:tblPr>
      <w:tblGrid>
        <w:gridCol w:w="2174"/>
        <w:gridCol w:w="6036"/>
      </w:tblGrid>
      <w:tr w:rsidR="008617CF" w:rsidRPr="008617CF" w14:paraId="114A8BCC" w14:textId="77777777" w:rsidTr="00A21228">
        <w:trPr>
          <w:trHeight w:val="20"/>
        </w:trPr>
        <w:tc>
          <w:tcPr>
            <w:tcW w:w="2174" w:type="dxa"/>
            <w:tcBorders>
              <w:top w:val="single" w:sz="4" w:space="0" w:color="000000"/>
              <w:left w:val="single" w:sz="4" w:space="0" w:color="000000"/>
              <w:bottom w:val="single" w:sz="4" w:space="0" w:color="000000"/>
              <w:right w:val="single" w:sz="4" w:space="0" w:color="000000"/>
            </w:tcBorders>
            <w:shd w:val="clear" w:color="auto" w:fill="auto"/>
          </w:tcPr>
          <w:p w14:paraId="675CAD2F" w14:textId="77777777" w:rsidR="008617CF" w:rsidRPr="00E35474" w:rsidRDefault="008617CF" w:rsidP="008617CF">
            <w:pPr>
              <w:rPr>
                <w:rtl/>
                <w:lang w:bidi="ar-EG"/>
              </w:rPr>
            </w:pPr>
            <w:r w:rsidRPr="00E35474">
              <w:rPr>
                <w:rFonts w:hint="cs"/>
                <w:b/>
                <w:bCs/>
                <w:rtl/>
                <w:lang w:bidi="ar-EG"/>
              </w:rPr>
              <w:t>التواريخ المؤقتة</w:t>
            </w:r>
          </w:p>
        </w:tc>
        <w:tc>
          <w:tcPr>
            <w:tcW w:w="6036" w:type="dxa"/>
            <w:tcBorders>
              <w:top w:val="single" w:sz="4" w:space="0" w:color="000000"/>
              <w:left w:val="single" w:sz="4" w:space="0" w:color="000000"/>
              <w:bottom w:val="single" w:sz="4" w:space="0" w:color="000000"/>
              <w:right w:val="single" w:sz="4" w:space="0" w:color="000000"/>
            </w:tcBorders>
            <w:shd w:val="clear" w:color="auto" w:fill="auto"/>
          </w:tcPr>
          <w:p w14:paraId="696CE2ED" w14:textId="77777777" w:rsidR="008617CF" w:rsidRPr="00E35474" w:rsidRDefault="008617CF" w:rsidP="008617CF">
            <w:pPr>
              <w:spacing w:after="120"/>
              <w:rPr>
                <w:rtl/>
                <w:lang w:bidi="ar-EG"/>
              </w:rPr>
            </w:pPr>
            <w:r w:rsidRPr="00E35474">
              <w:rPr>
                <w:rFonts w:hint="cs"/>
                <w:b/>
                <w:bCs/>
                <w:rtl/>
                <w:lang w:bidi="ar-EG"/>
              </w:rPr>
              <w:t>النشاط</w:t>
            </w:r>
          </w:p>
        </w:tc>
      </w:tr>
      <w:tr w:rsidR="008617CF" w:rsidRPr="008617CF" w14:paraId="1DCEE34B" w14:textId="77777777" w:rsidTr="00A21228">
        <w:trPr>
          <w:trHeight w:val="620"/>
        </w:trPr>
        <w:tc>
          <w:tcPr>
            <w:tcW w:w="2174" w:type="dxa"/>
            <w:tcBorders>
              <w:left w:val="single" w:sz="4" w:space="0" w:color="000000"/>
              <w:bottom w:val="single" w:sz="4" w:space="0" w:color="000000"/>
              <w:right w:val="single" w:sz="4" w:space="0" w:color="000000"/>
            </w:tcBorders>
            <w:shd w:val="clear" w:color="auto" w:fill="auto"/>
          </w:tcPr>
          <w:p w14:paraId="2E79189A" w14:textId="2B8232E2" w:rsidR="008617CF" w:rsidRPr="008617CF" w:rsidRDefault="00E35474" w:rsidP="008617CF">
            <w:pPr>
              <w:rPr>
                <w:highlight w:val="yellow"/>
                <w:rtl/>
                <w:lang w:bidi="ar-EG"/>
              </w:rPr>
            </w:pPr>
            <w:r w:rsidRPr="00E35474">
              <w:rPr>
                <w:rFonts w:hint="cs"/>
                <w:rtl/>
                <w:lang w:bidi="ar-EG"/>
              </w:rPr>
              <w:t>مارس</w:t>
            </w:r>
            <w:r w:rsidRPr="00E35474">
              <w:rPr>
                <w:rtl/>
                <w:lang w:bidi="ar-EG"/>
              </w:rPr>
              <w:t xml:space="preserve"> </w:t>
            </w:r>
            <w:r w:rsidRPr="00E35474">
              <w:rPr>
                <w:rFonts w:hint="cs"/>
                <w:rtl/>
                <w:lang w:bidi="ar-EG"/>
              </w:rPr>
              <w:t>2026</w:t>
            </w:r>
          </w:p>
        </w:tc>
        <w:tc>
          <w:tcPr>
            <w:tcW w:w="6036" w:type="dxa"/>
            <w:tcBorders>
              <w:top w:val="single" w:sz="4" w:space="0" w:color="000000"/>
              <w:left w:val="single" w:sz="4" w:space="0" w:color="000000"/>
              <w:bottom w:val="single" w:sz="4" w:space="0" w:color="000000"/>
              <w:right w:val="single" w:sz="4" w:space="0" w:color="000000"/>
            </w:tcBorders>
            <w:shd w:val="clear" w:color="auto" w:fill="auto"/>
          </w:tcPr>
          <w:p w14:paraId="76B18F27" w14:textId="57DD785D" w:rsidR="008617CF" w:rsidRPr="00E35474" w:rsidRDefault="008617CF" w:rsidP="00E35474">
            <w:pPr>
              <w:spacing w:after="120"/>
              <w:rPr>
                <w:rtl/>
                <w:lang w:bidi="ar-EG"/>
              </w:rPr>
            </w:pPr>
            <w:r w:rsidRPr="00E35474">
              <w:rPr>
                <w:rFonts w:hint="cs"/>
                <w:rtl/>
                <w:lang w:bidi="ar-EG"/>
              </w:rPr>
              <w:t xml:space="preserve">الدورة </w:t>
            </w:r>
            <w:r w:rsidR="00E35474" w:rsidRPr="00E35474">
              <w:rPr>
                <w:rFonts w:hint="cs"/>
                <w:rtl/>
                <w:lang w:bidi="ar-EG"/>
              </w:rPr>
              <w:t>52</w:t>
            </w:r>
          </w:p>
          <w:p w14:paraId="14CDC8C0" w14:textId="5C91910E" w:rsidR="008617CF" w:rsidRPr="00E35474" w:rsidRDefault="008617CF" w:rsidP="00E35474">
            <w:pPr>
              <w:spacing w:after="120"/>
              <w:rPr>
                <w:rtl/>
                <w:lang w:bidi="ar-EG"/>
              </w:rPr>
            </w:pPr>
            <w:r w:rsidRPr="00E35474">
              <w:rPr>
                <w:rFonts w:hint="cs"/>
                <w:rtl/>
                <w:lang w:bidi="ar-EG"/>
              </w:rPr>
              <w:t xml:space="preserve">إجراء </w:t>
            </w:r>
            <w:r w:rsidR="00E35474" w:rsidRPr="00E35474">
              <w:rPr>
                <w:rFonts w:hint="cs"/>
                <w:rtl/>
                <w:lang w:bidi="ar-EG"/>
              </w:rPr>
              <w:t>مناقشات بشأن الموارد الوراثية</w:t>
            </w:r>
            <w:r w:rsidR="00374EB3">
              <w:rPr>
                <w:rFonts w:hint="cs"/>
                <w:rtl/>
                <w:lang w:bidi="ar-EG"/>
              </w:rPr>
              <w:t xml:space="preserve"> و</w:t>
            </w:r>
            <w:r w:rsidRPr="00E35474">
              <w:rPr>
                <w:rFonts w:hint="cs"/>
                <w:rtl/>
                <w:lang w:bidi="ar-EG"/>
              </w:rPr>
              <w:t>مفاوضات بشأن</w:t>
            </w:r>
            <w:r w:rsidR="00E35474" w:rsidRPr="00E35474">
              <w:rPr>
                <w:rFonts w:hint="cs"/>
                <w:rtl/>
                <w:lang w:bidi="ar-EG"/>
              </w:rPr>
              <w:t xml:space="preserve"> </w:t>
            </w:r>
            <w:r w:rsidRPr="00E35474">
              <w:rPr>
                <w:rFonts w:hint="cs"/>
                <w:rtl/>
                <w:lang w:bidi="ar-EG"/>
              </w:rPr>
              <w:t>المعارف التقليدية و/أو</w:t>
            </w:r>
            <w:r w:rsidR="00DF31FA">
              <w:rPr>
                <w:rFonts w:hint="eastAsia"/>
                <w:rtl/>
                <w:lang w:bidi="ar-EG"/>
              </w:rPr>
              <w:t> </w:t>
            </w:r>
            <w:r w:rsidRPr="00E35474">
              <w:rPr>
                <w:rFonts w:hint="cs"/>
                <w:rtl/>
                <w:lang w:bidi="ar-EG"/>
              </w:rPr>
              <w:t>أشكال التعبير الثقافي التقليدي</w:t>
            </w:r>
          </w:p>
          <w:p w14:paraId="359B31B6" w14:textId="3E33F635" w:rsidR="008617CF" w:rsidRPr="008617CF" w:rsidRDefault="008617CF" w:rsidP="008617CF">
            <w:pPr>
              <w:rPr>
                <w:highlight w:val="yellow"/>
                <w:rtl/>
                <w:lang w:bidi="ar-EG"/>
              </w:rPr>
            </w:pPr>
            <w:r w:rsidRPr="00E35474">
              <w:rPr>
                <w:rtl/>
                <w:lang w:bidi="ar-EG"/>
              </w:rPr>
              <w:t xml:space="preserve">المدة: </w:t>
            </w:r>
            <w:r w:rsidR="00374EB3">
              <w:rPr>
                <w:rFonts w:hint="cs"/>
                <w:rtl/>
                <w:lang w:bidi="ar-EG"/>
              </w:rPr>
              <w:t>8</w:t>
            </w:r>
            <w:r w:rsidRPr="00E35474">
              <w:rPr>
                <w:rtl/>
                <w:lang w:bidi="ar-EG"/>
              </w:rPr>
              <w:t xml:space="preserve"> أيام</w:t>
            </w:r>
            <w:r w:rsidRPr="00E35474">
              <w:rPr>
                <w:rFonts w:hint="cs"/>
                <w:rtl/>
                <w:lang w:bidi="ar-EG"/>
              </w:rPr>
              <w:t>.</w:t>
            </w:r>
          </w:p>
        </w:tc>
      </w:tr>
      <w:tr w:rsidR="009A643F" w:rsidRPr="008617CF" w14:paraId="52B3B2D7" w14:textId="77777777" w:rsidTr="00A21228">
        <w:trPr>
          <w:trHeight w:val="20"/>
        </w:trPr>
        <w:tc>
          <w:tcPr>
            <w:tcW w:w="2174" w:type="dxa"/>
            <w:tcBorders>
              <w:top w:val="single" w:sz="4" w:space="0" w:color="000000"/>
              <w:left w:val="single" w:sz="4" w:space="0" w:color="000000"/>
              <w:bottom w:val="single" w:sz="4" w:space="0" w:color="000000"/>
              <w:right w:val="single" w:sz="4" w:space="0" w:color="000000"/>
            </w:tcBorders>
            <w:shd w:val="clear" w:color="auto" w:fill="auto"/>
          </w:tcPr>
          <w:p w14:paraId="770EBFCD" w14:textId="0E789320" w:rsidR="009A643F" w:rsidRPr="00E35474" w:rsidRDefault="009A643F" w:rsidP="008617CF">
            <w:pPr>
              <w:rPr>
                <w:rtl/>
                <w:lang w:bidi="ar-EG"/>
              </w:rPr>
            </w:pPr>
            <w:r>
              <w:rPr>
                <w:rFonts w:hint="cs"/>
                <w:rtl/>
                <w:lang w:bidi="ar-EG"/>
              </w:rPr>
              <w:t>سبتمبر/أكتوبر 2026</w:t>
            </w:r>
          </w:p>
        </w:tc>
        <w:tc>
          <w:tcPr>
            <w:tcW w:w="6036" w:type="dxa"/>
            <w:tcBorders>
              <w:top w:val="single" w:sz="4" w:space="0" w:color="000000"/>
              <w:left w:val="single" w:sz="4" w:space="0" w:color="000000"/>
              <w:bottom w:val="single" w:sz="4" w:space="0" w:color="000000"/>
              <w:right w:val="single" w:sz="4" w:space="0" w:color="000000"/>
            </w:tcBorders>
            <w:shd w:val="clear" w:color="auto" w:fill="auto"/>
          </w:tcPr>
          <w:p w14:paraId="0BF3F77A" w14:textId="29F8F0DB" w:rsidR="009A643F" w:rsidRPr="00E35474" w:rsidRDefault="009A643F" w:rsidP="009A643F">
            <w:pPr>
              <w:spacing w:after="120"/>
              <w:rPr>
                <w:rtl/>
                <w:lang w:bidi="ar-EG"/>
              </w:rPr>
            </w:pPr>
            <w:r w:rsidRPr="00E35474">
              <w:rPr>
                <w:rFonts w:hint="cs"/>
                <w:rtl/>
                <w:lang w:bidi="ar-EG"/>
              </w:rPr>
              <w:t xml:space="preserve">الدورة </w:t>
            </w:r>
            <w:r w:rsidR="00374EB3">
              <w:rPr>
                <w:rFonts w:hint="cs"/>
                <w:rtl/>
                <w:lang w:bidi="ar-EG"/>
              </w:rPr>
              <w:t>53</w:t>
            </w:r>
          </w:p>
          <w:p w14:paraId="2969B021" w14:textId="4B3FEB29" w:rsidR="009A643F" w:rsidRPr="00E35474" w:rsidRDefault="009A643F" w:rsidP="009A643F">
            <w:pPr>
              <w:spacing w:after="120"/>
              <w:rPr>
                <w:rtl/>
                <w:lang w:bidi="ar-EG"/>
              </w:rPr>
            </w:pPr>
            <w:r w:rsidRPr="00E35474">
              <w:rPr>
                <w:rFonts w:hint="cs"/>
                <w:rtl/>
                <w:lang w:bidi="ar-EG"/>
              </w:rPr>
              <w:t>إجراء مناقشات بشأن الموارد الوراثية و</w:t>
            </w:r>
            <w:r w:rsidR="00DF31FA">
              <w:rPr>
                <w:rFonts w:hint="cs"/>
                <w:rtl/>
                <w:lang w:bidi="ar-EG"/>
              </w:rPr>
              <w:t xml:space="preserve">مفاوضات بشأن </w:t>
            </w:r>
            <w:r w:rsidRPr="00E35474">
              <w:rPr>
                <w:rFonts w:hint="cs"/>
                <w:rtl/>
                <w:lang w:bidi="ar-EG"/>
              </w:rPr>
              <w:t>المعارف التقليدية و</w:t>
            </w:r>
            <w:r w:rsidR="00DF31FA">
              <w:rPr>
                <w:rFonts w:hint="cs"/>
                <w:rtl/>
                <w:lang w:bidi="ar-EG"/>
              </w:rPr>
              <w:t>/أو</w:t>
            </w:r>
            <w:r w:rsidR="00DF31FA">
              <w:rPr>
                <w:rFonts w:hint="eastAsia"/>
                <w:rtl/>
                <w:lang w:bidi="ar-EG"/>
              </w:rPr>
              <w:t> </w:t>
            </w:r>
            <w:r w:rsidRPr="00E35474">
              <w:rPr>
                <w:rFonts w:hint="cs"/>
                <w:rtl/>
                <w:lang w:bidi="ar-EG"/>
              </w:rPr>
              <w:t>أشكال التعبير الثقافي التقليدي</w:t>
            </w:r>
          </w:p>
          <w:p w14:paraId="0BE10619" w14:textId="2CB80D4A" w:rsidR="009A643F" w:rsidRPr="00E35474" w:rsidRDefault="009A643F" w:rsidP="009A643F">
            <w:pPr>
              <w:spacing w:after="120"/>
              <w:rPr>
                <w:rtl/>
                <w:lang w:bidi="ar-EG"/>
              </w:rPr>
            </w:pPr>
            <w:r w:rsidRPr="00E35474">
              <w:rPr>
                <w:rtl/>
                <w:lang w:bidi="ar-EG"/>
              </w:rPr>
              <w:t xml:space="preserve">المدة: </w:t>
            </w:r>
            <w:r w:rsidR="00DF31FA">
              <w:rPr>
                <w:rFonts w:hint="cs"/>
                <w:rtl/>
                <w:lang w:bidi="ar-EG"/>
              </w:rPr>
              <w:t>8</w:t>
            </w:r>
            <w:r w:rsidRPr="00E35474">
              <w:rPr>
                <w:rtl/>
                <w:lang w:bidi="ar-EG"/>
              </w:rPr>
              <w:t xml:space="preserve"> أيام</w:t>
            </w:r>
            <w:r w:rsidRPr="00E35474">
              <w:rPr>
                <w:rFonts w:hint="cs"/>
                <w:rtl/>
                <w:lang w:bidi="ar-EG"/>
              </w:rPr>
              <w:t>.</w:t>
            </w:r>
          </w:p>
        </w:tc>
      </w:tr>
      <w:tr w:rsidR="008617CF" w:rsidRPr="008617CF" w14:paraId="1849BA8F" w14:textId="77777777" w:rsidTr="00A21228">
        <w:trPr>
          <w:trHeight w:val="20"/>
        </w:trPr>
        <w:tc>
          <w:tcPr>
            <w:tcW w:w="2174" w:type="dxa"/>
            <w:tcBorders>
              <w:top w:val="single" w:sz="4" w:space="0" w:color="000000"/>
              <w:left w:val="single" w:sz="4" w:space="0" w:color="000000"/>
              <w:bottom w:val="single" w:sz="4" w:space="0" w:color="000000"/>
              <w:right w:val="single" w:sz="4" w:space="0" w:color="000000"/>
            </w:tcBorders>
            <w:shd w:val="clear" w:color="auto" w:fill="auto"/>
          </w:tcPr>
          <w:p w14:paraId="07636853" w14:textId="70D73159" w:rsidR="008617CF" w:rsidRPr="008617CF" w:rsidRDefault="009A643F" w:rsidP="008617CF">
            <w:pPr>
              <w:rPr>
                <w:highlight w:val="yellow"/>
                <w:rtl/>
                <w:lang w:bidi="ar-EG"/>
              </w:rPr>
            </w:pPr>
            <w:r w:rsidRPr="009A643F">
              <w:rPr>
                <w:rFonts w:hint="cs"/>
                <w:rtl/>
                <w:lang w:bidi="ar-EG"/>
              </w:rPr>
              <w:t>مارس/أبريل</w:t>
            </w:r>
            <w:r w:rsidR="008617CF" w:rsidRPr="009A643F">
              <w:rPr>
                <w:rFonts w:hint="cs"/>
                <w:rtl/>
                <w:lang w:bidi="ar-EG"/>
              </w:rPr>
              <w:t xml:space="preserve"> </w:t>
            </w:r>
            <w:r w:rsidRPr="009A643F">
              <w:rPr>
                <w:rFonts w:hint="cs"/>
                <w:rtl/>
                <w:lang w:bidi="ar-EG"/>
              </w:rPr>
              <w:t>2027</w:t>
            </w:r>
          </w:p>
        </w:tc>
        <w:tc>
          <w:tcPr>
            <w:tcW w:w="6036" w:type="dxa"/>
            <w:tcBorders>
              <w:top w:val="single" w:sz="4" w:space="0" w:color="000000"/>
              <w:left w:val="single" w:sz="4" w:space="0" w:color="000000"/>
              <w:bottom w:val="single" w:sz="4" w:space="0" w:color="000000"/>
              <w:right w:val="single" w:sz="4" w:space="0" w:color="000000"/>
            </w:tcBorders>
            <w:shd w:val="clear" w:color="auto" w:fill="auto"/>
          </w:tcPr>
          <w:p w14:paraId="7D436345" w14:textId="44787792" w:rsidR="009A643F" w:rsidRPr="009A643F" w:rsidRDefault="009A643F" w:rsidP="009A643F">
            <w:pPr>
              <w:spacing w:after="120"/>
              <w:rPr>
                <w:rtl/>
                <w:lang w:bidi="ar-EG"/>
              </w:rPr>
            </w:pPr>
            <w:r w:rsidRPr="009A643F">
              <w:rPr>
                <w:rFonts w:hint="cs"/>
                <w:rtl/>
                <w:lang w:bidi="ar-EG"/>
              </w:rPr>
              <w:t xml:space="preserve">الدورة </w:t>
            </w:r>
            <w:r w:rsidR="00DF31FA">
              <w:rPr>
                <w:rFonts w:hint="cs"/>
                <w:rtl/>
                <w:lang w:bidi="ar-EG"/>
              </w:rPr>
              <w:t>54</w:t>
            </w:r>
          </w:p>
          <w:p w14:paraId="78C02079" w14:textId="23E1EDE7" w:rsidR="008617CF" w:rsidRPr="009A643F" w:rsidRDefault="009A643F" w:rsidP="009A643F">
            <w:pPr>
              <w:spacing w:after="120"/>
              <w:rPr>
                <w:rtl/>
                <w:lang w:bidi="ar-EG"/>
              </w:rPr>
            </w:pPr>
            <w:r w:rsidRPr="009A643F">
              <w:rPr>
                <w:rFonts w:hint="cs"/>
                <w:rtl/>
                <w:lang w:bidi="ar-EG"/>
              </w:rPr>
              <w:t>إجراء مناقشات بشأن الموارد الوراثية و</w:t>
            </w:r>
            <w:r w:rsidR="00DF31FA">
              <w:rPr>
                <w:rFonts w:hint="cs"/>
                <w:rtl/>
                <w:lang w:bidi="ar-EG"/>
              </w:rPr>
              <w:t xml:space="preserve">مفاوضات بشأن </w:t>
            </w:r>
            <w:r w:rsidRPr="009A643F">
              <w:rPr>
                <w:rFonts w:hint="cs"/>
                <w:rtl/>
                <w:lang w:bidi="ar-EG"/>
              </w:rPr>
              <w:t>المعارف التقليدية و</w:t>
            </w:r>
            <w:r w:rsidR="00DF31FA">
              <w:rPr>
                <w:rFonts w:hint="cs"/>
                <w:rtl/>
                <w:lang w:bidi="ar-EG"/>
              </w:rPr>
              <w:t>/أو</w:t>
            </w:r>
            <w:r w:rsidR="00DF31FA">
              <w:rPr>
                <w:rFonts w:hint="eastAsia"/>
                <w:rtl/>
                <w:lang w:bidi="ar-EG"/>
              </w:rPr>
              <w:t> </w:t>
            </w:r>
            <w:r w:rsidRPr="009A643F">
              <w:rPr>
                <w:rFonts w:hint="cs"/>
                <w:rtl/>
                <w:lang w:bidi="ar-EG"/>
              </w:rPr>
              <w:t>أشكال التعبير الثقافي التقليدي</w:t>
            </w:r>
          </w:p>
          <w:p w14:paraId="7DAAC72D" w14:textId="66290C86" w:rsidR="008617CF" w:rsidRPr="009A643F" w:rsidRDefault="00DF31FA" w:rsidP="00DF31FA">
            <w:pPr>
              <w:spacing w:after="120"/>
              <w:rPr>
                <w:rtl/>
                <w:lang w:bidi="ar-EG"/>
              </w:rPr>
            </w:pPr>
            <w:r>
              <w:rPr>
                <w:rFonts w:hint="cs"/>
                <w:rtl/>
                <w:lang w:bidi="ar-EG"/>
              </w:rPr>
              <w:t xml:space="preserve">الإحاطة علماً بالمناقشات بشأن الموارد الوراثية وتقييم التقدم المحرز بشأن المعارف التقليدية/أشكال التعبير الثقافي التقليدي، </w:t>
            </w:r>
            <w:r w:rsidR="008617CF" w:rsidRPr="009A643F">
              <w:rPr>
                <w:rFonts w:hint="cs"/>
                <w:rtl/>
                <w:lang w:bidi="ar-EG"/>
              </w:rPr>
              <w:t>وتقديم توصية</w:t>
            </w:r>
          </w:p>
          <w:p w14:paraId="1BA8080E" w14:textId="557E1414" w:rsidR="008617CF" w:rsidRPr="008617CF" w:rsidRDefault="008617CF" w:rsidP="008617CF">
            <w:pPr>
              <w:spacing w:after="120"/>
              <w:rPr>
                <w:highlight w:val="yellow"/>
                <w:rtl/>
                <w:lang w:bidi="ar-EG"/>
              </w:rPr>
            </w:pPr>
            <w:r w:rsidRPr="009A643F">
              <w:rPr>
                <w:rFonts w:hint="cs"/>
                <w:rtl/>
                <w:lang w:bidi="ar-EG"/>
              </w:rPr>
              <w:t xml:space="preserve">المدة: </w:t>
            </w:r>
            <w:r w:rsidR="00DF31FA">
              <w:rPr>
                <w:rFonts w:hint="cs"/>
                <w:rtl/>
                <w:lang w:bidi="ar-EG"/>
              </w:rPr>
              <w:t>8</w:t>
            </w:r>
            <w:r w:rsidRPr="009A643F">
              <w:rPr>
                <w:rFonts w:hint="cs"/>
                <w:rtl/>
                <w:lang w:bidi="ar-EG"/>
              </w:rPr>
              <w:t xml:space="preserve"> أيام.</w:t>
            </w:r>
          </w:p>
        </w:tc>
      </w:tr>
      <w:tr w:rsidR="008617CF" w:rsidRPr="008617CF" w14:paraId="7F3752A1" w14:textId="77777777" w:rsidTr="00A21228">
        <w:trPr>
          <w:trHeight w:val="20"/>
        </w:trPr>
        <w:tc>
          <w:tcPr>
            <w:tcW w:w="2174" w:type="dxa"/>
            <w:tcBorders>
              <w:top w:val="single" w:sz="4" w:space="0" w:color="000000"/>
              <w:left w:val="single" w:sz="4" w:space="0" w:color="000000"/>
              <w:bottom w:val="single" w:sz="4" w:space="0" w:color="000000"/>
              <w:right w:val="single" w:sz="4" w:space="0" w:color="000000"/>
            </w:tcBorders>
            <w:shd w:val="clear" w:color="auto" w:fill="auto"/>
          </w:tcPr>
          <w:p w14:paraId="5F86BFA3" w14:textId="30DDCACA" w:rsidR="008617CF" w:rsidRPr="008617CF" w:rsidRDefault="008617CF" w:rsidP="008617CF">
            <w:pPr>
              <w:rPr>
                <w:highlight w:val="yellow"/>
                <w:rtl/>
                <w:lang w:bidi="ar-EG"/>
              </w:rPr>
            </w:pPr>
            <w:r w:rsidRPr="009A643F">
              <w:rPr>
                <w:rFonts w:hint="cs"/>
                <w:rtl/>
                <w:lang w:bidi="ar-EG"/>
              </w:rPr>
              <w:t xml:space="preserve">يوليو </w:t>
            </w:r>
            <w:r w:rsidR="009A643F" w:rsidRPr="009A643F">
              <w:rPr>
                <w:rFonts w:hint="cs"/>
                <w:rtl/>
                <w:lang w:bidi="ar-EG"/>
              </w:rPr>
              <w:t>2027</w:t>
            </w:r>
          </w:p>
        </w:tc>
        <w:tc>
          <w:tcPr>
            <w:tcW w:w="6036" w:type="dxa"/>
            <w:tcBorders>
              <w:top w:val="single" w:sz="4" w:space="0" w:color="000000"/>
              <w:left w:val="single" w:sz="4" w:space="0" w:color="000000"/>
              <w:bottom w:val="single" w:sz="4" w:space="0" w:color="000000"/>
              <w:right w:val="single" w:sz="4" w:space="0" w:color="000000"/>
            </w:tcBorders>
            <w:shd w:val="clear" w:color="auto" w:fill="auto"/>
          </w:tcPr>
          <w:p w14:paraId="4F72B930" w14:textId="60D5177C" w:rsidR="008617CF" w:rsidRPr="008617CF" w:rsidRDefault="008617CF" w:rsidP="008617CF">
            <w:pPr>
              <w:spacing w:after="120"/>
              <w:rPr>
                <w:rtl/>
                <w:lang w:bidi="ar-EG"/>
              </w:rPr>
            </w:pPr>
            <w:r w:rsidRPr="009A643F">
              <w:rPr>
                <w:rFonts w:hint="cs"/>
                <w:rtl/>
                <w:lang w:bidi="ar-EG"/>
              </w:rPr>
              <w:t>ستقيِّم الجمعية العامة للويبو التقدم المحرز وتنظر في النص (النصوص) وتتخذ القرار اللازم (القرارات اللازمة).</w:t>
            </w:r>
            <w:r w:rsidR="00DF31FA">
              <w:rPr>
                <w:rFonts w:hint="cs"/>
                <w:rtl/>
                <w:lang w:bidi="ar-EG"/>
              </w:rPr>
              <w:t>"</w:t>
            </w:r>
          </w:p>
        </w:tc>
      </w:tr>
    </w:tbl>
    <w:p w14:paraId="23F0CECE" w14:textId="77777777" w:rsidR="008617CF" w:rsidRPr="008617CF" w:rsidRDefault="008617CF" w:rsidP="00C73035">
      <w:pPr>
        <w:pStyle w:val="BodyText"/>
        <w:rPr>
          <w:rtl/>
        </w:rPr>
      </w:pPr>
    </w:p>
    <w:p w14:paraId="04019FA1" w14:textId="169893D4" w:rsidR="008617CF" w:rsidRPr="004B5B86" w:rsidRDefault="008617CF" w:rsidP="008617CF">
      <w:pPr>
        <w:pStyle w:val="Heading1"/>
        <w:spacing w:after="120"/>
        <w:rPr>
          <w:sz w:val="24"/>
          <w:szCs w:val="24"/>
        </w:rPr>
      </w:pPr>
      <w:r w:rsidRPr="004B5B86">
        <w:rPr>
          <w:sz w:val="24"/>
          <w:szCs w:val="24"/>
          <w:rtl/>
        </w:rPr>
        <w:t>قرار بشأن البند</w:t>
      </w:r>
      <w:r>
        <w:rPr>
          <w:rFonts w:hint="cs"/>
          <w:sz w:val="24"/>
          <w:szCs w:val="24"/>
          <w:rtl/>
        </w:rPr>
        <w:t xml:space="preserve"> 7</w:t>
      </w:r>
      <w:r w:rsidRPr="004B5B86">
        <w:rPr>
          <w:sz w:val="24"/>
          <w:szCs w:val="24"/>
          <w:rtl/>
        </w:rPr>
        <w:t xml:space="preserve"> من جدول الأعمال:</w:t>
      </w:r>
    </w:p>
    <w:p w14:paraId="4D55A1D4" w14:textId="1E35737A" w:rsidR="008617CF" w:rsidRPr="004B5B86" w:rsidRDefault="008617CF" w:rsidP="008617CF">
      <w:pPr>
        <w:pStyle w:val="BodyText"/>
        <w:rPr>
          <w:b/>
          <w:bCs/>
          <w:sz w:val="24"/>
          <w:szCs w:val="24"/>
        </w:rPr>
      </w:pPr>
      <w:r w:rsidRPr="008617CF">
        <w:rPr>
          <w:b/>
          <w:bCs/>
          <w:sz w:val="24"/>
          <w:szCs w:val="24"/>
          <w:rtl/>
          <w:lang w:bidi="ar-EG"/>
        </w:rPr>
        <w:t>مساهمة اللجنة الحكومية الدولية المعنية بالملكية الفكرية والموارد الوراثية والمعارف التقليدية والفولكلور في تنفيذ ما يعنيها من توصيات أجندة التنمية</w:t>
      </w:r>
    </w:p>
    <w:p w14:paraId="692E20A6" w14:textId="6019B251" w:rsidR="009A643F" w:rsidRDefault="00FD799F" w:rsidP="00821E9D">
      <w:pPr>
        <w:pStyle w:val="BodyText"/>
        <w:rPr>
          <w:rtl/>
        </w:rPr>
      </w:pPr>
      <w:r>
        <w:rPr>
          <w:rFonts w:hint="cs"/>
          <w:rtl/>
        </w:rPr>
        <w:t xml:space="preserve">لم تُدلِ اللجنة بأي بيانات </w:t>
      </w:r>
      <w:r w:rsidR="008617CF">
        <w:rPr>
          <w:rtl/>
        </w:rPr>
        <w:t xml:space="preserve">بشأن هذا البند. </w:t>
      </w:r>
      <w:r>
        <w:rPr>
          <w:rFonts w:hint="cs"/>
          <w:rtl/>
        </w:rPr>
        <w:t>وستُبلّغ</w:t>
      </w:r>
      <w:r w:rsidR="008617CF">
        <w:rPr>
          <w:rtl/>
        </w:rPr>
        <w:t xml:space="preserve"> اللجنة </w:t>
      </w:r>
      <w:r>
        <w:rPr>
          <w:rtl/>
        </w:rPr>
        <w:t>الجمعية العامة</w:t>
      </w:r>
      <w:r w:rsidR="006C29F4">
        <w:rPr>
          <w:rFonts w:hint="cs"/>
          <w:rtl/>
        </w:rPr>
        <w:t>،</w:t>
      </w:r>
      <w:r>
        <w:rPr>
          <w:rtl/>
        </w:rPr>
        <w:t xml:space="preserve"> </w:t>
      </w:r>
      <w:r w:rsidR="006C29F4">
        <w:rPr>
          <w:rtl/>
        </w:rPr>
        <w:t>التي ستُعقد في الفترة من</w:t>
      </w:r>
      <w:r w:rsidR="006C29F4">
        <w:rPr>
          <w:rFonts w:hint="cs"/>
          <w:rtl/>
        </w:rPr>
        <w:t xml:space="preserve"> 8</w:t>
      </w:r>
      <w:r w:rsidR="006C29F4">
        <w:rPr>
          <w:rtl/>
        </w:rPr>
        <w:t xml:space="preserve"> إلى 17 يوليو 2025</w:t>
      </w:r>
      <w:r w:rsidR="006C29F4">
        <w:rPr>
          <w:rFonts w:hint="cs"/>
          <w:rtl/>
        </w:rPr>
        <w:t xml:space="preserve">، بعدم وجود أي </w:t>
      </w:r>
      <w:r w:rsidR="008617CF">
        <w:rPr>
          <w:rtl/>
        </w:rPr>
        <w:t xml:space="preserve">بيانات، </w:t>
      </w:r>
      <w:r w:rsidR="00821E9D">
        <w:rPr>
          <w:rFonts w:hint="cs"/>
          <w:rtl/>
        </w:rPr>
        <w:t>وفقاً ل</w:t>
      </w:r>
      <w:r w:rsidR="008617CF">
        <w:rPr>
          <w:rtl/>
        </w:rPr>
        <w:t xml:space="preserve">لقرار الذي اتخذته الجمعية العامة للويبو </w:t>
      </w:r>
      <w:r w:rsidR="00821E9D">
        <w:rPr>
          <w:rFonts w:hint="cs"/>
          <w:rtl/>
        </w:rPr>
        <w:t>ل</w:t>
      </w:r>
      <w:r w:rsidR="008617CF">
        <w:rPr>
          <w:rtl/>
        </w:rPr>
        <w:t>عام 2010 بشأن آلية تنسيق أجندة التنمية.</w:t>
      </w:r>
    </w:p>
    <w:p w14:paraId="7761ACC5" w14:textId="7EC7AD4F" w:rsidR="00483E15" w:rsidRPr="004B5B86" w:rsidRDefault="00483E15" w:rsidP="00C0015E">
      <w:pPr>
        <w:pStyle w:val="Heading1"/>
        <w:spacing w:after="120"/>
        <w:rPr>
          <w:sz w:val="24"/>
          <w:szCs w:val="24"/>
        </w:rPr>
      </w:pPr>
      <w:r w:rsidRPr="004B5B86">
        <w:rPr>
          <w:sz w:val="24"/>
          <w:szCs w:val="24"/>
          <w:rtl/>
        </w:rPr>
        <w:t>قرار بشأن البند</w:t>
      </w:r>
      <w:r w:rsidR="005F6696">
        <w:rPr>
          <w:rFonts w:hint="cs"/>
          <w:sz w:val="24"/>
          <w:szCs w:val="24"/>
          <w:rtl/>
        </w:rPr>
        <w:t xml:space="preserve"> </w:t>
      </w:r>
      <w:r w:rsidR="00821E9D">
        <w:rPr>
          <w:rFonts w:hint="cs"/>
          <w:sz w:val="24"/>
          <w:szCs w:val="24"/>
          <w:rtl/>
        </w:rPr>
        <w:t>8</w:t>
      </w:r>
      <w:r w:rsidRPr="004B5B86">
        <w:rPr>
          <w:sz w:val="24"/>
          <w:szCs w:val="24"/>
          <w:rtl/>
        </w:rPr>
        <w:t xml:space="preserve"> من جدول الأعمال:</w:t>
      </w:r>
    </w:p>
    <w:p w14:paraId="792E07C3" w14:textId="77777777" w:rsidR="00483E15" w:rsidRPr="004B5B86" w:rsidRDefault="00483E15" w:rsidP="00483E15">
      <w:pPr>
        <w:pStyle w:val="BodyText"/>
        <w:rPr>
          <w:b/>
          <w:bCs/>
          <w:sz w:val="24"/>
          <w:szCs w:val="24"/>
        </w:rPr>
      </w:pPr>
      <w:r w:rsidRPr="004B5B86">
        <w:rPr>
          <w:b/>
          <w:bCs/>
          <w:sz w:val="24"/>
          <w:szCs w:val="24"/>
          <w:rtl/>
        </w:rPr>
        <w:t>أية مسائل أخرى</w:t>
      </w:r>
    </w:p>
    <w:p w14:paraId="75ECA9F7" w14:textId="77777777" w:rsidR="00483E15" w:rsidRDefault="00483E15" w:rsidP="00483E15">
      <w:pPr>
        <w:pStyle w:val="BodyText"/>
        <w:rPr>
          <w:rtl/>
        </w:rPr>
      </w:pPr>
      <w:r w:rsidRPr="004F027E">
        <w:rPr>
          <w:rtl/>
        </w:rPr>
        <w:t>لم تجر أي مناقشات في إطار هذا البند.</w:t>
      </w:r>
    </w:p>
    <w:p w14:paraId="134158C0" w14:textId="2CA6D503" w:rsidR="00483E15" w:rsidRPr="004B5B86" w:rsidRDefault="00483E15" w:rsidP="00730734">
      <w:pPr>
        <w:pStyle w:val="Heading1"/>
        <w:spacing w:after="120"/>
        <w:rPr>
          <w:sz w:val="24"/>
          <w:szCs w:val="24"/>
        </w:rPr>
      </w:pPr>
      <w:r w:rsidRPr="004B5B86">
        <w:rPr>
          <w:sz w:val="24"/>
          <w:szCs w:val="24"/>
          <w:rtl/>
        </w:rPr>
        <w:t xml:space="preserve">قرار بشأن البند </w:t>
      </w:r>
      <w:r w:rsidR="00821E9D">
        <w:rPr>
          <w:rFonts w:hint="cs"/>
          <w:sz w:val="24"/>
          <w:szCs w:val="24"/>
          <w:rtl/>
        </w:rPr>
        <w:t>9</w:t>
      </w:r>
      <w:r w:rsidRPr="004B5B86">
        <w:rPr>
          <w:sz w:val="24"/>
          <w:szCs w:val="24"/>
          <w:rtl/>
        </w:rPr>
        <w:t xml:space="preserve"> من جدول الأعمال:</w:t>
      </w:r>
    </w:p>
    <w:p w14:paraId="4CF68681" w14:textId="77777777" w:rsidR="00483E15" w:rsidRPr="004B5B86" w:rsidRDefault="00483E15" w:rsidP="00483E15">
      <w:pPr>
        <w:pStyle w:val="BodyText"/>
        <w:rPr>
          <w:b/>
          <w:bCs/>
          <w:sz w:val="24"/>
          <w:szCs w:val="24"/>
        </w:rPr>
      </w:pPr>
      <w:r w:rsidRPr="004B5B86">
        <w:rPr>
          <w:b/>
          <w:bCs/>
          <w:sz w:val="24"/>
          <w:szCs w:val="24"/>
          <w:rtl/>
        </w:rPr>
        <w:t>اختتام الدورة</w:t>
      </w:r>
    </w:p>
    <w:p w14:paraId="2892EB04" w14:textId="627CB2AD" w:rsidR="00483E15" w:rsidRDefault="00483E15" w:rsidP="00730734">
      <w:pPr>
        <w:pStyle w:val="BodyText"/>
      </w:pPr>
      <w:r>
        <w:rPr>
          <w:rtl/>
        </w:rPr>
        <w:t>اعتمدت اللجنة قراراتها بشأن البنود</w:t>
      </w:r>
      <w:r w:rsidR="00AC77BC">
        <w:rPr>
          <w:rFonts w:hint="cs"/>
          <w:rtl/>
        </w:rPr>
        <w:t xml:space="preserve"> </w:t>
      </w:r>
      <w:r>
        <w:rPr>
          <w:rtl/>
        </w:rPr>
        <w:t xml:space="preserve">2 و3 و4 و5 </w:t>
      </w:r>
      <w:r w:rsidR="00821E9D">
        <w:rPr>
          <w:rFonts w:hint="cs"/>
          <w:rtl/>
        </w:rPr>
        <w:t xml:space="preserve">و6 و7 </w:t>
      </w:r>
      <w:r w:rsidR="00AC77BC">
        <w:rPr>
          <w:rFonts w:hint="cs"/>
          <w:rtl/>
        </w:rPr>
        <w:t>م</w:t>
      </w:r>
      <w:r>
        <w:rPr>
          <w:rtl/>
        </w:rPr>
        <w:t xml:space="preserve">ن جدول الأعمال في </w:t>
      </w:r>
      <w:r w:rsidR="00821E9D">
        <w:rPr>
          <w:rFonts w:hint="cs"/>
          <w:rtl/>
        </w:rPr>
        <w:t>5</w:t>
      </w:r>
      <w:r>
        <w:rPr>
          <w:rtl/>
        </w:rPr>
        <w:t xml:space="preserve"> </w:t>
      </w:r>
      <w:r w:rsidR="00821E9D">
        <w:rPr>
          <w:rFonts w:hint="cs"/>
          <w:rtl/>
        </w:rPr>
        <w:t>يونيو</w:t>
      </w:r>
      <w:r w:rsidR="005F6696">
        <w:rPr>
          <w:rFonts w:hint="cs"/>
          <w:rtl/>
        </w:rPr>
        <w:t xml:space="preserve"> </w:t>
      </w:r>
      <w:r w:rsidR="00285F32">
        <w:rPr>
          <w:rFonts w:hint="cs"/>
          <w:rtl/>
        </w:rPr>
        <w:t>2025</w:t>
      </w:r>
      <w:r>
        <w:rPr>
          <w:rtl/>
        </w:rPr>
        <w:t>.</w:t>
      </w:r>
    </w:p>
    <w:p w14:paraId="274EBE5D" w14:textId="77777777" w:rsidR="00483E15" w:rsidRPr="00FE339E" w:rsidRDefault="00483E15" w:rsidP="00FA0ECF">
      <w:pPr>
        <w:pStyle w:val="Endofdocument-Annex"/>
        <w:spacing w:before="480"/>
        <w:rPr>
          <w:lang w:bidi="ar-EG"/>
        </w:rPr>
      </w:pPr>
      <w:r w:rsidRPr="00FE339E">
        <w:rPr>
          <w:rtl/>
        </w:rPr>
        <w:t>[نهاية الوثيقة]</w:t>
      </w:r>
    </w:p>
    <w:sectPr w:rsidR="00483E15" w:rsidRPr="00FE339E"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58BEF" w14:textId="77777777" w:rsidR="00E66488" w:rsidRDefault="00E66488">
      <w:r>
        <w:separator/>
      </w:r>
    </w:p>
  </w:endnote>
  <w:endnote w:type="continuationSeparator" w:id="0">
    <w:p w14:paraId="6E462F73" w14:textId="77777777" w:rsidR="00E66488" w:rsidRDefault="00E66488" w:rsidP="003B38C1">
      <w:r>
        <w:separator/>
      </w:r>
    </w:p>
    <w:p w14:paraId="15973F79" w14:textId="77777777" w:rsidR="00E66488" w:rsidRPr="003B38C1" w:rsidRDefault="00E66488" w:rsidP="003B38C1">
      <w:pPr>
        <w:spacing w:after="60"/>
        <w:rPr>
          <w:sz w:val="17"/>
        </w:rPr>
      </w:pPr>
      <w:r>
        <w:rPr>
          <w:sz w:val="17"/>
        </w:rPr>
        <w:t>[Endnote continued from previous page]</w:t>
      </w:r>
    </w:p>
  </w:endnote>
  <w:endnote w:type="continuationNotice" w:id="1">
    <w:p w14:paraId="28463F95" w14:textId="77777777" w:rsidR="00E66488" w:rsidRPr="003B38C1" w:rsidRDefault="00E6648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FA642" w14:textId="77777777" w:rsidR="00E66488" w:rsidRDefault="00E66488">
      <w:r>
        <w:separator/>
      </w:r>
    </w:p>
  </w:footnote>
  <w:footnote w:type="continuationSeparator" w:id="0">
    <w:p w14:paraId="351B3038" w14:textId="77777777" w:rsidR="00E66488" w:rsidRDefault="00E66488" w:rsidP="008B60B2">
      <w:r>
        <w:separator/>
      </w:r>
    </w:p>
    <w:p w14:paraId="6F159D52" w14:textId="77777777" w:rsidR="00E66488" w:rsidRPr="00ED77FB" w:rsidRDefault="00E66488" w:rsidP="008B60B2">
      <w:pPr>
        <w:spacing w:after="60"/>
        <w:rPr>
          <w:sz w:val="17"/>
          <w:szCs w:val="17"/>
        </w:rPr>
      </w:pPr>
      <w:r w:rsidRPr="00ED77FB">
        <w:rPr>
          <w:sz w:val="17"/>
          <w:szCs w:val="17"/>
        </w:rPr>
        <w:t>[Footnote continued from previous page]</w:t>
      </w:r>
    </w:p>
  </w:footnote>
  <w:footnote w:type="continuationNotice" w:id="1">
    <w:p w14:paraId="03A0F175" w14:textId="77777777" w:rsidR="00E66488" w:rsidRPr="00ED77FB" w:rsidRDefault="00E6648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51CA9" w14:textId="77777777" w:rsidR="00D07C78" w:rsidRDefault="00D07C78" w:rsidP="00210D5F">
    <w:pPr>
      <w:bidi w:val="0"/>
    </w:pPr>
    <w:r>
      <w:fldChar w:fldCharType="begin"/>
    </w:r>
    <w:r>
      <w:instrText xml:space="preserve"> PAGE  \* MERGEFORMAT </w:instrText>
    </w:r>
    <w:r>
      <w:fldChar w:fldCharType="separate"/>
    </w:r>
    <w:r w:rsidR="001C5992">
      <w:rPr>
        <w:noProof/>
      </w:rPr>
      <w:t>3</w:t>
    </w:r>
    <w:r>
      <w:fldChar w:fldCharType="end"/>
    </w:r>
  </w:p>
  <w:p w14:paraId="62198E6E" w14:textId="77777777" w:rsidR="00D07C78" w:rsidRDefault="00D07C78" w:rsidP="00210D5F">
    <w:pPr>
      <w:bidi w:val="0"/>
    </w:pPr>
  </w:p>
  <w:p w14:paraId="097A08BA"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79B0D0B"/>
    <w:multiLevelType w:val="hybridMultilevel"/>
    <w:tmpl w:val="BB58C670"/>
    <w:lvl w:ilvl="0" w:tplc="41DC03D0">
      <w:start w:val="1"/>
      <w:numFmt w:val="arabicAbjad"/>
      <w:lvlText w:val="(%1)"/>
      <w:lvlJc w:val="left"/>
      <w:pPr>
        <w:ind w:left="927" w:hanging="360"/>
      </w:pPr>
      <w:rPr>
        <w:rFonts w:ascii="Arial" w:eastAsia="Times New Roman" w:hAnsi="Arial" w:cs="Calibri"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280690883">
    <w:abstractNumId w:val="2"/>
  </w:num>
  <w:num w:numId="2" w16cid:durableId="1399665236">
    <w:abstractNumId w:val="5"/>
  </w:num>
  <w:num w:numId="3" w16cid:durableId="2035959572">
    <w:abstractNumId w:val="0"/>
  </w:num>
  <w:num w:numId="4" w16cid:durableId="710231244">
    <w:abstractNumId w:val="6"/>
  </w:num>
  <w:num w:numId="5" w16cid:durableId="1704091489">
    <w:abstractNumId w:val="1"/>
  </w:num>
  <w:num w:numId="6" w16cid:durableId="2065444375">
    <w:abstractNumId w:val="3"/>
  </w:num>
  <w:num w:numId="7" w16cid:durableId="2082438378">
    <w:abstractNumId w:val="8"/>
  </w:num>
  <w:num w:numId="8" w16cid:durableId="902057874">
    <w:abstractNumId w:val="4"/>
  </w:num>
  <w:num w:numId="9" w16cid:durableId="14581396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B37"/>
    <w:rsid w:val="00001744"/>
    <w:rsid w:val="00010956"/>
    <w:rsid w:val="0001789A"/>
    <w:rsid w:val="00043CAA"/>
    <w:rsid w:val="00051CED"/>
    <w:rsid w:val="00056816"/>
    <w:rsid w:val="00062D18"/>
    <w:rsid w:val="00075432"/>
    <w:rsid w:val="000968ED"/>
    <w:rsid w:val="000A3D97"/>
    <w:rsid w:val="000E3BC8"/>
    <w:rsid w:val="000F5E56"/>
    <w:rsid w:val="001362EE"/>
    <w:rsid w:val="001406E1"/>
    <w:rsid w:val="00143411"/>
    <w:rsid w:val="00143555"/>
    <w:rsid w:val="00155D8A"/>
    <w:rsid w:val="001647D5"/>
    <w:rsid w:val="001832A6"/>
    <w:rsid w:val="00184633"/>
    <w:rsid w:val="0019592A"/>
    <w:rsid w:val="001A3678"/>
    <w:rsid w:val="001B1EF5"/>
    <w:rsid w:val="001B716D"/>
    <w:rsid w:val="001C24A9"/>
    <w:rsid w:val="001C5992"/>
    <w:rsid w:val="001D4107"/>
    <w:rsid w:val="00203D24"/>
    <w:rsid w:val="00205C3A"/>
    <w:rsid w:val="00210D5F"/>
    <w:rsid w:val="0021217E"/>
    <w:rsid w:val="00216C10"/>
    <w:rsid w:val="002326AB"/>
    <w:rsid w:val="00236F48"/>
    <w:rsid w:val="00243430"/>
    <w:rsid w:val="0024540F"/>
    <w:rsid w:val="002634C4"/>
    <w:rsid w:val="00270328"/>
    <w:rsid w:val="002842EF"/>
    <w:rsid w:val="00285F32"/>
    <w:rsid w:val="002928D3"/>
    <w:rsid w:val="002A2B1D"/>
    <w:rsid w:val="002C2905"/>
    <w:rsid w:val="002F1FE6"/>
    <w:rsid w:val="002F4E68"/>
    <w:rsid w:val="0031050E"/>
    <w:rsid w:val="00312F7F"/>
    <w:rsid w:val="00352CCD"/>
    <w:rsid w:val="00361450"/>
    <w:rsid w:val="0036439B"/>
    <w:rsid w:val="003673CF"/>
    <w:rsid w:val="003727B8"/>
    <w:rsid w:val="003742BD"/>
    <w:rsid w:val="00374EB3"/>
    <w:rsid w:val="003845C1"/>
    <w:rsid w:val="003876D5"/>
    <w:rsid w:val="00387DC4"/>
    <w:rsid w:val="003A0B9A"/>
    <w:rsid w:val="003A6F89"/>
    <w:rsid w:val="003B355C"/>
    <w:rsid w:val="003B38C1"/>
    <w:rsid w:val="003B4E75"/>
    <w:rsid w:val="003C34E9"/>
    <w:rsid w:val="003C6C98"/>
    <w:rsid w:val="003E0774"/>
    <w:rsid w:val="0041085E"/>
    <w:rsid w:val="00416280"/>
    <w:rsid w:val="00423E3E"/>
    <w:rsid w:val="00426F7D"/>
    <w:rsid w:val="00427AF4"/>
    <w:rsid w:val="004647DA"/>
    <w:rsid w:val="00474062"/>
    <w:rsid w:val="00477D6B"/>
    <w:rsid w:val="00483E15"/>
    <w:rsid w:val="00492D24"/>
    <w:rsid w:val="004A3CF3"/>
    <w:rsid w:val="004B3204"/>
    <w:rsid w:val="004B44C9"/>
    <w:rsid w:val="004D0F84"/>
    <w:rsid w:val="005019FF"/>
    <w:rsid w:val="0053057A"/>
    <w:rsid w:val="00537947"/>
    <w:rsid w:val="00550EDE"/>
    <w:rsid w:val="00556076"/>
    <w:rsid w:val="00560A29"/>
    <w:rsid w:val="00562095"/>
    <w:rsid w:val="00564A73"/>
    <w:rsid w:val="005763C7"/>
    <w:rsid w:val="005A1C65"/>
    <w:rsid w:val="005B06DA"/>
    <w:rsid w:val="005C6649"/>
    <w:rsid w:val="005E7B89"/>
    <w:rsid w:val="005F6696"/>
    <w:rsid w:val="00605827"/>
    <w:rsid w:val="006437F3"/>
    <w:rsid w:val="00646050"/>
    <w:rsid w:val="006470EA"/>
    <w:rsid w:val="00655070"/>
    <w:rsid w:val="006713CA"/>
    <w:rsid w:val="00676C5C"/>
    <w:rsid w:val="006B5C12"/>
    <w:rsid w:val="006B6A71"/>
    <w:rsid w:val="006C281A"/>
    <w:rsid w:val="006C29F4"/>
    <w:rsid w:val="006E0D86"/>
    <w:rsid w:val="00720EFD"/>
    <w:rsid w:val="00730734"/>
    <w:rsid w:val="00750CC4"/>
    <w:rsid w:val="00753345"/>
    <w:rsid w:val="007854AF"/>
    <w:rsid w:val="00793A7C"/>
    <w:rsid w:val="007A398A"/>
    <w:rsid w:val="007A40B9"/>
    <w:rsid w:val="007C4730"/>
    <w:rsid w:val="007C4902"/>
    <w:rsid w:val="007D1613"/>
    <w:rsid w:val="007D2DEC"/>
    <w:rsid w:val="007E42AD"/>
    <w:rsid w:val="007E4C0E"/>
    <w:rsid w:val="007F2029"/>
    <w:rsid w:val="00821E9D"/>
    <w:rsid w:val="00844148"/>
    <w:rsid w:val="00844947"/>
    <w:rsid w:val="008617CF"/>
    <w:rsid w:val="00862096"/>
    <w:rsid w:val="00891B38"/>
    <w:rsid w:val="00896175"/>
    <w:rsid w:val="00896E16"/>
    <w:rsid w:val="008A01F4"/>
    <w:rsid w:val="008A134B"/>
    <w:rsid w:val="008B2CC1"/>
    <w:rsid w:val="008B60B2"/>
    <w:rsid w:val="008C4BA5"/>
    <w:rsid w:val="008F0067"/>
    <w:rsid w:val="008F6E80"/>
    <w:rsid w:val="008F7CD7"/>
    <w:rsid w:val="00905EB4"/>
    <w:rsid w:val="0090731E"/>
    <w:rsid w:val="00916EE2"/>
    <w:rsid w:val="009178FC"/>
    <w:rsid w:val="0092497F"/>
    <w:rsid w:val="00966A22"/>
    <w:rsid w:val="0096722F"/>
    <w:rsid w:val="009776C8"/>
    <w:rsid w:val="00980843"/>
    <w:rsid w:val="00986EDA"/>
    <w:rsid w:val="009A643F"/>
    <w:rsid w:val="009B0855"/>
    <w:rsid w:val="009B37FC"/>
    <w:rsid w:val="009C4610"/>
    <w:rsid w:val="009D0027"/>
    <w:rsid w:val="009E2791"/>
    <w:rsid w:val="009E3F6F"/>
    <w:rsid w:val="009F499F"/>
    <w:rsid w:val="009F4BB6"/>
    <w:rsid w:val="00A03D73"/>
    <w:rsid w:val="00A15A6B"/>
    <w:rsid w:val="00A23840"/>
    <w:rsid w:val="00A2498B"/>
    <w:rsid w:val="00A25761"/>
    <w:rsid w:val="00A30294"/>
    <w:rsid w:val="00A37342"/>
    <w:rsid w:val="00A40D9E"/>
    <w:rsid w:val="00A42DAF"/>
    <w:rsid w:val="00A45BD8"/>
    <w:rsid w:val="00A636E4"/>
    <w:rsid w:val="00A869B7"/>
    <w:rsid w:val="00A90F0A"/>
    <w:rsid w:val="00A947BC"/>
    <w:rsid w:val="00AA4217"/>
    <w:rsid w:val="00AC205C"/>
    <w:rsid w:val="00AC77BC"/>
    <w:rsid w:val="00AE0C06"/>
    <w:rsid w:val="00AE1271"/>
    <w:rsid w:val="00AF0A6B"/>
    <w:rsid w:val="00B05A69"/>
    <w:rsid w:val="00B3035F"/>
    <w:rsid w:val="00B42CA9"/>
    <w:rsid w:val="00B43ED3"/>
    <w:rsid w:val="00B51FF7"/>
    <w:rsid w:val="00B75281"/>
    <w:rsid w:val="00B92F1F"/>
    <w:rsid w:val="00B9734B"/>
    <w:rsid w:val="00BA30E2"/>
    <w:rsid w:val="00BA6B37"/>
    <w:rsid w:val="00BB5EA6"/>
    <w:rsid w:val="00BB787F"/>
    <w:rsid w:val="00BE32CE"/>
    <w:rsid w:val="00BE35BF"/>
    <w:rsid w:val="00C0015E"/>
    <w:rsid w:val="00C11BFE"/>
    <w:rsid w:val="00C371A7"/>
    <w:rsid w:val="00C41F1D"/>
    <w:rsid w:val="00C42F72"/>
    <w:rsid w:val="00C5068F"/>
    <w:rsid w:val="00C52E33"/>
    <w:rsid w:val="00C73035"/>
    <w:rsid w:val="00C82943"/>
    <w:rsid w:val="00C86D74"/>
    <w:rsid w:val="00CB3DBA"/>
    <w:rsid w:val="00CC3E2D"/>
    <w:rsid w:val="00CD04F1"/>
    <w:rsid w:val="00CE19F8"/>
    <w:rsid w:val="00CF681A"/>
    <w:rsid w:val="00D07C78"/>
    <w:rsid w:val="00D43C5A"/>
    <w:rsid w:val="00D45252"/>
    <w:rsid w:val="00D50F52"/>
    <w:rsid w:val="00D530E8"/>
    <w:rsid w:val="00D60B2C"/>
    <w:rsid w:val="00D67EAE"/>
    <w:rsid w:val="00D71B4D"/>
    <w:rsid w:val="00D80A3C"/>
    <w:rsid w:val="00D90B96"/>
    <w:rsid w:val="00D93D55"/>
    <w:rsid w:val="00DB360F"/>
    <w:rsid w:val="00DD7B7F"/>
    <w:rsid w:val="00DF31FA"/>
    <w:rsid w:val="00DF7718"/>
    <w:rsid w:val="00E15015"/>
    <w:rsid w:val="00E264F6"/>
    <w:rsid w:val="00E319DF"/>
    <w:rsid w:val="00E335FE"/>
    <w:rsid w:val="00E35474"/>
    <w:rsid w:val="00E66488"/>
    <w:rsid w:val="00E66CC5"/>
    <w:rsid w:val="00E7374D"/>
    <w:rsid w:val="00E92689"/>
    <w:rsid w:val="00E944D7"/>
    <w:rsid w:val="00EA7592"/>
    <w:rsid w:val="00EA7D6E"/>
    <w:rsid w:val="00EB2F76"/>
    <w:rsid w:val="00EC4E49"/>
    <w:rsid w:val="00ED77FB"/>
    <w:rsid w:val="00EE066C"/>
    <w:rsid w:val="00EE45FA"/>
    <w:rsid w:val="00F043DE"/>
    <w:rsid w:val="00F502A4"/>
    <w:rsid w:val="00F611D0"/>
    <w:rsid w:val="00F66152"/>
    <w:rsid w:val="00F80A95"/>
    <w:rsid w:val="00F9165B"/>
    <w:rsid w:val="00F94B68"/>
    <w:rsid w:val="00FA0ECF"/>
    <w:rsid w:val="00FC482F"/>
    <w:rsid w:val="00FD799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6208A6"/>
  <w15:docId w15:val="{BCFA0722-895B-40F5-9149-56C90927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Heading1Char">
    <w:name w:val="Heading 1 Char"/>
    <w:basedOn w:val="DefaultParagraphFont"/>
    <w:link w:val="Heading1"/>
    <w:rsid w:val="00483E15"/>
    <w:rPr>
      <w:rFonts w:ascii="Arial" w:eastAsia="SimSun" w:hAnsi="Arial" w:cs="Calibri"/>
      <w:b/>
      <w:bCs/>
      <w:caps/>
      <w:kern w:val="32"/>
      <w:sz w:val="32"/>
      <w:szCs w:val="32"/>
      <w:lang w:val="en-US" w:eastAsia="zh-CN"/>
    </w:rPr>
  </w:style>
  <w:style w:type="character" w:customStyle="1" w:styleId="BodyTextChar">
    <w:name w:val="Body Text Char"/>
    <w:basedOn w:val="DefaultParagraphFont"/>
    <w:link w:val="BodyText"/>
    <w:rsid w:val="00483E15"/>
    <w:rPr>
      <w:rFonts w:ascii="Arial" w:eastAsia="SimSun" w:hAnsi="Arial" w:cs="Calibri"/>
      <w:sz w:val="22"/>
      <w:szCs w:val="22"/>
      <w:lang w:val="en-US" w:eastAsia="zh-CN"/>
    </w:rPr>
  </w:style>
  <w:style w:type="character" w:customStyle="1" w:styleId="FootnoteTextChar">
    <w:name w:val="Footnote Text Char"/>
    <w:basedOn w:val="DefaultParagraphFont"/>
    <w:link w:val="FootnoteText"/>
    <w:semiHidden/>
    <w:rsid w:val="008617CF"/>
    <w:rPr>
      <w:rFonts w:ascii="Arial" w:eastAsia="SimSun" w:hAnsi="Arial" w:cs="Calibri"/>
      <w:sz w:val="18"/>
      <w:szCs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8617CF"/>
    <w:rPr>
      <w:vertAlign w:val="superscript"/>
    </w:rPr>
  </w:style>
  <w:style w:type="paragraph" w:customStyle="1" w:styleId="footnotedescription">
    <w:name w:val="footnote description"/>
    <w:next w:val="Normal"/>
    <w:link w:val="footnotedescriptionChar"/>
    <w:hidden/>
    <w:rsid w:val="008617CF"/>
    <w:pPr>
      <w:spacing w:line="253" w:lineRule="auto"/>
    </w:pPr>
    <w:rPr>
      <w:rFonts w:ascii="Arial" w:eastAsia="Arial" w:hAnsi="Arial" w:cs="Calibri"/>
      <w:color w:val="000000"/>
      <w:szCs w:val="22"/>
      <w:lang w:val="en-AU" w:eastAsia="en-AU" w:bidi="ar-EG"/>
    </w:rPr>
  </w:style>
  <w:style w:type="character" w:customStyle="1" w:styleId="footnotedescriptionChar">
    <w:name w:val="footnote description Char"/>
    <w:link w:val="footnotedescription"/>
    <w:rsid w:val="008617CF"/>
    <w:rPr>
      <w:rFonts w:ascii="Arial" w:eastAsia="Arial" w:hAnsi="Arial" w:cs="Calibri"/>
      <w:color w:val="000000"/>
      <w:szCs w:val="22"/>
      <w:lang w:val="en-AU" w:eastAsia="en-AU" w:bidi="ar-EG"/>
    </w:rPr>
  </w:style>
  <w:style w:type="character" w:customStyle="1" w:styleId="footnotemark">
    <w:name w:val="footnote mark"/>
    <w:hidden/>
    <w:rsid w:val="008617CF"/>
    <w:rPr>
      <w:rFonts w:ascii="Arial" w:eastAsia="Arial" w:hAnsi="Arial" w:cs="Calibri"/>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259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B87F-4DD7-4CA8-8376-8F2708EF2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IGC_44_AR.dotx</Template>
  <TotalTime>406</TotalTime>
  <Pages>4</Pages>
  <Words>1174</Words>
  <Characters>6704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WIPO/GRTK/IC/51 (Arabic)</vt:lpstr>
    </vt:vector>
  </TitlesOfParts>
  <Company>WIPO</Company>
  <LinksUpToDate>false</LinksUpToDate>
  <CharactersWithSpaces>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WIPO/GRTK/IC/51 (Arabic)</dc:title>
  <dc:creator>MERZOUK Fawzi</dc:creator>
  <cp:keywords>FOR OFFICIAL USE ONLY</cp:keywords>
  <cp:lastModifiedBy> FM</cp:lastModifiedBy>
  <cp:revision>15</cp:revision>
  <cp:lastPrinted>2025-06-05T20:30:00Z</cp:lastPrinted>
  <dcterms:created xsi:type="dcterms:W3CDTF">2025-05-30T08:19:00Z</dcterms:created>
  <dcterms:modified xsi:type="dcterms:W3CDTF">2025-06-05T20:30:00Z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2025-03-05T09:26:10Z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8b4ae0f8-78c9-4525-a50e-d10474dea079</vt:lpwstr>
  </property>
  <property fmtid="{D5CDD505-2E9C-101B-9397-08002B2CF9AE}" pid="13" name="MSIP_Label_20773ee6-353b-4fb9-a59d-0b94c8c67bea_ContentBits">
    <vt:lpwstr>0</vt:lpwstr>
  </property>
</Properties>
</file>