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D6B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12E9BB52" wp14:editId="2BC401D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DB2A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946B9A6" w14:textId="77777777" w:rsidR="00B43ED3" w:rsidRDefault="00B43ED3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0" w:name="Original"/>
    </w:p>
    <w:p w14:paraId="494CD67E" w14:textId="77777777" w:rsidR="008B2CC1" w:rsidRPr="00537947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23CD7AAA" w14:textId="7212536B" w:rsidR="008B2CC1" w:rsidRPr="00537947" w:rsidRDefault="00CC3E2D" w:rsidP="00A947B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Date"/>
      <w:bookmarkEnd w:id="0"/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6B6A7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842E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</w:t>
      </w:r>
      <w:r w:rsidR="006B6A7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842E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مارس</w:t>
      </w:r>
      <w:r w:rsidR="006B6A7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842E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1"/>
    <w:p w14:paraId="1CE78BE6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79EEBC9C" w14:textId="46D9D196" w:rsidR="00A90F0A" w:rsidRPr="00D67EAE" w:rsidRDefault="00D67EAE" w:rsidP="00A947B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2842EF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56C6A681" w14:textId="26E3E618" w:rsidR="008B2CC1" w:rsidRPr="00D67EAE" w:rsidRDefault="00D67EAE" w:rsidP="00A947B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6B6A71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842EF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2842EF">
        <w:rPr>
          <w:rFonts w:asciiTheme="minorHAnsi" w:hAnsiTheme="minorHAnsi" w:cstheme="minorHAnsi" w:hint="cs"/>
          <w:bCs/>
          <w:sz w:val="24"/>
          <w:szCs w:val="24"/>
          <w:rtl/>
        </w:rPr>
        <w:t>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842EF">
        <w:rPr>
          <w:rFonts w:asciiTheme="minorHAnsi" w:hAnsiTheme="minorHAnsi" w:cstheme="minorHAnsi" w:hint="cs"/>
          <w:bCs/>
          <w:sz w:val="24"/>
          <w:szCs w:val="24"/>
          <w:rtl/>
        </w:rPr>
        <w:t>مارس</w:t>
      </w:r>
      <w:r w:rsidR="006B6A71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842EF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1DEE8A31" w14:textId="221E1499" w:rsidR="008B2CC1" w:rsidRPr="00D67EAE" w:rsidRDefault="00483E15" w:rsidP="00A947B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483E15">
        <w:rPr>
          <w:rFonts w:asciiTheme="minorHAnsi" w:hAnsiTheme="minorHAnsi" w:cstheme="minorHAnsi"/>
          <w:caps/>
          <w:sz w:val="28"/>
          <w:szCs w:val="24"/>
          <w:rtl/>
        </w:rPr>
        <w:t xml:space="preserve">قرارات الدورة </w:t>
      </w:r>
      <w:r w:rsidR="002842EF">
        <w:rPr>
          <w:rFonts w:asciiTheme="minorHAnsi" w:hAnsiTheme="minorHAnsi" w:cstheme="minorHAnsi" w:hint="cs"/>
          <w:caps/>
          <w:sz w:val="28"/>
          <w:szCs w:val="24"/>
          <w:rtl/>
        </w:rPr>
        <w:t>الخمسين للجنة</w:t>
      </w:r>
    </w:p>
    <w:p w14:paraId="63383FC8" w14:textId="40E53F59" w:rsidR="002928D3" w:rsidRDefault="0041085E" w:rsidP="009C4610">
      <w:pPr>
        <w:spacing w:after="1040"/>
        <w:rPr>
          <w:rFonts w:asciiTheme="minorHAnsi" w:hAnsiTheme="minorHAnsi" w:cstheme="minorHAnsi"/>
          <w:iCs/>
        </w:rPr>
      </w:pPr>
      <w:bookmarkStart w:id="3" w:name="Prepared"/>
      <w:bookmarkEnd w:id="2"/>
      <w:bookmarkEnd w:id="3"/>
      <w:r>
        <w:rPr>
          <w:rFonts w:asciiTheme="minorHAnsi" w:hAnsiTheme="minorHAnsi" w:cstheme="minorHAnsi" w:hint="cs"/>
          <w:iCs/>
          <w:rtl/>
          <w:lang w:bidi="ar-SY"/>
        </w:rPr>
        <w:t>التي اعتمدتها اللجنة</w:t>
      </w:r>
    </w:p>
    <w:p w14:paraId="7FF3CE85" w14:textId="77777777" w:rsidR="009B0855" w:rsidRDefault="009B0855" w:rsidP="00D60B2C">
      <w:pPr>
        <w:pStyle w:val="BodyText"/>
        <w:rPr>
          <w:lang w:bidi="ar-EG"/>
        </w:rPr>
      </w:pPr>
    </w:p>
    <w:p w14:paraId="4746AF9D" w14:textId="77777777" w:rsidR="00483E15" w:rsidRDefault="00483E15">
      <w:pPr>
        <w:bidi w:val="0"/>
        <w:rPr>
          <w:rtl/>
        </w:rPr>
      </w:pPr>
      <w:r>
        <w:rPr>
          <w:rtl/>
        </w:rPr>
        <w:br w:type="page"/>
      </w:r>
    </w:p>
    <w:p w14:paraId="7DCBF811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lastRenderedPageBreak/>
        <w:t>قرار بشأن البند 2 من جدول الأعمال:</w:t>
      </w:r>
    </w:p>
    <w:p w14:paraId="14F8A2CF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جدول الأعمال</w:t>
      </w:r>
    </w:p>
    <w:p w14:paraId="218A91C7" w14:textId="018073DF" w:rsidR="00483E15" w:rsidRPr="004B5B86" w:rsidRDefault="00483E15" w:rsidP="00A947BC">
      <w:pPr>
        <w:pStyle w:val="BodyText"/>
      </w:pPr>
      <w:r w:rsidRPr="004B5B86">
        <w:rPr>
          <w:rtl/>
        </w:rPr>
        <w:t>قدم</w:t>
      </w:r>
      <w:r w:rsidR="00AE1271">
        <w:rPr>
          <w:rFonts w:hint="cs"/>
          <w:rtl/>
        </w:rPr>
        <w:t>ت</w:t>
      </w:r>
      <w:r w:rsidRPr="004B5B86">
        <w:rPr>
          <w:rtl/>
        </w:rPr>
        <w:t xml:space="preserve"> الرئيس</w:t>
      </w:r>
      <w:r w:rsidR="00AE1271">
        <w:rPr>
          <w:rFonts w:hint="cs"/>
          <w:rtl/>
        </w:rPr>
        <w:t>ة</w:t>
      </w:r>
      <w:r w:rsidRPr="004B5B86">
        <w:rPr>
          <w:rtl/>
        </w:rPr>
        <w:t xml:space="preserve"> مشروع جدول الأعمال المُعمّم في الوثيقة </w:t>
      </w:r>
      <w:r w:rsidRPr="004B5B86">
        <w:t>WIPO/GRTKF/IC/</w:t>
      </w:r>
      <w:r w:rsidR="00BE35BF">
        <w:t>50</w:t>
      </w:r>
      <w:r w:rsidRPr="004B5B86">
        <w:t>/1 Prov.</w:t>
      </w:r>
      <w:r w:rsidR="00BE35BF">
        <w:rPr>
          <w:rFonts w:hint="cs"/>
          <w:rtl/>
        </w:rPr>
        <w:t xml:space="preserve"> كي</w:t>
      </w:r>
      <w:r w:rsidRPr="004B5B86">
        <w:rPr>
          <w:rtl/>
        </w:rPr>
        <w:t xml:space="preserve"> يُعتمد، وتم اعتماده.</w:t>
      </w:r>
    </w:p>
    <w:p w14:paraId="5C074A12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3 من جدول الأعمال:</w:t>
      </w:r>
    </w:p>
    <w:p w14:paraId="1EB17905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بعض المنظمات</w:t>
      </w:r>
    </w:p>
    <w:p w14:paraId="197C7E8C" w14:textId="746AFACD" w:rsidR="00A947BC" w:rsidRDefault="00A947BC" w:rsidP="004B44C9">
      <w:pPr>
        <w:pStyle w:val="BodyText"/>
        <w:rPr>
          <w:rtl/>
          <w:lang w:bidi="ar-LB"/>
        </w:rPr>
      </w:pPr>
      <w:r w:rsidRPr="00A947BC">
        <w:rPr>
          <w:rtl/>
        </w:rPr>
        <w:t>وافقت اللجنة بالإجماع على اعتماد</w:t>
      </w:r>
      <w:r w:rsidR="00BE35BF">
        <w:rPr>
          <w:rFonts w:hint="cs"/>
          <w:rtl/>
        </w:rPr>
        <w:t xml:space="preserve"> </w:t>
      </w:r>
      <w:r w:rsidR="00BE35BF" w:rsidRPr="00BE35BF">
        <w:rPr>
          <w:rtl/>
          <w:lang w:bidi="ar-LB"/>
        </w:rPr>
        <w:t xml:space="preserve">منظمة </w:t>
      </w:r>
      <w:r w:rsidR="00BE35BF" w:rsidRPr="00BE35BF">
        <w:rPr>
          <w:i/>
          <w:iCs/>
        </w:rPr>
        <w:t>Focus Droits et </w:t>
      </w:r>
      <w:proofErr w:type="spellStart"/>
      <w:r w:rsidR="00BE35BF" w:rsidRPr="00BE35BF">
        <w:rPr>
          <w:i/>
          <w:iCs/>
        </w:rPr>
        <w:t>Accès</w:t>
      </w:r>
      <w:proofErr w:type="spellEnd"/>
      <w:r w:rsidR="004B44C9">
        <w:rPr>
          <w:rFonts w:hint="cs"/>
          <w:rtl/>
          <w:lang w:bidi="ar-LB"/>
        </w:rPr>
        <w:t xml:space="preserve">، </w:t>
      </w:r>
      <w:r w:rsidR="00BE35BF">
        <w:rPr>
          <w:rFonts w:hint="cs"/>
          <w:rtl/>
          <w:lang w:bidi="ar-LB"/>
        </w:rPr>
        <w:t>و</w:t>
      </w:r>
      <w:r w:rsidR="00BE35BF" w:rsidRPr="00BE35BF">
        <w:rPr>
          <w:rtl/>
          <w:lang w:bidi="ar-LB"/>
        </w:rPr>
        <w:t xml:space="preserve">مبادرة </w:t>
      </w:r>
      <w:r w:rsidR="00BE35BF" w:rsidRPr="00BE35BF">
        <w:rPr>
          <w:rFonts w:hint="cs"/>
          <w:rtl/>
          <w:lang w:bidi="ar-LB"/>
        </w:rPr>
        <w:t>"</w:t>
      </w:r>
      <w:r w:rsidR="00BE35BF" w:rsidRPr="00BE35BF">
        <w:rPr>
          <w:rtl/>
          <w:lang w:bidi="ar-LB"/>
        </w:rPr>
        <w:t>اسمعوا صوتهم</w:t>
      </w:r>
      <w:r w:rsidR="00BE35BF" w:rsidRPr="00BE35BF">
        <w:rPr>
          <w:rFonts w:hint="cs"/>
          <w:rtl/>
          <w:lang w:bidi="ar-LB"/>
        </w:rPr>
        <w:t>"</w:t>
      </w:r>
      <w:r w:rsidR="00BE35BF" w:rsidRPr="00BE35BF">
        <w:rPr>
          <w:rtl/>
          <w:lang w:bidi="ar-LB"/>
        </w:rPr>
        <w:t xml:space="preserve"> (</w:t>
      </w:r>
      <w:r w:rsidR="00BE35BF" w:rsidRPr="00BE35BF">
        <w:t>Hear</w:t>
      </w:r>
      <w:r w:rsidR="00BE35BF">
        <w:t> </w:t>
      </w:r>
      <w:r w:rsidR="00BE35BF" w:rsidRPr="00BE35BF">
        <w:t>Their</w:t>
      </w:r>
      <w:r w:rsidR="00BE35BF">
        <w:t> </w:t>
      </w:r>
      <w:r w:rsidR="00BE35BF" w:rsidRPr="00BE35BF">
        <w:t>Voice</w:t>
      </w:r>
      <w:r w:rsidR="00BE35BF">
        <w:t> </w:t>
      </w:r>
      <w:r w:rsidR="00BE35BF" w:rsidRPr="00BE35BF">
        <w:t>Initiative</w:t>
      </w:r>
      <w:r w:rsidR="00BE35BF">
        <w:t> </w:t>
      </w:r>
      <w:r w:rsidR="00BE35BF" w:rsidRPr="00BE35BF">
        <w:t>-</w:t>
      </w:r>
      <w:r w:rsidR="00BE35BF">
        <w:t> </w:t>
      </w:r>
      <w:r w:rsidR="00BE35BF" w:rsidRPr="00BE35BF">
        <w:t>HTVI</w:t>
      </w:r>
      <w:r w:rsidR="00BE35BF" w:rsidRPr="00BE35BF">
        <w:rPr>
          <w:rtl/>
          <w:lang w:bidi="ar-LB"/>
        </w:rPr>
        <w:t>)</w:t>
      </w:r>
      <w:r w:rsidR="004B44C9" w:rsidRPr="004B44C9">
        <w:rPr>
          <w:rFonts w:hint="cs"/>
          <w:rtl/>
          <w:lang w:bidi="ar-LB"/>
        </w:rPr>
        <w:t xml:space="preserve">، </w:t>
      </w:r>
      <w:r w:rsidR="00BE35BF" w:rsidRPr="004B44C9">
        <w:rPr>
          <w:rFonts w:hint="cs"/>
          <w:rtl/>
        </w:rPr>
        <w:t>و</w:t>
      </w:r>
      <w:r w:rsidR="00BE35BF" w:rsidRPr="00BE35BF">
        <w:rPr>
          <w:rtl/>
          <w:lang w:bidi="ar-LB"/>
        </w:rPr>
        <w:t>مبادرة</w:t>
      </w:r>
      <w:r w:rsidR="00BE35BF" w:rsidRPr="00BE35BF">
        <w:rPr>
          <w:i/>
          <w:iCs/>
          <w:rtl/>
          <w:lang w:bidi="ar-LB"/>
        </w:rPr>
        <w:t xml:space="preserve"> تعزيز التعلم لدى شعوب </w:t>
      </w:r>
      <w:proofErr w:type="spellStart"/>
      <w:r w:rsidR="00BE35BF" w:rsidRPr="00BE35BF">
        <w:rPr>
          <w:i/>
          <w:iCs/>
          <w:rtl/>
          <w:lang w:bidi="ar-LB"/>
        </w:rPr>
        <w:t>الباتوا</w:t>
      </w:r>
      <w:proofErr w:type="spellEnd"/>
      <w:r w:rsidR="00BE35BF" w:rsidRPr="00BE35BF">
        <w:rPr>
          <w:i/>
          <w:iCs/>
          <w:rtl/>
          <w:lang w:bidi="ar-LB"/>
        </w:rPr>
        <w:t xml:space="preserve"> من أجل التنمية المستدامة </w:t>
      </w:r>
      <w:r w:rsidR="004B44C9" w:rsidRPr="004B44C9">
        <w:rPr>
          <w:rFonts w:hint="cs"/>
          <w:rtl/>
          <w:lang w:bidi="ar-LB"/>
        </w:rPr>
        <w:t>(</w:t>
      </w:r>
      <w:r w:rsidR="004B44C9" w:rsidRPr="004B44C9">
        <w:rPr>
          <w:lang w:bidi="ar-LB"/>
        </w:rPr>
        <w:t>IPREBAD</w:t>
      </w:r>
      <w:r w:rsidR="004B44C9" w:rsidRPr="004B44C9">
        <w:rPr>
          <w:rFonts w:hint="cs"/>
          <w:rtl/>
          <w:lang w:bidi="ar-LB"/>
        </w:rPr>
        <w:t>)</w:t>
      </w:r>
      <w:r w:rsidR="004B44C9">
        <w:rPr>
          <w:rFonts w:hint="cs"/>
          <w:i/>
          <w:iCs/>
          <w:rtl/>
          <w:lang w:bidi="ar-LB"/>
        </w:rPr>
        <w:t xml:space="preserve">، </w:t>
      </w:r>
      <w:r w:rsidR="00BE35BF">
        <w:rPr>
          <w:rFonts w:hint="cs"/>
          <w:rtl/>
          <w:lang w:bidi="ar-LB"/>
        </w:rPr>
        <w:t>و</w:t>
      </w:r>
      <w:r w:rsidR="00BE35BF" w:rsidRPr="00BE35BF">
        <w:rPr>
          <w:rtl/>
          <w:lang w:bidi="ar-LB"/>
        </w:rPr>
        <w:t>رابطة المحافظة على القوميات الأصلية النيبالي</w:t>
      </w:r>
      <w:r w:rsidR="00BE35BF" w:rsidRPr="00BE35BF">
        <w:rPr>
          <w:rFonts w:hint="cs"/>
          <w:rtl/>
          <w:lang w:bidi="ar-LB"/>
        </w:rPr>
        <w:t>ة</w:t>
      </w:r>
      <w:r w:rsidR="004B44C9">
        <w:rPr>
          <w:rFonts w:hint="cs"/>
          <w:rtl/>
          <w:lang w:bidi="ar-LB"/>
        </w:rPr>
        <w:t xml:space="preserve"> (</w:t>
      </w:r>
      <w:r w:rsidR="004B44C9" w:rsidRPr="004B44C9">
        <w:rPr>
          <w:lang w:bidi="ar-LB"/>
        </w:rPr>
        <w:t>NINPA</w:t>
      </w:r>
      <w:r w:rsidR="004B44C9">
        <w:rPr>
          <w:rFonts w:hint="cs"/>
          <w:rtl/>
          <w:lang w:bidi="ar-LB"/>
        </w:rPr>
        <w:t>)،</w:t>
      </w:r>
      <w:r w:rsidR="00BE35BF">
        <w:rPr>
          <w:rFonts w:hint="cs"/>
          <w:rtl/>
          <w:lang w:bidi="ar-LB"/>
        </w:rPr>
        <w:t xml:space="preserve"> و</w:t>
      </w:r>
      <w:r w:rsidR="00BE35BF" w:rsidRPr="00BE35BF">
        <w:rPr>
          <w:rtl/>
          <w:lang w:bidi="ar-LB"/>
        </w:rPr>
        <w:t>اتحاد متطوعي التنمية المجتمعية</w:t>
      </w:r>
      <w:r w:rsidR="006B6A71">
        <w:rPr>
          <w:rFonts w:hint="cs"/>
          <w:i/>
          <w:iCs/>
          <w:rtl/>
          <w:lang w:val="fr-CH" w:bidi="ar-SY"/>
        </w:rPr>
        <w:t xml:space="preserve"> </w:t>
      </w:r>
      <w:r w:rsidRPr="00A947BC">
        <w:rPr>
          <w:rtl/>
        </w:rPr>
        <w:t>بصفة مراقب مؤقت</w:t>
      </w:r>
      <w:r>
        <w:rPr>
          <w:rFonts w:hint="cs"/>
          <w:rtl/>
        </w:rPr>
        <w:t>.</w:t>
      </w:r>
      <w:r w:rsidR="002C2905">
        <w:rPr>
          <w:rFonts w:hint="cs"/>
          <w:rtl/>
        </w:rPr>
        <w:t xml:space="preserve"> ولم توافق اللجنة على اعتماد </w:t>
      </w:r>
      <w:r w:rsidR="002C2905" w:rsidRPr="00BE35BF">
        <w:rPr>
          <w:rtl/>
          <w:lang w:bidi="ar-LB"/>
        </w:rPr>
        <w:t>مركز دراسة التراث الثقافي "تعزيز التنمية المستدامة لشعوب الشمال"</w:t>
      </w:r>
      <w:r w:rsidR="002C2905">
        <w:rPr>
          <w:rFonts w:hint="cs"/>
          <w:rtl/>
          <w:lang w:bidi="ar-LB"/>
        </w:rPr>
        <w:t>.</w:t>
      </w:r>
    </w:p>
    <w:p w14:paraId="1EA75515" w14:textId="1FE03761" w:rsidR="00492D24" w:rsidRDefault="00492D24" w:rsidP="00492D24">
      <w:pPr>
        <w:pStyle w:val="BodyText"/>
        <w:rPr>
          <w:rtl/>
          <w:lang w:val="fr-CH"/>
        </w:rPr>
      </w:pPr>
      <w:r w:rsidRPr="005214E1">
        <w:rPr>
          <w:rtl/>
          <w:lang w:val="fr-CH"/>
        </w:rPr>
        <w:t xml:space="preserve">وأرجأت اللجنة مناقشة الوثيقة </w:t>
      </w:r>
      <w:r w:rsidRPr="005214E1">
        <w:rPr>
          <w:lang w:val="fr-CH"/>
        </w:rPr>
        <w:t>WIPO/GRTKF/IC/IC/49/8</w:t>
      </w:r>
      <w:r w:rsidRPr="005214E1">
        <w:rPr>
          <w:rtl/>
          <w:lang w:val="fr-CH"/>
        </w:rPr>
        <w:t xml:space="preserve"> (اقتراح بتحديث قائمة المنظمات غير الحكومية الم</w:t>
      </w:r>
      <w:r>
        <w:rPr>
          <w:rFonts w:hint="cs"/>
          <w:rtl/>
          <w:lang w:val="fr-CH"/>
        </w:rPr>
        <w:t xml:space="preserve">عتمدة </w:t>
      </w:r>
      <w:r w:rsidRPr="005214E1">
        <w:rPr>
          <w:rtl/>
          <w:lang w:val="fr-CH"/>
        </w:rPr>
        <w:t xml:space="preserve">بصفة مراقب </w:t>
      </w:r>
      <w:r w:rsidRPr="00A947BC">
        <w:rPr>
          <w:rtl/>
        </w:rPr>
        <w:t>مؤقت</w:t>
      </w:r>
      <w:r w:rsidRPr="005214E1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في </w:t>
      </w:r>
      <w:r w:rsidRPr="005214E1">
        <w:rPr>
          <w:rtl/>
          <w:lang w:val="fr-CH"/>
        </w:rPr>
        <w:t>لجنة ال</w:t>
      </w:r>
      <w:r>
        <w:rPr>
          <w:rFonts w:hint="cs"/>
          <w:rtl/>
          <w:lang w:val="fr-CH"/>
        </w:rPr>
        <w:t>معارف</w:t>
      </w:r>
      <w:r w:rsidRPr="005214E1">
        <w:rPr>
          <w:rtl/>
          <w:lang w:val="fr-CH"/>
        </w:rPr>
        <w:t xml:space="preserve">) إلى </w:t>
      </w:r>
      <w:r w:rsidR="004B44C9">
        <w:rPr>
          <w:rFonts w:hint="cs"/>
          <w:rtl/>
          <w:lang w:val="fr-CH"/>
        </w:rPr>
        <w:t>إحدى دوراتها</w:t>
      </w:r>
      <w:r w:rsidRPr="005214E1">
        <w:rPr>
          <w:rtl/>
          <w:lang w:val="fr-CH"/>
        </w:rPr>
        <w:t xml:space="preserve"> </w:t>
      </w:r>
      <w:r w:rsidR="004B44C9">
        <w:rPr>
          <w:rFonts w:hint="cs"/>
          <w:rtl/>
          <w:lang w:val="fr-CH"/>
        </w:rPr>
        <w:t>القادمة</w:t>
      </w:r>
      <w:r w:rsidRPr="005214E1">
        <w:rPr>
          <w:rtl/>
          <w:lang w:val="fr-CH"/>
        </w:rPr>
        <w:t>.</w:t>
      </w:r>
    </w:p>
    <w:p w14:paraId="580F9082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4 من جدول الأعمال:</w:t>
      </w:r>
    </w:p>
    <w:p w14:paraId="6827A849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مشاركة الجماعات الأصلية والمحلية</w:t>
      </w:r>
    </w:p>
    <w:p w14:paraId="64557D85" w14:textId="431AF676" w:rsidR="00483E15" w:rsidRDefault="00483E15" w:rsidP="006B6A71">
      <w:pPr>
        <w:pStyle w:val="BodyText"/>
      </w:pPr>
      <w:r>
        <w:rPr>
          <w:rtl/>
        </w:rPr>
        <w:t>أحاطت اللجنة علما</w:t>
      </w:r>
      <w:r w:rsidR="00AC77BC">
        <w:rPr>
          <w:rFonts w:hint="cs"/>
          <w:rtl/>
        </w:rPr>
        <w:t>ً</w:t>
      </w:r>
      <w:r>
        <w:rPr>
          <w:rtl/>
        </w:rPr>
        <w:t xml:space="preserve"> </w:t>
      </w:r>
      <w:r w:rsidR="00730734" w:rsidRPr="00A947BC">
        <w:rPr>
          <w:rtl/>
        </w:rPr>
        <w:t>ب</w:t>
      </w:r>
      <w:r w:rsidR="00730734">
        <w:rPr>
          <w:rFonts w:hint="cs"/>
          <w:rtl/>
        </w:rPr>
        <w:t xml:space="preserve">الوثيقتين </w:t>
      </w:r>
      <w:r>
        <w:t>WIPO/GRTKF/IC/</w:t>
      </w:r>
      <w:r w:rsidR="004B44C9">
        <w:t>50</w:t>
      </w:r>
      <w:r>
        <w:t>/3</w:t>
      </w:r>
      <w:r>
        <w:rPr>
          <w:rtl/>
        </w:rPr>
        <w:t xml:space="preserve"> و</w:t>
      </w:r>
      <w:r>
        <w:t>WIPO/GRTKF/IC/</w:t>
      </w:r>
      <w:r w:rsidR="004B44C9">
        <w:t>50</w:t>
      </w:r>
      <w:r>
        <w:t>/INF/4</w:t>
      </w:r>
      <w:r>
        <w:rPr>
          <w:rtl/>
        </w:rPr>
        <w:t>.</w:t>
      </w:r>
    </w:p>
    <w:p w14:paraId="3EBD35A7" w14:textId="77777777" w:rsidR="00483E15" w:rsidRDefault="00483E15" w:rsidP="00483E15">
      <w:pPr>
        <w:pStyle w:val="BodyText"/>
      </w:pPr>
      <w:r>
        <w:rPr>
          <w:rtl/>
        </w:rPr>
        <w:t xml:space="preserve">وشجَّعت بشدة أعضاءها وجميع الهيئات المهتمة في القطاعين العام والخاص وحثَّتها على الإسهام في صندوق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للتبرعات لفائدة الجماعات الأصلية والمحلية المعتمدة.</w:t>
      </w:r>
    </w:p>
    <w:p w14:paraId="57F57ACD" w14:textId="5EF25B63" w:rsidR="006B6A71" w:rsidRPr="000E3BC8" w:rsidRDefault="00483E15" w:rsidP="00C41F1D">
      <w:pPr>
        <w:pStyle w:val="BodyText"/>
        <w:rPr>
          <w:rtl/>
          <w:lang w:val="fr-CH" w:bidi="ar-SY"/>
        </w:rPr>
      </w:pPr>
      <w:r>
        <w:rPr>
          <w:rtl/>
        </w:rPr>
        <w:t>واقترح</w:t>
      </w:r>
      <w:r w:rsidR="00D50F52">
        <w:rPr>
          <w:rFonts w:hint="cs"/>
          <w:rtl/>
        </w:rPr>
        <w:t>ت</w:t>
      </w:r>
      <w:r>
        <w:rPr>
          <w:rtl/>
        </w:rPr>
        <w:t xml:space="preserve"> الرئيس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انتخاب الأعضاء</w:t>
      </w:r>
      <w:r w:rsidR="005A1C65">
        <w:rPr>
          <w:rFonts w:hint="cs"/>
          <w:rtl/>
        </w:rPr>
        <w:t xml:space="preserve"> ال</w:t>
      </w:r>
      <w:r w:rsidR="006B6A71">
        <w:rPr>
          <w:rFonts w:hint="cs"/>
          <w:rtl/>
          <w:lang w:val="fr-CH" w:bidi="ar-SY"/>
        </w:rPr>
        <w:t>ثماني</w:t>
      </w:r>
      <w:r w:rsidR="005A1C65">
        <w:rPr>
          <w:rFonts w:hint="cs"/>
          <w:rtl/>
        </w:rPr>
        <w:t xml:space="preserve">ة </w:t>
      </w:r>
      <w:r>
        <w:rPr>
          <w:rtl/>
        </w:rPr>
        <w:t>التالية أسماؤهم في المجلس الاستشاري للعمل بصفتهم الشخصية</w:t>
      </w:r>
      <w:r w:rsidR="006B6A71">
        <w:rPr>
          <w:rFonts w:hint="cs"/>
          <w:rtl/>
        </w:rPr>
        <w:t>:</w:t>
      </w:r>
      <w:r w:rsidR="000E3BC8">
        <w:rPr>
          <w:rFonts w:hint="cs"/>
          <w:rtl/>
          <w:lang w:val="fr-CH" w:bidi="ar-SY"/>
        </w:rPr>
        <w:t xml:space="preserve"> </w:t>
      </w:r>
      <w:r w:rsidR="00C52E33">
        <w:rPr>
          <w:rFonts w:hint="cs"/>
          <w:rtl/>
          <w:lang w:val="fr-CH" w:bidi="ar-SY"/>
        </w:rPr>
        <w:t xml:space="preserve">السيدة </w:t>
      </w:r>
      <w:r w:rsidR="00C52E33" w:rsidRPr="00C52E33">
        <w:rPr>
          <w:rtl/>
          <w:lang w:val="fr-CH" w:bidi="ar-SY"/>
        </w:rPr>
        <w:t>سوزان أنتوني</w:t>
      </w:r>
      <w:r w:rsidR="00C52E33">
        <w:rPr>
          <w:rFonts w:hint="cs"/>
          <w:rtl/>
          <w:lang w:val="fr-CH" w:bidi="ar-SY"/>
        </w:rPr>
        <w:t xml:space="preserve"> (الولايات المتحدة الأمريكية)؛ والسيدة فلور دي ماريا غارسيا (غواتيمالا)؛ والسيد </w:t>
      </w:r>
      <w:proofErr w:type="spellStart"/>
      <w:r w:rsidR="00C52E33" w:rsidRPr="00C52E33">
        <w:rPr>
          <w:rtl/>
          <w:lang w:val="fr-CH" w:bidi="ar-SY"/>
        </w:rPr>
        <w:t>هولتون</w:t>
      </w:r>
      <w:proofErr w:type="spellEnd"/>
      <w:r w:rsidR="00C52E33" w:rsidRPr="00C52E33">
        <w:rPr>
          <w:rtl/>
          <w:lang w:val="fr-CH" w:bidi="ar-SY"/>
        </w:rPr>
        <w:t xml:space="preserve"> </w:t>
      </w:r>
      <w:proofErr w:type="spellStart"/>
      <w:r w:rsidR="00C52E33" w:rsidRPr="00C52E33">
        <w:rPr>
          <w:rtl/>
          <w:lang w:val="fr-CH" w:bidi="ar-SY"/>
        </w:rPr>
        <w:t>فاساو</w:t>
      </w:r>
      <w:proofErr w:type="spellEnd"/>
      <w:r w:rsidR="00C52E33">
        <w:rPr>
          <w:rFonts w:hint="cs"/>
          <w:rtl/>
          <w:lang w:val="fr-CH" w:bidi="ar-SY"/>
        </w:rPr>
        <w:t xml:space="preserve"> (ساموا)؛ والسيد</w:t>
      </w:r>
      <w:r w:rsidR="00BB5EA6">
        <w:rPr>
          <w:rFonts w:hint="cs"/>
          <w:rtl/>
          <w:lang w:val="fr-CH" w:bidi="ar-SY"/>
        </w:rPr>
        <w:t xml:space="preserve">ة </w:t>
      </w:r>
      <w:r w:rsidR="003E0774" w:rsidRPr="003E0774">
        <w:rPr>
          <w:rtl/>
          <w:lang w:val="fr-CH" w:bidi="ar-SY"/>
        </w:rPr>
        <w:t xml:space="preserve">جون </w:t>
      </w:r>
      <w:proofErr w:type="spellStart"/>
      <w:r w:rsidR="003E0774" w:rsidRPr="003E0774">
        <w:rPr>
          <w:rtl/>
          <w:lang w:val="fr-CH" w:bidi="ar-SY"/>
        </w:rPr>
        <w:t>لورينزو</w:t>
      </w:r>
      <w:proofErr w:type="spellEnd"/>
      <w:r w:rsidR="00C41F1D">
        <w:rPr>
          <w:rFonts w:hint="cs"/>
          <w:rtl/>
          <w:lang w:val="fr-CH" w:bidi="ar-SY"/>
        </w:rPr>
        <w:t xml:space="preserve"> (</w:t>
      </w:r>
      <w:r w:rsidR="00C41F1D" w:rsidRPr="00C41F1D">
        <w:rPr>
          <w:rtl/>
          <w:lang w:val="fr-CH" w:bidi="ar-SY"/>
        </w:rPr>
        <w:t>المجلس الدولي لمعاهدات الهنود</w:t>
      </w:r>
      <w:r w:rsidR="00C41F1D">
        <w:rPr>
          <w:rFonts w:hint="cs"/>
          <w:rtl/>
          <w:lang w:val="fr-CH" w:bidi="ar-SY"/>
        </w:rPr>
        <w:t xml:space="preserve">)؛ والسيدة </w:t>
      </w:r>
      <w:r w:rsidR="00C41F1D" w:rsidRPr="00C41F1D">
        <w:rPr>
          <w:rtl/>
          <w:lang w:val="fr-CH" w:bidi="ar-SY"/>
        </w:rPr>
        <w:t xml:space="preserve">سونيا باتريشيا </w:t>
      </w:r>
      <w:proofErr w:type="spellStart"/>
      <w:r w:rsidR="00C41F1D" w:rsidRPr="00C41F1D">
        <w:rPr>
          <w:rtl/>
          <w:lang w:val="fr-CH" w:bidi="ar-SY"/>
        </w:rPr>
        <w:t>مورسيا</w:t>
      </w:r>
      <w:proofErr w:type="spellEnd"/>
      <w:r w:rsidR="00C41F1D" w:rsidRPr="00C41F1D">
        <w:rPr>
          <w:rtl/>
          <w:lang w:val="fr-CH" w:bidi="ar-SY"/>
        </w:rPr>
        <w:t xml:space="preserve"> روا</w:t>
      </w:r>
      <w:r w:rsidR="00C41F1D">
        <w:rPr>
          <w:rFonts w:hint="cs"/>
          <w:rtl/>
          <w:lang w:val="fr-CH" w:bidi="ar-SY"/>
        </w:rPr>
        <w:t xml:space="preserve"> (</w:t>
      </w:r>
      <w:proofErr w:type="spellStart"/>
      <w:r w:rsidR="00C41F1D">
        <w:rPr>
          <w:rFonts w:hint="cs"/>
          <w:rtl/>
          <w:lang w:val="fr-CH" w:bidi="ar-SY"/>
        </w:rPr>
        <w:t>مالوكا</w:t>
      </w:r>
      <w:proofErr w:type="spellEnd"/>
      <w:r w:rsidR="00C41F1D">
        <w:rPr>
          <w:rFonts w:hint="cs"/>
          <w:rtl/>
          <w:lang w:val="fr-CH" w:bidi="ar-SY"/>
        </w:rPr>
        <w:t xml:space="preserve"> الدولية)؛ والسيدة </w:t>
      </w:r>
      <w:proofErr w:type="spellStart"/>
      <w:r w:rsidR="00C41F1D" w:rsidRPr="00C41F1D">
        <w:rPr>
          <w:rtl/>
          <w:lang w:val="fr-CH" w:bidi="ar-SY"/>
        </w:rPr>
        <w:t>غيزر</w:t>
      </w:r>
      <w:proofErr w:type="spellEnd"/>
      <w:r w:rsidR="00C41F1D" w:rsidRPr="00C41F1D">
        <w:rPr>
          <w:rtl/>
          <w:lang w:val="fr-CH" w:bidi="ar-SY"/>
        </w:rPr>
        <w:t xml:space="preserve"> </w:t>
      </w:r>
      <w:proofErr w:type="spellStart"/>
      <w:r w:rsidR="00C41F1D" w:rsidRPr="00C41F1D">
        <w:rPr>
          <w:rtl/>
          <w:lang w:val="fr-CH" w:bidi="ar-SY"/>
        </w:rPr>
        <w:t>بيرليه</w:t>
      </w:r>
      <w:proofErr w:type="spellEnd"/>
      <w:r w:rsidR="00C41F1D" w:rsidRPr="00C41F1D">
        <w:rPr>
          <w:rtl/>
          <w:lang w:val="fr-CH" w:bidi="ar-SY"/>
        </w:rPr>
        <w:t xml:space="preserve"> </w:t>
      </w:r>
      <w:r w:rsidR="00C41F1D">
        <w:rPr>
          <w:rFonts w:hint="cs"/>
          <w:rtl/>
          <w:lang w:val="fr-CH" w:bidi="ar-SY"/>
        </w:rPr>
        <w:t>(</w:t>
      </w:r>
      <w:r w:rsidR="00C41F1D" w:rsidRPr="00C41F1D">
        <w:rPr>
          <w:rtl/>
          <w:lang w:val="fr-CH" w:bidi="ar-SY"/>
        </w:rPr>
        <w:t>معهد الشعوب الأصلية البرازيلي للملكية الفكرية (</w:t>
      </w:r>
      <w:proofErr w:type="spellStart"/>
      <w:r w:rsidR="00C41F1D" w:rsidRPr="00C41F1D">
        <w:rPr>
          <w:lang w:bidi="ar-SY"/>
        </w:rPr>
        <w:t>InBraPi</w:t>
      </w:r>
      <w:proofErr w:type="spellEnd"/>
      <w:r w:rsidR="00C41F1D" w:rsidRPr="00C41F1D">
        <w:rPr>
          <w:rtl/>
          <w:lang w:val="fr-CH" w:bidi="ar-SY"/>
        </w:rPr>
        <w:t>)</w:t>
      </w:r>
      <w:r w:rsidR="00C41F1D">
        <w:rPr>
          <w:rFonts w:hint="cs"/>
          <w:rtl/>
          <w:lang w:val="fr-CH" w:bidi="ar-SY"/>
        </w:rPr>
        <w:t>)؛ والسيدة</w:t>
      </w:r>
      <w:r w:rsidR="00A40D9E">
        <w:rPr>
          <w:rFonts w:hint="cs"/>
          <w:rtl/>
          <w:lang w:val="fr-CH" w:bidi="ar-SY"/>
        </w:rPr>
        <w:t xml:space="preserve"> </w:t>
      </w:r>
      <w:proofErr w:type="spellStart"/>
      <w:r w:rsidR="00A40D9E" w:rsidRPr="00A40D9E">
        <w:rPr>
          <w:rtl/>
          <w:lang w:val="fr-CH" w:bidi="ar-SY"/>
        </w:rPr>
        <w:t>زيفيلي</w:t>
      </w:r>
      <w:proofErr w:type="spellEnd"/>
      <w:r w:rsidR="00A40D9E" w:rsidRPr="00A40D9E">
        <w:rPr>
          <w:rtl/>
          <w:lang w:val="fr-CH" w:bidi="ar-SY"/>
        </w:rPr>
        <w:t xml:space="preserve"> </w:t>
      </w:r>
      <w:proofErr w:type="spellStart"/>
      <w:r w:rsidR="00A40D9E" w:rsidRPr="00A40D9E">
        <w:rPr>
          <w:rtl/>
          <w:lang w:val="fr-CH" w:bidi="ar-SY"/>
        </w:rPr>
        <w:t>بلي</w:t>
      </w:r>
      <w:r w:rsidR="00A40D9E">
        <w:rPr>
          <w:rFonts w:hint="cs"/>
          <w:rtl/>
          <w:lang w:val="fr-CH" w:bidi="ar-SY"/>
        </w:rPr>
        <w:t>تش</w:t>
      </w:r>
      <w:r w:rsidR="00A40D9E" w:rsidRPr="00A40D9E">
        <w:rPr>
          <w:rtl/>
          <w:lang w:val="fr-CH" w:bidi="ar-SY"/>
        </w:rPr>
        <w:t>يوري</w:t>
      </w:r>
      <w:r w:rsidR="00A40D9E">
        <w:rPr>
          <w:rFonts w:hint="cs"/>
          <w:rtl/>
          <w:lang w:val="fr-CH" w:bidi="ar-SY"/>
        </w:rPr>
        <w:t>تي</w:t>
      </w:r>
      <w:r w:rsidR="00A40D9E" w:rsidRPr="00A40D9E">
        <w:rPr>
          <w:rtl/>
          <w:lang w:val="fr-CH" w:bidi="ar-SY"/>
        </w:rPr>
        <w:t>تي</w:t>
      </w:r>
      <w:proofErr w:type="spellEnd"/>
      <w:r w:rsidR="00A40D9E" w:rsidRPr="00A40D9E">
        <w:rPr>
          <w:rtl/>
          <w:lang w:val="fr-CH" w:bidi="ar-SY"/>
        </w:rPr>
        <w:t xml:space="preserve"> </w:t>
      </w:r>
      <w:proofErr w:type="spellStart"/>
      <w:r w:rsidR="00A40D9E" w:rsidRPr="00A40D9E">
        <w:rPr>
          <w:rtl/>
          <w:lang w:val="fr-CH" w:bidi="ar-SY"/>
        </w:rPr>
        <w:t>بلي</w:t>
      </w:r>
      <w:r w:rsidR="00A40D9E">
        <w:rPr>
          <w:rFonts w:hint="cs"/>
          <w:rtl/>
          <w:lang w:val="fr-CH" w:bidi="ar-SY"/>
        </w:rPr>
        <w:t>تش</w:t>
      </w:r>
      <w:r w:rsidR="00A40D9E" w:rsidRPr="00A40D9E">
        <w:rPr>
          <w:rtl/>
          <w:lang w:val="fr-CH" w:bidi="ar-SY"/>
        </w:rPr>
        <w:t>يوتي</w:t>
      </w:r>
      <w:proofErr w:type="spellEnd"/>
      <w:r w:rsidR="00A40D9E" w:rsidRPr="00A40D9E">
        <w:rPr>
          <w:rtl/>
          <w:lang w:val="fr-CH" w:bidi="ar-SY"/>
        </w:rPr>
        <w:t xml:space="preserve"> (ليتوانيا)</w:t>
      </w:r>
      <w:r w:rsidR="00A40D9E">
        <w:rPr>
          <w:rFonts w:hint="cs"/>
          <w:rtl/>
          <w:lang w:val="fr-CH" w:bidi="ar-SY"/>
        </w:rPr>
        <w:t xml:space="preserve">؛ </w:t>
      </w:r>
      <w:r w:rsidR="00A40D9E" w:rsidRPr="00A40D9E">
        <w:rPr>
          <w:rtl/>
          <w:lang w:val="fr-CH" w:bidi="ar-SY"/>
        </w:rPr>
        <w:t xml:space="preserve">والسيدة تلالان </w:t>
      </w:r>
      <w:proofErr w:type="spellStart"/>
      <w:r w:rsidR="00A40D9E" w:rsidRPr="00A40D9E">
        <w:rPr>
          <w:rtl/>
          <w:lang w:val="fr-CH" w:bidi="ar-SY"/>
        </w:rPr>
        <w:t>سيبيكو</w:t>
      </w:r>
      <w:proofErr w:type="spellEnd"/>
      <w:r w:rsidR="00A40D9E" w:rsidRPr="00A40D9E">
        <w:rPr>
          <w:rtl/>
          <w:lang w:val="fr-CH" w:bidi="ar-SY"/>
        </w:rPr>
        <w:t xml:space="preserve"> (ليسوتو)</w:t>
      </w:r>
      <w:r w:rsidR="00A40D9E">
        <w:rPr>
          <w:rFonts w:hint="cs"/>
          <w:rtl/>
          <w:lang w:val="fr-CH" w:bidi="ar-SY"/>
        </w:rPr>
        <w:t>.</w:t>
      </w:r>
    </w:p>
    <w:p w14:paraId="13037EB9" w14:textId="7AA01665" w:rsidR="00483E15" w:rsidRDefault="00483E15" w:rsidP="00483E15">
      <w:pPr>
        <w:pStyle w:val="BodyText"/>
      </w:pPr>
      <w:r>
        <w:rPr>
          <w:rtl/>
        </w:rPr>
        <w:t>وعيّن</w:t>
      </w:r>
      <w:r w:rsidR="00D50F52">
        <w:rPr>
          <w:rFonts w:hint="cs"/>
          <w:rtl/>
        </w:rPr>
        <w:t>ت</w:t>
      </w:r>
      <w:r>
        <w:rPr>
          <w:rtl/>
        </w:rPr>
        <w:t xml:space="preserve"> 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اللجنة </w:t>
      </w:r>
      <w:r w:rsidR="000E3BC8" w:rsidRPr="000E3BC8">
        <w:rPr>
          <w:rtl/>
        </w:rPr>
        <w:t xml:space="preserve">السيدة </w:t>
      </w:r>
      <w:proofErr w:type="spellStart"/>
      <w:r w:rsidR="000E3BC8" w:rsidRPr="000E3BC8">
        <w:rPr>
          <w:rtl/>
        </w:rPr>
        <w:t>أودري</w:t>
      </w:r>
      <w:proofErr w:type="spellEnd"/>
      <w:r w:rsidR="000E3BC8" w:rsidRPr="000E3BC8">
        <w:rPr>
          <w:rtl/>
        </w:rPr>
        <w:t xml:space="preserve"> </w:t>
      </w:r>
      <w:proofErr w:type="spellStart"/>
      <w:r w:rsidR="000E3BC8" w:rsidRPr="000E3BC8">
        <w:rPr>
          <w:rtl/>
        </w:rPr>
        <w:t>أكويلي</w:t>
      </w:r>
      <w:proofErr w:type="spellEnd"/>
      <w:r w:rsidR="000E3BC8" w:rsidRPr="000E3BC8">
        <w:rPr>
          <w:rtl/>
        </w:rPr>
        <w:t xml:space="preserve"> </w:t>
      </w:r>
      <w:proofErr w:type="spellStart"/>
      <w:r w:rsidR="000E3BC8" w:rsidRPr="000E3BC8">
        <w:rPr>
          <w:rtl/>
        </w:rPr>
        <w:t>إيبواوا</w:t>
      </w:r>
      <w:proofErr w:type="spellEnd"/>
      <w:r w:rsidR="000E3BC8" w:rsidRPr="000E3BC8">
        <w:rPr>
          <w:rtl/>
        </w:rPr>
        <w:t xml:space="preserve"> </w:t>
      </w:r>
      <w:proofErr w:type="spellStart"/>
      <w:r w:rsidR="000E3BC8" w:rsidRPr="000E3BC8">
        <w:rPr>
          <w:rtl/>
        </w:rPr>
        <w:t>نياكواي</w:t>
      </w:r>
      <w:proofErr w:type="spellEnd"/>
      <w:r>
        <w:rPr>
          <w:rtl/>
        </w:rPr>
        <w:t xml:space="preserve">، </w:t>
      </w:r>
      <w:r w:rsidR="00D80A3C">
        <w:rPr>
          <w:rFonts w:hint="cs"/>
          <w:rtl/>
        </w:rPr>
        <w:t xml:space="preserve">أحد </w:t>
      </w:r>
      <w:r>
        <w:rPr>
          <w:rtl/>
        </w:rPr>
        <w:t>نائب</w:t>
      </w:r>
      <w:r w:rsidR="00D80A3C">
        <w:rPr>
          <w:rFonts w:hint="cs"/>
          <w:rtl/>
        </w:rPr>
        <w:t>ي</w:t>
      </w:r>
      <w:r>
        <w:rPr>
          <w:rtl/>
        </w:rPr>
        <w:t xml:space="preserve"> رئيس</w:t>
      </w:r>
      <w:r w:rsidR="00AC77BC">
        <w:rPr>
          <w:rFonts w:hint="cs"/>
          <w:rtl/>
        </w:rPr>
        <w:t>ة</w:t>
      </w:r>
      <w:r>
        <w:rPr>
          <w:rtl/>
        </w:rPr>
        <w:t xml:space="preserve"> اللجنة، رئيس</w:t>
      </w:r>
      <w:r w:rsidR="000E3BC8">
        <w:rPr>
          <w:rFonts w:hint="cs"/>
          <w:rtl/>
        </w:rPr>
        <w:t>ة</w:t>
      </w:r>
      <w:r w:rsidR="00D50F52">
        <w:rPr>
          <w:rFonts w:hint="cs"/>
          <w:rtl/>
        </w:rPr>
        <w:t>ً</w:t>
      </w:r>
      <w:r>
        <w:rPr>
          <w:rtl/>
        </w:rPr>
        <w:t xml:space="preserve"> للمجلس الاستشاري.</w:t>
      </w:r>
    </w:p>
    <w:p w14:paraId="08213DA0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5 من جدول الأعمال:</w:t>
      </w:r>
    </w:p>
    <w:p w14:paraId="7BF0CC4F" w14:textId="3C9CA50A" w:rsidR="00C0015E" w:rsidRPr="00C0015E" w:rsidRDefault="00C0015E" w:rsidP="00C0015E">
      <w:pPr>
        <w:pStyle w:val="BodyText"/>
        <w:rPr>
          <w:b/>
          <w:bCs/>
          <w:sz w:val="24"/>
          <w:szCs w:val="24"/>
        </w:rPr>
      </w:pPr>
      <w:r w:rsidRPr="00C0015E">
        <w:rPr>
          <w:b/>
          <w:bCs/>
          <w:sz w:val="24"/>
          <w:szCs w:val="24"/>
          <w:rtl/>
        </w:rPr>
        <w:t>المعارف التقليدية</w:t>
      </w:r>
      <w:r>
        <w:rPr>
          <w:rFonts w:hint="cs"/>
          <w:b/>
          <w:bCs/>
          <w:sz w:val="24"/>
          <w:szCs w:val="24"/>
          <w:rtl/>
        </w:rPr>
        <w:t>/</w:t>
      </w:r>
      <w:r w:rsidR="00285F32">
        <w:rPr>
          <w:rFonts w:hint="cs"/>
          <w:b/>
          <w:bCs/>
          <w:sz w:val="24"/>
          <w:szCs w:val="24"/>
          <w:rtl/>
        </w:rPr>
        <w:t xml:space="preserve">أشكال </w:t>
      </w:r>
      <w:r w:rsidRPr="00C0015E">
        <w:rPr>
          <w:b/>
          <w:bCs/>
          <w:sz w:val="24"/>
          <w:szCs w:val="24"/>
          <w:rtl/>
        </w:rPr>
        <w:t>التعبير الثقافي التقليدي</w:t>
      </w:r>
    </w:p>
    <w:p w14:paraId="5FDAF73F" w14:textId="329AAE6C" w:rsidR="00D50F52" w:rsidRDefault="00D50F52" w:rsidP="00730734">
      <w:pPr>
        <w:pStyle w:val="BodyText"/>
        <w:rPr>
          <w:rtl/>
        </w:rPr>
      </w:pPr>
      <w:r>
        <w:rPr>
          <w:rtl/>
        </w:rPr>
        <w:t>أعدت اللجنة، استنادا</w:t>
      </w:r>
      <w:r w:rsidR="00270328">
        <w:rPr>
          <w:rFonts w:hint="cs"/>
          <w:rtl/>
        </w:rPr>
        <w:t>ً</w:t>
      </w:r>
      <w:r>
        <w:rPr>
          <w:rtl/>
        </w:rPr>
        <w:t xml:space="preserve"> إلى </w:t>
      </w:r>
      <w:r w:rsidR="00285F32">
        <w:rPr>
          <w:rFonts w:hint="cs"/>
          <w:rtl/>
        </w:rPr>
        <w:t>الوثيقتين</w:t>
      </w:r>
      <w:r>
        <w:rPr>
          <w:rtl/>
        </w:rPr>
        <w:t xml:space="preserve"> </w:t>
      </w:r>
      <w:r>
        <w:t>WIPO/GRTKF/IC/</w:t>
      </w:r>
      <w:r w:rsidR="005F6696">
        <w:t>49</w:t>
      </w:r>
      <w:r>
        <w:t>/4</w:t>
      </w:r>
      <w:r w:rsidR="00285F32">
        <w:rPr>
          <w:rFonts w:hint="cs"/>
          <w:rtl/>
        </w:rPr>
        <w:t xml:space="preserve"> و</w:t>
      </w:r>
      <w:r w:rsidR="00285F32">
        <w:t>WIPO/GRTKF/IC/49/5</w:t>
      </w:r>
      <w:r w:rsidR="00285F32">
        <w:rPr>
          <w:rtl/>
        </w:rPr>
        <w:t>،</w:t>
      </w:r>
      <w:r w:rsidR="00285F32">
        <w:rPr>
          <w:rFonts w:hint="cs"/>
          <w:rtl/>
        </w:rPr>
        <w:t xml:space="preserve"> </w:t>
      </w:r>
      <w:r>
        <w:rPr>
          <w:rtl/>
        </w:rPr>
        <w:t>نصا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 w:rsidR="00285F32">
        <w:rPr>
          <w:rFonts w:hint="cs"/>
          <w:rtl/>
        </w:rPr>
        <w:t>موح</w:t>
      </w:r>
      <w:r w:rsidR="0092497F">
        <w:rPr>
          <w:rFonts w:hint="cs"/>
          <w:rtl/>
        </w:rPr>
        <w:t>ّ</w:t>
      </w:r>
      <w:r w:rsidR="00285F32">
        <w:rPr>
          <w:rFonts w:hint="cs"/>
          <w:rtl/>
        </w:rPr>
        <w:t>داً</w:t>
      </w:r>
      <w:r>
        <w:rPr>
          <w:rtl/>
        </w:rPr>
        <w:t xml:space="preserve"> بعنوان "حماية ال</w:t>
      </w:r>
      <w:r w:rsidR="00236F48">
        <w:rPr>
          <w:rtl/>
        </w:rPr>
        <w:t>معارف التقليدية</w:t>
      </w:r>
      <w:r w:rsidR="00285F32">
        <w:rPr>
          <w:rFonts w:hint="cs"/>
          <w:rtl/>
        </w:rPr>
        <w:t xml:space="preserve"> وأشكال التعبير الثقافي التقليدي</w:t>
      </w:r>
      <w:r w:rsidR="00236F48">
        <w:rPr>
          <w:rtl/>
        </w:rPr>
        <w:t>: مشروع مواد</w:t>
      </w:r>
      <w:r w:rsidR="00285F32">
        <w:rPr>
          <w:rFonts w:hint="cs"/>
          <w:rtl/>
        </w:rPr>
        <w:t>"</w:t>
      </w:r>
      <w:r w:rsidR="00EA7592" w:rsidRPr="00EA7592">
        <w:rPr>
          <w:rtl/>
        </w:rPr>
        <w:t xml:space="preserve">. </w:t>
      </w:r>
      <w:r w:rsidR="0092497F" w:rsidRPr="0092497F">
        <w:rPr>
          <w:rtl/>
        </w:rPr>
        <w:t>غير أن الدول الأعضاء لم تتمك</w:t>
      </w:r>
      <w:r w:rsidR="0092497F">
        <w:rPr>
          <w:rFonts w:hint="cs"/>
          <w:rtl/>
        </w:rPr>
        <w:t>ّ</w:t>
      </w:r>
      <w:r w:rsidR="0092497F" w:rsidRPr="0092497F">
        <w:rPr>
          <w:rtl/>
        </w:rPr>
        <w:t>ن من التوصل إلى توافق في الآراء بشأن النص الموح</w:t>
      </w:r>
      <w:r w:rsidR="0092497F">
        <w:rPr>
          <w:rFonts w:hint="cs"/>
          <w:rtl/>
        </w:rPr>
        <w:t>ّ</w:t>
      </w:r>
      <w:r w:rsidR="0092497F" w:rsidRPr="0092497F">
        <w:rPr>
          <w:rtl/>
        </w:rPr>
        <w:t xml:space="preserve">د وقرّرت عدم إحالة ذلك النص إلى الدورة الحادية والخمسين للجنة المعارف. وبدلاً من ذلك، قرّرت اللجنة مواصلة العمل استناداً إلى الوثيقتين </w:t>
      </w:r>
      <w:r w:rsidR="0092497F" w:rsidRPr="0092497F">
        <w:t>WIPO/GRTKF/IC/IC/49/4</w:t>
      </w:r>
      <w:r w:rsidR="0092497F" w:rsidRPr="0092497F">
        <w:rPr>
          <w:rtl/>
        </w:rPr>
        <w:t xml:space="preserve"> و</w:t>
      </w:r>
      <w:r w:rsidR="0092497F" w:rsidRPr="0092497F">
        <w:t>WIPO/GRTKF/IC/49/5</w:t>
      </w:r>
      <w:r w:rsidR="0092497F" w:rsidRPr="0092497F">
        <w:rPr>
          <w:rtl/>
        </w:rPr>
        <w:t>.</w:t>
      </w:r>
    </w:p>
    <w:p w14:paraId="7761ACC5" w14:textId="17A19891" w:rsidR="00483E15" w:rsidRPr="004B5B86" w:rsidRDefault="00483E15" w:rsidP="00C0015E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</w:t>
      </w:r>
      <w:r w:rsidR="005F6696">
        <w:rPr>
          <w:rFonts w:hint="cs"/>
          <w:sz w:val="24"/>
          <w:szCs w:val="24"/>
          <w:rtl/>
        </w:rPr>
        <w:t xml:space="preserve"> 6</w:t>
      </w:r>
      <w:r w:rsidRPr="004B5B86">
        <w:rPr>
          <w:sz w:val="24"/>
          <w:szCs w:val="24"/>
          <w:rtl/>
        </w:rPr>
        <w:t xml:space="preserve"> من جدول الأعمال:</w:t>
      </w:r>
    </w:p>
    <w:p w14:paraId="792E07C3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أية مسائل أخرى</w:t>
      </w:r>
    </w:p>
    <w:p w14:paraId="75ECA9F7" w14:textId="77777777" w:rsidR="00483E15" w:rsidRDefault="00483E15" w:rsidP="00483E15">
      <w:pPr>
        <w:pStyle w:val="BodyText"/>
        <w:rPr>
          <w:rtl/>
        </w:rPr>
      </w:pPr>
      <w:r w:rsidRPr="004F027E">
        <w:rPr>
          <w:rtl/>
        </w:rPr>
        <w:t>لم تجر أي مناقشات في إطار هذا البند.</w:t>
      </w:r>
    </w:p>
    <w:p w14:paraId="134158C0" w14:textId="57EF6198" w:rsidR="00483E15" w:rsidRPr="004B5B86" w:rsidRDefault="00483E15" w:rsidP="00730734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 xml:space="preserve">قرار بشأن البند </w:t>
      </w:r>
      <w:r w:rsidR="005F6696">
        <w:rPr>
          <w:rFonts w:hint="cs"/>
          <w:sz w:val="24"/>
          <w:szCs w:val="24"/>
          <w:rtl/>
        </w:rPr>
        <w:t>7</w:t>
      </w:r>
      <w:r w:rsidRPr="004B5B86">
        <w:rPr>
          <w:sz w:val="24"/>
          <w:szCs w:val="24"/>
          <w:rtl/>
        </w:rPr>
        <w:t xml:space="preserve"> من جدول الأعمال:</w:t>
      </w:r>
    </w:p>
    <w:p w14:paraId="4CF68681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اختتام الدورة</w:t>
      </w:r>
    </w:p>
    <w:p w14:paraId="2892EB04" w14:textId="0D226DA1" w:rsidR="00483E15" w:rsidRDefault="00483E15" w:rsidP="00730734">
      <w:pPr>
        <w:pStyle w:val="BodyText"/>
      </w:pPr>
      <w:r>
        <w:rPr>
          <w:rtl/>
        </w:rPr>
        <w:t>اعتمدت اللجنة قراراتها بشأن البنود</w:t>
      </w:r>
      <w:r w:rsidR="00AC77BC">
        <w:rPr>
          <w:rFonts w:hint="cs"/>
          <w:rtl/>
        </w:rPr>
        <w:t xml:space="preserve"> </w:t>
      </w:r>
      <w:r>
        <w:rPr>
          <w:rtl/>
        </w:rPr>
        <w:t xml:space="preserve">2 و3 و4 و5 </w:t>
      </w:r>
      <w:r w:rsidR="00AC77BC">
        <w:rPr>
          <w:rFonts w:hint="cs"/>
          <w:rtl/>
        </w:rPr>
        <w:t>م</w:t>
      </w:r>
      <w:r>
        <w:rPr>
          <w:rtl/>
        </w:rPr>
        <w:t xml:space="preserve">ن جدول الأعمال في </w:t>
      </w:r>
      <w:r w:rsidR="00285F32">
        <w:rPr>
          <w:rFonts w:hint="cs"/>
          <w:rtl/>
        </w:rPr>
        <w:t>7</w:t>
      </w:r>
      <w:r>
        <w:rPr>
          <w:rtl/>
        </w:rPr>
        <w:t xml:space="preserve"> </w:t>
      </w:r>
      <w:r w:rsidR="00285F32">
        <w:rPr>
          <w:rFonts w:hint="cs"/>
          <w:rtl/>
        </w:rPr>
        <w:t>مارس</w:t>
      </w:r>
      <w:r w:rsidR="005F6696">
        <w:rPr>
          <w:rFonts w:hint="cs"/>
          <w:rtl/>
        </w:rPr>
        <w:t xml:space="preserve"> </w:t>
      </w:r>
      <w:r w:rsidR="00285F32">
        <w:rPr>
          <w:rFonts w:hint="cs"/>
          <w:rtl/>
        </w:rPr>
        <w:t>2025</w:t>
      </w:r>
      <w:r>
        <w:rPr>
          <w:rtl/>
        </w:rPr>
        <w:t>.</w:t>
      </w:r>
    </w:p>
    <w:p w14:paraId="274EBE5D" w14:textId="77777777" w:rsidR="00483E15" w:rsidRPr="00FE339E" w:rsidRDefault="00483E15" w:rsidP="00FA0ECF">
      <w:pPr>
        <w:pStyle w:val="Endofdocument-Annex"/>
        <w:spacing w:before="480"/>
        <w:rPr>
          <w:lang w:bidi="ar-EG"/>
        </w:rPr>
      </w:pPr>
      <w:r w:rsidRPr="00FE339E">
        <w:rPr>
          <w:rtl/>
        </w:rPr>
        <w:t>[نهاية الوثيقة]</w:t>
      </w:r>
    </w:p>
    <w:sectPr w:rsidR="00483E15" w:rsidRPr="00FE3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8BEF" w14:textId="77777777" w:rsidR="00E66488" w:rsidRDefault="00E66488">
      <w:r>
        <w:separator/>
      </w:r>
    </w:p>
  </w:endnote>
  <w:endnote w:type="continuationSeparator" w:id="0">
    <w:p w14:paraId="6E462F73" w14:textId="77777777" w:rsidR="00E66488" w:rsidRDefault="00E66488" w:rsidP="003B38C1">
      <w:r>
        <w:separator/>
      </w:r>
    </w:p>
    <w:p w14:paraId="15973F79" w14:textId="77777777" w:rsidR="00E66488" w:rsidRPr="003B38C1" w:rsidRDefault="00E66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8463F95" w14:textId="77777777" w:rsidR="00E66488" w:rsidRPr="003B38C1" w:rsidRDefault="00E66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A642" w14:textId="77777777" w:rsidR="00E66488" w:rsidRDefault="00E66488">
      <w:r>
        <w:separator/>
      </w:r>
    </w:p>
  </w:footnote>
  <w:footnote w:type="continuationSeparator" w:id="0">
    <w:p w14:paraId="351B3038" w14:textId="77777777" w:rsidR="00E66488" w:rsidRDefault="00E66488" w:rsidP="008B60B2">
      <w:r>
        <w:separator/>
      </w:r>
    </w:p>
    <w:p w14:paraId="6F159D52" w14:textId="77777777" w:rsidR="00E66488" w:rsidRPr="00ED77FB" w:rsidRDefault="00E66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A0F175" w14:textId="77777777" w:rsidR="00E66488" w:rsidRPr="00ED77FB" w:rsidRDefault="00E66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CA9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C5992">
      <w:rPr>
        <w:noProof/>
      </w:rPr>
      <w:t>3</w:t>
    </w:r>
    <w:r>
      <w:fldChar w:fldCharType="end"/>
    </w:r>
  </w:p>
  <w:p w14:paraId="62198E6E" w14:textId="77777777" w:rsidR="00D07C78" w:rsidRDefault="00D07C78" w:rsidP="00210D5F">
    <w:pPr>
      <w:bidi w:val="0"/>
    </w:pPr>
  </w:p>
  <w:p w14:paraId="097A08BA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280690883">
    <w:abstractNumId w:val="2"/>
  </w:num>
  <w:num w:numId="2" w16cid:durableId="1399665236">
    <w:abstractNumId w:val="5"/>
  </w:num>
  <w:num w:numId="3" w16cid:durableId="2035959572">
    <w:abstractNumId w:val="0"/>
  </w:num>
  <w:num w:numId="4" w16cid:durableId="710231244">
    <w:abstractNumId w:val="6"/>
  </w:num>
  <w:num w:numId="5" w16cid:durableId="1704091489">
    <w:abstractNumId w:val="1"/>
  </w:num>
  <w:num w:numId="6" w16cid:durableId="2065444375">
    <w:abstractNumId w:val="3"/>
  </w:num>
  <w:num w:numId="7" w16cid:durableId="2082438378">
    <w:abstractNumId w:val="7"/>
  </w:num>
  <w:num w:numId="8" w16cid:durableId="90205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37"/>
    <w:rsid w:val="00001744"/>
    <w:rsid w:val="00010956"/>
    <w:rsid w:val="0001789A"/>
    <w:rsid w:val="00043CAA"/>
    <w:rsid w:val="00051CED"/>
    <w:rsid w:val="00056816"/>
    <w:rsid w:val="00062D18"/>
    <w:rsid w:val="00075432"/>
    <w:rsid w:val="000968ED"/>
    <w:rsid w:val="000A3D97"/>
    <w:rsid w:val="000E3BC8"/>
    <w:rsid w:val="000F5E56"/>
    <w:rsid w:val="001362EE"/>
    <w:rsid w:val="001406E1"/>
    <w:rsid w:val="00143411"/>
    <w:rsid w:val="00143555"/>
    <w:rsid w:val="00155D8A"/>
    <w:rsid w:val="001647D5"/>
    <w:rsid w:val="001832A6"/>
    <w:rsid w:val="0019592A"/>
    <w:rsid w:val="001A3678"/>
    <w:rsid w:val="001B1EF5"/>
    <w:rsid w:val="001C24A9"/>
    <w:rsid w:val="001C5992"/>
    <w:rsid w:val="001D4107"/>
    <w:rsid w:val="00203D24"/>
    <w:rsid w:val="00205C3A"/>
    <w:rsid w:val="00210D5F"/>
    <w:rsid w:val="0021217E"/>
    <w:rsid w:val="00216C10"/>
    <w:rsid w:val="002326AB"/>
    <w:rsid w:val="00236F48"/>
    <w:rsid w:val="00243430"/>
    <w:rsid w:val="0024540F"/>
    <w:rsid w:val="002634C4"/>
    <w:rsid w:val="00270328"/>
    <w:rsid w:val="002842EF"/>
    <w:rsid w:val="00285F32"/>
    <w:rsid w:val="002928D3"/>
    <w:rsid w:val="002C2905"/>
    <w:rsid w:val="002F1FE6"/>
    <w:rsid w:val="002F4E68"/>
    <w:rsid w:val="00312F7F"/>
    <w:rsid w:val="00352CCD"/>
    <w:rsid w:val="00361450"/>
    <w:rsid w:val="0036439B"/>
    <w:rsid w:val="003673CF"/>
    <w:rsid w:val="003727B8"/>
    <w:rsid w:val="003742BD"/>
    <w:rsid w:val="003845C1"/>
    <w:rsid w:val="003876D5"/>
    <w:rsid w:val="003A6F89"/>
    <w:rsid w:val="003B355C"/>
    <w:rsid w:val="003B38C1"/>
    <w:rsid w:val="003B4E75"/>
    <w:rsid w:val="003C34E9"/>
    <w:rsid w:val="003E0774"/>
    <w:rsid w:val="0041085E"/>
    <w:rsid w:val="00423E3E"/>
    <w:rsid w:val="00426F7D"/>
    <w:rsid w:val="00427AF4"/>
    <w:rsid w:val="004647DA"/>
    <w:rsid w:val="00474062"/>
    <w:rsid w:val="00477D6B"/>
    <w:rsid w:val="00483E15"/>
    <w:rsid w:val="00492D24"/>
    <w:rsid w:val="004B3204"/>
    <w:rsid w:val="004B44C9"/>
    <w:rsid w:val="004D0F84"/>
    <w:rsid w:val="005019FF"/>
    <w:rsid w:val="0053057A"/>
    <w:rsid w:val="00537947"/>
    <w:rsid w:val="00550EDE"/>
    <w:rsid w:val="00556076"/>
    <w:rsid w:val="00560A29"/>
    <w:rsid w:val="00562095"/>
    <w:rsid w:val="00564A73"/>
    <w:rsid w:val="005763C7"/>
    <w:rsid w:val="005A1C65"/>
    <w:rsid w:val="005C6649"/>
    <w:rsid w:val="005E7B89"/>
    <w:rsid w:val="005F6696"/>
    <w:rsid w:val="00605827"/>
    <w:rsid w:val="006437F3"/>
    <w:rsid w:val="00646050"/>
    <w:rsid w:val="006713CA"/>
    <w:rsid w:val="00676C5C"/>
    <w:rsid w:val="006B5C12"/>
    <w:rsid w:val="006B6A71"/>
    <w:rsid w:val="006E0D86"/>
    <w:rsid w:val="00720EFD"/>
    <w:rsid w:val="00730734"/>
    <w:rsid w:val="007854AF"/>
    <w:rsid w:val="00793A7C"/>
    <w:rsid w:val="007A398A"/>
    <w:rsid w:val="007A40B9"/>
    <w:rsid w:val="007C4730"/>
    <w:rsid w:val="007C4902"/>
    <w:rsid w:val="007D1613"/>
    <w:rsid w:val="007D2DEC"/>
    <w:rsid w:val="007E42AD"/>
    <w:rsid w:val="007E4C0E"/>
    <w:rsid w:val="007F2029"/>
    <w:rsid w:val="00844148"/>
    <w:rsid w:val="00844947"/>
    <w:rsid w:val="00862096"/>
    <w:rsid w:val="00896175"/>
    <w:rsid w:val="00896E16"/>
    <w:rsid w:val="008A01F4"/>
    <w:rsid w:val="008A134B"/>
    <w:rsid w:val="008B2CC1"/>
    <w:rsid w:val="008B60B2"/>
    <w:rsid w:val="008F0067"/>
    <w:rsid w:val="008F6E80"/>
    <w:rsid w:val="0090731E"/>
    <w:rsid w:val="00916EE2"/>
    <w:rsid w:val="009178FC"/>
    <w:rsid w:val="0092497F"/>
    <w:rsid w:val="00966A22"/>
    <w:rsid w:val="0096722F"/>
    <w:rsid w:val="00980843"/>
    <w:rsid w:val="009B0855"/>
    <w:rsid w:val="009B37FC"/>
    <w:rsid w:val="009C4610"/>
    <w:rsid w:val="009E2791"/>
    <w:rsid w:val="009E3F6F"/>
    <w:rsid w:val="009F499F"/>
    <w:rsid w:val="009F4BB6"/>
    <w:rsid w:val="00A23840"/>
    <w:rsid w:val="00A2498B"/>
    <w:rsid w:val="00A25761"/>
    <w:rsid w:val="00A30294"/>
    <w:rsid w:val="00A37342"/>
    <w:rsid w:val="00A40D9E"/>
    <w:rsid w:val="00A42DAF"/>
    <w:rsid w:val="00A45BD8"/>
    <w:rsid w:val="00A869B7"/>
    <w:rsid w:val="00A90F0A"/>
    <w:rsid w:val="00A947BC"/>
    <w:rsid w:val="00AA4217"/>
    <w:rsid w:val="00AC205C"/>
    <w:rsid w:val="00AC77BC"/>
    <w:rsid w:val="00AE1271"/>
    <w:rsid w:val="00AF0A6B"/>
    <w:rsid w:val="00B05A69"/>
    <w:rsid w:val="00B3035F"/>
    <w:rsid w:val="00B42CA9"/>
    <w:rsid w:val="00B43ED3"/>
    <w:rsid w:val="00B51FF7"/>
    <w:rsid w:val="00B75281"/>
    <w:rsid w:val="00B92F1F"/>
    <w:rsid w:val="00B9734B"/>
    <w:rsid w:val="00BA30E2"/>
    <w:rsid w:val="00BA6B37"/>
    <w:rsid w:val="00BB5EA6"/>
    <w:rsid w:val="00BE32CE"/>
    <w:rsid w:val="00BE35BF"/>
    <w:rsid w:val="00C0015E"/>
    <w:rsid w:val="00C11BFE"/>
    <w:rsid w:val="00C41F1D"/>
    <w:rsid w:val="00C42F72"/>
    <w:rsid w:val="00C5068F"/>
    <w:rsid w:val="00C52E33"/>
    <w:rsid w:val="00C82943"/>
    <w:rsid w:val="00C86D74"/>
    <w:rsid w:val="00CB3DBA"/>
    <w:rsid w:val="00CC3E2D"/>
    <w:rsid w:val="00CD04F1"/>
    <w:rsid w:val="00CE19F8"/>
    <w:rsid w:val="00CF681A"/>
    <w:rsid w:val="00D07C78"/>
    <w:rsid w:val="00D45252"/>
    <w:rsid w:val="00D50F52"/>
    <w:rsid w:val="00D530E8"/>
    <w:rsid w:val="00D60B2C"/>
    <w:rsid w:val="00D67EAE"/>
    <w:rsid w:val="00D71B4D"/>
    <w:rsid w:val="00D80A3C"/>
    <w:rsid w:val="00D90B96"/>
    <w:rsid w:val="00D93D55"/>
    <w:rsid w:val="00DB360F"/>
    <w:rsid w:val="00DD7B7F"/>
    <w:rsid w:val="00DF7718"/>
    <w:rsid w:val="00E15015"/>
    <w:rsid w:val="00E319DF"/>
    <w:rsid w:val="00E335FE"/>
    <w:rsid w:val="00E66488"/>
    <w:rsid w:val="00E66CC5"/>
    <w:rsid w:val="00E7374D"/>
    <w:rsid w:val="00E92689"/>
    <w:rsid w:val="00E944D7"/>
    <w:rsid w:val="00EA7592"/>
    <w:rsid w:val="00EA7D6E"/>
    <w:rsid w:val="00EB2F76"/>
    <w:rsid w:val="00EC4E49"/>
    <w:rsid w:val="00ED77FB"/>
    <w:rsid w:val="00EE066C"/>
    <w:rsid w:val="00EE45FA"/>
    <w:rsid w:val="00F043DE"/>
    <w:rsid w:val="00F502A4"/>
    <w:rsid w:val="00F611D0"/>
    <w:rsid w:val="00F66152"/>
    <w:rsid w:val="00F9165B"/>
    <w:rsid w:val="00F94B68"/>
    <w:rsid w:val="00FA0EC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208A6"/>
  <w15:docId w15:val="{BCFA0722-895B-40F5-9149-56C9092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83E15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483E1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B87F-4DD7-4CA8-8376-8F2708EF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IGC_44_AR.dotx</Template>
  <TotalTime>96</TotalTime>
  <Pages>2</Pages>
  <Words>377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WIPO/GRTK/IC/50</vt:lpstr>
    </vt:vector>
  </TitlesOfParts>
  <Company>WIPO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WIPO/GRTK/IC/50</dc:title>
  <dc:creator>MERZOUK Fawzi</dc:creator>
  <cp:keywords>FOR OFFICIAL USE ONLY</cp:keywords>
  <cp:lastModifiedBy> FM</cp:lastModifiedBy>
  <cp:revision>17</cp:revision>
  <cp:lastPrinted>2025-03-07T21:27:00Z</cp:lastPrinted>
  <dcterms:created xsi:type="dcterms:W3CDTF">2024-12-06T10:57:00Z</dcterms:created>
  <dcterms:modified xsi:type="dcterms:W3CDTF">2025-03-07T21:27:00Z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2025-03-05T09:26:10Z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8b4ae0f8-78c9-4525-a50e-d10474dea079</vt:lpwstr>
  </property>
  <property fmtid="{D5CDD505-2E9C-101B-9397-08002B2CF9AE}" pid="13" name="MSIP_Label_20773ee6-353b-4fb9-a59d-0b94c8c67bea_ContentBits">
    <vt:lpwstr>0</vt:lpwstr>
  </property>
</Properties>
</file>