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8CD0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CD2C1E6" wp14:editId="3C65A13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6542D0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4CD51B7" w14:textId="58607F11" w:rsidR="008B2CC1" w:rsidRPr="002326AB" w:rsidRDefault="00D90B96" w:rsidP="006E52D3">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bookmarkStart w:id="0" w:name="Code"/>
      <w:bookmarkEnd w:id="0"/>
      <w:r w:rsidR="006E52D3">
        <w:rPr>
          <w:rFonts w:ascii="Arial Black" w:hAnsi="Arial Black"/>
          <w:caps/>
          <w:sz w:val="15"/>
          <w:szCs w:val="15"/>
        </w:rPr>
        <w:t>4</w:t>
      </w:r>
      <w:r w:rsidR="00850FB8">
        <w:rPr>
          <w:rFonts w:ascii="Arial Black" w:hAnsi="Arial Black"/>
          <w:caps/>
          <w:sz w:val="15"/>
          <w:szCs w:val="15"/>
        </w:rPr>
        <w:t>9</w:t>
      </w:r>
      <w:r w:rsidR="004118F5" w:rsidRPr="004118F5">
        <w:rPr>
          <w:rFonts w:ascii="Arial Black" w:hAnsi="Arial Black"/>
          <w:caps/>
          <w:sz w:val="15"/>
          <w:szCs w:val="15"/>
        </w:rPr>
        <w:t>/INF/5</w:t>
      </w:r>
    </w:p>
    <w:p w14:paraId="43C4B5B8" w14:textId="77777777" w:rsidR="008B2CC1" w:rsidRPr="007E3AC0" w:rsidRDefault="00CC3E2D" w:rsidP="00CC3E2D">
      <w:pPr>
        <w:jc w:val="right"/>
        <w:rPr>
          <w:rFonts w:asciiTheme="minorHAnsi" w:hAnsiTheme="minorHAnsi" w:cstheme="minorHAnsi"/>
          <w:b/>
          <w:bCs/>
          <w:caps/>
          <w:sz w:val="15"/>
          <w:szCs w:val="15"/>
        </w:rPr>
      </w:pPr>
      <w:bookmarkStart w:id="1" w:name="Original"/>
      <w:r w:rsidRPr="007E3AC0">
        <w:rPr>
          <w:rFonts w:asciiTheme="minorHAnsi" w:hAnsiTheme="minorHAnsi" w:cstheme="minorHAnsi" w:hint="cs"/>
          <w:b/>
          <w:bCs/>
          <w:caps/>
          <w:sz w:val="15"/>
          <w:szCs w:val="15"/>
          <w:rtl/>
        </w:rPr>
        <w:t xml:space="preserve">الأصل: </w:t>
      </w:r>
      <w:r w:rsidR="004118F5" w:rsidRPr="007E3AC0">
        <w:rPr>
          <w:rFonts w:asciiTheme="minorHAnsi" w:hAnsiTheme="minorHAnsi" w:cstheme="minorHAnsi" w:hint="cs"/>
          <w:b/>
          <w:bCs/>
          <w:caps/>
          <w:sz w:val="15"/>
          <w:szCs w:val="15"/>
          <w:rtl/>
        </w:rPr>
        <w:t>بالإنكليزية</w:t>
      </w:r>
    </w:p>
    <w:p w14:paraId="6C7C1E52" w14:textId="57DDE1F6" w:rsidR="008B2CC1" w:rsidRPr="00CC3E2D" w:rsidRDefault="00CC3E2D" w:rsidP="006E52D3">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BF0B72">
        <w:rPr>
          <w:rFonts w:asciiTheme="minorHAnsi" w:hAnsiTheme="minorHAnsi" w:cstheme="minorHAnsi" w:hint="cs"/>
          <w:b/>
          <w:bCs/>
          <w:caps/>
          <w:sz w:val="15"/>
          <w:szCs w:val="15"/>
          <w:rtl/>
        </w:rPr>
        <w:t>16</w:t>
      </w:r>
      <w:r w:rsidR="004118F5">
        <w:rPr>
          <w:rFonts w:asciiTheme="minorHAnsi" w:hAnsiTheme="minorHAnsi" w:cstheme="minorHAnsi" w:hint="cs"/>
          <w:b/>
          <w:bCs/>
          <w:caps/>
          <w:sz w:val="15"/>
          <w:szCs w:val="15"/>
          <w:rtl/>
        </w:rPr>
        <w:t xml:space="preserve"> </w:t>
      </w:r>
      <w:r w:rsidR="00BF0B72">
        <w:rPr>
          <w:rFonts w:asciiTheme="minorHAnsi" w:hAnsiTheme="minorHAnsi" w:cstheme="minorHAnsi" w:hint="cs"/>
          <w:b/>
          <w:bCs/>
          <w:caps/>
          <w:sz w:val="15"/>
          <w:szCs w:val="15"/>
          <w:rtl/>
        </w:rPr>
        <w:t>أكتوبر</w:t>
      </w:r>
      <w:r w:rsidR="007E3AC0">
        <w:rPr>
          <w:rFonts w:asciiTheme="minorHAnsi" w:hAnsiTheme="minorHAnsi" w:cstheme="minorHAnsi" w:hint="cs"/>
          <w:b/>
          <w:bCs/>
          <w:caps/>
          <w:sz w:val="15"/>
          <w:szCs w:val="15"/>
          <w:rtl/>
        </w:rPr>
        <w:t xml:space="preserve"> </w:t>
      </w:r>
      <w:r w:rsidR="00BF0B72">
        <w:rPr>
          <w:rFonts w:asciiTheme="minorHAnsi" w:hAnsiTheme="minorHAnsi" w:cstheme="minorHAnsi" w:hint="cs"/>
          <w:b/>
          <w:bCs/>
          <w:caps/>
          <w:sz w:val="15"/>
          <w:szCs w:val="15"/>
          <w:rtl/>
        </w:rPr>
        <w:t>2024</w:t>
      </w:r>
    </w:p>
    <w:bookmarkEnd w:id="2"/>
    <w:p w14:paraId="70A41EC1"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633CD2C3" w14:textId="7ECC169B" w:rsidR="00A90F0A" w:rsidRPr="00D67EAE" w:rsidRDefault="00D67EAE" w:rsidP="006E52D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F0B72">
        <w:rPr>
          <w:rFonts w:asciiTheme="minorHAnsi" w:hAnsiTheme="minorHAnsi" w:cstheme="minorHAnsi" w:hint="cs"/>
          <w:bCs/>
          <w:sz w:val="24"/>
          <w:szCs w:val="24"/>
          <w:rtl/>
        </w:rPr>
        <w:t>التاسعة</w:t>
      </w:r>
      <w:r w:rsidRPr="00D67EAE">
        <w:rPr>
          <w:rFonts w:asciiTheme="minorHAnsi" w:hAnsiTheme="minorHAnsi" w:cstheme="minorHAnsi" w:hint="cs"/>
          <w:bCs/>
          <w:sz w:val="24"/>
          <w:szCs w:val="24"/>
          <w:rtl/>
        </w:rPr>
        <w:t xml:space="preserve"> والأربعون</w:t>
      </w:r>
    </w:p>
    <w:p w14:paraId="2F6E7E66" w14:textId="03E5C163" w:rsidR="008B2CC1" w:rsidRPr="00D67EAE" w:rsidRDefault="00D67EAE" w:rsidP="006E52D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F0B72">
        <w:rPr>
          <w:rFonts w:asciiTheme="minorHAnsi" w:hAnsiTheme="minorHAnsi" w:cstheme="minorHAnsi" w:hint="cs"/>
          <w:bCs/>
          <w:sz w:val="24"/>
          <w:szCs w:val="24"/>
          <w:rtl/>
        </w:rPr>
        <w:t>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BF0B72">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w:t>
      </w:r>
      <w:r w:rsidR="00BF0B72">
        <w:rPr>
          <w:rFonts w:asciiTheme="minorHAnsi" w:hAnsiTheme="minorHAnsi" w:cstheme="minorHAnsi" w:hint="cs"/>
          <w:bCs/>
          <w:sz w:val="24"/>
          <w:szCs w:val="24"/>
          <w:rtl/>
        </w:rPr>
        <w:t>ديسمبر</w:t>
      </w:r>
      <w:r w:rsidR="007E3AC0">
        <w:rPr>
          <w:rFonts w:asciiTheme="minorHAnsi" w:hAnsiTheme="minorHAnsi" w:cstheme="minorHAnsi" w:hint="cs"/>
          <w:bCs/>
          <w:sz w:val="24"/>
          <w:szCs w:val="24"/>
          <w:rtl/>
        </w:rPr>
        <w:t xml:space="preserve"> </w:t>
      </w:r>
      <w:r w:rsidR="00BF0B72">
        <w:rPr>
          <w:rFonts w:asciiTheme="minorHAnsi" w:hAnsiTheme="minorHAnsi" w:cstheme="minorHAnsi" w:hint="cs"/>
          <w:bCs/>
          <w:sz w:val="24"/>
          <w:szCs w:val="24"/>
          <w:rtl/>
        </w:rPr>
        <w:t>2024</w:t>
      </w:r>
    </w:p>
    <w:p w14:paraId="3CF3D6B0" w14:textId="77777777" w:rsidR="008B2CC1" w:rsidRPr="00D67EAE" w:rsidRDefault="004118F5" w:rsidP="004118F5">
      <w:pPr>
        <w:spacing w:after="360"/>
        <w:outlineLvl w:val="0"/>
        <w:rPr>
          <w:rFonts w:asciiTheme="minorHAnsi" w:hAnsiTheme="minorHAnsi" w:cstheme="minorHAnsi"/>
          <w:caps/>
          <w:sz w:val="24"/>
        </w:rPr>
      </w:pPr>
      <w:bookmarkStart w:id="3" w:name="TitleOfDoc"/>
      <w:r w:rsidRPr="004118F5">
        <w:rPr>
          <w:rFonts w:asciiTheme="minorHAnsi" w:hAnsiTheme="minorHAnsi" w:cstheme="minorHAnsi"/>
          <w:caps/>
          <w:sz w:val="28"/>
          <w:szCs w:val="24"/>
          <w:rtl/>
        </w:rPr>
        <w:t>مذكرة إعلامية لمنبر الجماعات الأصلية والمحلية</w:t>
      </w:r>
    </w:p>
    <w:p w14:paraId="717FEA49" w14:textId="77777777"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4118F5">
        <w:rPr>
          <w:rFonts w:asciiTheme="minorHAnsi" w:hAnsiTheme="minorHAnsi" w:cstheme="minorHAnsi" w:hint="cs"/>
          <w:iCs/>
          <w:rtl/>
        </w:rPr>
        <w:t xml:space="preserve"> الأمانة</w:t>
      </w:r>
    </w:p>
    <w:p w14:paraId="534BF63E" w14:textId="77777777" w:rsidR="009B0855" w:rsidRDefault="004118F5" w:rsidP="004118F5">
      <w:pPr>
        <w:pStyle w:val="ONUMA"/>
        <w:rPr>
          <w:lang w:bidi="ar-EG"/>
        </w:rPr>
      </w:pPr>
      <w:r w:rsidRPr="004118F5">
        <w:rPr>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 المعقودة منذ عام 2005.</w:t>
      </w:r>
    </w:p>
    <w:p w14:paraId="24328EF4" w14:textId="16AA3732" w:rsidR="004118F5" w:rsidRDefault="004118F5" w:rsidP="006E52D3">
      <w:pPr>
        <w:pStyle w:val="ONUMA"/>
        <w:rPr>
          <w:lang w:bidi="ar-EG"/>
        </w:rPr>
      </w:pPr>
      <w:r w:rsidRPr="004118F5">
        <w:rPr>
          <w:rtl/>
        </w:rPr>
        <w:t>و</w:t>
      </w:r>
      <w:r w:rsidRPr="004118F5">
        <w:rPr>
          <w:rFonts w:hint="cs"/>
          <w:rtl/>
        </w:rPr>
        <w:t xml:space="preserve">سيكون </w:t>
      </w:r>
      <w:r w:rsidRPr="004118F5">
        <w:rPr>
          <w:rtl/>
        </w:rPr>
        <w:t xml:space="preserve">موضوع المنبر في </w:t>
      </w:r>
      <w:r w:rsidR="00370221">
        <w:rPr>
          <w:rFonts w:hint="cs"/>
          <w:rtl/>
        </w:rPr>
        <w:t>هذه</w:t>
      </w:r>
      <w:r w:rsidRPr="004118F5">
        <w:rPr>
          <w:rtl/>
        </w:rPr>
        <w:t xml:space="preserve"> الدورة هو: "</w:t>
      </w:r>
      <w:r w:rsidR="00BF0B72" w:rsidRPr="00BF0B72">
        <w:rPr>
          <w:rtl/>
        </w:rPr>
        <w:t xml:space="preserve"> </w:t>
      </w:r>
      <w:r w:rsidR="00BF0B72" w:rsidRPr="00BF0B72">
        <w:rPr>
          <w:rtl/>
        </w:rPr>
        <w:t xml:space="preserve">الملكية الفكرية والأنظمة الطبية التقليدية: </w:t>
      </w:r>
      <w:r w:rsidR="00BF0B72">
        <w:rPr>
          <w:rFonts w:hint="cs"/>
          <w:rtl/>
        </w:rPr>
        <w:t>مسار</w:t>
      </w:r>
      <w:r w:rsidR="00BF0B72" w:rsidRPr="00BF0B72">
        <w:rPr>
          <w:rtl/>
        </w:rPr>
        <w:t xml:space="preserve"> </w:t>
      </w:r>
      <w:r w:rsidR="00BF0B72">
        <w:rPr>
          <w:rFonts w:hint="cs"/>
          <w:rtl/>
        </w:rPr>
        <w:t>نحو</w:t>
      </w:r>
      <w:r w:rsidR="00BF0B72" w:rsidRPr="00BF0B72">
        <w:rPr>
          <w:rtl/>
        </w:rPr>
        <w:t xml:space="preserve"> الحماية</w:t>
      </w:r>
      <w:r w:rsidR="006E52D3" w:rsidRPr="006E52D3">
        <w:rPr>
          <w:rtl/>
        </w:rPr>
        <w:t>".</w:t>
      </w:r>
    </w:p>
    <w:p w14:paraId="42A2E5BB" w14:textId="1EB63414" w:rsidR="004118F5" w:rsidRDefault="004118F5" w:rsidP="006E52D3">
      <w:pPr>
        <w:pStyle w:val="ONUMA"/>
        <w:rPr>
          <w:lang w:bidi="ar-EG"/>
        </w:rPr>
      </w:pPr>
      <w:r w:rsidRPr="004118F5">
        <w:rPr>
          <w:rtl/>
        </w:rPr>
        <w:t xml:space="preserve">ويرد في مرفق هذه الوثيقة البرنامج المؤقت لجلسة المنبر في الدورة </w:t>
      </w:r>
      <w:r w:rsidR="00BF0B72">
        <w:rPr>
          <w:rFonts w:hint="cs"/>
          <w:rtl/>
        </w:rPr>
        <w:t>التاسعة</w:t>
      </w:r>
      <w:r w:rsidRPr="004118F5">
        <w:rPr>
          <w:rFonts w:hint="cs"/>
          <w:rtl/>
        </w:rPr>
        <w:t xml:space="preserve"> و</w:t>
      </w:r>
      <w:r w:rsidRPr="004118F5">
        <w:rPr>
          <w:rtl/>
        </w:rPr>
        <w:t>الأربعين.</w:t>
      </w:r>
    </w:p>
    <w:p w14:paraId="7E540E85" w14:textId="77777777" w:rsidR="00370221" w:rsidRDefault="00370221" w:rsidP="00370221">
      <w:pPr>
        <w:pStyle w:val="Endofdocument-Annex"/>
      </w:pPr>
      <w:r w:rsidRPr="00370221">
        <w:rPr>
          <w:rtl/>
        </w:rPr>
        <w:t>[يلي ذلك المرفق]</w:t>
      </w:r>
    </w:p>
    <w:p w14:paraId="79BE117A" w14:textId="77777777" w:rsidR="00370221" w:rsidRDefault="00370221" w:rsidP="00370221">
      <w:pPr>
        <w:pStyle w:val="ONUMA"/>
        <w:numPr>
          <w:ilvl w:val="0"/>
          <w:numId w:val="0"/>
        </w:numPr>
        <w:rPr>
          <w:lang w:bidi="ar-EG"/>
        </w:rPr>
      </w:pPr>
    </w:p>
    <w:p w14:paraId="0BB17D9E" w14:textId="77777777" w:rsidR="004118F5" w:rsidRDefault="004118F5" w:rsidP="00D60B2C">
      <w:pPr>
        <w:pStyle w:val="BodyText"/>
        <w:rPr>
          <w:rtl/>
        </w:rPr>
        <w:sectPr w:rsidR="004118F5"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332CD976" w14:textId="77777777" w:rsidR="009B0855" w:rsidRPr="00370221" w:rsidRDefault="00370221" w:rsidP="00370221">
      <w:pPr>
        <w:pStyle w:val="Heading3"/>
        <w:spacing w:after="360"/>
        <w:rPr>
          <w:b/>
          <w:bCs w:val="0"/>
          <w:u w:val="none"/>
        </w:rPr>
      </w:pPr>
      <w:r w:rsidRPr="00370221">
        <w:rPr>
          <w:b/>
          <w:bCs w:val="0"/>
          <w:u w:val="none"/>
          <w:rtl/>
        </w:rPr>
        <w:lastRenderedPageBreak/>
        <w:t>البرنامج المؤقت لجلسة المنبر</w:t>
      </w:r>
    </w:p>
    <w:tbl>
      <w:tblPr>
        <w:bidiVisual/>
        <w:tblW w:w="9571" w:type="dxa"/>
        <w:tblLayout w:type="fixed"/>
        <w:tblLook w:val="0000" w:firstRow="0" w:lastRow="0" w:firstColumn="0" w:lastColumn="0" w:noHBand="0" w:noVBand="0"/>
      </w:tblPr>
      <w:tblGrid>
        <w:gridCol w:w="2898"/>
        <w:gridCol w:w="540"/>
        <w:gridCol w:w="6133"/>
      </w:tblGrid>
      <w:tr w:rsidR="00370221" w:rsidRPr="00370221" w14:paraId="65655726" w14:textId="77777777" w:rsidTr="003D708B">
        <w:tc>
          <w:tcPr>
            <w:tcW w:w="3438" w:type="dxa"/>
            <w:gridSpan w:val="2"/>
            <w:shd w:val="clear" w:color="auto" w:fill="auto"/>
          </w:tcPr>
          <w:p w14:paraId="5A9F4D25" w14:textId="28CF5704" w:rsidR="00370221" w:rsidRPr="007E3AC0" w:rsidRDefault="00370221" w:rsidP="006E52D3">
            <w:pPr>
              <w:pStyle w:val="BodyText"/>
              <w:rPr>
                <w:rtl/>
                <w:lang w:val="fr-CH" w:bidi="ar-SY"/>
              </w:rPr>
            </w:pPr>
            <w:r w:rsidRPr="00370221">
              <w:rPr>
                <w:u w:val="single"/>
                <w:rtl/>
              </w:rPr>
              <w:t>ال</w:t>
            </w:r>
            <w:r w:rsidRPr="00370221">
              <w:rPr>
                <w:rFonts w:hint="cs"/>
                <w:u w:val="single"/>
                <w:rtl/>
              </w:rPr>
              <w:t>إ</w:t>
            </w:r>
            <w:r w:rsidRPr="00370221">
              <w:rPr>
                <w:u w:val="single"/>
                <w:rtl/>
              </w:rPr>
              <w:t>ثنين،</w:t>
            </w:r>
            <w:r w:rsidRPr="00370221">
              <w:rPr>
                <w:rFonts w:hint="cs"/>
                <w:u w:val="single"/>
                <w:rtl/>
              </w:rPr>
              <w:t xml:space="preserve"> </w:t>
            </w:r>
            <w:r w:rsidR="00BF0B72">
              <w:rPr>
                <w:rFonts w:hint="cs"/>
                <w:u w:val="single"/>
                <w:rtl/>
              </w:rPr>
              <w:t>2</w:t>
            </w:r>
            <w:r w:rsidR="006E52D3">
              <w:rPr>
                <w:rFonts w:hint="cs"/>
                <w:u w:val="single"/>
                <w:rtl/>
              </w:rPr>
              <w:t xml:space="preserve"> </w:t>
            </w:r>
            <w:r w:rsidR="00BF0B72">
              <w:rPr>
                <w:rFonts w:hint="cs"/>
                <w:u w:val="single"/>
                <w:rtl/>
              </w:rPr>
              <w:t>ديسمبر</w:t>
            </w:r>
            <w:r w:rsidR="007E3AC0">
              <w:rPr>
                <w:rFonts w:hint="cs"/>
                <w:u w:val="single"/>
                <w:rtl/>
                <w:lang w:val="fr-CH" w:bidi="ar-SY"/>
              </w:rPr>
              <w:t xml:space="preserve"> </w:t>
            </w:r>
            <w:r w:rsidR="00BF0B72">
              <w:rPr>
                <w:rFonts w:hint="cs"/>
                <w:u w:val="single"/>
                <w:rtl/>
                <w:lang w:val="fr-CH" w:bidi="ar-SY"/>
              </w:rPr>
              <w:t>2024</w:t>
            </w:r>
          </w:p>
        </w:tc>
        <w:tc>
          <w:tcPr>
            <w:tcW w:w="6133" w:type="dxa"/>
            <w:shd w:val="clear" w:color="auto" w:fill="auto"/>
          </w:tcPr>
          <w:p w14:paraId="2C5F7702" w14:textId="77777777" w:rsidR="00370221" w:rsidRPr="00370221" w:rsidRDefault="00370221" w:rsidP="00370221">
            <w:pPr>
              <w:pStyle w:val="BodyText"/>
            </w:pPr>
          </w:p>
        </w:tc>
      </w:tr>
      <w:tr w:rsidR="00370221" w:rsidRPr="00370221" w14:paraId="7174DF65" w14:textId="77777777" w:rsidTr="003D708B">
        <w:tc>
          <w:tcPr>
            <w:tcW w:w="2898" w:type="dxa"/>
            <w:shd w:val="clear" w:color="auto" w:fill="auto"/>
          </w:tcPr>
          <w:p w14:paraId="7BCD3B52" w14:textId="77777777" w:rsidR="00370221" w:rsidRPr="00370221" w:rsidRDefault="00370221" w:rsidP="00370221">
            <w:pPr>
              <w:pStyle w:val="BodyText"/>
              <w:rPr>
                <w:u w:val="single"/>
              </w:rPr>
            </w:pPr>
          </w:p>
        </w:tc>
        <w:tc>
          <w:tcPr>
            <w:tcW w:w="6673" w:type="dxa"/>
            <w:gridSpan w:val="2"/>
            <w:shd w:val="clear" w:color="auto" w:fill="auto"/>
          </w:tcPr>
          <w:p w14:paraId="0B69B5EC" w14:textId="77777777" w:rsidR="00370221" w:rsidRPr="00370221" w:rsidRDefault="00370221" w:rsidP="00370221">
            <w:pPr>
              <w:pStyle w:val="BodyText"/>
            </w:pPr>
          </w:p>
        </w:tc>
      </w:tr>
      <w:tr w:rsidR="00370221" w:rsidRPr="00370221" w14:paraId="60AE6A15" w14:textId="77777777" w:rsidTr="003D708B">
        <w:tc>
          <w:tcPr>
            <w:tcW w:w="2898" w:type="dxa"/>
            <w:shd w:val="clear" w:color="auto" w:fill="auto"/>
          </w:tcPr>
          <w:p w14:paraId="2BAB1C87" w14:textId="77777777" w:rsidR="00370221" w:rsidRPr="00370221" w:rsidRDefault="007E3AC0" w:rsidP="00370221">
            <w:pPr>
              <w:pStyle w:val="BodyText"/>
            </w:pPr>
            <w:r>
              <w:rPr>
                <w:rFonts w:hint="cs"/>
                <w:rtl/>
              </w:rPr>
              <w:t>11</w:t>
            </w:r>
            <w:r w:rsidR="00370221" w:rsidRPr="00370221">
              <w:rPr>
                <w:rtl/>
              </w:rPr>
              <w:t>.00</w:t>
            </w:r>
          </w:p>
        </w:tc>
        <w:tc>
          <w:tcPr>
            <w:tcW w:w="6673" w:type="dxa"/>
            <w:gridSpan w:val="2"/>
            <w:shd w:val="clear" w:color="auto" w:fill="auto"/>
          </w:tcPr>
          <w:p w14:paraId="5E72442D" w14:textId="77777777" w:rsidR="00370221" w:rsidRPr="00370221" w:rsidRDefault="00370221" w:rsidP="00370221">
            <w:pPr>
              <w:pStyle w:val="BodyText"/>
            </w:pPr>
            <w:r w:rsidRPr="00370221">
              <w:rPr>
                <w:rtl/>
              </w:rPr>
              <w:t>افت</w:t>
            </w:r>
            <w:r w:rsidRPr="00370221">
              <w:rPr>
                <w:rFonts w:hint="cs"/>
                <w:rtl/>
              </w:rPr>
              <w:t>ت</w:t>
            </w:r>
            <w:r w:rsidRPr="00370221">
              <w:rPr>
                <w:rtl/>
              </w:rPr>
              <w:t>اح الجلسة</w:t>
            </w:r>
          </w:p>
        </w:tc>
      </w:tr>
      <w:tr w:rsidR="00370221" w:rsidRPr="00370221" w14:paraId="149B3972" w14:textId="77777777" w:rsidTr="003D708B">
        <w:tc>
          <w:tcPr>
            <w:tcW w:w="2898" w:type="dxa"/>
            <w:shd w:val="clear" w:color="auto" w:fill="auto"/>
          </w:tcPr>
          <w:p w14:paraId="1E288B83" w14:textId="77777777" w:rsidR="00370221" w:rsidRPr="00370221" w:rsidRDefault="00370221" w:rsidP="00370221">
            <w:pPr>
              <w:pStyle w:val="BodyText"/>
            </w:pPr>
          </w:p>
        </w:tc>
        <w:tc>
          <w:tcPr>
            <w:tcW w:w="6673" w:type="dxa"/>
            <w:gridSpan w:val="2"/>
            <w:shd w:val="clear" w:color="auto" w:fill="auto"/>
          </w:tcPr>
          <w:p w14:paraId="147CD8F0" w14:textId="77777777" w:rsidR="00370221" w:rsidRPr="00370221" w:rsidRDefault="00370221" w:rsidP="00370221">
            <w:pPr>
              <w:pStyle w:val="BodyText"/>
            </w:pPr>
          </w:p>
        </w:tc>
      </w:tr>
      <w:tr w:rsidR="00370221" w:rsidRPr="00370221" w14:paraId="6506F68F" w14:textId="77777777" w:rsidTr="003D708B">
        <w:tc>
          <w:tcPr>
            <w:tcW w:w="2898" w:type="dxa"/>
            <w:shd w:val="clear" w:color="auto" w:fill="auto"/>
          </w:tcPr>
          <w:p w14:paraId="21F77E1E" w14:textId="77777777" w:rsidR="00370221" w:rsidRPr="00370221" w:rsidRDefault="00370221" w:rsidP="00370221">
            <w:pPr>
              <w:pStyle w:val="BodyText"/>
            </w:pPr>
          </w:p>
        </w:tc>
        <w:tc>
          <w:tcPr>
            <w:tcW w:w="6673" w:type="dxa"/>
            <w:gridSpan w:val="2"/>
            <w:shd w:val="clear" w:color="auto" w:fill="auto"/>
          </w:tcPr>
          <w:p w14:paraId="2EAE051D" w14:textId="77777777" w:rsidR="00370221" w:rsidRPr="00370221" w:rsidRDefault="00370221" w:rsidP="00370221">
            <w:pPr>
              <w:pStyle w:val="BodyText"/>
            </w:pPr>
            <w:r w:rsidRPr="00370221">
              <w:rPr>
                <w:rtl/>
              </w:rPr>
              <w:t xml:space="preserve">الرئيس - (يختاره منتدى السكان الأصليين الاستشاري في </w:t>
            </w:r>
            <w:proofErr w:type="spellStart"/>
            <w:r w:rsidRPr="00370221">
              <w:rPr>
                <w:rtl/>
              </w:rPr>
              <w:t>الويبو</w:t>
            </w:r>
            <w:proofErr w:type="spellEnd"/>
            <w:r w:rsidRPr="00370221">
              <w:rPr>
                <w:rtl/>
              </w:rPr>
              <w:t>)</w:t>
            </w:r>
          </w:p>
        </w:tc>
      </w:tr>
      <w:tr w:rsidR="00370221" w:rsidRPr="00370221" w14:paraId="5E19B9CD" w14:textId="77777777" w:rsidTr="003D708B">
        <w:tc>
          <w:tcPr>
            <w:tcW w:w="2898" w:type="dxa"/>
            <w:shd w:val="clear" w:color="auto" w:fill="auto"/>
          </w:tcPr>
          <w:p w14:paraId="572DC1A9" w14:textId="77777777" w:rsidR="00370221" w:rsidRPr="00370221" w:rsidRDefault="00370221" w:rsidP="00370221">
            <w:pPr>
              <w:pStyle w:val="BodyText"/>
            </w:pPr>
          </w:p>
        </w:tc>
        <w:tc>
          <w:tcPr>
            <w:tcW w:w="6673" w:type="dxa"/>
            <w:gridSpan w:val="2"/>
            <w:shd w:val="clear" w:color="auto" w:fill="auto"/>
          </w:tcPr>
          <w:p w14:paraId="116B57F3" w14:textId="77777777" w:rsidR="00370221" w:rsidRPr="00370221" w:rsidRDefault="00370221" w:rsidP="00370221">
            <w:pPr>
              <w:pStyle w:val="BodyText"/>
            </w:pPr>
          </w:p>
        </w:tc>
      </w:tr>
      <w:tr w:rsidR="00370221" w:rsidRPr="00370221" w14:paraId="46440235" w14:textId="77777777" w:rsidTr="003D708B">
        <w:tc>
          <w:tcPr>
            <w:tcW w:w="2898" w:type="dxa"/>
            <w:shd w:val="clear" w:color="auto" w:fill="auto"/>
          </w:tcPr>
          <w:p w14:paraId="1BF9D3FA" w14:textId="1FF55227" w:rsidR="00370221" w:rsidRPr="00370221" w:rsidRDefault="00F9115A" w:rsidP="006E52D3">
            <w:pPr>
              <w:pStyle w:val="BodyText"/>
            </w:pPr>
            <w:r>
              <w:rPr>
                <w:rFonts w:hint="cs"/>
                <w:rtl/>
              </w:rPr>
              <w:t>11</w:t>
            </w:r>
            <w:r w:rsidR="00370221" w:rsidRPr="00370221">
              <w:rPr>
                <w:rtl/>
              </w:rPr>
              <w:t xml:space="preserve">.00 </w:t>
            </w:r>
            <w:r w:rsidR="008703EA">
              <w:rPr>
                <w:rtl/>
              </w:rPr>
              <w:t>–</w:t>
            </w:r>
            <w:r w:rsidR="00370221" w:rsidRPr="00370221">
              <w:rPr>
                <w:rtl/>
              </w:rPr>
              <w:t xml:space="preserve"> </w:t>
            </w:r>
            <w:r>
              <w:rPr>
                <w:rFonts w:hint="cs"/>
                <w:rtl/>
              </w:rPr>
              <w:t>11</w:t>
            </w:r>
            <w:r w:rsidR="00370221" w:rsidRPr="00370221">
              <w:rPr>
                <w:rtl/>
              </w:rPr>
              <w:t>.</w:t>
            </w:r>
            <w:r w:rsidR="00BF0B72">
              <w:rPr>
                <w:rFonts w:hint="cs"/>
                <w:rtl/>
              </w:rPr>
              <w:t>20</w:t>
            </w:r>
          </w:p>
        </w:tc>
        <w:tc>
          <w:tcPr>
            <w:tcW w:w="6673" w:type="dxa"/>
            <w:gridSpan w:val="2"/>
            <w:shd w:val="clear" w:color="auto" w:fill="auto"/>
          </w:tcPr>
          <w:p w14:paraId="5A45E3E1" w14:textId="29290C9D" w:rsidR="00370221" w:rsidRPr="00370221" w:rsidRDefault="00D76E62" w:rsidP="006E52D3">
            <w:pPr>
              <w:pStyle w:val="BodyText"/>
              <w:rPr>
                <w:lang w:val="en-GB"/>
              </w:rPr>
            </w:pPr>
            <w:r w:rsidRPr="00D76E62">
              <w:rPr>
                <w:rtl/>
              </w:rPr>
              <w:t xml:space="preserve">السيدة </w:t>
            </w:r>
            <w:proofErr w:type="spellStart"/>
            <w:r w:rsidRPr="00D76E62">
              <w:rPr>
                <w:rtl/>
              </w:rPr>
              <w:t>فابيولا</w:t>
            </w:r>
            <w:proofErr w:type="spellEnd"/>
            <w:r w:rsidRPr="00D76E62">
              <w:rPr>
                <w:rtl/>
              </w:rPr>
              <w:t xml:space="preserve"> سانشيز، وهي من شعب </w:t>
            </w:r>
            <w:proofErr w:type="spellStart"/>
            <w:r w:rsidRPr="00D76E62">
              <w:rPr>
                <w:rtl/>
              </w:rPr>
              <w:t>كيتشوا</w:t>
            </w:r>
            <w:proofErr w:type="spellEnd"/>
            <w:r w:rsidRPr="00D76E62">
              <w:rPr>
                <w:rtl/>
              </w:rPr>
              <w:t xml:space="preserve"> </w:t>
            </w:r>
            <w:proofErr w:type="spellStart"/>
            <w:r w:rsidRPr="00D76E62">
              <w:rPr>
                <w:rtl/>
              </w:rPr>
              <w:t>كوتاكاتشي</w:t>
            </w:r>
            <w:proofErr w:type="spellEnd"/>
            <w:r w:rsidRPr="00D76E62">
              <w:rPr>
                <w:rtl/>
              </w:rPr>
              <w:t xml:space="preserve">، تشغل منصب منسقة متحف بيت </w:t>
            </w:r>
            <w:proofErr w:type="spellStart"/>
            <w:r w:rsidRPr="00D76E62">
              <w:rPr>
                <w:rtl/>
              </w:rPr>
              <w:t>توكوناوا</w:t>
            </w:r>
            <w:proofErr w:type="spellEnd"/>
            <w:r w:rsidRPr="00D76E62">
              <w:rPr>
                <w:rtl/>
              </w:rPr>
              <w:t xml:space="preserve"> وتعمل محللة في نيابة الرئاسة الأكاديمية بجامعة </w:t>
            </w:r>
            <w:proofErr w:type="spellStart"/>
            <w:r w:rsidRPr="00D76E62">
              <w:rPr>
                <w:rtl/>
              </w:rPr>
              <w:t>أماوتاي</w:t>
            </w:r>
            <w:proofErr w:type="spellEnd"/>
            <w:r w:rsidRPr="00D76E62">
              <w:rPr>
                <w:rtl/>
              </w:rPr>
              <w:t xml:space="preserve"> واسي، إكوادور</w:t>
            </w:r>
            <w:r w:rsidR="006E52D3" w:rsidRPr="006E52D3">
              <w:rPr>
                <w:rtl/>
              </w:rPr>
              <w:t>.</w:t>
            </w:r>
          </w:p>
        </w:tc>
      </w:tr>
      <w:tr w:rsidR="00370221" w:rsidRPr="00370221" w14:paraId="45DA6541" w14:textId="77777777" w:rsidTr="003D708B">
        <w:tc>
          <w:tcPr>
            <w:tcW w:w="2898" w:type="dxa"/>
            <w:shd w:val="clear" w:color="auto" w:fill="auto"/>
          </w:tcPr>
          <w:p w14:paraId="3A15926E" w14:textId="77777777" w:rsidR="00370221" w:rsidRPr="00370221" w:rsidRDefault="00370221" w:rsidP="00370221">
            <w:pPr>
              <w:pStyle w:val="BodyText"/>
            </w:pPr>
          </w:p>
        </w:tc>
        <w:tc>
          <w:tcPr>
            <w:tcW w:w="6673" w:type="dxa"/>
            <w:gridSpan w:val="2"/>
            <w:shd w:val="clear" w:color="auto" w:fill="auto"/>
          </w:tcPr>
          <w:p w14:paraId="689F645E" w14:textId="77777777" w:rsidR="00370221" w:rsidRPr="00370221" w:rsidRDefault="00370221" w:rsidP="00370221">
            <w:pPr>
              <w:pStyle w:val="BodyText"/>
            </w:pPr>
          </w:p>
        </w:tc>
      </w:tr>
      <w:tr w:rsidR="00370221" w:rsidRPr="00370221" w14:paraId="56705192" w14:textId="77777777" w:rsidTr="003D708B">
        <w:tc>
          <w:tcPr>
            <w:tcW w:w="2898" w:type="dxa"/>
            <w:shd w:val="clear" w:color="auto" w:fill="auto"/>
          </w:tcPr>
          <w:p w14:paraId="666B5929" w14:textId="7F0D050F" w:rsidR="00370221" w:rsidRPr="00370221" w:rsidRDefault="00F9115A" w:rsidP="006E52D3">
            <w:pPr>
              <w:pStyle w:val="BodyText"/>
            </w:pPr>
            <w:r>
              <w:rPr>
                <w:rFonts w:hint="cs"/>
                <w:rtl/>
              </w:rPr>
              <w:t>11</w:t>
            </w:r>
            <w:r w:rsidR="00370221" w:rsidRPr="00370221">
              <w:rPr>
                <w:rtl/>
              </w:rPr>
              <w:t>.</w:t>
            </w:r>
            <w:r w:rsidR="00D76E62">
              <w:rPr>
                <w:rFonts w:hint="cs"/>
                <w:rtl/>
              </w:rPr>
              <w:t>20</w:t>
            </w:r>
            <w:r w:rsidR="00370221" w:rsidRPr="00370221">
              <w:rPr>
                <w:rtl/>
              </w:rPr>
              <w:t xml:space="preserve"> </w:t>
            </w:r>
            <w:r w:rsidR="008703EA">
              <w:rPr>
                <w:rtl/>
              </w:rPr>
              <w:t>–</w:t>
            </w:r>
            <w:r w:rsidR="00370221" w:rsidRPr="00370221">
              <w:rPr>
                <w:rtl/>
              </w:rPr>
              <w:t xml:space="preserve"> </w:t>
            </w:r>
            <w:r>
              <w:rPr>
                <w:rFonts w:hint="cs"/>
                <w:rtl/>
              </w:rPr>
              <w:t>11</w:t>
            </w:r>
            <w:r w:rsidR="00370221" w:rsidRPr="00370221">
              <w:rPr>
                <w:rtl/>
              </w:rPr>
              <w:t>.</w:t>
            </w:r>
            <w:r w:rsidR="00D76E62">
              <w:rPr>
                <w:rFonts w:hint="cs"/>
                <w:rtl/>
              </w:rPr>
              <w:t>4</w:t>
            </w:r>
            <w:r w:rsidR="006E52D3">
              <w:rPr>
                <w:rFonts w:hint="cs"/>
                <w:rtl/>
              </w:rPr>
              <w:t>0</w:t>
            </w:r>
          </w:p>
        </w:tc>
        <w:tc>
          <w:tcPr>
            <w:tcW w:w="6673" w:type="dxa"/>
            <w:gridSpan w:val="2"/>
            <w:shd w:val="clear" w:color="auto" w:fill="auto"/>
          </w:tcPr>
          <w:p w14:paraId="3F485EF9" w14:textId="39E0FEC2" w:rsidR="00370221" w:rsidRPr="00370221" w:rsidRDefault="00D76E62" w:rsidP="00CC53FF">
            <w:pPr>
              <w:pStyle w:val="BodyText"/>
            </w:pPr>
            <w:r>
              <w:rPr>
                <w:rFonts w:hint="cs"/>
                <w:rtl/>
              </w:rPr>
              <w:t xml:space="preserve">السيدة </w:t>
            </w:r>
            <w:proofErr w:type="spellStart"/>
            <w:r w:rsidRPr="00D76E62">
              <w:rPr>
                <w:rtl/>
              </w:rPr>
              <w:t>جوديث</w:t>
            </w:r>
            <w:proofErr w:type="spellEnd"/>
            <w:r w:rsidRPr="00D76E62">
              <w:rPr>
                <w:rtl/>
              </w:rPr>
              <w:t xml:space="preserve"> </w:t>
            </w:r>
            <w:proofErr w:type="spellStart"/>
            <w:r w:rsidRPr="00D76E62">
              <w:rPr>
                <w:rtl/>
              </w:rPr>
              <w:t>باكيريا</w:t>
            </w:r>
            <w:proofErr w:type="spellEnd"/>
            <w:r w:rsidRPr="00D76E62">
              <w:rPr>
                <w:rtl/>
              </w:rPr>
              <w:t xml:space="preserve">، وهي من جماعة </w:t>
            </w:r>
            <w:proofErr w:type="spellStart"/>
            <w:r w:rsidRPr="00D76E62">
              <w:rPr>
                <w:rtl/>
              </w:rPr>
              <w:t>باسوغا</w:t>
            </w:r>
            <w:proofErr w:type="spellEnd"/>
            <w:r w:rsidRPr="00D76E62">
              <w:rPr>
                <w:rtl/>
              </w:rPr>
              <w:t xml:space="preserve"> المحلية، وتشغل منصب رئيسة جمعية </w:t>
            </w:r>
            <w:proofErr w:type="spellStart"/>
            <w:r w:rsidRPr="00D76E62">
              <w:rPr>
                <w:rtl/>
              </w:rPr>
              <w:t>جينجا</w:t>
            </w:r>
            <w:proofErr w:type="spellEnd"/>
            <w:r w:rsidRPr="00D76E62">
              <w:rPr>
                <w:rtl/>
              </w:rPr>
              <w:t xml:space="preserve"> النسائية التعاونية المحدودة للأعمال التجارية الزراعية، أوغندا</w:t>
            </w:r>
            <w:r w:rsidR="006E52D3" w:rsidRPr="006E52D3">
              <w:rPr>
                <w:rtl/>
              </w:rPr>
              <w:t>.</w:t>
            </w:r>
          </w:p>
        </w:tc>
      </w:tr>
      <w:tr w:rsidR="00370221" w:rsidRPr="00370221" w14:paraId="3BCF8088" w14:textId="77777777" w:rsidTr="003D708B">
        <w:tc>
          <w:tcPr>
            <w:tcW w:w="2898" w:type="dxa"/>
            <w:shd w:val="clear" w:color="auto" w:fill="auto"/>
          </w:tcPr>
          <w:p w14:paraId="2DF62316" w14:textId="5E771663" w:rsidR="00370221" w:rsidRPr="00370221" w:rsidRDefault="008602AD" w:rsidP="00CC53FF">
            <w:pPr>
              <w:pStyle w:val="BodyText"/>
            </w:pPr>
            <w:r>
              <w:rPr>
                <w:rFonts w:hint="cs"/>
                <w:rtl/>
              </w:rPr>
              <w:t>11</w:t>
            </w:r>
            <w:r w:rsidR="00370221" w:rsidRPr="00370221">
              <w:rPr>
                <w:rtl/>
              </w:rPr>
              <w:t>.</w:t>
            </w:r>
            <w:r w:rsidR="00D76E62">
              <w:rPr>
                <w:rFonts w:hint="cs"/>
                <w:rtl/>
              </w:rPr>
              <w:t>4</w:t>
            </w:r>
            <w:r w:rsidR="00CC53FF">
              <w:rPr>
                <w:rFonts w:hint="cs"/>
                <w:rtl/>
              </w:rPr>
              <w:t>0</w:t>
            </w:r>
            <w:r w:rsidR="00370221" w:rsidRPr="00370221">
              <w:rPr>
                <w:rtl/>
              </w:rPr>
              <w:t xml:space="preserve"> </w:t>
            </w:r>
            <w:r w:rsidR="008703EA">
              <w:rPr>
                <w:rtl/>
              </w:rPr>
              <w:t>–</w:t>
            </w:r>
            <w:r w:rsidR="00370221" w:rsidRPr="00370221">
              <w:rPr>
                <w:rtl/>
              </w:rPr>
              <w:t xml:space="preserve"> </w:t>
            </w:r>
            <w:r>
              <w:rPr>
                <w:rFonts w:hint="cs"/>
                <w:rtl/>
              </w:rPr>
              <w:t>1</w:t>
            </w:r>
            <w:r w:rsidR="00D76E62">
              <w:rPr>
                <w:rFonts w:hint="cs"/>
                <w:rtl/>
              </w:rPr>
              <w:t>2</w:t>
            </w:r>
            <w:r w:rsidR="00370221" w:rsidRPr="00370221">
              <w:rPr>
                <w:rtl/>
              </w:rPr>
              <w:t>.</w:t>
            </w:r>
            <w:r w:rsidR="00D76E62">
              <w:rPr>
                <w:rFonts w:hint="cs"/>
                <w:rtl/>
              </w:rPr>
              <w:t>00</w:t>
            </w:r>
          </w:p>
        </w:tc>
        <w:tc>
          <w:tcPr>
            <w:tcW w:w="6673" w:type="dxa"/>
            <w:gridSpan w:val="2"/>
            <w:shd w:val="clear" w:color="auto" w:fill="auto"/>
          </w:tcPr>
          <w:p w14:paraId="56ACBCB0" w14:textId="4A526ED7" w:rsidR="00370221" w:rsidRPr="00370221" w:rsidRDefault="00D76E62" w:rsidP="00CC53FF">
            <w:pPr>
              <w:pStyle w:val="BodyText"/>
            </w:pPr>
            <w:r w:rsidRPr="00D76E62">
              <w:rPr>
                <w:rtl/>
              </w:rPr>
              <w:t xml:space="preserve">الدكتورة </w:t>
            </w:r>
            <w:proofErr w:type="spellStart"/>
            <w:r w:rsidRPr="00D76E62">
              <w:rPr>
                <w:rtl/>
              </w:rPr>
              <w:t>آلانا</w:t>
            </w:r>
            <w:proofErr w:type="spellEnd"/>
            <w:r w:rsidRPr="00D76E62">
              <w:rPr>
                <w:rtl/>
              </w:rPr>
              <w:t xml:space="preserve"> غال، وهي من سكان </w:t>
            </w:r>
            <w:proofErr w:type="spellStart"/>
            <w:r w:rsidRPr="00D76E62">
              <w:rPr>
                <w:rtl/>
              </w:rPr>
              <w:t>تروولواي</w:t>
            </w:r>
            <w:proofErr w:type="spellEnd"/>
            <w:r w:rsidRPr="00D76E62">
              <w:rPr>
                <w:rtl/>
              </w:rPr>
              <w:t xml:space="preserve"> الأصليين، وتشغل منصب نائب رئيس جمعية الصحة العامة في أستراليا، أستراليا</w:t>
            </w:r>
            <w:r>
              <w:rPr>
                <w:rFonts w:hint="cs"/>
                <w:rtl/>
              </w:rPr>
              <w:t>.</w:t>
            </w:r>
          </w:p>
        </w:tc>
      </w:tr>
      <w:tr w:rsidR="00370221" w:rsidRPr="00370221" w14:paraId="51E5624B" w14:textId="77777777" w:rsidTr="003D708B">
        <w:tc>
          <w:tcPr>
            <w:tcW w:w="2898" w:type="dxa"/>
            <w:shd w:val="clear" w:color="auto" w:fill="auto"/>
          </w:tcPr>
          <w:p w14:paraId="2282BE05" w14:textId="5EF11F5B" w:rsidR="00370221" w:rsidRPr="00370221" w:rsidRDefault="008602AD" w:rsidP="00CC53FF">
            <w:pPr>
              <w:pStyle w:val="BodyText"/>
            </w:pPr>
            <w:r>
              <w:rPr>
                <w:rFonts w:hint="cs"/>
                <w:rtl/>
              </w:rPr>
              <w:t>1</w:t>
            </w:r>
            <w:r w:rsidR="006D7D65">
              <w:rPr>
                <w:rFonts w:hint="cs"/>
                <w:rtl/>
              </w:rPr>
              <w:t>2</w:t>
            </w:r>
            <w:r w:rsidR="00370221" w:rsidRPr="00370221">
              <w:rPr>
                <w:rtl/>
              </w:rPr>
              <w:t>.</w:t>
            </w:r>
            <w:r w:rsidR="006D7D65">
              <w:rPr>
                <w:rFonts w:hint="cs"/>
                <w:rtl/>
              </w:rPr>
              <w:t>00</w:t>
            </w:r>
            <w:r w:rsidR="00370221" w:rsidRPr="00370221">
              <w:rPr>
                <w:rtl/>
              </w:rPr>
              <w:t xml:space="preserve"> </w:t>
            </w:r>
            <w:r w:rsidR="008703EA">
              <w:rPr>
                <w:rtl/>
              </w:rPr>
              <w:t>–</w:t>
            </w:r>
            <w:r w:rsidR="00370221" w:rsidRPr="00370221">
              <w:rPr>
                <w:rtl/>
              </w:rPr>
              <w:t xml:space="preserve"> </w:t>
            </w:r>
            <w:r>
              <w:rPr>
                <w:rFonts w:hint="cs"/>
                <w:rtl/>
              </w:rPr>
              <w:t>12</w:t>
            </w:r>
            <w:r w:rsidR="00370221" w:rsidRPr="00370221">
              <w:rPr>
                <w:rtl/>
              </w:rPr>
              <w:t>.</w:t>
            </w:r>
            <w:r w:rsidR="006D7D65">
              <w:rPr>
                <w:rFonts w:hint="cs"/>
                <w:rtl/>
              </w:rPr>
              <w:t>3</w:t>
            </w:r>
            <w:r>
              <w:rPr>
                <w:rFonts w:hint="cs"/>
                <w:rtl/>
              </w:rPr>
              <w:t>0</w:t>
            </w:r>
          </w:p>
        </w:tc>
        <w:tc>
          <w:tcPr>
            <w:tcW w:w="6673" w:type="dxa"/>
            <w:gridSpan w:val="2"/>
            <w:shd w:val="clear" w:color="auto" w:fill="auto"/>
          </w:tcPr>
          <w:p w14:paraId="0CC08CC7" w14:textId="77777777" w:rsidR="00370221" w:rsidRPr="00370221" w:rsidRDefault="00370221" w:rsidP="00370221">
            <w:pPr>
              <w:pStyle w:val="BodyText"/>
            </w:pPr>
            <w:r w:rsidRPr="00370221">
              <w:rPr>
                <w:rtl/>
              </w:rPr>
              <w:t>نقاش مع الحاضرين واختتام الجلسة</w:t>
            </w:r>
            <w:r w:rsidR="00BA3ED3">
              <w:rPr>
                <w:rFonts w:hint="cs"/>
                <w:rtl/>
              </w:rPr>
              <w:t>.</w:t>
            </w:r>
          </w:p>
        </w:tc>
      </w:tr>
      <w:tr w:rsidR="00370221" w:rsidRPr="00370221" w14:paraId="0C7F3DDF" w14:textId="77777777" w:rsidTr="003D708B">
        <w:tc>
          <w:tcPr>
            <w:tcW w:w="2898" w:type="dxa"/>
            <w:shd w:val="clear" w:color="auto" w:fill="auto"/>
          </w:tcPr>
          <w:p w14:paraId="67F8B355" w14:textId="77777777" w:rsidR="00370221" w:rsidRPr="00370221" w:rsidRDefault="00370221" w:rsidP="00370221">
            <w:pPr>
              <w:pStyle w:val="BodyText"/>
            </w:pPr>
          </w:p>
        </w:tc>
        <w:tc>
          <w:tcPr>
            <w:tcW w:w="6673" w:type="dxa"/>
            <w:gridSpan w:val="2"/>
            <w:shd w:val="clear" w:color="auto" w:fill="auto"/>
          </w:tcPr>
          <w:p w14:paraId="4B04A6C9" w14:textId="77777777" w:rsidR="00370221" w:rsidRPr="00370221" w:rsidRDefault="00370221" w:rsidP="00370221">
            <w:pPr>
              <w:pStyle w:val="BodyText"/>
            </w:pPr>
          </w:p>
        </w:tc>
      </w:tr>
      <w:tr w:rsidR="00370221" w:rsidRPr="00370221" w14:paraId="2F93E591" w14:textId="77777777" w:rsidTr="003D708B">
        <w:tc>
          <w:tcPr>
            <w:tcW w:w="2898" w:type="dxa"/>
            <w:shd w:val="clear" w:color="auto" w:fill="auto"/>
          </w:tcPr>
          <w:p w14:paraId="0875471E" w14:textId="77777777" w:rsidR="00370221" w:rsidRPr="00370221" w:rsidRDefault="00370221" w:rsidP="00370221">
            <w:pPr>
              <w:pStyle w:val="BodyText"/>
            </w:pPr>
          </w:p>
        </w:tc>
        <w:tc>
          <w:tcPr>
            <w:tcW w:w="6673" w:type="dxa"/>
            <w:gridSpan w:val="2"/>
            <w:shd w:val="clear" w:color="auto" w:fill="auto"/>
          </w:tcPr>
          <w:p w14:paraId="1635F8BB" w14:textId="77777777" w:rsidR="00370221" w:rsidRPr="00370221" w:rsidRDefault="00370221" w:rsidP="00370221">
            <w:pPr>
              <w:pStyle w:val="BodyText"/>
            </w:pPr>
          </w:p>
        </w:tc>
      </w:tr>
    </w:tbl>
    <w:p w14:paraId="57DAB807" w14:textId="77777777" w:rsidR="00D530E8" w:rsidRPr="00370221" w:rsidRDefault="00320768" w:rsidP="00320768">
      <w:pPr>
        <w:pStyle w:val="Endofdocument-Annex"/>
      </w:pPr>
      <w:r w:rsidRPr="00320768">
        <w:rPr>
          <w:rtl/>
        </w:rPr>
        <w:t>[نهاية المرفق والوثيقة]</w:t>
      </w:r>
    </w:p>
    <w:sectPr w:rsidR="00D530E8" w:rsidRPr="00370221" w:rsidSect="00CC3E2D">
      <w:footerReference w:type="even" r:id="rId13"/>
      <w:footerReference w:type="default" r:id="rId14"/>
      <w:headerReference w:type="first" r:id="rId15"/>
      <w:footerReference w:type="firs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4A41D" w14:textId="77777777" w:rsidR="00780124" w:rsidRDefault="00780124">
      <w:r>
        <w:separator/>
      </w:r>
    </w:p>
  </w:endnote>
  <w:endnote w:type="continuationSeparator" w:id="0">
    <w:p w14:paraId="04AE0D03" w14:textId="77777777" w:rsidR="00780124" w:rsidRDefault="00780124" w:rsidP="003B38C1">
      <w:r>
        <w:separator/>
      </w:r>
    </w:p>
    <w:p w14:paraId="2435E1BE" w14:textId="77777777" w:rsidR="00780124" w:rsidRPr="003B38C1" w:rsidRDefault="00780124" w:rsidP="003B38C1">
      <w:pPr>
        <w:spacing w:after="60"/>
        <w:rPr>
          <w:sz w:val="17"/>
        </w:rPr>
      </w:pPr>
      <w:r>
        <w:rPr>
          <w:sz w:val="17"/>
        </w:rPr>
        <w:t>[Endnote continued from previous page]</w:t>
      </w:r>
    </w:p>
  </w:endnote>
  <w:endnote w:type="continuationNotice" w:id="1">
    <w:p w14:paraId="2A58218D" w14:textId="77777777" w:rsidR="00780124" w:rsidRPr="003B38C1" w:rsidRDefault="007801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ACB85" w14:textId="7056AF32" w:rsidR="00C5440C" w:rsidRDefault="00C54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5718B" w14:textId="32A49E39" w:rsidR="00C5440C" w:rsidRDefault="00C54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CAFDE" w14:textId="4EF89CCF" w:rsidR="00C5440C" w:rsidRDefault="00C54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31CEB" w14:textId="77777777" w:rsidR="00780124" w:rsidRDefault="00780124">
      <w:r>
        <w:separator/>
      </w:r>
    </w:p>
  </w:footnote>
  <w:footnote w:type="continuationSeparator" w:id="0">
    <w:p w14:paraId="46F4C689" w14:textId="77777777" w:rsidR="00780124" w:rsidRDefault="00780124" w:rsidP="008B60B2">
      <w:r>
        <w:separator/>
      </w:r>
    </w:p>
    <w:p w14:paraId="37715E72" w14:textId="77777777" w:rsidR="00780124" w:rsidRPr="00ED77FB" w:rsidRDefault="00780124" w:rsidP="008B60B2">
      <w:pPr>
        <w:spacing w:after="60"/>
        <w:rPr>
          <w:sz w:val="17"/>
          <w:szCs w:val="17"/>
        </w:rPr>
      </w:pPr>
      <w:r w:rsidRPr="00ED77FB">
        <w:rPr>
          <w:sz w:val="17"/>
          <w:szCs w:val="17"/>
        </w:rPr>
        <w:t>[Footnote continued from previous page]</w:t>
      </w:r>
    </w:p>
  </w:footnote>
  <w:footnote w:type="continuationNotice" w:id="1">
    <w:p w14:paraId="416C20B6" w14:textId="77777777" w:rsidR="00780124" w:rsidRPr="00ED77FB" w:rsidRDefault="007801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B90C6" w14:textId="77777777" w:rsidR="00D07C78" w:rsidRPr="002326AB" w:rsidRDefault="005E7B89" w:rsidP="00210D5F">
    <w:pPr>
      <w:bidi w:val="0"/>
      <w:rPr>
        <w:caps/>
      </w:rPr>
    </w:pPr>
    <w:bookmarkStart w:id="5" w:name="Code2"/>
    <w:bookmarkEnd w:id="5"/>
    <w:r>
      <w:rPr>
        <w:caps/>
      </w:rPr>
      <w:t>WIPO/GRTK</w:t>
    </w:r>
    <w:r w:rsidR="009B0855">
      <w:rPr>
        <w:caps/>
      </w:rPr>
      <w:t>f</w:t>
    </w:r>
    <w:r>
      <w:rPr>
        <w:caps/>
      </w:rPr>
      <w:t>/IC/41</w:t>
    </w:r>
    <w:r w:rsidR="00210D5F">
      <w:rPr>
        <w:caps/>
      </w:rPr>
      <w:t>/-</w:t>
    </w:r>
  </w:p>
  <w:p w14:paraId="6C8DFE87" w14:textId="77777777" w:rsidR="00D07C78" w:rsidRDefault="00D07C78" w:rsidP="00210D5F">
    <w:pPr>
      <w:bidi w:val="0"/>
    </w:pPr>
    <w:r>
      <w:fldChar w:fldCharType="begin"/>
    </w:r>
    <w:r>
      <w:instrText xml:space="preserve"> PAGE  \* MERGEFORMAT </w:instrText>
    </w:r>
    <w:r>
      <w:fldChar w:fldCharType="separate"/>
    </w:r>
    <w:r w:rsidR="00D530E8">
      <w:rPr>
        <w:noProof/>
      </w:rPr>
      <w:t>2</w:t>
    </w:r>
    <w:r>
      <w:fldChar w:fldCharType="end"/>
    </w:r>
  </w:p>
  <w:p w14:paraId="1E6A71F6" w14:textId="77777777" w:rsidR="00D07C78" w:rsidRDefault="00D07C78" w:rsidP="00210D5F">
    <w:pPr>
      <w:bidi w:val="0"/>
    </w:pPr>
  </w:p>
  <w:p w14:paraId="74A2BA03"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7A81" w14:textId="3E9EEACD" w:rsidR="00370221" w:rsidRDefault="00370221" w:rsidP="006E52D3">
    <w:pPr>
      <w:pStyle w:val="Header"/>
      <w:bidi w:val="0"/>
    </w:pPr>
    <w:r w:rsidRPr="00370221">
      <w:t>WIPO/GRTKF/IC/</w:t>
    </w:r>
    <w:r w:rsidR="006E52D3">
      <w:t>4</w:t>
    </w:r>
    <w:r w:rsidR="00BF0B72">
      <w:t>9</w:t>
    </w:r>
    <w:r w:rsidRPr="00370221">
      <w:t>/INF/5</w:t>
    </w:r>
  </w:p>
  <w:p w14:paraId="39CE9CCD" w14:textId="77777777" w:rsidR="00370221" w:rsidRDefault="00370221" w:rsidP="00370221">
    <w:pPr>
      <w:pStyle w:val="Header"/>
      <w:bidi w:val="0"/>
    </w:pPr>
    <w:r>
      <w:t>ANNEX</w:t>
    </w:r>
  </w:p>
  <w:p w14:paraId="46623AB7" w14:textId="77777777" w:rsidR="00370221" w:rsidRDefault="00370221" w:rsidP="00370221">
    <w:pPr>
      <w:pStyle w:val="Header"/>
      <w:jc w:val="right"/>
      <w:rPr>
        <w:rtl/>
      </w:rPr>
    </w:pPr>
    <w:r>
      <w:rPr>
        <w:rFonts w:hint="cs"/>
        <w:rtl/>
      </w:rPr>
      <w:t>المرفق</w:t>
    </w:r>
  </w:p>
  <w:p w14:paraId="41735AF1" w14:textId="77777777" w:rsidR="00370221" w:rsidRDefault="00370221" w:rsidP="00370221">
    <w:pPr>
      <w:pStyle w:val="Header"/>
      <w:bidi w:val="0"/>
    </w:pPr>
  </w:p>
  <w:p w14:paraId="0174AEF0" w14:textId="77777777" w:rsidR="00370221" w:rsidRDefault="00370221" w:rsidP="0037022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904073697">
    <w:abstractNumId w:val="2"/>
  </w:num>
  <w:num w:numId="2" w16cid:durableId="868681411">
    <w:abstractNumId w:val="5"/>
  </w:num>
  <w:num w:numId="3" w16cid:durableId="1335261832">
    <w:abstractNumId w:val="0"/>
  </w:num>
  <w:num w:numId="4" w16cid:durableId="1686784850">
    <w:abstractNumId w:val="6"/>
  </w:num>
  <w:num w:numId="5" w16cid:durableId="1411005833">
    <w:abstractNumId w:val="1"/>
  </w:num>
  <w:num w:numId="6" w16cid:durableId="1503817628">
    <w:abstractNumId w:val="3"/>
  </w:num>
  <w:num w:numId="7" w16cid:durableId="135226521">
    <w:abstractNumId w:val="7"/>
  </w:num>
  <w:num w:numId="8" w16cid:durableId="803012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EF"/>
    <w:rsid w:val="00043CAA"/>
    <w:rsid w:val="00056816"/>
    <w:rsid w:val="00075432"/>
    <w:rsid w:val="000968ED"/>
    <w:rsid w:val="000A3D97"/>
    <w:rsid w:val="000F5E56"/>
    <w:rsid w:val="001362EE"/>
    <w:rsid w:val="001406E1"/>
    <w:rsid w:val="00150495"/>
    <w:rsid w:val="00155D8A"/>
    <w:rsid w:val="001647D5"/>
    <w:rsid w:val="001832A6"/>
    <w:rsid w:val="0019592A"/>
    <w:rsid w:val="001D4107"/>
    <w:rsid w:val="00203D24"/>
    <w:rsid w:val="00210D5F"/>
    <w:rsid w:val="0021217E"/>
    <w:rsid w:val="002326AB"/>
    <w:rsid w:val="00243430"/>
    <w:rsid w:val="0025254C"/>
    <w:rsid w:val="002634C4"/>
    <w:rsid w:val="002928D3"/>
    <w:rsid w:val="002F1FE6"/>
    <w:rsid w:val="002F4E68"/>
    <w:rsid w:val="00312F7F"/>
    <w:rsid w:val="00320768"/>
    <w:rsid w:val="00361450"/>
    <w:rsid w:val="003673CF"/>
    <w:rsid w:val="00370221"/>
    <w:rsid w:val="003845C1"/>
    <w:rsid w:val="003A6F89"/>
    <w:rsid w:val="003B355C"/>
    <w:rsid w:val="003B38C1"/>
    <w:rsid w:val="003C34E9"/>
    <w:rsid w:val="004118F5"/>
    <w:rsid w:val="00423280"/>
    <w:rsid w:val="00423E3E"/>
    <w:rsid w:val="00427AF4"/>
    <w:rsid w:val="004647DA"/>
    <w:rsid w:val="00474062"/>
    <w:rsid w:val="00477D6B"/>
    <w:rsid w:val="005019FF"/>
    <w:rsid w:val="0052635D"/>
    <w:rsid w:val="0053057A"/>
    <w:rsid w:val="00556076"/>
    <w:rsid w:val="00560A29"/>
    <w:rsid w:val="005C6649"/>
    <w:rsid w:val="005E7B89"/>
    <w:rsid w:val="00605827"/>
    <w:rsid w:val="00646050"/>
    <w:rsid w:val="006713CA"/>
    <w:rsid w:val="00676C5C"/>
    <w:rsid w:val="006B5C12"/>
    <w:rsid w:val="006D7D65"/>
    <w:rsid w:val="006E52D3"/>
    <w:rsid w:val="00720EFD"/>
    <w:rsid w:val="00766DEF"/>
    <w:rsid w:val="00780124"/>
    <w:rsid w:val="007854AF"/>
    <w:rsid w:val="00793A7C"/>
    <w:rsid w:val="00795868"/>
    <w:rsid w:val="007A398A"/>
    <w:rsid w:val="007C4902"/>
    <w:rsid w:val="007D1613"/>
    <w:rsid w:val="007E3AC0"/>
    <w:rsid w:val="007E4C0E"/>
    <w:rsid w:val="007F2029"/>
    <w:rsid w:val="00850FB8"/>
    <w:rsid w:val="008523B6"/>
    <w:rsid w:val="008602AD"/>
    <w:rsid w:val="008703EA"/>
    <w:rsid w:val="008A134B"/>
    <w:rsid w:val="008B2CC1"/>
    <w:rsid w:val="008B60B2"/>
    <w:rsid w:val="0090731E"/>
    <w:rsid w:val="00916EE2"/>
    <w:rsid w:val="00966A22"/>
    <w:rsid w:val="0096722F"/>
    <w:rsid w:val="00980843"/>
    <w:rsid w:val="009A09DF"/>
    <w:rsid w:val="009B0855"/>
    <w:rsid w:val="009B505A"/>
    <w:rsid w:val="009E2791"/>
    <w:rsid w:val="009E3F6F"/>
    <w:rsid w:val="009F499F"/>
    <w:rsid w:val="00A37342"/>
    <w:rsid w:val="00A42DAF"/>
    <w:rsid w:val="00A45BD8"/>
    <w:rsid w:val="00A47E77"/>
    <w:rsid w:val="00A869B7"/>
    <w:rsid w:val="00A90F0A"/>
    <w:rsid w:val="00AA4FE3"/>
    <w:rsid w:val="00AC205C"/>
    <w:rsid w:val="00AF0A6B"/>
    <w:rsid w:val="00B05A69"/>
    <w:rsid w:val="00B42CA9"/>
    <w:rsid w:val="00B51FF7"/>
    <w:rsid w:val="00B63A00"/>
    <w:rsid w:val="00B75281"/>
    <w:rsid w:val="00B92F1F"/>
    <w:rsid w:val="00B9734B"/>
    <w:rsid w:val="00BA30E2"/>
    <w:rsid w:val="00BA3ED3"/>
    <w:rsid w:val="00BF0B72"/>
    <w:rsid w:val="00C11BFE"/>
    <w:rsid w:val="00C5068F"/>
    <w:rsid w:val="00C5440C"/>
    <w:rsid w:val="00C86D74"/>
    <w:rsid w:val="00C96CFE"/>
    <w:rsid w:val="00CA35E5"/>
    <w:rsid w:val="00CB3DBA"/>
    <w:rsid w:val="00CB3F1A"/>
    <w:rsid w:val="00CC3E2D"/>
    <w:rsid w:val="00CC53FF"/>
    <w:rsid w:val="00CD04F1"/>
    <w:rsid w:val="00CE19F8"/>
    <w:rsid w:val="00CF681A"/>
    <w:rsid w:val="00D07C78"/>
    <w:rsid w:val="00D41E50"/>
    <w:rsid w:val="00D45252"/>
    <w:rsid w:val="00D530E8"/>
    <w:rsid w:val="00D60B2C"/>
    <w:rsid w:val="00D67EAE"/>
    <w:rsid w:val="00D71B4D"/>
    <w:rsid w:val="00D75324"/>
    <w:rsid w:val="00D76E62"/>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15A"/>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75A299"/>
  <w15:docId w15:val="{446FB05E-C271-4B02-98E0-B1361D3D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erChar">
    <w:name w:val="Header Char"/>
    <w:basedOn w:val="DefaultParagraphFont"/>
    <w:link w:val="Header"/>
    <w:uiPriority w:val="99"/>
    <w:rsid w:val="0037022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17E7-4075-488E-A6A5-D1901840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1054</TotalTime>
  <Pages>2</Pages>
  <Words>224</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WIPO/GRTK/IC/41/INF/5 (Arabic)</vt:lpstr>
    </vt:vector>
  </TitlesOfParts>
  <Company>WIPO</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WIPO/GRTK/IC/49/INF/5 (Arabic)</dc:title>
  <dc:creator>MERZOUK Fawzi</dc:creator>
  <cp:keywords>FOR OFFICIAL USE ONLY</cp:keywords>
  <cp:lastModifiedBy> FM</cp:lastModifiedBy>
  <cp:revision>6</cp:revision>
  <cp:lastPrinted>2024-10-17T08:35:00Z</cp:lastPrinted>
  <dcterms:created xsi:type="dcterms:W3CDTF">2024-10-16T14:51:00Z</dcterms:created>
  <dcterms:modified xsi:type="dcterms:W3CDTF">2024-10-17T08:35:00Z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2024-10-17T08:19:55Z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422a5796-7844-44ff-9e6e-a236b85e1b6f</vt:lpwstr>
  </property>
  <property fmtid="{D5CDD505-2E9C-101B-9397-08002B2CF9AE}" pid="13" name="MSIP_Label_20773ee6-353b-4fb9-a59d-0b94c8c67bea_ContentBits">
    <vt:lpwstr>0</vt:lpwstr>
  </property>
</Properties>
</file>