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F74624" w:rsidRDefault="008B2CC1" w:rsidP="00C73E7A">
      <w:pPr>
        <w:bidi w:val="0"/>
        <w:rPr>
          <w:rFonts w:ascii="Arial Black" w:hAnsi="Arial Black"/>
          <w:caps/>
          <w:sz w:val="15"/>
          <w:szCs w:val="15"/>
          <w:rtl/>
          <w:lang w:val="fr-CH" w:bidi="ar-SY"/>
        </w:rPr>
      </w:pPr>
      <w:bookmarkStart w:id="0" w:name="Code"/>
      <w:bookmarkEnd w:id="0"/>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1E1E9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1E1E9C">
        <w:rPr>
          <w:rFonts w:asciiTheme="minorHAnsi" w:hAnsiTheme="minorHAnsi" w:cstheme="minorHAnsi" w:hint="cs"/>
          <w:b/>
          <w:bCs/>
          <w:caps/>
          <w:sz w:val="15"/>
          <w:szCs w:val="15"/>
          <w:rtl/>
        </w:rPr>
        <w:t>9 يونيو</w:t>
      </w:r>
      <w:r w:rsidR="00AD6307">
        <w:rPr>
          <w:rFonts w:asciiTheme="minorHAnsi" w:hAnsiTheme="minorHAnsi" w:cstheme="minorHAnsi" w:hint="cs"/>
          <w:b/>
          <w:bCs/>
          <w:caps/>
          <w:sz w:val="15"/>
          <w:szCs w:val="15"/>
          <w:rtl/>
        </w:rPr>
        <w:t xml:space="preserve"> 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B13420">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ال</w:t>
      </w:r>
      <w:r w:rsidR="00F74624">
        <w:rPr>
          <w:rFonts w:asciiTheme="minorHAnsi" w:hAnsiTheme="minorHAnsi" w:hint="cs"/>
          <w:bCs/>
          <w:sz w:val="24"/>
          <w:szCs w:val="24"/>
          <w:rtl/>
        </w:rPr>
        <w:t>سا</w:t>
      </w:r>
      <w:r w:rsidR="00B13420">
        <w:rPr>
          <w:rFonts w:asciiTheme="minorHAnsi" w:hAnsiTheme="minorHAnsi" w:hint="cs"/>
          <w:bCs/>
          <w:sz w:val="24"/>
          <w:szCs w:val="24"/>
          <w:rtl/>
        </w:rPr>
        <w:t>بع</w:t>
      </w:r>
      <w:r w:rsidR="00C73E7A" w:rsidRPr="00C73E7A">
        <w:rPr>
          <w:rFonts w:asciiTheme="minorHAnsi" w:hAnsiTheme="minorHAnsi"/>
          <w:bCs/>
          <w:sz w:val="24"/>
          <w:szCs w:val="24"/>
          <w:rtl/>
        </w:rPr>
        <w:t xml:space="preserve">ة </w:t>
      </w:r>
      <w:r w:rsidRPr="00D67EAE">
        <w:rPr>
          <w:rFonts w:asciiTheme="minorHAnsi" w:hAnsiTheme="minorHAnsi" w:cstheme="minorHAnsi" w:hint="cs"/>
          <w:bCs/>
          <w:sz w:val="24"/>
          <w:szCs w:val="24"/>
          <w:rtl/>
        </w:rPr>
        <w:t>والأربعون</w:t>
      </w:r>
    </w:p>
    <w:p w:rsidR="008B2CC1" w:rsidRPr="00D67EAE" w:rsidRDefault="00D67EAE" w:rsidP="00B1342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ن</w:t>
      </w:r>
      <w:r w:rsidR="00F74624">
        <w:rPr>
          <w:rFonts w:asciiTheme="minorHAnsi" w:hAnsiTheme="minorHAnsi" w:hint="cs"/>
          <w:bCs/>
          <w:sz w:val="24"/>
          <w:szCs w:val="24"/>
          <w:rtl/>
        </w:rPr>
        <w:t xml:space="preserve"> </w:t>
      </w:r>
      <w:r w:rsidR="00B13420">
        <w:rPr>
          <w:rFonts w:asciiTheme="minorHAnsi" w:hAnsiTheme="minorHAnsi" w:hint="cs"/>
          <w:bCs/>
          <w:sz w:val="24"/>
          <w:szCs w:val="24"/>
          <w:rtl/>
        </w:rPr>
        <w:t>5</w:t>
      </w:r>
      <w:r w:rsidR="00C73E7A" w:rsidRPr="00C73E7A">
        <w:rPr>
          <w:rFonts w:asciiTheme="minorHAnsi" w:hAnsiTheme="minorHAnsi"/>
          <w:bCs/>
          <w:sz w:val="24"/>
          <w:szCs w:val="24"/>
          <w:rtl/>
        </w:rPr>
        <w:t xml:space="preserve"> إلى </w:t>
      </w:r>
      <w:r w:rsidR="00B13420">
        <w:rPr>
          <w:rFonts w:asciiTheme="minorHAnsi" w:hAnsiTheme="minorHAnsi" w:hint="cs"/>
          <w:bCs/>
          <w:sz w:val="24"/>
          <w:szCs w:val="24"/>
          <w:rtl/>
        </w:rPr>
        <w:t>9</w:t>
      </w:r>
      <w:r w:rsidR="00C73E7A" w:rsidRPr="00C73E7A">
        <w:rPr>
          <w:rFonts w:asciiTheme="minorHAnsi" w:hAnsiTheme="minorHAnsi"/>
          <w:bCs/>
          <w:sz w:val="24"/>
          <w:szCs w:val="24"/>
          <w:rtl/>
        </w:rPr>
        <w:t xml:space="preserve"> </w:t>
      </w:r>
      <w:r w:rsidR="00B13420">
        <w:rPr>
          <w:rFonts w:asciiTheme="minorHAnsi" w:hAnsiTheme="minorHAnsi" w:hint="cs"/>
          <w:bCs/>
          <w:sz w:val="24"/>
          <w:szCs w:val="24"/>
          <w:rtl/>
        </w:rPr>
        <w:t xml:space="preserve">يونيو </w:t>
      </w:r>
      <w:r w:rsidR="00F74624">
        <w:rPr>
          <w:rFonts w:asciiTheme="minorHAnsi" w:hAnsiTheme="minorHAnsi" w:hint="cs"/>
          <w:bCs/>
          <w:sz w:val="24"/>
          <w:szCs w:val="24"/>
          <w:rtl/>
        </w:rPr>
        <w:t>2023</w:t>
      </w:r>
    </w:p>
    <w:p w:rsidR="008B2CC1" w:rsidRPr="00D67EAE" w:rsidRDefault="001E1E9C" w:rsidP="001E1E9C">
      <w:pPr>
        <w:spacing w:after="360"/>
        <w:outlineLvl w:val="0"/>
        <w:rPr>
          <w:rFonts w:asciiTheme="minorHAnsi" w:hAnsiTheme="minorHAnsi" w:cstheme="minorHAnsi"/>
          <w:caps/>
          <w:sz w:val="24"/>
        </w:rPr>
      </w:pPr>
      <w:bookmarkStart w:id="3" w:name="TitleOfDoc"/>
      <w:r w:rsidRPr="001E1E9C">
        <w:rPr>
          <w:rFonts w:asciiTheme="minorHAnsi" w:hAnsiTheme="minorHAnsi"/>
          <w:caps/>
          <w:sz w:val="28"/>
          <w:szCs w:val="24"/>
          <w:rtl/>
        </w:rPr>
        <w:t>قرارات</w:t>
      </w:r>
      <w:r>
        <w:rPr>
          <w:rFonts w:asciiTheme="minorHAnsi" w:hAnsiTheme="minorHAnsi" w:hint="cs"/>
          <w:caps/>
          <w:sz w:val="28"/>
          <w:szCs w:val="24"/>
          <w:rtl/>
        </w:rPr>
        <w:t xml:space="preserve"> الدورة السابعة والأربعين للجنة</w:t>
      </w:r>
    </w:p>
    <w:p w:rsidR="002928D3" w:rsidRDefault="0019257F" w:rsidP="0019257F">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التي اعتمدتها اللجنة</w:t>
      </w:r>
      <w:bookmarkStart w:id="5" w:name="_GoBack"/>
      <w:bookmarkEnd w:id="5"/>
    </w:p>
    <w:p w:rsidR="001E1E9C" w:rsidRDefault="001E1E9C">
      <w:pPr>
        <w:bidi w:val="0"/>
        <w:rPr>
          <w:rFonts w:asciiTheme="minorHAnsi" w:hAnsiTheme="minorHAnsi" w:cstheme="minorHAnsi"/>
          <w:iCs/>
          <w:rtl/>
        </w:rPr>
      </w:pPr>
      <w:r>
        <w:rPr>
          <w:rFonts w:asciiTheme="minorHAnsi" w:hAnsiTheme="minorHAnsi" w:cstheme="minorHAnsi"/>
          <w:iCs/>
          <w:rtl/>
        </w:rPr>
        <w:br w:type="page"/>
      </w:r>
    </w:p>
    <w:p w:rsidR="001E1E9C" w:rsidRPr="001E1E9C" w:rsidRDefault="001E1E9C" w:rsidP="001E1E9C">
      <w:pPr>
        <w:pStyle w:val="BodyText"/>
        <w:rPr>
          <w:b/>
          <w:bCs/>
          <w:lang w:bidi="ar-EG"/>
        </w:rPr>
      </w:pPr>
      <w:r w:rsidRPr="001E1E9C">
        <w:rPr>
          <w:b/>
          <w:bCs/>
          <w:rtl/>
          <w:lang w:bidi="ar-EG"/>
        </w:rPr>
        <w:lastRenderedPageBreak/>
        <w:t xml:space="preserve">قرار بشأن البند </w:t>
      </w:r>
      <w:r w:rsidRPr="001E1E9C">
        <w:rPr>
          <w:rFonts w:hint="cs"/>
          <w:b/>
          <w:bCs/>
          <w:rtl/>
        </w:rPr>
        <w:t>2</w:t>
      </w:r>
      <w:r w:rsidRPr="001E1E9C">
        <w:rPr>
          <w:b/>
          <w:bCs/>
          <w:rtl/>
          <w:lang w:bidi="ar-EG"/>
        </w:rPr>
        <w:t xml:space="preserve"> من جدول الأعمال:</w:t>
      </w:r>
    </w:p>
    <w:p w:rsidR="00FE339E" w:rsidRPr="001E1E9C" w:rsidRDefault="00FE339E" w:rsidP="001E1E9C">
      <w:pPr>
        <w:pStyle w:val="BodyText"/>
        <w:rPr>
          <w:b/>
          <w:bCs/>
          <w:rtl/>
        </w:rPr>
      </w:pPr>
      <w:r w:rsidRPr="001E1E9C">
        <w:rPr>
          <w:b/>
          <w:bCs/>
          <w:rtl/>
          <w:lang w:bidi="ar-EG"/>
        </w:rPr>
        <w:t>اعتماد جدول الأعمال</w:t>
      </w:r>
    </w:p>
    <w:p w:rsidR="001E1E9C" w:rsidRPr="001E1E9C" w:rsidRDefault="001E1E9C" w:rsidP="000B3A78">
      <w:pPr>
        <w:pStyle w:val="BodyText"/>
        <w:rPr>
          <w:rtl/>
        </w:rPr>
      </w:pPr>
      <w:r w:rsidRPr="001E1E9C">
        <w:rPr>
          <w:rtl/>
        </w:rPr>
        <w:t>قدمت الرئيسة مشروع جدول الأعمال المُعمّم في الوثيق</w:t>
      </w:r>
      <w:r w:rsidRPr="001E1E9C">
        <w:rPr>
          <w:rFonts w:hint="cs"/>
          <w:rtl/>
        </w:rPr>
        <w:t>ة</w:t>
      </w:r>
      <w:r w:rsidRPr="001E1E9C">
        <w:rPr>
          <w:rFonts w:hint="eastAsia"/>
          <w:rtl/>
        </w:rPr>
        <w:t> </w:t>
      </w:r>
      <w:r w:rsidRPr="001E1E9C">
        <w:t>WIPO/GRTKF/IC/47/1 Prov. 3</w:t>
      </w:r>
      <w:r w:rsidRPr="001E1E9C">
        <w:rPr>
          <w:rFonts w:hint="cs"/>
          <w:rtl/>
        </w:rPr>
        <w:t xml:space="preserve"> </w:t>
      </w:r>
      <w:r w:rsidRPr="001E1E9C">
        <w:rPr>
          <w:rtl/>
        </w:rPr>
        <w:t>كي يُعتمد، وتم اعتماده.</w:t>
      </w:r>
    </w:p>
    <w:p w:rsidR="001E1E9C" w:rsidRPr="001E1E9C" w:rsidRDefault="001E1E9C" w:rsidP="001E1E9C">
      <w:pPr>
        <w:pStyle w:val="BodyText"/>
        <w:rPr>
          <w:b/>
          <w:bCs/>
          <w:lang w:bidi="ar-EG"/>
        </w:rPr>
      </w:pPr>
      <w:r w:rsidRPr="001E1E9C">
        <w:rPr>
          <w:b/>
          <w:bCs/>
          <w:rtl/>
          <w:lang w:bidi="ar-EG"/>
        </w:rPr>
        <w:t xml:space="preserve">قرار بشأن البند </w:t>
      </w:r>
      <w:r w:rsidRPr="001E1E9C">
        <w:rPr>
          <w:rFonts w:hint="cs"/>
          <w:b/>
          <w:bCs/>
          <w:rtl/>
        </w:rPr>
        <w:t>3</w:t>
      </w:r>
      <w:r w:rsidRPr="001E1E9C">
        <w:rPr>
          <w:b/>
          <w:bCs/>
          <w:rtl/>
          <w:lang w:bidi="ar-EG"/>
        </w:rPr>
        <w:t xml:space="preserve"> من جدول الأعمال:</w:t>
      </w:r>
    </w:p>
    <w:p w:rsidR="001E1E9C" w:rsidRPr="001E1E9C" w:rsidRDefault="001E1E9C" w:rsidP="001E1E9C">
      <w:pPr>
        <w:pStyle w:val="BodyText"/>
        <w:rPr>
          <w:b/>
          <w:bCs/>
          <w:rtl/>
        </w:rPr>
      </w:pPr>
      <w:r w:rsidRPr="001E1E9C">
        <w:rPr>
          <w:b/>
          <w:bCs/>
          <w:rtl/>
        </w:rPr>
        <w:t>اعتماد بعض المنظمات</w:t>
      </w:r>
    </w:p>
    <w:p w:rsidR="001E1E9C" w:rsidRDefault="001E1E9C" w:rsidP="0073597C">
      <w:pPr>
        <w:pStyle w:val="BodyText"/>
        <w:rPr>
          <w:rtl/>
        </w:rPr>
      </w:pPr>
      <w:r w:rsidRPr="001E1E9C">
        <w:rPr>
          <w:rtl/>
        </w:rPr>
        <w:t>وافقت اللجنة بالإجماع على اعتماد المنظمات التالية بصفة مراقب مؤقت: منظمة العمل من أجل احترام وحماية البيئة</w:t>
      </w:r>
      <w:r>
        <w:rPr>
          <w:rFonts w:hint="cs"/>
          <w:rtl/>
        </w:rPr>
        <w:t xml:space="preserve"> (</w:t>
      </w:r>
      <w:r w:rsidRPr="001E1E9C">
        <w:t>ARPE</w:t>
      </w:r>
      <w:r>
        <w:rPr>
          <w:rFonts w:hint="cs"/>
          <w:rtl/>
        </w:rPr>
        <w:t>)</w:t>
      </w:r>
      <w:r w:rsidR="0073597C">
        <w:rPr>
          <w:rFonts w:hint="cs"/>
          <w:rtl/>
        </w:rPr>
        <w:t xml:space="preserve"> </w:t>
      </w:r>
      <w:r>
        <w:rPr>
          <w:rFonts w:hint="cs"/>
          <w:rtl/>
        </w:rPr>
        <w:t>و</w:t>
      </w:r>
      <w:r w:rsidRPr="001E1E9C">
        <w:rPr>
          <w:rtl/>
        </w:rPr>
        <w:t>مركز معارف وحكمة الشعوب الأصلية</w:t>
      </w:r>
      <w:r>
        <w:rPr>
          <w:rFonts w:hint="cs"/>
          <w:rtl/>
        </w:rPr>
        <w:t xml:space="preserve"> و</w:t>
      </w:r>
      <w:r w:rsidRPr="001E1E9C">
        <w:rPr>
          <w:rtl/>
        </w:rPr>
        <w:t xml:space="preserve">منظمة </w:t>
      </w:r>
      <w:r w:rsidRPr="001E1E9C">
        <w:t>WhyWeCraft</w:t>
      </w:r>
      <w:r>
        <w:rPr>
          <w:rFonts w:hint="cs"/>
          <w:rtl/>
        </w:rPr>
        <w:t>.</w:t>
      </w:r>
    </w:p>
    <w:p w:rsidR="001E1E9C" w:rsidRPr="001E1E9C" w:rsidRDefault="001E1E9C" w:rsidP="001E1E9C">
      <w:pPr>
        <w:pStyle w:val="BodyText"/>
        <w:rPr>
          <w:b/>
          <w:bCs/>
          <w:lang w:bidi="ar-EG"/>
        </w:rPr>
      </w:pPr>
      <w:r w:rsidRPr="001E1E9C">
        <w:rPr>
          <w:b/>
          <w:bCs/>
          <w:rtl/>
          <w:lang w:bidi="ar-EG"/>
        </w:rPr>
        <w:t xml:space="preserve">قرار بشأن البند </w:t>
      </w:r>
      <w:r>
        <w:rPr>
          <w:rFonts w:hint="cs"/>
          <w:b/>
          <w:bCs/>
          <w:rtl/>
        </w:rPr>
        <w:t>4</w:t>
      </w:r>
      <w:r w:rsidRPr="001E1E9C">
        <w:rPr>
          <w:b/>
          <w:bCs/>
          <w:rtl/>
          <w:lang w:bidi="ar-EG"/>
        </w:rPr>
        <w:t xml:space="preserve"> من جدول الأعمال:</w:t>
      </w:r>
    </w:p>
    <w:p w:rsidR="001E1E9C" w:rsidRPr="001E1E9C" w:rsidRDefault="001E1E9C" w:rsidP="001E1E9C">
      <w:pPr>
        <w:pStyle w:val="BodyText"/>
        <w:rPr>
          <w:b/>
          <w:bCs/>
        </w:rPr>
      </w:pPr>
      <w:r w:rsidRPr="001E1E9C">
        <w:rPr>
          <w:b/>
          <w:bCs/>
          <w:rtl/>
        </w:rPr>
        <w:t>مشاركة الجماعات الأصلية والمحلية</w:t>
      </w:r>
    </w:p>
    <w:p w:rsidR="001E1E9C" w:rsidRDefault="00AF5728" w:rsidP="00AF5728">
      <w:pPr>
        <w:pStyle w:val="BodyText"/>
        <w:rPr>
          <w:rtl/>
        </w:rPr>
      </w:pPr>
      <w:r w:rsidRPr="00AF5728">
        <w:rPr>
          <w:rtl/>
        </w:rPr>
        <w:t xml:space="preserve">أحاطت اللجنة علما بالوثيقتين </w:t>
      </w:r>
      <w:r w:rsidRPr="00AF5728">
        <w:t>WIPO/GRTKF/IC/47/3</w:t>
      </w:r>
      <w:r w:rsidRPr="00AF5728">
        <w:rPr>
          <w:rtl/>
        </w:rPr>
        <w:t xml:space="preserve"> و</w:t>
      </w:r>
      <w:r w:rsidRPr="00AF5728">
        <w:t>WIPO/GRTKF/IC/47/INF/4</w:t>
      </w:r>
      <w:r w:rsidRPr="00AF5728">
        <w:rPr>
          <w:rtl/>
        </w:rPr>
        <w:t>.</w:t>
      </w:r>
    </w:p>
    <w:p w:rsidR="00AF5728" w:rsidRDefault="00AF5728" w:rsidP="00AF5728">
      <w:pPr>
        <w:pStyle w:val="BodyText"/>
        <w:rPr>
          <w:rtl/>
        </w:rPr>
      </w:pPr>
      <w:r w:rsidRPr="00AF5728">
        <w:rPr>
          <w:rtl/>
        </w:rPr>
        <w:t>وشجَّعت بشدة أعضاءها وجميع الهيئات المهتمة في القطاعين العام والخاص وحثَّتها على الإسهام في صندوق الويبو للتبرعات لفائدة الجماعات الأصلية والمحلية المعتمدة.</w:t>
      </w:r>
    </w:p>
    <w:p w:rsidR="00AF5728" w:rsidRDefault="00AF5728" w:rsidP="00AF5728">
      <w:pPr>
        <w:pStyle w:val="BodyText"/>
        <w:rPr>
          <w:rtl/>
        </w:rPr>
      </w:pPr>
      <w:r w:rsidRPr="00AF5728">
        <w:rPr>
          <w:rtl/>
        </w:rPr>
        <w:t>واقترح</w:t>
      </w:r>
      <w:r>
        <w:rPr>
          <w:rFonts w:hint="cs"/>
          <w:rtl/>
        </w:rPr>
        <w:t>ت</w:t>
      </w:r>
      <w:r w:rsidRPr="00AF5728">
        <w:rPr>
          <w:rtl/>
        </w:rPr>
        <w:t xml:space="preserve"> الرئيس</w:t>
      </w:r>
      <w:r>
        <w:rPr>
          <w:rFonts w:hint="cs"/>
          <w:rtl/>
        </w:rPr>
        <w:t>ة</w:t>
      </w:r>
      <w:r w:rsidRPr="00AF5728">
        <w:rPr>
          <w:rtl/>
        </w:rPr>
        <w:t xml:space="preserve"> انتخاب الأعضاء الثمانية التالية أسماؤهم في المجلس الاستشاري للعمل بصفتهم الشخصية وانتخبتهم اللجنة بالتزكية:</w:t>
      </w:r>
      <w:r>
        <w:rPr>
          <w:rFonts w:hint="cs"/>
          <w:rtl/>
        </w:rPr>
        <w:t xml:space="preserve"> </w:t>
      </w:r>
      <w:r w:rsidRPr="00AF5728">
        <w:rPr>
          <w:rtl/>
        </w:rPr>
        <w:t>السيد ديتريكس جون أولوكوا دوهيلونسود، ممثل، مستشار،</w:t>
      </w:r>
      <w:r>
        <w:rPr>
          <w:rFonts w:hint="cs"/>
          <w:rtl/>
        </w:rPr>
        <w:t xml:space="preserve"> </w:t>
      </w:r>
      <w:r w:rsidRPr="00AF5728">
        <w:rPr>
          <w:rtl/>
        </w:rPr>
        <w:t xml:space="preserve">منظمة كاويكيوكابو </w:t>
      </w:r>
      <w:r>
        <w:rPr>
          <w:rFonts w:hint="cs"/>
          <w:rtl/>
        </w:rPr>
        <w:t>(</w:t>
      </w:r>
      <w:r w:rsidRPr="00AF5728">
        <w:t>KA'UIKIOKAPŌ</w:t>
      </w:r>
      <w:r>
        <w:rPr>
          <w:rFonts w:hint="cs"/>
          <w:rtl/>
        </w:rPr>
        <w:t>)</w:t>
      </w:r>
      <w:r>
        <w:rPr>
          <w:rtl/>
        </w:rPr>
        <w:t>؛ السيد بابلو لاتوري</w:t>
      </w:r>
      <w:r w:rsidRPr="00AF5728">
        <w:rPr>
          <w:rtl/>
        </w:rPr>
        <w:t xml:space="preserve">، سكرتير أول، البعثة الدائمة لشيلي؛ السيدة جون لورنزو، ممثلة مجلس معاهدة الهنود الدولية؛ السيد آلان نداجي موغارورا، سكرتير ثالث، البعثة الدائمة لأوغندا؛ السيد رودريغو إدواردو بياليف مونارد، ممثل مؤسسة </w:t>
      </w:r>
      <w:r w:rsidRPr="00AF5728">
        <w:t>Empresas Indígenas</w:t>
      </w:r>
      <w:r>
        <w:rPr>
          <w:rtl/>
        </w:rPr>
        <w:t>؛ السيد توماس ريتنغر</w:t>
      </w:r>
      <w:r w:rsidRPr="00AF5728">
        <w:rPr>
          <w:rtl/>
        </w:rPr>
        <w:t xml:space="preserve">، كبير فاحصي البراءات، شعبة البراءات، المكتب الألماني للبراءات والعلامات التجارية، وزارة العدل الاتحادية، ألمانيا؛ السيد عزير زاهد شيخ، سكرتير أول، البعثة الدائمة لباكستان، جنيف؛ السيدة لوسي زاميكالوفا، رئيسة وحدة الشؤون الدولية، إدارة الشؤون الدولية والقانونية، مكتب الملكية الصناعية في </w:t>
      </w:r>
      <w:r>
        <w:rPr>
          <w:rFonts w:hint="cs"/>
          <w:rtl/>
        </w:rPr>
        <w:t>ال</w:t>
      </w:r>
      <w:r w:rsidRPr="00AF5728">
        <w:rPr>
          <w:rtl/>
        </w:rPr>
        <w:t>جمهورية التشيك</w:t>
      </w:r>
      <w:r>
        <w:rPr>
          <w:rFonts w:hint="cs"/>
          <w:rtl/>
        </w:rPr>
        <w:t>ية</w:t>
      </w:r>
      <w:r w:rsidRPr="00AF5728">
        <w:rPr>
          <w:rtl/>
        </w:rPr>
        <w:t xml:space="preserve">، </w:t>
      </w:r>
      <w:r>
        <w:rPr>
          <w:rFonts w:hint="cs"/>
          <w:rtl/>
        </w:rPr>
        <w:t>ال</w:t>
      </w:r>
      <w:r w:rsidRPr="00AF5728">
        <w:rPr>
          <w:rtl/>
        </w:rPr>
        <w:t>جمهورية التشيك</w:t>
      </w:r>
      <w:r>
        <w:rPr>
          <w:rFonts w:hint="cs"/>
          <w:rtl/>
        </w:rPr>
        <w:t>ية</w:t>
      </w:r>
      <w:r w:rsidRPr="00AF5728">
        <w:rPr>
          <w:rtl/>
        </w:rPr>
        <w:t>.</w:t>
      </w:r>
    </w:p>
    <w:p w:rsidR="00AF5728" w:rsidRDefault="00AF5728" w:rsidP="00AF5728">
      <w:pPr>
        <w:pStyle w:val="BodyText"/>
        <w:rPr>
          <w:rtl/>
        </w:rPr>
      </w:pPr>
      <w:r w:rsidRPr="00AF5728">
        <w:rPr>
          <w:rtl/>
        </w:rPr>
        <w:t>وعيّنت رئيسة اللجنة السيد يوناه سيليتي، أحد نائبي رئيسة اللجنة، رئيساً للمجلس الاستشاري.</w:t>
      </w:r>
    </w:p>
    <w:p w:rsidR="00AF5728" w:rsidRPr="001E1E9C" w:rsidRDefault="00AF5728" w:rsidP="00AF5728">
      <w:pPr>
        <w:pStyle w:val="BodyText"/>
        <w:rPr>
          <w:b/>
          <w:bCs/>
          <w:lang w:bidi="ar-EG"/>
        </w:rPr>
      </w:pPr>
      <w:r w:rsidRPr="001E1E9C">
        <w:rPr>
          <w:b/>
          <w:bCs/>
          <w:rtl/>
          <w:lang w:bidi="ar-EG"/>
        </w:rPr>
        <w:t xml:space="preserve">قرار بشأن البند </w:t>
      </w:r>
      <w:r>
        <w:rPr>
          <w:rFonts w:hint="cs"/>
          <w:b/>
          <w:bCs/>
          <w:rtl/>
        </w:rPr>
        <w:t>5</w:t>
      </w:r>
      <w:r w:rsidRPr="001E1E9C">
        <w:rPr>
          <w:b/>
          <w:bCs/>
          <w:rtl/>
          <w:lang w:bidi="ar-EG"/>
        </w:rPr>
        <w:t xml:space="preserve"> من جدول الأعمال:</w:t>
      </w:r>
    </w:p>
    <w:p w:rsidR="00AF5728" w:rsidRPr="00AF5728" w:rsidRDefault="00AF5728" w:rsidP="00AF5728">
      <w:pPr>
        <w:pStyle w:val="ONUME"/>
        <w:numPr>
          <w:ilvl w:val="0"/>
          <w:numId w:val="0"/>
        </w:numPr>
        <w:rPr>
          <w:b/>
          <w:bCs/>
          <w:lang w:bidi="ar-EG"/>
        </w:rPr>
      </w:pPr>
      <w:r w:rsidRPr="00AF5728">
        <w:rPr>
          <w:b/>
          <w:bCs/>
          <w:rtl/>
        </w:rPr>
        <w:t>المعارف التقليدية/أشكال التعبير الثقافي التقليدي</w:t>
      </w:r>
    </w:p>
    <w:p w:rsidR="00927DC3" w:rsidRDefault="00AF5728" w:rsidP="00927DC3">
      <w:pPr>
        <w:pStyle w:val="BodyText"/>
        <w:rPr>
          <w:rtl/>
        </w:rPr>
      </w:pPr>
      <w:r w:rsidRPr="00AF5728">
        <w:rPr>
          <w:rtl/>
        </w:rPr>
        <w:t xml:space="preserve">وضعت اللجنة، على أساس الوثيقة </w:t>
      </w:r>
      <w:r w:rsidRPr="00AF5728">
        <w:t>WIPO/GRTKF/IC/</w:t>
      </w:r>
      <w:r>
        <w:t>47</w:t>
      </w:r>
      <w:r w:rsidRPr="00AF5728">
        <w:t>/4</w:t>
      </w:r>
      <w:r w:rsidRPr="00AF5728">
        <w:rPr>
          <w:rtl/>
        </w:rPr>
        <w:t>، نصًا آخر بعنوان "حماية المعارف التقليدية: مشروع مواد – نسخة الميسّرين المعدّلة (</w:t>
      </w:r>
      <w:r>
        <w:rPr>
          <w:rFonts w:hint="cs"/>
          <w:rtl/>
        </w:rPr>
        <w:t>.</w:t>
      </w:r>
      <w:r w:rsidRPr="00AF5728">
        <w:t>Rev</w:t>
      </w:r>
      <w:r w:rsidRPr="00AF5728">
        <w:rPr>
          <w:rtl/>
        </w:rPr>
        <w:t>)".</w:t>
      </w:r>
      <w:r>
        <w:rPr>
          <w:rFonts w:hint="cs"/>
          <w:rtl/>
        </w:rPr>
        <w:t xml:space="preserve"> </w:t>
      </w:r>
      <w:r w:rsidRPr="00AF5728">
        <w:rPr>
          <w:rtl/>
        </w:rPr>
        <w:t>و</w:t>
      </w:r>
      <w:r>
        <w:rPr>
          <w:rFonts w:hint="cs"/>
          <w:rtl/>
        </w:rPr>
        <w:t xml:space="preserve">وضعت </w:t>
      </w:r>
      <w:r w:rsidRPr="00AF5728">
        <w:rPr>
          <w:rtl/>
        </w:rPr>
        <w:t xml:space="preserve">على أساس الوثيقة </w:t>
      </w:r>
      <w:r w:rsidRPr="00AF5728">
        <w:t>WIPO/GRTKF/IC/47/5</w:t>
      </w:r>
      <w:r w:rsidRPr="00AF5728">
        <w:rPr>
          <w:rtl/>
        </w:rPr>
        <w:t xml:space="preserve">، </w:t>
      </w:r>
      <w:r w:rsidR="00927DC3" w:rsidRPr="00AF5728">
        <w:rPr>
          <w:rtl/>
        </w:rPr>
        <w:t>نصًا آخر بعنوان</w:t>
      </w:r>
      <w:r w:rsidR="00927DC3">
        <w:rPr>
          <w:rFonts w:hint="cs"/>
          <w:rtl/>
        </w:rPr>
        <w:t xml:space="preserve"> </w:t>
      </w:r>
      <w:r w:rsidRPr="00AF5728">
        <w:rPr>
          <w:rtl/>
        </w:rPr>
        <w:t xml:space="preserve">"حماية أشكال التعبير الثقافي التقليدي: </w:t>
      </w:r>
      <w:r w:rsidR="00927DC3" w:rsidRPr="00AF5728">
        <w:rPr>
          <w:rtl/>
        </w:rPr>
        <w:t xml:space="preserve">مشروع </w:t>
      </w:r>
      <w:r w:rsidRPr="00AF5728">
        <w:rPr>
          <w:rtl/>
        </w:rPr>
        <w:t xml:space="preserve">مواد </w:t>
      </w:r>
      <w:r w:rsidR="00927DC3">
        <w:rPr>
          <w:rtl/>
        </w:rPr>
        <w:t>–</w:t>
      </w:r>
      <w:r w:rsidRPr="00AF5728">
        <w:rPr>
          <w:rtl/>
        </w:rPr>
        <w:t xml:space="preserve"> </w:t>
      </w:r>
      <w:r w:rsidR="00927DC3" w:rsidRPr="00AF5728">
        <w:rPr>
          <w:rtl/>
        </w:rPr>
        <w:t>نسخة الميسّرين المعدّلة (</w:t>
      </w:r>
      <w:r w:rsidR="00927DC3">
        <w:rPr>
          <w:rFonts w:hint="cs"/>
          <w:rtl/>
        </w:rPr>
        <w:t>.</w:t>
      </w:r>
      <w:r w:rsidR="00927DC3" w:rsidRPr="00AF5728">
        <w:t>Rev</w:t>
      </w:r>
      <w:r w:rsidR="00927DC3" w:rsidRPr="00AF5728">
        <w:rPr>
          <w:rtl/>
        </w:rPr>
        <w:t>)".</w:t>
      </w:r>
      <w:r w:rsidR="00927DC3">
        <w:rPr>
          <w:rFonts w:hint="cs"/>
          <w:rtl/>
        </w:rPr>
        <w:t xml:space="preserve"> </w:t>
      </w:r>
      <w:r w:rsidR="00927DC3" w:rsidRPr="00927DC3">
        <w:rPr>
          <w:rtl/>
        </w:rPr>
        <w:t xml:space="preserve">وقرّرت اللجنة أن تنظر في النصين المذكورين، بالصيغة التي وردا بها لدى اختتام النظر </w:t>
      </w:r>
      <w:r w:rsidR="00927DC3">
        <w:rPr>
          <w:rtl/>
        </w:rPr>
        <w:t>في هذا البند من جدول الأعمال ف</w:t>
      </w:r>
      <w:r w:rsidR="00927DC3">
        <w:rPr>
          <w:rFonts w:hint="cs"/>
          <w:rtl/>
        </w:rPr>
        <w:t>ي 7</w:t>
      </w:r>
      <w:r w:rsidR="00927DC3" w:rsidRPr="00927DC3">
        <w:rPr>
          <w:rtl/>
        </w:rPr>
        <w:t xml:space="preserve"> يونيو</w:t>
      </w:r>
      <w:r w:rsidR="00927DC3">
        <w:rPr>
          <w:rFonts w:hint="cs"/>
          <w:rtl/>
        </w:rPr>
        <w:t xml:space="preserve"> 2023</w:t>
      </w:r>
      <w:r w:rsidR="00927DC3" w:rsidRPr="00927DC3">
        <w:rPr>
          <w:rtl/>
        </w:rPr>
        <w:t xml:space="preserve">، ضمن البند </w:t>
      </w:r>
      <w:r w:rsidR="00927DC3">
        <w:rPr>
          <w:rFonts w:hint="cs"/>
          <w:rtl/>
        </w:rPr>
        <w:t>6</w:t>
      </w:r>
      <w:r w:rsidR="00927DC3" w:rsidRPr="00927DC3">
        <w:rPr>
          <w:rtl/>
        </w:rPr>
        <w:t xml:space="preserve"> من جدول الأعمال (رصد التقدم المحرز وتوجيه توصية إلى الجمعية العامة)، وفقاً للولاية المخوّلة إليها في الثنائية</w:t>
      </w:r>
      <w:r w:rsidR="00927DC3">
        <w:rPr>
          <w:rFonts w:hint="cs"/>
          <w:rtl/>
        </w:rPr>
        <w:t xml:space="preserve"> 2022-2023 </w:t>
      </w:r>
      <w:r w:rsidR="00927DC3" w:rsidRPr="00927DC3">
        <w:rPr>
          <w:rtl/>
        </w:rPr>
        <w:t xml:space="preserve">وبرنامج </w:t>
      </w:r>
      <w:r w:rsidR="00927DC3">
        <w:rPr>
          <w:rFonts w:hint="cs"/>
          <w:rtl/>
        </w:rPr>
        <w:t>ال</w:t>
      </w:r>
      <w:r w:rsidR="00927DC3">
        <w:rPr>
          <w:rtl/>
        </w:rPr>
        <w:t>عمل</w:t>
      </w:r>
      <w:r w:rsidR="00927DC3" w:rsidRPr="00927DC3">
        <w:rPr>
          <w:rtl/>
        </w:rPr>
        <w:t xml:space="preserve"> لعام </w:t>
      </w:r>
      <w:r w:rsidR="00927DC3">
        <w:rPr>
          <w:rFonts w:hint="cs"/>
          <w:rtl/>
        </w:rPr>
        <w:t>2023.</w:t>
      </w:r>
    </w:p>
    <w:p w:rsidR="00927DC3" w:rsidRDefault="00927DC3" w:rsidP="00927DC3">
      <w:pPr>
        <w:pStyle w:val="BodyText"/>
        <w:rPr>
          <w:rtl/>
        </w:rPr>
      </w:pPr>
      <w:r>
        <w:rPr>
          <w:rFonts w:hint="cs"/>
          <w:rtl/>
        </w:rPr>
        <w:t>و</w:t>
      </w:r>
      <w:r w:rsidRPr="00927DC3">
        <w:rPr>
          <w:rtl/>
        </w:rPr>
        <w:t xml:space="preserve">أحاطت اللجنة علما بالوثائق </w:t>
      </w:r>
      <w:r w:rsidRPr="00927DC3">
        <w:t>WIPO/GRTKF/IC/47/8</w:t>
      </w:r>
      <w:r w:rsidRPr="00927DC3">
        <w:rPr>
          <w:rtl/>
        </w:rPr>
        <w:t xml:space="preserve"> و</w:t>
      </w:r>
      <w:r w:rsidRPr="00927DC3">
        <w:t>WIPO/GRTKF/IC/47/9</w:t>
      </w:r>
      <w:r w:rsidRPr="00927DC3">
        <w:rPr>
          <w:rtl/>
        </w:rPr>
        <w:t xml:space="preserve"> و</w:t>
      </w:r>
      <w:r w:rsidRPr="00927DC3">
        <w:t>WIPO/GRTKF/IC/47/10</w:t>
      </w:r>
      <w:r w:rsidRPr="00927DC3">
        <w:rPr>
          <w:rtl/>
        </w:rPr>
        <w:t xml:space="preserve"> و</w:t>
      </w:r>
      <w:r w:rsidRPr="00927DC3">
        <w:t>WIPO/GRTKF/IC/47/11</w:t>
      </w:r>
      <w:r>
        <w:rPr>
          <w:rFonts w:hint="cs"/>
          <w:rtl/>
        </w:rPr>
        <w:t xml:space="preserve"> و</w:t>
      </w:r>
      <w:r w:rsidRPr="00927DC3">
        <w:t>WIPO/GRTKF/IC/47/12</w:t>
      </w:r>
      <w:r>
        <w:rPr>
          <w:rFonts w:hint="cs"/>
          <w:rtl/>
        </w:rPr>
        <w:t xml:space="preserve"> و</w:t>
      </w:r>
      <w:r w:rsidRPr="00927DC3">
        <w:t>WIPO/GRTKF/IC/47/16</w:t>
      </w:r>
      <w:r>
        <w:rPr>
          <w:rFonts w:hint="cs"/>
          <w:rtl/>
        </w:rPr>
        <w:t xml:space="preserve"> و</w:t>
      </w:r>
      <w:r w:rsidRPr="00927DC3">
        <w:t>WIPO/GRTKF/IC/47/17</w:t>
      </w:r>
      <w:r>
        <w:rPr>
          <w:rFonts w:hint="cs"/>
          <w:rtl/>
        </w:rPr>
        <w:t xml:space="preserve"> و</w:t>
      </w:r>
      <w:r w:rsidRPr="00927DC3">
        <w:t>WIPO/GRTKF/IC/47/18</w:t>
      </w:r>
      <w:r>
        <w:rPr>
          <w:rFonts w:hint="cs"/>
          <w:rtl/>
        </w:rPr>
        <w:t xml:space="preserve"> و</w:t>
      </w:r>
      <w:r w:rsidRPr="00927DC3">
        <w:t>WIPO/GRTKF/IC/47/19</w:t>
      </w:r>
      <w:r>
        <w:rPr>
          <w:rFonts w:hint="cs"/>
          <w:rtl/>
        </w:rPr>
        <w:t xml:space="preserve"> و</w:t>
      </w:r>
      <w:r w:rsidRPr="00927DC3">
        <w:t>WIPO/GRTKF/IC/47/21</w:t>
      </w:r>
      <w:r>
        <w:rPr>
          <w:rFonts w:hint="cs"/>
          <w:rtl/>
        </w:rPr>
        <w:t xml:space="preserve"> </w:t>
      </w:r>
      <w:r w:rsidRPr="00927DC3">
        <w:rPr>
          <w:rtl/>
        </w:rPr>
        <w:t>و</w:t>
      </w:r>
      <w:r w:rsidRPr="00927DC3">
        <w:t>WIPO/GRTKF/IC/47/INF/7</w:t>
      </w:r>
      <w:r w:rsidRPr="00927DC3">
        <w:rPr>
          <w:rtl/>
        </w:rPr>
        <w:t xml:space="preserve"> و</w:t>
      </w:r>
      <w:r w:rsidRPr="00927DC3">
        <w:t>WIPO/GRTKF/IC/47/INF/8</w:t>
      </w:r>
      <w:r w:rsidRPr="00927DC3">
        <w:rPr>
          <w:rtl/>
        </w:rPr>
        <w:t xml:space="preserve"> و</w:t>
      </w:r>
      <w:r w:rsidRPr="00927DC3">
        <w:t>WIPO/GRTKF/IC/47/INF/9</w:t>
      </w:r>
      <w:r w:rsidRPr="00927DC3">
        <w:rPr>
          <w:rtl/>
        </w:rPr>
        <w:t>.</w:t>
      </w:r>
    </w:p>
    <w:p w:rsidR="00927DC3" w:rsidRPr="001E1E9C" w:rsidRDefault="00927DC3" w:rsidP="00A650CD">
      <w:pPr>
        <w:pStyle w:val="BodyText"/>
        <w:keepNext/>
        <w:keepLines/>
        <w:rPr>
          <w:b/>
          <w:bCs/>
          <w:lang w:bidi="ar-EG"/>
        </w:rPr>
      </w:pPr>
      <w:r w:rsidRPr="001E1E9C">
        <w:rPr>
          <w:b/>
          <w:bCs/>
          <w:rtl/>
          <w:lang w:bidi="ar-EG"/>
        </w:rPr>
        <w:t xml:space="preserve">قرار بشأن البند </w:t>
      </w:r>
      <w:r>
        <w:rPr>
          <w:rFonts w:hint="cs"/>
          <w:b/>
          <w:bCs/>
          <w:rtl/>
        </w:rPr>
        <w:t>6</w:t>
      </w:r>
      <w:r w:rsidRPr="001E1E9C">
        <w:rPr>
          <w:b/>
          <w:bCs/>
          <w:rtl/>
          <w:lang w:bidi="ar-EG"/>
        </w:rPr>
        <w:t xml:space="preserve"> من جدول الأعمال:</w:t>
      </w:r>
    </w:p>
    <w:p w:rsidR="00927DC3" w:rsidRDefault="00927DC3" w:rsidP="00A650CD">
      <w:pPr>
        <w:pStyle w:val="BodyText"/>
        <w:keepNext/>
        <w:keepLines/>
        <w:rPr>
          <w:b/>
          <w:bCs/>
          <w:rtl/>
        </w:rPr>
      </w:pPr>
      <w:r w:rsidRPr="00927DC3">
        <w:rPr>
          <w:b/>
          <w:bCs/>
          <w:rtl/>
        </w:rPr>
        <w:t>رصد التقدم المحرز وتوجيه توصية إلى الجمعية العامة</w:t>
      </w:r>
    </w:p>
    <w:p w:rsidR="00927DC3" w:rsidRDefault="00927DC3" w:rsidP="00A650CD">
      <w:pPr>
        <w:pStyle w:val="BodyText"/>
        <w:rPr>
          <w:rtl/>
        </w:rPr>
      </w:pPr>
      <w:r w:rsidRPr="00927DC3">
        <w:rPr>
          <w:rtl/>
        </w:rPr>
        <w:t>قامت اللجنة ب</w:t>
      </w:r>
      <w:r w:rsidR="00A650CD">
        <w:rPr>
          <w:rFonts w:hint="cs"/>
          <w:rtl/>
        </w:rPr>
        <w:t xml:space="preserve">رصد </w:t>
      </w:r>
      <w:r w:rsidRPr="00927DC3">
        <w:rPr>
          <w:rtl/>
        </w:rPr>
        <w:t xml:space="preserve">التقدم المحرز خلال </w:t>
      </w:r>
      <w:r w:rsidR="00A650CD">
        <w:rPr>
          <w:rFonts w:hint="cs"/>
          <w:rtl/>
        </w:rPr>
        <w:t xml:space="preserve">الثنائية </w:t>
      </w:r>
      <w:r w:rsidRPr="00927DC3">
        <w:rPr>
          <w:rtl/>
        </w:rPr>
        <w:t xml:space="preserve">2022-2023، وأكدت أن النصوص الواردة في مرفقات الوثيقتين </w:t>
      </w:r>
      <w:r w:rsidRPr="00927DC3">
        <w:t>WIPO/GRTKF</w:t>
      </w:r>
      <w:r w:rsidR="00A650CD">
        <w:t>/</w:t>
      </w:r>
      <w:r w:rsidRPr="00927DC3">
        <w:t>IC/47/14</w:t>
      </w:r>
      <w:r w:rsidRPr="00927DC3">
        <w:rPr>
          <w:rtl/>
        </w:rPr>
        <w:t xml:space="preserve"> و</w:t>
      </w:r>
      <w:r w:rsidRPr="00927DC3">
        <w:t>WIPO/GRTKF/IC/47/15</w:t>
      </w:r>
      <w:r w:rsidRPr="00927DC3">
        <w:rPr>
          <w:rtl/>
        </w:rPr>
        <w:t xml:space="preserve"> ستحال إلى</w:t>
      </w:r>
      <w:r w:rsidR="00A650CD" w:rsidRPr="00A650CD">
        <w:rPr>
          <w:rtl/>
        </w:rPr>
        <w:t xml:space="preserve"> الجمعية العامة للويبو لعام</w:t>
      </w:r>
      <w:r w:rsidR="00A650CD">
        <w:rPr>
          <w:rFonts w:hint="cs"/>
          <w:rtl/>
        </w:rPr>
        <w:t xml:space="preserve"> </w:t>
      </w:r>
      <w:r w:rsidRPr="00927DC3">
        <w:rPr>
          <w:rtl/>
        </w:rPr>
        <w:t>2023</w:t>
      </w:r>
      <w:r w:rsidR="00A650CD">
        <w:rPr>
          <w:rFonts w:hint="cs"/>
          <w:rtl/>
        </w:rPr>
        <w:t xml:space="preserve"> </w:t>
      </w:r>
      <w:r w:rsidRPr="00927DC3">
        <w:rPr>
          <w:rtl/>
        </w:rPr>
        <w:t>وفقا</w:t>
      </w:r>
      <w:r w:rsidR="00A650CD">
        <w:rPr>
          <w:rFonts w:hint="cs"/>
          <w:rtl/>
        </w:rPr>
        <w:t>ً</w:t>
      </w:r>
      <w:r w:rsidRPr="00927DC3">
        <w:rPr>
          <w:rtl/>
        </w:rPr>
        <w:t xml:space="preserve"> لولاية اللجنة لل</w:t>
      </w:r>
      <w:r w:rsidR="00A650CD">
        <w:rPr>
          <w:rFonts w:hint="cs"/>
          <w:rtl/>
        </w:rPr>
        <w:t>ثنائية</w:t>
      </w:r>
      <w:r w:rsidRPr="00927DC3">
        <w:rPr>
          <w:rtl/>
        </w:rPr>
        <w:t xml:space="preserve"> 2022-2023 وبرنامج العمل لعام 2023.</w:t>
      </w:r>
    </w:p>
    <w:p w:rsidR="00A650CD" w:rsidRDefault="00A650CD" w:rsidP="00A650CD">
      <w:pPr>
        <w:pStyle w:val="BodyText"/>
        <w:rPr>
          <w:rtl/>
        </w:rPr>
      </w:pPr>
      <w:r>
        <w:rPr>
          <w:rFonts w:hint="cs"/>
          <w:rtl/>
        </w:rPr>
        <w:lastRenderedPageBreak/>
        <w:t>و</w:t>
      </w:r>
      <w:r w:rsidRPr="00A650CD">
        <w:rPr>
          <w:rtl/>
        </w:rPr>
        <w:t xml:space="preserve">وافقت اللجنة على </w:t>
      </w:r>
      <w:r>
        <w:rPr>
          <w:rFonts w:hint="cs"/>
          <w:rtl/>
        </w:rPr>
        <w:t xml:space="preserve">أن </w:t>
      </w:r>
      <w:r w:rsidRPr="00A650CD">
        <w:rPr>
          <w:rtl/>
        </w:rPr>
        <w:t xml:space="preserve">توصي الجمعية العامة للويبو لعام 2023 بتجديد ولاية اللجنة </w:t>
      </w:r>
      <w:r w:rsidRPr="00927DC3">
        <w:rPr>
          <w:rtl/>
        </w:rPr>
        <w:t>لل</w:t>
      </w:r>
      <w:r>
        <w:rPr>
          <w:rFonts w:hint="cs"/>
          <w:rtl/>
        </w:rPr>
        <w:t>ثنائية</w:t>
      </w:r>
      <w:r w:rsidRPr="00927DC3">
        <w:rPr>
          <w:rtl/>
        </w:rPr>
        <w:t xml:space="preserve"> </w:t>
      </w:r>
      <w:r>
        <w:rPr>
          <w:rtl/>
        </w:rPr>
        <w:t>2024-2025.</w:t>
      </w:r>
      <w:r>
        <w:rPr>
          <w:rFonts w:hint="cs"/>
          <w:rtl/>
        </w:rPr>
        <w:t xml:space="preserve"> </w:t>
      </w:r>
      <w:r w:rsidRPr="00A650CD">
        <w:rPr>
          <w:rtl/>
        </w:rPr>
        <w:t xml:space="preserve">ووافقت اللجنة كذلك على أن توصي الجمعية العامة في عام </w:t>
      </w:r>
      <w:r>
        <w:rPr>
          <w:rFonts w:hint="cs"/>
          <w:rtl/>
        </w:rPr>
        <w:t>2023</w:t>
      </w:r>
      <w:r w:rsidRPr="00A650CD">
        <w:rPr>
          <w:rtl/>
        </w:rPr>
        <w:t xml:space="preserve"> بأن تكون شروط ولاية </w:t>
      </w:r>
      <w:r>
        <w:rPr>
          <w:rFonts w:hint="cs"/>
          <w:rtl/>
        </w:rPr>
        <w:t xml:space="preserve">اللجنة </w:t>
      </w:r>
      <w:r w:rsidRPr="00A650CD">
        <w:rPr>
          <w:rtl/>
        </w:rPr>
        <w:t>وبرنامج عمل</w:t>
      </w:r>
      <w:r>
        <w:rPr>
          <w:rFonts w:hint="cs"/>
          <w:rtl/>
        </w:rPr>
        <w:t xml:space="preserve">ها </w:t>
      </w:r>
      <w:r w:rsidRPr="00927DC3">
        <w:rPr>
          <w:rtl/>
        </w:rPr>
        <w:t>لل</w:t>
      </w:r>
      <w:r>
        <w:rPr>
          <w:rFonts w:hint="cs"/>
          <w:rtl/>
        </w:rPr>
        <w:t>ثنائية</w:t>
      </w:r>
      <w:r w:rsidRPr="00A650CD">
        <w:rPr>
          <w:rtl/>
        </w:rPr>
        <w:t xml:space="preserve"> 2022-2023 على النحو التالي:</w:t>
      </w:r>
    </w:p>
    <w:p w:rsidR="00453B24" w:rsidRPr="00316546" w:rsidRDefault="00453B24" w:rsidP="00453B24">
      <w:pPr>
        <w:spacing w:after="220"/>
        <w:rPr>
          <w:rtl/>
          <w:lang w:bidi="ar-EG"/>
        </w:rPr>
      </w:pPr>
      <w:r w:rsidRPr="00316546">
        <w:rPr>
          <w:rFonts w:hint="cs"/>
          <w:rtl/>
          <w:lang w:bidi="ar-EG"/>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rsidR="00453B24" w:rsidRDefault="00453B24" w:rsidP="00A673F5">
      <w:pPr>
        <w:pStyle w:val="ONUMA"/>
        <w:numPr>
          <w:ilvl w:val="0"/>
          <w:numId w:val="12"/>
        </w:numPr>
        <w:ind w:left="1124" w:hanging="562"/>
        <w:rPr>
          <w:lang w:bidi="ar-EG"/>
        </w:rPr>
      </w:pPr>
      <w:r w:rsidRPr="00316546">
        <w:rPr>
          <w:rFonts w:hint="cs"/>
          <w:rtl/>
          <w:lang w:bidi="ar-EG"/>
        </w:rPr>
        <w:t>ستواصل اللجنة، خلال ثنائية الميزانية المقبلة</w:t>
      </w:r>
      <w:r>
        <w:rPr>
          <w:rFonts w:hint="cs"/>
          <w:rtl/>
          <w:lang w:bidi="ar-EG"/>
        </w:rPr>
        <w:t xml:space="preserve"> 2024/2025</w:t>
      </w:r>
      <w:r w:rsidRPr="00316546">
        <w:rPr>
          <w:rFonts w:hint="cs"/>
          <w:rtl/>
          <w:lang w:bidi="ar-EG"/>
        </w:rPr>
        <w:t xml:space="preserve">، </w:t>
      </w:r>
      <w:r w:rsidR="00087690" w:rsidRPr="00087690">
        <w:rPr>
          <w:rtl/>
          <w:lang w:bidi="ar-EG"/>
        </w:rPr>
        <w:t>في عملية تقودها الدول الأعضاء، عملها بشأن حماية الموارد الوراثية والمعارف التقليدية وأشكال التعبير الثقافي التقليدي،</w:t>
      </w:r>
      <w:r w:rsidRPr="00316546">
        <w:rPr>
          <w:rFonts w:hint="cs"/>
          <w:rtl/>
          <w:lang w:bidi="ar-EG"/>
        </w:rPr>
        <w:t xml:space="preserve"> بهدف استكمال اتفاق حول صك قانوني دولي (صكوك قانونية دولية)، دون إخلال بطبيعة النتيجة (النتائج)</w:t>
      </w:r>
      <w:r>
        <w:rPr>
          <w:rFonts w:hint="cs"/>
          <w:rtl/>
          <w:lang w:bidi="ar-EG"/>
        </w:rPr>
        <w:t>،</w:t>
      </w:r>
      <w:r w:rsidRPr="00316546">
        <w:rPr>
          <w:rFonts w:hint="cs"/>
          <w:rtl/>
          <w:lang w:bidi="ar-EG"/>
        </w:rPr>
        <w:t xml:space="preserve"> فيما يتعلق بالملكية الفكرية</w:t>
      </w:r>
      <w:r w:rsidR="004C7266">
        <w:rPr>
          <w:rFonts w:hint="cs"/>
          <w:rtl/>
          <w:lang w:bidi="ar-EG"/>
        </w:rPr>
        <w:t>،</w:t>
      </w:r>
      <w:r w:rsidRPr="00316546">
        <w:rPr>
          <w:rFonts w:hint="cs"/>
          <w:rtl/>
          <w:lang w:bidi="ar-EG"/>
        </w:rPr>
        <w:t xml:space="preserve"> بما يضمن الحماية المتوازنة والفعالة للمعارف التقليدية وأشكال التعبير الثقافي التقليدي.</w:t>
      </w:r>
    </w:p>
    <w:p w:rsidR="004C7266" w:rsidRDefault="004C7266" w:rsidP="00A673F5">
      <w:pPr>
        <w:pStyle w:val="ONUMA"/>
        <w:numPr>
          <w:ilvl w:val="0"/>
          <w:numId w:val="12"/>
        </w:numPr>
        <w:ind w:left="1124" w:hanging="562"/>
        <w:rPr>
          <w:lang w:bidi="ar-EG"/>
        </w:rPr>
      </w:pPr>
      <w:r>
        <w:rPr>
          <w:rFonts w:hint="cs"/>
          <w:rtl/>
          <w:lang w:bidi="ar-EG"/>
        </w:rPr>
        <w:t>وإذ تشير إلى أن من المزمع ع</w:t>
      </w:r>
      <w:r w:rsidRPr="004C7266">
        <w:rPr>
          <w:rtl/>
          <w:lang w:bidi="ar-EG"/>
        </w:rPr>
        <w:t xml:space="preserve">قد مؤتمر دبلوماسي لإبرام صك قانوني دولي يتعلق بالملكية الفكرية والموارد الوراثية والمعارف التقليدية المرتبطة بالموارد الوراثية في موعد </w:t>
      </w:r>
      <w:r>
        <w:rPr>
          <w:rFonts w:hint="cs"/>
          <w:rtl/>
          <w:lang w:bidi="ar-EG"/>
        </w:rPr>
        <w:t xml:space="preserve">أقصاه عام </w:t>
      </w:r>
      <w:r w:rsidRPr="004C7266">
        <w:rPr>
          <w:rtl/>
          <w:lang w:bidi="ar-EG"/>
        </w:rPr>
        <w:t xml:space="preserve">2024، </w:t>
      </w:r>
      <w:r w:rsidRPr="00316546">
        <w:rPr>
          <w:rFonts w:hint="cs"/>
          <w:rtl/>
          <w:lang w:bidi="ar-EG"/>
        </w:rPr>
        <w:t xml:space="preserve">ستواصل </w:t>
      </w:r>
      <w:r w:rsidRPr="004C7266">
        <w:rPr>
          <w:rtl/>
          <w:lang w:bidi="ar-EG"/>
        </w:rPr>
        <w:t xml:space="preserve">اللجنة </w:t>
      </w:r>
      <w:r w:rsidRPr="00316546">
        <w:rPr>
          <w:rFonts w:hint="cs"/>
          <w:rtl/>
          <w:lang w:bidi="ar-EG"/>
        </w:rPr>
        <w:t>خلال ثنائية الميزانية المقبلة</w:t>
      </w:r>
      <w:r>
        <w:rPr>
          <w:rFonts w:hint="cs"/>
          <w:rtl/>
          <w:lang w:bidi="ar-EG"/>
        </w:rPr>
        <w:t xml:space="preserve"> 2024/2025</w:t>
      </w:r>
      <w:r w:rsidRPr="004C7266">
        <w:rPr>
          <w:rtl/>
          <w:lang w:bidi="ar-EG"/>
        </w:rPr>
        <w:t xml:space="preserve"> في مناقشة قضايا الملكية الفكرية </w:t>
      </w:r>
      <w:r w:rsidR="00087690">
        <w:rPr>
          <w:rFonts w:hint="cs"/>
          <w:rtl/>
          <w:lang w:bidi="ar-EG"/>
        </w:rPr>
        <w:t xml:space="preserve">فيما يخص </w:t>
      </w:r>
      <w:r w:rsidRPr="004C7266">
        <w:rPr>
          <w:rtl/>
          <w:lang w:bidi="ar-EG"/>
        </w:rPr>
        <w:t xml:space="preserve">الموارد الوراثية </w:t>
      </w:r>
      <w:r w:rsidR="00087690" w:rsidRPr="00087690">
        <w:rPr>
          <w:rtl/>
          <w:lang w:bidi="ar-EG"/>
        </w:rPr>
        <w:t>من حيث صلتها بولاية اللجنة.</w:t>
      </w:r>
    </w:p>
    <w:p w:rsidR="003D5F2F" w:rsidRDefault="00453B24" w:rsidP="00A673F5">
      <w:pPr>
        <w:pStyle w:val="ONUMA"/>
        <w:numPr>
          <w:ilvl w:val="0"/>
          <w:numId w:val="12"/>
        </w:numPr>
        <w:ind w:left="1124" w:hanging="562"/>
        <w:rPr>
          <w:lang w:bidi="ar-EG"/>
        </w:rPr>
      </w:pPr>
      <w:r w:rsidRPr="00316546">
        <w:rPr>
          <w:rFonts w:hint="cs"/>
          <w:rtl/>
          <w:lang w:bidi="ar-EG"/>
        </w:rPr>
        <w:t xml:space="preserve">وسيكون عمل اللجنة خلال الثنائية </w:t>
      </w:r>
      <w:r w:rsidR="004C7266">
        <w:rPr>
          <w:rFonts w:hint="cs"/>
          <w:rtl/>
          <w:lang w:bidi="ar-EG"/>
        </w:rPr>
        <w:t>2024/2025</w:t>
      </w:r>
      <w:r w:rsidRPr="00316546">
        <w:rPr>
          <w:rFonts w:hint="cs"/>
          <w:rtl/>
          <w:lang w:bidi="ar-EG"/>
        </w:rPr>
        <w:t xml:space="preserve"> 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r w:rsidRPr="00316546">
        <w:rPr>
          <w:vertAlign w:val="superscript"/>
          <w:lang w:bidi="ar-EG"/>
        </w:rPr>
        <w:footnoteReference w:id="2"/>
      </w:r>
      <w:r w:rsidRPr="00316546">
        <w:rPr>
          <w:rFonts w:hint="cs"/>
          <w:rtl/>
          <w:lang w:bidi="ar-EG"/>
        </w:rPr>
        <w:t>.</w:t>
      </w:r>
    </w:p>
    <w:p w:rsidR="003D5F2F" w:rsidRDefault="00453B24" w:rsidP="00A673F5">
      <w:pPr>
        <w:pStyle w:val="ONUMA"/>
        <w:numPr>
          <w:ilvl w:val="0"/>
          <w:numId w:val="12"/>
        </w:numPr>
        <w:ind w:left="1124" w:hanging="562"/>
        <w:rPr>
          <w:lang w:bidi="ar-EG"/>
        </w:rPr>
      </w:pPr>
      <w:r w:rsidRPr="00316546">
        <w:rPr>
          <w:rFonts w:hint="cs"/>
          <w:rtl/>
          <w:lang w:bidi="ar-EG"/>
        </w:rPr>
        <w:t xml:space="preserve">وستتّبع اللجنة، كما هو مبيَّن في الجدول أدناه، برنامج عمل يقوم على أساليب عمل مفتوحة وشاملة، </w:t>
      </w:r>
      <w:r w:rsidR="003D5F2F">
        <w:rPr>
          <w:rFonts w:hint="cs"/>
          <w:rtl/>
          <w:lang w:bidi="ar-EG"/>
        </w:rPr>
        <w:t>ل</w:t>
      </w:r>
      <w:r w:rsidR="003D5F2F" w:rsidRPr="00316546">
        <w:rPr>
          <w:rFonts w:hint="cs"/>
          <w:rtl/>
          <w:lang w:bidi="ar-EG"/>
        </w:rPr>
        <w:t xml:space="preserve">لثنائية </w:t>
      </w:r>
      <w:r w:rsidR="003D5F2F">
        <w:rPr>
          <w:rFonts w:hint="cs"/>
          <w:rtl/>
          <w:lang w:bidi="ar-EG"/>
        </w:rPr>
        <w:t>2024/2025</w:t>
      </w:r>
      <w:r w:rsidRPr="00316546">
        <w:rPr>
          <w:rFonts w:hint="cs"/>
          <w:rtl/>
          <w:lang w:bidi="ar-EG"/>
        </w:rPr>
        <w:t>، بما في ذلك منهج قائم على الأدلة كما هو مبيَّن في الفقرة (</w:t>
      </w:r>
      <w:r w:rsidR="003D5F2F">
        <w:rPr>
          <w:rFonts w:hint="cs"/>
          <w:rtl/>
          <w:lang w:bidi="ar-EG"/>
        </w:rPr>
        <w:t>و</w:t>
      </w:r>
      <w:r w:rsidRPr="00316546">
        <w:rPr>
          <w:rFonts w:hint="cs"/>
          <w:rtl/>
          <w:lang w:bidi="ar-EG"/>
        </w:rPr>
        <w:t>).</w:t>
      </w:r>
      <w:r>
        <w:rPr>
          <w:rFonts w:hint="cs"/>
          <w:rtl/>
          <w:lang w:bidi="ar-EG"/>
        </w:rPr>
        <w:t xml:space="preserve"> </w:t>
      </w:r>
      <w:r w:rsidRPr="00316546">
        <w:rPr>
          <w:rFonts w:hint="cs"/>
          <w:rtl/>
          <w:lang w:bidi="ar-EG"/>
        </w:rPr>
        <w:t>ويكفل هذا البرنامج تنظيم</w:t>
      </w:r>
      <w:r w:rsidR="003D5F2F">
        <w:rPr>
          <w:rFonts w:hint="cs"/>
          <w:rtl/>
          <w:lang w:bidi="ar-EG"/>
        </w:rPr>
        <w:t xml:space="preserve"> 4 </w:t>
      </w:r>
      <w:r w:rsidRPr="00316546">
        <w:rPr>
          <w:rFonts w:hint="cs"/>
          <w:rtl/>
          <w:lang w:bidi="ar-EG"/>
        </w:rPr>
        <w:t>دورات للجنة في</w:t>
      </w:r>
      <w:r w:rsidR="003D5F2F">
        <w:rPr>
          <w:rFonts w:hint="cs"/>
          <w:rtl/>
          <w:lang w:bidi="ar-EG"/>
        </w:rPr>
        <w:t xml:space="preserve"> 2024/2025</w:t>
      </w:r>
      <w:r w:rsidRPr="00316546">
        <w:rPr>
          <w:rFonts w:hint="cs"/>
          <w:rtl/>
          <w:lang w:bidi="ar-EG"/>
        </w:rPr>
        <w:t>، بما في ذلك دورات مواضيعية ومتداخلة وتقييمية.</w:t>
      </w:r>
    </w:p>
    <w:p w:rsidR="003D5F2F" w:rsidRDefault="00453B24" w:rsidP="00A673F5">
      <w:pPr>
        <w:pStyle w:val="ONUMA"/>
        <w:numPr>
          <w:ilvl w:val="0"/>
          <w:numId w:val="12"/>
        </w:numPr>
        <w:ind w:left="1124" w:hanging="562"/>
        <w:rPr>
          <w:lang w:bidi="ar-EG"/>
        </w:rPr>
      </w:pPr>
      <w:r w:rsidRPr="00316546">
        <w:rPr>
          <w:rFonts w:hint="cs"/>
          <w:rtl/>
          <w:lang w:bidi="ar-EG"/>
        </w:rPr>
        <w:t xml:space="preserve">ويجوز للجنة إنشاء </w:t>
      </w:r>
      <w:r w:rsidR="00087690" w:rsidRPr="00316546">
        <w:rPr>
          <w:rFonts w:hint="cs"/>
          <w:rtl/>
          <w:lang w:bidi="ar-EG"/>
        </w:rPr>
        <w:t xml:space="preserve">فريق (أفرقة) </w:t>
      </w:r>
      <w:r w:rsidRPr="00316546">
        <w:rPr>
          <w:rFonts w:hint="cs"/>
          <w:rtl/>
          <w:lang w:bidi="ar-EG"/>
        </w:rPr>
        <w:t>خبراء مخصّص</w:t>
      </w:r>
      <w:r w:rsidR="003D5F2F">
        <w:rPr>
          <w:rFonts w:hint="cs"/>
          <w:rtl/>
          <w:lang w:bidi="ar-EG"/>
        </w:rPr>
        <w:t>(ة)</w:t>
      </w:r>
      <w:r w:rsidRPr="00316546">
        <w:rPr>
          <w:rFonts w:hint="cs"/>
          <w:rtl/>
          <w:lang w:bidi="ar-EG"/>
        </w:rPr>
        <w:t xml:space="preserve"> </w:t>
      </w:r>
      <w:r w:rsidR="003D5F2F" w:rsidRPr="003D5F2F">
        <w:rPr>
          <w:rtl/>
          <w:lang w:bidi="ar-EG"/>
        </w:rPr>
        <w:t>ل</w:t>
      </w:r>
      <w:r w:rsidR="00087690">
        <w:rPr>
          <w:rFonts w:hint="cs"/>
          <w:rtl/>
          <w:lang w:bidi="ar-EG"/>
        </w:rPr>
        <w:t xml:space="preserve">معالجة </w:t>
      </w:r>
      <w:r w:rsidR="003D5F2F" w:rsidRPr="003D5F2F">
        <w:rPr>
          <w:rtl/>
          <w:lang w:bidi="ar-EG"/>
        </w:rPr>
        <w:t xml:space="preserve">بشأن </w:t>
      </w:r>
      <w:r w:rsidRPr="00316546">
        <w:rPr>
          <w:rFonts w:hint="cs"/>
          <w:rtl/>
          <w:lang w:bidi="ar-EG"/>
        </w:rPr>
        <w:t>مسألة قانونية أو سياسية أو تقنية محدّدة</w:t>
      </w:r>
      <w:r w:rsidRPr="00316546">
        <w:rPr>
          <w:vertAlign w:val="superscript"/>
          <w:lang w:bidi="ar-EG"/>
        </w:rPr>
        <w:footnoteReference w:id="3"/>
      </w:r>
      <w:r w:rsidRPr="00316546">
        <w:rPr>
          <w:rFonts w:hint="cs"/>
          <w:rtl/>
          <w:lang w:bidi="ar-EG"/>
        </w:rPr>
        <w:t>.</w:t>
      </w:r>
      <w:r w:rsidR="00087690">
        <w:rPr>
          <w:rFonts w:hint="cs"/>
          <w:rtl/>
          <w:lang w:bidi="ar-EG"/>
        </w:rPr>
        <w:t xml:space="preserve"> </w:t>
      </w:r>
      <w:r w:rsidR="00087690" w:rsidRPr="00087690">
        <w:rPr>
          <w:rtl/>
          <w:lang w:bidi="ar-EG"/>
        </w:rPr>
        <w:t>و</w:t>
      </w:r>
      <w:r w:rsidR="00087690">
        <w:rPr>
          <w:rFonts w:hint="cs"/>
          <w:rtl/>
          <w:lang w:bidi="ar-EG"/>
        </w:rPr>
        <w:t>س</w:t>
      </w:r>
      <w:r w:rsidR="00087690" w:rsidRPr="00087690">
        <w:rPr>
          <w:rtl/>
          <w:lang w:bidi="ar-EG"/>
        </w:rPr>
        <w:t xml:space="preserve">تقدم نتائج </w:t>
      </w:r>
      <w:r w:rsidR="00087690" w:rsidRPr="00316546">
        <w:rPr>
          <w:rFonts w:hint="cs"/>
          <w:rtl/>
          <w:lang w:bidi="ar-EG"/>
        </w:rPr>
        <w:t xml:space="preserve">فريق (أفرقة) </w:t>
      </w:r>
      <w:r w:rsidR="00087690" w:rsidRPr="00087690">
        <w:rPr>
          <w:rtl/>
          <w:lang w:bidi="ar-EG"/>
        </w:rPr>
        <w:t>الخبراء المخصص</w:t>
      </w:r>
      <w:r w:rsidR="00087690">
        <w:rPr>
          <w:rFonts w:hint="cs"/>
          <w:rtl/>
          <w:lang w:bidi="ar-EG"/>
        </w:rPr>
        <w:t>(ة)</w:t>
      </w:r>
      <w:r w:rsidR="00087690" w:rsidRPr="00087690">
        <w:rPr>
          <w:rtl/>
          <w:lang w:bidi="ar-EG"/>
        </w:rPr>
        <w:t xml:space="preserve"> إلى اللجنة للنظر فيها</w:t>
      </w:r>
      <w:r w:rsidR="00087690">
        <w:rPr>
          <w:rFonts w:hint="cs"/>
          <w:rtl/>
          <w:lang w:bidi="ar-EG"/>
        </w:rPr>
        <w:t>.</w:t>
      </w:r>
    </w:p>
    <w:p w:rsidR="001A40B2" w:rsidRDefault="00453B24" w:rsidP="00A673F5">
      <w:pPr>
        <w:pStyle w:val="ONUMA"/>
        <w:numPr>
          <w:ilvl w:val="0"/>
          <w:numId w:val="12"/>
        </w:numPr>
        <w:ind w:left="1124" w:hanging="562"/>
        <w:rPr>
          <w:lang w:bidi="ar-EG"/>
        </w:rPr>
      </w:pPr>
      <w:r w:rsidRPr="00316546">
        <w:rPr>
          <w:rFonts w:hint="cs"/>
          <w:rtl/>
          <w:lang w:bidi="ar-EG"/>
        </w:rPr>
        <w:t>وستستخدم اللجنة جميع وثائق عمل الويبو، بما فيها</w:t>
      </w:r>
      <w:r w:rsidR="003D5F2F">
        <w:rPr>
          <w:rFonts w:hint="cs"/>
          <w:rtl/>
          <w:lang w:bidi="ar-EG"/>
        </w:rPr>
        <w:t xml:space="preserve"> </w:t>
      </w:r>
      <w:r w:rsidR="003D5F2F" w:rsidRPr="00927DC3">
        <w:rPr>
          <w:rtl/>
        </w:rPr>
        <w:t xml:space="preserve">الوثيقتين </w:t>
      </w:r>
      <w:r w:rsidR="003D5F2F" w:rsidRPr="00927DC3">
        <w:t>WIPO/GRTKF</w:t>
      </w:r>
      <w:r w:rsidR="003D5F2F">
        <w:t>/</w:t>
      </w:r>
      <w:r w:rsidR="003D5F2F" w:rsidRPr="00927DC3">
        <w:t>IC/47/14</w:t>
      </w:r>
      <w:r w:rsidR="003D5F2F">
        <w:rPr>
          <w:rFonts w:hint="cs"/>
          <w:rtl/>
        </w:rPr>
        <w:t xml:space="preserve"> (</w:t>
      </w:r>
      <w:r w:rsidR="003D5F2F" w:rsidRPr="003D5F2F">
        <w:rPr>
          <w:rtl/>
        </w:rPr>
        <w:t>حماية المعارف التقليدية: مشروع مواد</w:t>
      </w:r>
      <w:r w:rsidR="003D5F2F">
        <w:rPr>
          <w:rFonts w:hint="cs"/>
          <w:rtl/>
        </w:rPr>
        <w:t>)</w:t>
      </w:r>
      <w:r w:rsidR="003D5F2F" w:rsidRPr="00927DC3">
        <w:rPr>
          <w:rtl/>
        </w:rPr>
        <w:t xml:space="preserve"> و</w:t>
      </w:r>
      <w:r w:rsidR="003D5F2F" w:rsidRPr="00927DC3">
        <w:t>WIPO/GRTKF/IC/47/15</w:t>
      </w:r>
      <w:r w:rsidR="003D5F2F">
        <w:rPr>
          <w:rFonts w:hint="cs"/>
          <w:rtl/>
        </w:rPr>
        <w:t xml:space="preserve"> (</w:t>
      </w:r>
      <w:r w:rsidR="003D5F2F" w:rsidRPr="003D5F2F">
        <w:rPr>
          <w:rtl/>
        </w:rPr>
        <w:t>حماية أشكال التعبير الثقافي التقليدي: مشروع مواد</w:t>
      </w:r>
      <w:r w:rsidR="003D5F2F">
        <w:rPr>
          <w:rFonts w:hint="cs"/>
          <w:rtl/>
        </w:rPr>
        <w:t>)،</w:t>
      </w:r>
      <w:r w:rsidRPr="00316546">
        <w:rPr>
          <w:rFonts w:hint="cs"/>
          <w:rtl/>
          <w:lang w:bidi="ar-EG"/>
        </w:rPr>
        <w:t xml:space="preserve">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w:t>
      </w:r>
      <w:r w:rsidR="001A40B2">
        <w:rPr>
          <w:rFonts w:hint="cs"/>
          <w:rtl/>
          <w:lang w:bidi="ar-EG"/>
        </w:rPr>
        <w:t>(ا)</w:t>
      </w:r>
      <w:r w:rsidRPr="00316546">
        <w:rPr>
          <w:rFonts w:hint="cs"/>
          <w:rtl/>
          <w:lang w:bidi="ar-EG"/>
        </w:rPr>
        <w:t xml:space="preserve"> اللجنة وما يتص</w:t>
      </w:r>
      <w:r w:rsidR="001A40B2">
        <w:rPr>
          <w:rFonts w:hint="cs"/>
          <w:rtl/>
          <w:lang w:bidi="ar-EG"/>
        </w:rPr>
        <w:t xml:space="preserve">ل بذلك من أنشطة منجزة في إطار </w:t>
      </w:r>
      <w:r w:rsidRPr="00316546">
        <w:rPr>
          <w:rFonts w:hint="cs"/>
          <w:rtl/>
          <w:lang w:bidi="ar-EG"/>
        </w:rPr>
        <w:t>برنامج</w:t>
      </w:r>
      <w:r w:rsidR="001A40B2">
        <w:rPr>
          <w:rFonts w:hint="cs"/>
          <w:rtl/>
          <w:lang w:bidi="ar-EG"/>
        </w:rPr>
        <w:t xml:space="preserve"> </w:t>
      </w:r>
      <w:r w:rsidR="001A40B2" w:rsidRPr="001A40B2">
        <w:rPr>
          <w:rtl/>
          <w:lang w:bidi="ar-EG"/>
        </w:rPr>
        <w:t>تكوين الكفاءات والمساعدة التقنية</w:t>
      </w:r>
      <w:r w:rsidR="001A40B2">
        <w:rPr>
          <w:rFonts w:hint="cs"/>
          <w:rtl/>
          <w:lang w:bidi="ar-EG"/>
        </w:rPr>
        <w:t xml:space="preserve"> الذي تنفذه </w:t>
      </w:r>
      <w:r w:rsidR="001A40B2" w:rsidRPr="001A40B2">
        <w:rPr>
          <w:rtl/>
          <w:lang w:bidi="ar-EG"/>
        </w:rPr>
        <w:t>الأمانة (شعبة المعارف التقليدية).</w:t>
      </w:r>
      <w:r>
        <w:rPr>
          <w:rFonts w:hint="cs"/>
          <w:rtl/>
          <w:lang w:bidi="ar-EG"/>
        </w:rPr>
        <w:t xml:space="preserve"> </w:t>
      </w:r>
      <w:r w:rsidRPr="00316546">
        <w:rPr>
          <w:rFonts w:hint="cs"/>
          <w:rtl/>
          <w:lang w:bidi="ar-EG"/>
        </w:rPr>
        <w:t>ويُلتمس من الأمانة مواصلة 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بغية تحديد أي فجوات. 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w:t>
      </w:r>
      <w:r>
        <w:rPr>
          <w:rFonts w:hint="cs"/>
          <w:rtl/>
          <w:lang w:bidi="ar-EG"/>
        </w:rPr>
        <w:t xml:space="preserve"> </w:t>
      </w:r>
      <w:r w:rsidRPr="00316546">
        <w:rPr>
          <w:rFonts w:hint="cs"/>
          <w:rtl/>
          <w:lang w:bidi="ar-EG"/>
        </w:rPr>
        <w:t>ولا يجوز لتلك الدراسات أو الأنشطة الإضافية أن تؤخّر التقدم أو تضع شروطاً مسبقة للمفاوضات.</w:t>
      </w:r>
    </w:p>
    <w:p w:rsidR="001A40B2" w:rsidRDefault="00453B24" w:rsidP="00A673F5">
      <w:pPr>
        <w:pStyle w:val="ONUMA"/>
        <w:numPr>
          <w:ilvl w:val="0"/>
          <w:numId w:val="12"/>
        </w:numPr>
        <w:ind w:left="1124" w:hanging="562"/>
        <w:rPr>
          <w:lang w:bidi="ar-EG"/>
        </w:rPr>
      </w:pPr>
      <w:r w:rsidRPr="00316546">
        <w:rPr>
          <w:rFonts w:hint="cs"/>
          <w:rtl/>
          <w:lang w:bidi="ar-EG"/>
        </w:rPr>
        <w:t xml:space="preserve">ويُلتمس من اللجنة أن تقدِّم إلى الجمـعية العامة، في عام </w:t>
      </w:r>
      <w:r w:rsidR="00087690">
        <w:rPr>
          <w:rFonts w:hint="cs"/>
          <w:rtl/>
          <w:lang w:bidi="ar-EG"/>
        </w:rPr>
        <w:t>2025</w:t>
      </w:r>
      <w:r w:rsidRPr="00316546">
        <w:rPr>
          <w:rFonts w:hint="cs"/>
          <w:rtl/>
          <w:lang w:bidi="ar-EG"/>
        </w:rPr>
        <w:t>، نتائج عملها طبقا للهدف المبيّن في الفقر</w:t>
      </w:r>
      <w:r w:rsidR="00087690">
        <w:rPr>
          <w:rFonts w:hint="cs"/>
          <w:rtl/>
          <w:lang w:bidi="ar-EG"/>
        </w:rPr>
        <w:t>تين</w:t>
      </w:r>
      <w:r w:rsidRPr="00316546">
        <w:rPr>
          <w:rFonts w:hint="cs"/>
          <w:rtl/>
          <w:lang w:bidi="ar-EG"/>
        </w:rPr>
        <w:t xml:space="preserve"> (أ)</w:t>
      </w:r>
      <w:r w:rsidR="00087690">
        <w:rPr>
          <w:rFonts w:hint="cs"/>
          <w:rtl/>
          <w:lang w:bidi="ar-EG"/>
        </w:rPr>
        <w:t xml:space="preserve"> و(ب)</w:t>
      </w:r>
      <w:r w:rsidRPr="00316546">
        <w:rPr>
          <w:rFonts w:hint="cs"/>
          <w:rtl/>
          <w:lang w:bidi="ar-EG"/>
        </w:rPr>
        <w:t>.</w:t>
      </w:r>
      <w:r>
        <w:rPr>
          <w:rFonts w:hint="cs"/>
          <w:rtl/>
          <w:lang w:bidi="ar-EG"/>
        </w:rPr>
        <w:t xml:space="preserve"> </w:t>
      </w:r>
      <w:r w:rsidRPr="00316546">
        <w:rPr>
          <w:rFonts w:hint="cs"/>
          <w:rtl/>
          <w:lang w:bidi="ar-EG"/>
        </w:rPr>
        <w:t>وس</w:t>
      </w:r>
      <w:r w:rsidR="001A40B2">
        <w:rPr>
          <w:rFonts w:hint="cs"/>
          <w:rtl/>
          <w:lang w:bidi="ar-EG"/>
        </w:rPr>
        <w:t>تقوم الجمعية العامة، في عام 2025</w:t>
      </w:r>
      <w:r w:rsidRPr="00316546">
        <w:rPr>
          <w:rFonts w:hint="cs"/>
          <w:rtl/>
          <w:lang w:bidi="ar-EG"/>
        </w:rPr>
        <w:t>، بتقييم التقدم المحرز</w:t>
      </w:r>
      <w:r w:rsidR="00087690">
        <w:rPr>
          <w:rFonts w:hint="cs"/>
          <w:rtl/>
          <w:lang w:bidi="ar-EG"/>
        </w:rPr>
        <w:t xml:space="preserve"> </w:t>
      </w:r>
      <w:r w:rsidR="00087690" w:rsidRPr="00087690">
        <w:rPr>
          <w:rtl/>
          <w:lang w:bidi="ar-EG"/>
        </w:rPr>
        <w:t>بشأن الموارد الوراثية، في ضوء المؤتمر الدبلوماسي والدورة الثامنة والأربعين للجنة المعارف</w:t>
      </w:r>
      <w:r w:rsidR="00087690">
        <w:rPr>
          <w:rFonts w:hint="cs"/>
          <w:rtl/>
          <w:lang w:bidi="ar-EG"/>
        </w:rPr>
        <w:t xml:space="preserve">، </w:t>
      </w:r>
      <w:r w:rsidR="00087690" w:rsidRPr="00087690">
        <w:rPr>
          <w:rtl/>
          <w:lang w:bidi="ar-EG"/>
        </w:rPr>
        <w:t>والمعارف التقليدية وأشكال التعبير الثقافي التقليدي</w:t>
      </w:r>
      <w:r w:rsidR="00087690">
        <w:rPr>
          <w:rFonts w:hint="cs"/>
          <w:rtl/>
          <w:lang w:bidi="ar-EG"/>
        </w:rPr>
        <w:t>،</w:t>
      </w:r>
      <w:r w:rsidRPr="00316546">
        <w:rPr>
          <w:rFonts w:hint="cs"/>
          <w:rtl/>
          <w:lang w:bidi="ar-EG"/>
        </w:rPr>
        <w:t xml:space="preserve"> والبتّ في الدعوة إلى عقد مؤتمر دبلوماسي و/أو مواصلة المفاوضات ب</w:t>
      </w:r>
      <w:r w:rsidR="00087690">
        <w:rPr>
          <w:rFonts w:hint="cs"/>
          <w:rtl/>
          <w:lang w:bidi="ar-EG"/>
        </w:rPr>
        <w:t>ناء على</w:t>
      </w:r>
      <w:r w:rsidRPr="00316546">
        <w:rPr>
          <w:rFonts w:hint="cs"/>
          <w:rtl/>
          <w:lang w:bidi="ar-EG"/>
        </w:rPr>
        <w:t xml:space="preserve"> مستوى نضج النص</w:t>
      </w:r>
      <w:r w:rsidR="001A40B2">
        <w:rPr>
          <w:rFonts w:hint="cs"/>
          <w:rtl/>
          <w:lang w:bidi="ar-EG"/>
        </w:rPr>
        <w:t xml:space="preserve"> (النصوص)</w:t>
      </w:r>
      <w:r w:rsidR="00087690">
        <w:rPr>
          <w:rFonts w:hint="cs"/>
          <w:rtl/>
          <w:lang w:bidi="ar-EG"/>
        </w:rPr>
        <w:t xml:space="preserve"> بشأن </w:t>
      </w:r>
      <w:r w:rsidR="00087690" w:rsidRPr="00087690">
        <w:rPr>
          <w:rtl/>
          <w:lang w:bidi="ar-EG"/>
        </w:rPr>
        <w:t>المعارف التقليدية وأشكال التعبير الثقافي التقليدي</w:t>
      </w:r>
      <w:r w:rsidR="001A40B2">
        <w:rPr>
          <w:rFonts w:hint="cs"/>
          <w:rtl/>
          <w:lang w:bidi="ar-EG"/>
        </w:rPr>
        <w:t>،</w:t>
      </w:r>
      <w:r w:rsidRPr="00316546">
        <w:rPr>
          <w:rFonts w:hint="cs"/>
          <w:rtl/>
          <w:lang w:bidi="ar-EG"/>
        </w:rPr>
        <w:t xml:space="preserve"> بما في ذلك مستويات الاتفاق على الأهداف والنطاق وطبيعة الصك (الصكوك).</w:t>
      </w:r>
    </w:p>
    <w:p w:rsidR="00453B24" w:rsidRDefault="00453B24" w:rsidP="00A673F5">
      <w:pPr>
        <w:pStyle w:val="ONUMA"/>
        <w:numPr>
          <w:ilvl w:val="0"/>
          <w:numId w:val="12"/>
        </w:numPr>
        <w:ind w:left="1124" w:hanging="562"/>
        <w:rPr>
          <w:rtl/>
          <w:lang w:bidi="ar-EG"/>
        </w:rPr>
      </w:pPr>
      <w:r w:rsidRPr="00316546">
        <w:rPr>
          <w:rFonts w:hint="cs"/>
          <w:rtl/>
          <w:lang w:bidi="ar-EG"/>
        </w:rPr>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 التقليدية.</w:t>
      </w:r>
      <w:r w:rsidR="001A40B2">
        <w:rPr>
          <w:rFonts w:hint="cs"/>
          <w:rtl/>
          <w:lang w:bidi="ar-EG"/>
        </w:rPr>
        <w:t xml:space="preserve"> </w:t>
      </w:r>
      <w:r w:rsidR="001A40B2" w:rsidRPr="001A40B2">
        <w:rPr>
          <w:rtl/>
          <w:lang w:bidi="ar-EG"/>
        </w:rPr>
        <w:t xml:space="preserve">كما </w:t>
      </w:r>
      <w:r w:rsidR="001A40B2">
        <w:rPr>
          <w:rFonts w:hint="cs"/>
          <w:rtl/>
          <w:lang w:bidi="ar-EG"/>
        </w:rPr>
        <w:t>يُ</w:t>
      </w:r>
      <w:r w:rsidR="001A40B2" w:rsidRPr="00316546">
        <w:rPr>
          <w:rFonts w:hint="cs"/>
          <w:rtl/>
          <w:lang w:bidi="ar-EG"/>
        </w:rPr>
        <w:t xml:space="preserve">لتمس </w:t>
      </w:r>
      <w:r w:rsidR="001A40B2" w:rsidRPr="001A40B2">
        <w:rPr>
          <w:rtl/>
          <w:lang w:bidi="ar-EG"/>
        </w:rPr>
        <w:t>من الأمانة تيسير المشاركة الفعالة للشعوب الأصلية وكذلك المجتمعات المحلية في عمل الويبو المعياري المتعلق بالموارد الوراثية والمعارف التقليدية وأشكال التعبير الثقافي التقليدي.</w:t>
      </w:r>
    </w:p>
    <w:p w:rsidR="00453B24" w:rsidRPr="001A40B2" w:rsidRDefault="00453B24" w:rsidP="00087690">
      <w:pPr>
        <w:keepNext/>
        <w:keepLines/>
        <w:spacing w:after="220"/>
        <w:ind w:left="1138"/>
        <w:rPr>
          <w:b/>
          <w:bCs/>
          <w:caps/>
          <w:kern w:val="32"/>
          <w:rtl/>
          <w:lang w:bidi="ar-EG"/>
        </w:rPr>
      </w:pPr>
      <w:r w:rsidRPr="001A40B2">
        <w:rPr>
          <w:rFonts w:hint="cs"/>
          <w:b/>
          <w:bCs/>
          <w:caps/>
          <w:kern w:val="32"/>
          <w:rtl/>
          <w:lang w:bidi="ar-EG"/>
        </w:rPr>
        <w:lastRenderedPageBreak/>
        <w:t xml:space="preserve">برنامج العمل </w:t>
      </w:r>
      <w:r w:rsidR="001A40B2" w:rsidRPr="001A40B2">
        <w:rPr>
          <w:b/>
          <w:bCs/>
          <w:caps/>
          <w:kern w:val="32"/>
          <w:rtl/>
          <w:lang w:bidi="ar-EG"/>
        </w:rPr>
        <w:t>–</w:t>
      </w:r>
      <w:r w:rsidRPr="001A40B2">
        <w:rPr>
          <w:rFonts w:hint="cs"/>
          <w:b/>
          <w:bCs/>
          <w:caps/>
          <w:kern w:val="32"/>
          <w:rtl/>
          <w:lang w:bidi="ar-EG"/>
        </w:rPr>
        <w:t xml:space="preserve"> </w:t>
      </w:r>
      <w:r w:rsidR="00087690">
        <w:rPr>
          <w:rFonts w:hint="cs"/>
          <w:b/>
          <w:bCs/>
          <w:caps/>
          <w:kern w:val="32"/>
          <w:rtl/>
          <w:lang w:bidi="ar-EG"/>
        </w:rPr>
        <w:t>4</w:t>
      </w:r>
      <w:r w:rsidRPr="001A40B2">
        <w:rPr>
          <w:rFonts w:hint="cs"/>
          <w:b/>
          <w:bCs/>
          <w:caps/>
          <w:kern w:val="32"/>
          <w:rtl/>
          <w:lang w:bidi="ar-EG"/>
        </w:rPr>
        <w:t xml:space="preserve"> دورات</w:t>
      </w:r>
    </w:p>
    <w:tbl>
      <w:tblPr>
        <w:bidiVisual/>
        <w:tblW w:w="8210" w:type="dxa"/>
        <w:tblInd w:w="1366" w:type="dxa"/>
        <w:tblCellMar>
          <w:top w:w="8" w:type="dxa"/>
          <w:right w:w="82" w:type="dxa"/>
        </w:tblCellMar>
        <w:tblLook w:val="04A0" w:firstRow="1" w:lastRow="0" w:firstColumn="1" w:lastColumn="0" w:noHBand="0" w:noVBand="1"/>
        <w:tblCaption w:val="برنامج عمل اللجنة للفترة 2022-2023 - 6 دورات"/>
      </w:tblPr>
      <w:tblGrid>
        <w:gridCol w:w="2174"/>
        <w:gridCol w:w="6036"/>
      </w:tblGrid>
      <w:tr w:rsidR="00453B24" w:rsidRPr="00316546" w:rsidTr="003F7DF9">
        <w:trPr>
          <w:trHeight w:val="20"/>
        </w:trPr>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453B24" w:rsidRPr="00316546" w:rsidRDefault="00453B24" w:rsidP="006E7617">
            <w:pPr>
              <w:rPr>
                <w:rtl/>
                <w:lang w:bidi="ar-EG"/>
              </w:rPr>
            </w:pPr>
            <w:r w:rsidRPr="00316546">
              <w:rPr>
                <w:rFonts w:hint="cs"/>
                <w:b/>
                <w:bCs/>
                <w:rtl/>
                <w:lang w:bidi="ar-EG"/>
              </w:rPr>
              <w:t>التواريخ المؤقتة</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453B24" w:rsidRPr="00316546" w:rsidRDefault="00453B24" w:rsidP="006E7617">
            <w:pPr>
              <w:spacing w:after="120"/>
              <w:rPr>
                <w:rtl/>
                <w:lang w:bidi="ar-EG"/>
              </w:rPr>
            </w:pPr>
            <w:r w:rsidRPr="00316546">
              <w:rPr>
                <w:rFonts w:hint="cs"/>
                <w:b/>
                <w:bCs/>
                <w:rtl/>
                <w:lang w:bidi="ar-EG"/>
              </w:rPr>
              <w:t>النشاط</w:t>
            </w:r>
          </w:p>
        </w:tc>
      </w:tr>
      <w:tr w:rsidR="00FF40D2" w:rsidRPr="00316546" w:rsidTr="005D5194">
        <w:trPr>
          <w:trHeight w:val="620"/>
        </w:trPr>
        <w:tc>
          <w:tcPr>
            <w:tcW w:w="2174" w:type="dxa"/>
            <w:vMerge w:val="restart"/>
            <w:tcBorders>
              <w:top w:val="single" w:sz="4" w:space="0" w:color="000000"/>
              <w:left w:val="single" w:sz="4" w:space="0" w:color="000000"/>
              <w:right w:val="single" w:sz="4" w:space="0" w:color="000000"/>
            </w:tcBorders>
            <w:shd w:val="clear" w:color="auto" w:fill="auto"/>
          </w:tcPr>
          <w:p w:rsidR="00FF40D2" w:rsidRDefault="00FF40D2" w:rsidP="00FF40D2">
            <w:pPr>
              <w:rPr>
                <w:rtl/>
                <w:lang w:bidi="ar-EG"/>
              </w:rPr>
            </w:pPr>
            <w:r w:rsidRPr="00FF40D2">
              <w:rPr>
                <w:rtl/>
                <w:lang w:bidi="ar-EG"/>
              </w:rPr>
              <w:t xml:space="preserve">أكتوبر/نوفمبر </w:t>
            </w:r>
            <w:r w:rsidRPr="001A40B2">
              <w:rPr>
                <w:rtl/>
                <w:lang w:bidi="ar-EG"/>
              </w:rPr>
              <w:t>2024</w:t>
            </w:r>
          </w:p>
          <w:p w:rsidR="00FF40D2" w:rsidRPr="00316546" w:rsidRDefault="00FF40D2" w:rsidP="00FF40D2">
            <w:pPr>
              <w:rPr>
                <w:rtl/>
                <w:lang w:bidi="ar-EG"/>
              </w:rPr>
            </w:pPr>
            <w:r w:rsidRPr="00FF40D2">
              <w:rPr>
                <w:rtl/>
                <w:lang w:bidi="ar-EG"/>
              </w:rPr>
              <w:t>(ستعقد الدور</w:t>
            </w:r>
            <w:r>
              <w:rPr>
                <w:rFonts w:hint="cs"/>
                <w:rtl/>
                <w:lang w:bidi="ar-EG"/>
              </w:rPr>
              <w:t xml:space="preserve">تان 48 </w:t>
            </w:r>
            <w:r w:rsidRPr="00FF40D2">
              <w:rPr>
                <w:rtl/>
                <w:lang w:bidi="ar-EG"/>
              </w:rPr>
              <w:t>و49</w:t>
            </w:r>
            <w:r>
              <w:rPr>
                <w:rFonts w:hint="cs"/>
                <w:rtl/>
                <w:lang w:bidi="ar-EG"/>
              </w:rPr>
              <w:t xml:space="preserve"> للجنة المعارف</w:t>
            </w:r>
            <w:r w:rsidRPr="00FF40D2">
              <w:rPr>
                <w:rtl/>
                <w:lang w:bidi="ar-EG"/>
              </w:rPr>
              <w:t xml:space="preserve"> بالتعاقب)</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FF40D2" w:rsidRDefault="00FF40D2" w:rsidP="00FF40D2">
            <w:pPr>
              <w:rPr>
                <w:rtl/>
                <w:lang w:bidi="ar-EG"/>
              </w:rPr>
            </w:pPr>
            <w:r w:rsidRPr="00316546">
              <w:rPr>
                <w:rFonts w:hint="cs"/>
                <w:rtl/>
                <w:lang w:bidi="ar-EG"/>
              </w:rPr>
              <w:t xml:space="preserve">الدورة </w:t>
            </w:r>
            <w:r>
              <w:rPr>
                <w:rFonts w:hint="cs"/>
                <w:rtl/>
                <w:lang w:bidi="ar-EG"/>
              </w:rPr>
              <w:t>48</w:t>
            </w:r>
          </w:p>
          <w:p w:rsidR="00FF40D2" w:rsidRDefault="00FF40D2" w:rsidP="00FF40D2">
            <w:pPr>
              <w:rPr>
                <w:rtl/>
                <w:lang w:bidi="ar-EG"/>
              </w:rPr>
            </w:pPr>
            <w:r>
              <w:rPr>
                <w:rtl/>
                <w:lang w:bidi="ar-EG"/>
              </w:rPr>
              <w:t>تقييم التقدم المحرز بشأن الموارد الوراثية والمعارف التقليدية المرتبطة بالموارد الوراثية ومناقشة أي قضايا تنشأ عن المؤتمر الدبلوماسي.</w:t>
            </w:r>
          </w:p>
          <w:p w:rsidR="00FF40D2" w:rsidRDefault="00FF40D2" w:rsidP="00FF40D2">
            <w:pPr>
              <w:rPr>
                <w:rtl/>
                <w:lang w:bidi="ar-EG"/>
              </w:rPr>
            </w:pPr>
            <w:r>
              <w:rPr>
                <w:rtl/>
                <w:lang w:bidi="ar-EG"/>
              </w:rPr>
              <w:t>مدة يوم واحد (هذه الجلسة التي تستغرق يومًا واحدًا بشأن الموارد الوراثية لا تُنشئ أسبقية للدورات المقبلة للجنة).</w:t>
            </w:r>
          </w:p>
          <w:p w:rsidR="00FF40D2" w:rsidRPr="00316546" w:rsidRDefault="00FF40D2" w:rsidP="00FF40D2">
            <w:pPr>
              <w:rPr>
                <w:rtl/>
                <w:lang w:bidi="ar-EG"/>
              </w:rPr>
            </w:pPr>
          </w:p>
        </w:tc>
      </w:tr>
      <w:tr w:rsidR="00FF40D2" w:rsidRPr="00316546" w:rsidTr="005D5194">
        <w:trPr>
          <w:trHeight w:val="620"/>
        </w:trPr>
        <w:tc>
          <w:tcPr>
            <w:tcW w:w="2174" w:type="dxa"/>
            <w:vMerge/>
            <w:tcBorders>
              <w:left w:val="single" w:sz="4" w:space="0" w:color="000000"/>
              <w:bottom w:val="single" w:sz="4" w:space="0" w:color="000000"/>
              <w:right w:val="single" w:sz="4" w:space="0" w:color="000000"/>
            </w:tcBorders>
            <w:shd w:val="clear" w:color="auto" w:fill="auto"/>
          </w:tcPr>
          <w:p w:rsidR="00FF40D2" w:rsidRPr="00FF40D2" w:rsidRDefault="00FF40D2" w:rsidP="00FF40D2">
            <w:pPr>
              <w:rPr>
                <w:rtl/>
                <w:lang w:bidi="ar-EG"/>
              </w:rPr>
            </w:pP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FF40D2" w:rsidRDefault="00FF40D2" w:rsidP="00FF40D2">
            <w:pPr>
              <w:rPr>
                <w:rtl/>
                <w:lang w:bidi="ar-EG"/>
              </w:rPr>
            </w:pPr>
            <w:r w:rsidRPr="00316546">
              <w:rPr>
                <w:rFonts w:hint="cs"/>
                <w:rtl/>
                <w:lang w:bidi="ar-EG"/>
              </w:rPr>
              <w:t xml:space="preserve">الدورة </w:t>
            </w:r>
            <w:r>
              <w:rPr>
                <w:rFonts w:hint="cs"/>
                <w:rtl/>
                <w:lang w:bidi="ar-EG"/>
              </w:rPr>
              <w:t>49</w:t>
            </w:r>
          </w:p>
          <w:p w:rsidR="00FF40D2" w:rsidRPr="00316546" w:rsidRDefault="00FF40D2" w:rsidP="00FF40D2">
            <w:pPr>
              <w:rPr>
                <w:rtl/>
                <w:lang w:bidi="ar-EG"/>
              </w:rPr>
            </w:pPr>
            <w:r w:rsidRPr="00316546">
              <w:rPr>
                <w:rFonts w:hint="cs"/>
                <w:rtl/>
                <w:lang w:bidi="ar-EG"/>
              </w:rPr>
              <w:t xml:space="preserve">إجراء مفاوضات بشأن المعارف التقليدية و/أو أشكال التعبير الثقافي التقليدي مع التركيز على معالجة القضايا العالقة </w:t>
            </w:r>
            <w:r>
              <w:rPr>
                <w:rFonts w:hint="cs"/>
                <w:rtl/>
                <w:lang w:bidi="ar-EG"/>
              </w:rPr>
              <w:t xml:space="preserve">والمتداخلة </w:t>
            </w:r>
            <w:r w:rsidRPr="00316546">
              <w:rPr>
                <w:rFonts w:hint="cs"/>
                <w:rtl/>
                <w:lang w:bidi="ar-EG"/>
              </w:rPr>
              <w:t>والنظر في الخيارات لمشروع صك قانوني (صكوك قانونية)</w:t>
            </w:r>
          </w:p>
          <w:p w:rsidR="00FF40D2" w:rsidRPr="00316546" w:rsidRDefault="00FF40D2" w:rsidP="00FF40D2">
            <w:pPr>
              <w:rPr>
                <w:rtl/>
                <w:lang w:bidi="ar-EG"/>
              </w:rPr>
            </w:pPr>
            <w:r w:rsidRPr="00955726">
              <w:rPr>
                <w:rtl/>
                <w:lang w:bidi="ar-EG"/>
              </w:rPr>
              <w:t>المدة: 5 أيام</w:t>
            </w:r>
            <w:r>
              <w:rPr>
                <w:rFonts w:hint="cs"/>
                <w:rtl/>
                <w:lang w:bidi="ar-EG"/>
              </w:rPr>
              <w:t>.</w:t>
            </w:r>
          </w:p>
        </w:tc>
      </w:tr>
      <w:tr w:rsidR="00453B24" w:rsidRPr="00316546" w:rsidTr="003F7DF9">
        <w:trPr>
          <w:trHeight w:val="20"/>
        </w:trPr>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453B24" w:rsidRPr="00316546" w:rsidRDefault="003F7DF9" w:rsidP="003F7DF9">
            <w:pPr>
              <w:rPr>
                <w:rtl/>
                <w:lang w:bidi="ar-EG"/>
              </w:rPr>
            </w:pPr>
            <w:r>
              <w:rPr>
                <w:rFonts w:hint="cs"/>
                <w:rtl/>
                <w:lang w:bidi="ar-EG"/>
              </w:rPr>
              <w:t>مارس 2025</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453B24" w:rsidRPr="00316546" w:rsidRDefault="00453B24" w:rsidP="00C943EB">
            <w:pPr>
              <w:rPr>
                <w:rtl/>
                <w:lang w:bidi="ar-EG"/>
              </w:rPr>
            </w:pPr>
            <w:r w:rsidRPr="00316546">
              <w:rPr>
                <w:rFonts w:hint="cs"/>
                <w:rtl/>
                <w:lang w:bidi="ar-EG"/>
              </w:rPr>
              <w:t xml:space="preserve">الدورة </w:t>
            </w:r>
            <w:r w:rsidR="003F7DF9">
              <w:rPr>
                <w:rFonts w:hint="cs"/>
                <w:rtl/>
                <w:lang w:bidi="ar-EG"/>
              </w:rPr>
              <w:t>50</w:t>
            </w:r>
          </w:p>
          <w:p w:rsidR="00453B24" w:rsidRPr="00316546" w:rsidRDefault="00453B24" w:rsidP="006E7617">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453B24" w:rsidRPr="00316546" w:rsidRDefault="00453B24" w:rsidP="003F7DF9">
            <w:pPr>
              <w:spacing w:after="120"/>
              <w:rPr>
                <w:rtl/>
                <w:lang w:bidi="ar-EG"/>
              </w:rPr>
            </w:pPr>
            <w:r w:rsidRPr="00955726">
              <w:rPr>
                <w:rtl/>
                <w:lang w:bidi="ar-EG"/>
              </w:rPr>
              <w:t>المدة: 5 أيام</w:t>
            </w:r>
            <w:r w:rsidR="003F7DF9">
              <w:rPr>
                <w:rFonts w:hint="cs"/>
                <w:rtl/>
                <w:lang w:bidi="ar-EG"/>
              </w:rPr>
              <w:t>.</w:t>
            </w:r>
          </w:p>
        </w:tc>
      </w:tr>
      <w:tr w:rsidR="00453B24" w:rsidRPr="00316546" w:rsidTr="003F7DF9">
        <w:trPr>
          <w:trHeight w:val="20"/>
        </w:trPr>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453B24" w:rsidRPr="00316546" w:rsidRDefault="00453B24" w:rsidP="003F7DF9">
            <w:pPr>
              <w:rPr>
                <w:rtl/>
                <w:lang w:bidi="ar-EG"/>
              </w:rPr>
            </w:pPr>
            <w:r w:rsidRPr="00316546">
              <w:rPr>
                <w:rFonts w:hint="cs"/>
                <w:rtl/>
                <w:lang w:bidi="ar-EG"/>
              </w:rPr>
              <w:t>يونيو</w:t>
            </w:r>
            <w:r w:rsidR="003F7DF9">
              <w:rPr>
                <w:rFonts w:hint="cs"/>
                <w:rtl/>
                <w:lang w:bidi="ar-EG"/>
              </w:rPr>
              <w:t xml:space="preserve"> 2025</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453B24" w:rsidRPr="00316546" w:rsidRDefault="00453B24" w:rsidP="00C943EB">
            <w:pPr>
              <w:rPr>
                <w:rtl/>
                <w:lang w:bidi="ar-EG"/>
              </w:rPr>
            </w:pPr>
            <w:r w:rsidRPr="00316546">
              <w:rPr>
                <w:rFonts w:hint="cs"/>
                <w:rtl/>
                <w:lang w:bidi="ar-EG"/>
              </w:rPr>
              <w:t xml:space="preserve">الدورة </w:t>
            </w:r>
            <w:r w:rsidR="003F7DF9">
              <w:rPr>
                <w:rFonts w:hint="cs"/>
                <w:rtl/>
                <w:lang w:bidi="ar-EG"/>
              </w:rPr>
              <w:t>51</w:t>
            </w:r>
          </w:p>
          <w:p w:rsidR="00453B24" w:rsidRPr="00316546" w:rsidRDefault="00453B24" w:rsidP="006E7617">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453B24" w:rsidRPr="00316546" w:rsidRDefault="00453B24" w:rsidP="006E7617">
            <w:pPr>
              <w:rPr>
                <w:rtl/>
                <w:lang w:bidi="ar-EG"/>
              </w:rPr>
            </w:pPr>
            <w:r w:rsidRPr="00316546">
              <w:rPr>
                <w:rFonts w:hint="cs"/>
                <w:rtl/>
                <w:lang w:bidi="ar-EG"/>
              </w:rPr>
              <w:t>تقييم الوضع فيما يخص الموارد الوراثية/المعارف التقليدية/أشكال التعبير الثقافي وتقديم توصية</w:t>
            </w:r>
          </w:p>
          <w:p w:rsidR="00453B24" w:rsidRPr="00316546" w:rsidRDefault="00453B24" w:rsidP="006E7617">
            <w:pPr>
              <w:spacing w:after="120"/>
              <w:rPr>
                <w:rtl/>
                <w:lang w:bidi="ar-EG"/>
              </w:rPr>
            </w:pPr>
            <w:r w:rsidRPr="00316546">
              <w:rPr>
                <w:rFonts w:hint="cs"/>
                <w:rtl/>
                <w:lang w:bidi="ar-EG"/>
              </w:rPr>
              <w:t>المدة: 5 أيام.</w:t>
            </w:r>
          </w:p>
        </w:tc>
      </w:tr>
      <w:tr w:rsidR="0073597C" w:rsidRPr="00316546" w:rsidTr="003F7DF9">
        <w:trPr>
          <w:trHeight w:val="20"/>
        </w:trPr>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73597C" w:rsidRPr="00316546" w:rsidRDefault="0073597C" w:rsidP="0073597C">
            <w:pPr>
              <w:rPr>
                <w:rtl/>
                <w:lang w:bidi="ar-EG"/>
              </w:rPr>
            </w:pPr>
            <w:r>
              <w:rPr>
                <w:rFonts w:hint="cs"/>
                <w:rtl/>
                <w:lang w:bidi="ar-EG"/>
              </w:rPr>
              <w:t>يولي</w:t>
            </w:r>
            <w:r w:rsidRPr="00316546">
              <w:rPr>
                <w:rFonts w:hint="cs"/>
                <w:rtl/>
                <w:lang w:bidi="ar-EG"/>
              </w:rPr>
              <w:t>و</w:t>
            </w:r>
            <w:r>
              <w:rPr>
                <w:rFonts w:hint="cs"/>
                <w:rtl/>
                <w:lang w:bidi="ar-EG"/>
              </w:rPr>
              <w:t xml:space="preserve"> 2025</w:t>
            </w:r>
          </w:p>
        </w:tc>
        <w:tc>
          <w:tcPr>
            <w:tcW w:w="6036" w:type="dxa"/>
            <w:tcBorders>
              <w:top w:val="single" w:sz="4" w:space="0" w:color="000000"/>
              <w:left w:val="single" w:sz="4" w:space="0" w:color="000000"/>
              <w:bottom w:val="single" w:sz="4" w:space="0" w:color="000000"/>
              <w:right w:val="single" w:sz="4" w:space="0" w:color="000000"/>
            </w:tcBorders>
            <w:shd w:val="clear" w:color="auto" w:fill="auto"/>
          </w:tcPr>
          <w:p w:rsidR="0073597C" w:rsidRPr="00316546" w:rsidRDefault="0073597C" w:rsidP="00FF40D2">
            <w:pPr>
              <w:spacing w:after="120"/>
              <w:rPr>
                <w:rtl/>
                <w:lang w:bidi="ar-EG"/>
              </w:rPr>
            </w:pPr>
            <w:r w:rsidRPr="00316546">
              <w:rPr>
                <w:rFonts w:hint="cs"/>
                <w:rtl/>
                <w:lang w:bidi="ar-EG"/>
              </w:rPr>
              <w:t>ستقيِّم الجمعية العامة للويبو التقدم المحرز وتنظر في النص (النصوص) وتتخذ القرار اللازم (القرارات اللازمة).</w:t>
            </w:r>
          </w:p>
        </w:tc>
      </w:tr>
    </w:tbl>
    <w:p w:rsidR="00CB21D8" w:rsidRPr="001E1E9C" w:rsidRDefault="00CB21D8" w:rsidP="0073597C">
      <w:pPr>
        <w:pStyle w:val="BodyText"/>
        <w:keepNext/>
        <w:keepLines/>
        <w:spacing w:before="240"/>
        <w:rPr>
          <w:b/>
          <w:bCs/>
          <w:lang w:bidi="ar-EG"/>
        </w:rPr>
      </w:pPr>
      <w:r w:rsidRPr="001E1E9C">
        <w:rPr>
          <w:b/>
          <w:bCs/>
          <w:rtl/>
          <w:lang w:bidi="ar-EG"/>
        </w:rPr>
        <w:t xml:space="preserve">قرار بشأن البند </w:t>
      </w:r>
      <w:r>
        <w:rPr>
          <w:rFonts w:hint="cs"/>
          <w:b/>
          <w:bCs/>
          <w:rtl/>
        </w:rPr>
        <w:t>7</w:t>
      </w:r>
      <w:r w:rsidRPr="001E1E9C">
        <w:rPr>
          <w:b/>
          <w:bCs/>
          <w:rtl/>
          <w:lang w:bidi="ar-EG"/>
        </w:rPr>
        <w:t xml:space="preserve"> من جدول الأعمال:</w:t>
      </w:r>
    </w:p>
    <w:p w:rsidR="00FE339E" w:rsidRDefault="00FE339E" w:rsidP="00CB21D8">
      <w:pPr>
        <w:pStyle w:val="BodyText"/>
        <w:rPr>
          <w:b/>
          <w:bCs/>
          <w:rtl/>
        </w:rPr>
      </w:pPr>
      <w:r w:rsidRPr="00CB21D8">
        <w:rPr>
          <w:b/>
          <w:bCs/>
          <w:rtl/>
        </w:rPr>
        <w:t>أية مسائل أخرى</w:t>
      </w:r>
    </w:p>
    <w:p w:rsidR="00CB21D8" w:rsidRDefault="00CB21D8" w:rsidP="00CB21D8">
      <w:pPr>
        <w:pStyle w:val="BodyText"/>
        <w:rPr>
          <w:rtl/>
          <w:lang w:bidi="ar-EG"/>
        </w:rPr>
      </w:pPr>
      <w:r w:rsidRPr="00CB21D8">
        <w:rPr>
          <w:rtl/>
          <w:lang w:bidi="ar-EG"/>
        </w:rPr>
        <w:t>لم تجر أي مناقشات في إطار هذا البند.</w:t>
      </w:r>
    </w:p>
    <w:p w:rsidR="00CB21D8" w:rsidRPr="001E1E9C" w:rsidRDefault="00CB21D8" w:rsidP="00CB21D8">
      <w:pPr>
        <w:pStyle w:val="BodyText"/>
        <w:keepNext/>
        <w:keepLines/>
        <w:rPr>
          <w:b/>
          <w:bCs/>
          <w:lang w:bidi="ar-EG"/>
        </w:rPr>
      </w:pPr>
      <w:r w:rsidRPr="001E1E9C">
        <w:rPr>
          <w:b/>
          <w:bCs/>
          <w:rtl/>
          <w:lang w:bidi="ar-EG"/>
        </w:rPr>
        <w:t xml:space="preserve">قرار بشأن البند </w:t>
      </w:r>
      <w:r>
        <w:rPr>
          <w:rFonts w:hint="cs"/>
          <w:b/>
          <w:bCs/>
          <w:rtl/>
        </w:rPr>
        <w:t>8</w:t>
      </w:r>
      <w:r w:rsidRPr="001E1E9C">
        <w:rPr>
          <w:b/>
          <w:bCs/>
          <w:rtl/>
          <w:lang w:bidi="ar-EG"/>
        </w:rPr>
        <w:t xml:space="preserve"> من جدول الأعمال:</w:t>
      </w:r>
    </w:p>
    <w:p w:rsidR="00FE339E" w:rsidRPr="00CB21D8" w:rsidRDefault="00FE339E" w:rsidP="00CB21D8">
      <w:pPr>
        <w:pStyle w:val="BodyText"/>
        <w:rPr>
          <w:b/>
          <w:bCs/>
          <w:rtl/>
        </w:rPr>
      </w:pPr>
      <w:r w:rsidRPr="00CB21D8">
        <w:rPr>
          <w:b/>
          <w:bCs/>
          <w:rtl/>
        </w:rPr>
        <w:t>اختتام الدورة</w:t>
      </w:r>
    </w:p>
    <w:p w:rsidR="00CB21D8" w:rsidRPr="00FE339E" w:rsidRDefault="00CB21D8" w:rsidP="00CB21D8">
      <w:pPr>
        <w:pStyle w:val="BodyText"/>
        <w:rPr>
          <w:lang w:bidi="ar-EG"/>
        </w:rPr>
      </w:pPr>
      <w:r w:rsidRPr="00CB21D8">
        <w:rPr>
          <w:rtl/>
          <w:lang w:bidi="ar-EG"/>
        </w:rPr>
        <w:t>اعتمدت اللجنة قراراتها بشأن البنود</w:t>
      </w:r>
      <w:r>
        <w:rPr>
          <w:rFonts w:hint="cs"/>
          <w:rtl/>
          <w:lang w:bidi="ar-EG"/>
        </w:rPr>
        <w:t xml:space="preserve"> </w:t>
      </w:r>
      <w:r w:rsidRPr="00CB21D8">
        <w:rPr>
          <w:rtl/>
          <w:lang w:bidi="ar-EG"/>
        </w:rPr>
        <w:t>2 و3 و4 و5 و6 من جدول الأعمال في</w:t>
      </w:r>
      <w:r>
        <w:rPr>
          <w:rFonts w:hint="cs"/>
          <w:rtl/>
          <w:lang w:bidi="ar-EG"/>
        </w:rPr>
        <w:t xml:space="preserve"> 9 يونيو 2023</w:t>
      </w:r>
      <w:r w:rsidRPr="00CB21D8">
        <w:rPr>
          <w:rtl/>
          <w:lang w:bidi="ar-EG"/>
        </w:rPr>
        <w:t>.</w:t>
      </w:r>
    </w:p>
    <w:p w:rsidR="00FE339E" w:rsidRPr="00FE339E" w:rsidRDefault="00FE339E" w:rsidP="00FF04BC">
      <w:pPr>
        <w:pStyle w:val="Endofdocument-Annex"/>
        <w:rPr>
          <w:lang w:bidi="ar-EG"/>
        </w:rPr>
      </w:pPr>
      <w:r w:rsidRPr="00FE339E">
        <w:rPr>
          <w:rtl/>
        </w:rPr>
        <w:t>[نهاية الوثيقة]</w:t>
      </w:r>
    </w:p>
    <w:sectPr w:rsidR="00FE339E" w:rsidRPr="00FE339E"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26B" w:rsidRDefault="000E426B">
      <w:r>
        <w:separator/>
      </w:r>
    </w:p>
  </w:endnote>
  <w:endnote w:type="continuationSeparator" w:id="0">
    <w:p w:rsidR="000E426B" w:rsidRDefault="000E426B" w:rsidP="003B38C1">
      <w:r>
        <w:separator/>
      </w:r>
    </w:p>
    <w:p w:rsidR="000E426B" w:rsidRPr="003B38C1" w:rsidRDefault="000E426B" w:rsidP="003B38C1">
      <w:pPr>
        <w:spacing w:after="60"/>
        <w:rPr>
          <w:sz w:val="17"/>
        </w:rPr>
      </w:pPr>
      <w:r>
        <w:rPr>
          <w:sz w:val="17"/>
        </w:rPr>
        <w:t>[Endnote continued from previous page]</w:t>
      </w:r>
    </w:p>
  </w:endnote>
  <w:endnote w:type="continuationNotice" w:id="1">
    <w:p w:rsidR="000E426B" w:rsidRPr="003B38C1" w:rsidRDefault="000E426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97C" w:rsidRDefault="00735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97C" w:rsidRDefault="00735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97C" w:rsidRDefault="00735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26B" w:rsidRDefault="000E426B">
      <w:r>
        <w:separator/>
      </w:r>
    </w:p>
  </w:footnote>
  <w:footnote w:type="continuationSeparator" w:id="0">
    <w:p w:rsidR="000E426B" w:rsidRDefault="000E426B" w:rsidP="008B60B2">
      <w:r>
        <w:separator/>
      </w:r>
    </w:p>
    <w:p w:rsidR="000E426B" w:rsidRPr="00ED77FB" w:rsidRDefault="000E426B" w:rsidP="008B60B2">
      <w:pPr>
        <w:spacing w:after="60"/>
        <w:rPr>
          <w:sz w:val="17"/>
          <w:szCs w:val="17"/>
        </w:rPr>
      </w:pPr>
      <w:r w:rsidRPr="00ED77FB">
        <w:rPr>
          <w:sz w:val="17"/>
          <w:szCs w:val="17"/>
        </w:rPr>
        <w:t>[Footnote continued from previous page]</w:t>
      </w:r>
    </w:p>
  </w:footnote>
  <w:footnote w:type="continuationNotice" w:id="1">
    <w:p w:rsidR="000E426B" w:rsidRPr="00ED77FB" w:rsidRDefault="000E426B" w:rsidP="008B60B2">
      <w:pPr>
        <w:spacing w:before="60"/>
        <w:jc w:val="right"/>
        <w:rPr>
          <w:sz w:val="17"/>
          <w:szCs w:val="17"/>
        </w:rPr>
      </w:pPr>
      <w:r w:rsidRPr="00ED77FB">
        <w:rPr>
          <w:sz w:val="17"/>
          <w:szCs w:val="17"/>
        </w:rPr>
        <w:t>[Footnote continued on next page]</w:t>
      </w:r>
    </w:p>
  </w:footnote>
  <w:footnote w:id="2">
    <w:p w:rsidR="00453B24" w:rsidRPr="004C17EE" w:rsidRDefault="00453B24" w:rsidP="003D5F2F">
      <w:pPr>
        <w:pStyle w:val="FootnoteText"/>
        <w:rPr>
          <w:rtl/>
        </w:rPr>
      </w:pPr>
      <w:r>
        <w:rPr>
          <w:rStyle w:val="FootnoteReference"/>
        </w:rPr>
        <w:footnoteRef/>
      </w:r>
      <w:r>
        <w:rPr>
          <w:rFonts w:hint="cs"/>
          <w:rtl/>
        </w:rPr>
        <w:t xml:space="preserve"> تشمل القضايا الجوهرية، </w:t>
      </w:r>
      <w:r w:rsidR="003D5F2F" w:rsidRPr="004C7266">
        <w:rPr>
          <w:rtl/>
        </w:rPr>
        <w:t>على سبيل المثال لا الحصر وبحسب الاقتضاء</w:t>
      </w:r>
      <w:r>
        <w:rPr>
          <w:rFonts w:hint="cs"/>
          <w:rtl/>
        </w:rPr>
        <w:t>، التعاريف والمستفيدين وموضوع الحماية وأهداف</w:t>
      </w:r>
      <w:r w:rsidR="003D5F2F">
        <w:rPr>
          <w:rFonts w:hint="cs"/>
          <w:rtl/>
        </w:rPr>
        <w:t>ها</w:t>
      </w:r>
      <w:r>
        <w:rPr>
          <w:rFonts w:hint="cs"/>
          <w:rtl/>
        </w:rPr>
        <w:t xml:space="preserve"> ونطاق</w:t>
      </w:r>
      <w:r w:rsidR="003D5F2F">
        <w:rPr>
          <w:rFonts w:hint="cs"/>
          <w:rtl/>
        </w:rPr>
        <w:t>ها</w:t>
      </w:r>
      <w:r>
        <w:rPr>
          <w:rFonts w:hint="cs"/>
          <w:rtl/>
        </w:rPr>
        <w:t>،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footnote>
  <w:footnote w:id="3">
    <w:p w:rsidR="00453B24" w:rsidRPr="004C17EE" w:rsidRDefault="00453B24" w:rsidP="00087690">
      <w:pPr>
        <w:pStyle w:val="footnotedescription"/>
        <w:bidi/>
        <w:rPr>
          <w:sz w:val="18"/>
          <w:szCs w:val="18"/>
          <w:rtl/>
        </w:rPr>
      </w:pPr>
      <w:r>
        <w:rPr>
          <w:rStyle w:val="footnotemark"/>
          <w:sz w:val="18"/>
          <w:szCs w:val="18"/>
        </w:rPr>
        <w:footnoteRef/>
      </w:r>
      <w:r>
        <w:rPr>
          <w:rFonts w:hint="cs"/>
          <w:sz w:val="18"/>
          <w:szCs w:val="18"/>
          <w:rtl/>
        </w:rPr>
        <w:t xml:space="preserve"> سيكون لفريق (أفرقة) الخبراء تمثيل إقليمي</w:t>
      </w:r>
      <w:r w:rsidR="003D5F2F" w:rsidRPr="003D5F2F">
        <w:rPr>
          <w:sz w:val="18"/>
          <w:szCs w:val="18"/>
          <w:rtl/>
        </w:rPr>
        <w:t xml:space="preserve"> وجنساني</w:t>
      </w:r>
      <w:r>
        <w:rPr>
          <w:rFonts w:hint="cs"/>
          <w:sz w:val="18"/>
          <w:szCs w:val="18"/>
          <w:rtl/>
        </w:rPr>
        <w:t xml:space="preserve"> متوازن وسيستخدم منهجية عمل فعالة.</w:t>
      </w:r>
      <w:r w:rsidR="00087690">
        <w:rPr>
          <w:rFonts w:hint="cs"/>
          <w:sz w:val="18"/>
          <w:szCs w:val="18"/>
          <w:rtl/>
        </w:rPr>
        <w:t xml:space="preserve"> و</w:t>
      </w:r>
      <w:r w:rsidR="00087690" w:rsidRPr="00087690">
        <w:rPr>
          <w:sz w:val="18"/>
          <w:szCs w:val="18"/>
          <w:rtl/>
        </w:rPr>
        <w:t>ستتم دعوة الممثلين المعتمدين للشعوب الأصلية وكذلك المجتمعات المحلية للمشاركة، بما يتماشى مع الممارسات السابقة للجنة</w:t>
      </w:r>
      <w:r w:rsidR="00087690">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97C" w:rsidRDefault="00735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453B24" w:rsidP="00210D5F">
    <w:pPr>
      <w:bidi w:val="0"/>
    </w:pPr>
    <w:r>
      <w:fldChar w:fldCharType="begin"/>
    </w:r>
    <w:r>
      <w:instrText xml:space="preserve"> PAGE   \* MERGEFORMAT </w:instrText>
    </w:r>
    <w:r>
      <w:fldChar w:fldCharType="separate"/>
    </w:r>
    <w:r w:rsidR="00D942A4">
      <w:rPr>
        <w:noProof/>
      </w:rPr>
      <w:t>4</w:t>
    </w:r>
    <w:r>
      <w:rPr>
        <w:noProof/>
      </w:rP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97C" w:rsidRDefault="00735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9B0D0B"/>
    <w:multiLevelType w:val="hybridMultilevel"/>
    <w:tmpl w:val="BB58C670"/>
    <w:lvl w:ilvl="0" w:tplc="41DC03D0">
      <w:start w:val="1"/>
      <w:numFmt w:val="arabicAbjad"/>
      <w:lvlText w:val="(%1)"/>
      <w:lvlJc w:val="left"/>
      <w:pPr>
        <w:ind w:left="927" w:hanging="360"/>
      </w:pPr>
      <w:rPr>
        <w:rFonts w:ascii="Arial" w:eastAsia="Times New Roman" w:hAnsi="Arial"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820061B"/>
    <w:multiLevelType w:val="multilevel"/>
    <w:tmpl w:val="C292DEAA"/>
    <w:lvl w:ilvl="0">
      <w:start w:val="1"/>
      <w:numFmt w:val="decimal"/>
      <w:pStyle w:val="ONUMA"/>
      <w:lvlText w:val="%1."/>
      <w:lvlJc w:val="left"/>
      <w:pPr>
        <w:ind w:left="567" w:firstLine="0"/>
      </w:pPr>
      <w:rPr>
        <w:rFonts w:ascii="Arial" w:hAnsi="Arial" w:cs="Calibri" w:hint="default"/>
        <w:b w:val="0"/>
        <w:bCs w:val="0"/>
        <w:i w:val="0"/>
        <w:iCs w:val="0"/>
        <w:sz w:val="22"/>
        <w:szCs w:val="22"/>
      </w:rPr>
    </w:lvl>
    <w:lvl w:ilvl="1">
      <w:start w:val="1"/>
      <w:numFmt w:val="arabicAbjad"/>
      <w:lvlText w:val="(%2)"/>
      <w:lvlJc w:val="left"/>
      <w:pPr>
        <w:ind w:left="1134" w:firstLine="0"/>
      </w:pPr>
      <w:rPr>
        <w:rFonts w:ascii="Arial" w:hAnsi="Arial" w:cs="Calibri" w:hint="default"/>
        <w:sz w:val="22"/>
        <w:szCs w:val="22"/>
      </w:rPr>
    </w:lvl>
    <w:lvl w:ilvl="2">
      <w:start w:val="1"/>
      <w:numFmt w:val="decimal"/>
      <w:lvlText w:val="&quot;%3&quot;"/>
      <w:lvlJc w:val="right"/>
      <w:pPr>
        <w:ind w:left="2268" w:hanging="283"/>
      </w:pPr>
      <w:rPr>
        <w:rFonts w:ascii="Arial" w:hAnsi="Arial" w:cs="Calibri" w:hint="default"/>
        <w:sz w:val="22"/>
        <w:szCs w:val="22"/>
      </w:rPr>
    </w:lvl>
    <w:lvl w:ilvl="3">
      <w:start w:val="1"/>
      <w:numFmt w:val="decimal"/>
      <w:lvlText w:val="(%4)"/>
      <w:lvlJc w:val="left"/>
      <w:pPr>
        <w:ind w:left="2268" w:firstLine="0"/>
      </w:pPr>
      <w:rPr>
        <w:rFonts w:ascii="Arial" w:hAnsi="Arial" w:cs="Calibri" w:hint="default"/>
        <w:sz w:val="22"/>
        <w:szCs w:val="22"/>
      </w:rPr>
    </w:lvl>
    <w:lvl w:ilvl="4">
      <w:start w:val="1"/>
      <w:numFmt w:val="bullet"/>
      <w:lvlText w:val=""/>
      <w:lvlJc w:val="left"/>
      <w:pPr>
        <w:ind w:left="2835" w:firstLine="0"/>
      </w:pPr>
      <w:rPr>
        <w:rFonts w:ascii="Symbol" w:hAnsi="Symbol" w:cs="Times New Roman" w:hint="default"/>
        <w:color w:val="auto"/>
      </w:rPr>
    </w:lvl>
    <w:lvl w:ilvl="5">
      <w:start w:val="1"/>
      <w:numFmt w:val="none"/>
      <w:lvlText w:val="%6."/>
      <w:lvlJc w:val="right"/>
      <w:pPr>
        <w:ind w:left="3402" w:firstLine="0"/>
      </w:pPr>
      <w:rPr>
        <w:rFonts w:hint="default"/>
      </w:rPr>
    </w:lvl>
    <w:lvl w:ilvl="6">
      <w:start w:val="1"/>
      <w:numFmt w:val="none"/>
      <w:lvlText w:val="%7."/>
      <w:lvlJc w:val="left"/>
      <w:pPr>
        <w:ind w:left="3969" w:firstLine="0"/>
      </w:pPr>
      <w:rPr>
        <w:rFonts w:hint="default"/>
      </w:rPr>
    </w:lvl>
    <w:lvl w:ilvl="7">
      <w:start w:val="1"/>
      <w:numFmt w:val="none"/>
      <w:lvlText w:val="%8."/>
      <w:lvlJc w:val="left"/>
      <w:pPr>
        <w:ind w:left="4536" w:firstLine="0"/>
      </w:pPr>
      <w:rPr>
        <w:rFonts w:hint="default"/>
      </w:rPr>
    </w:lvl>
    <w:lvl w:ilvl="8">
      <w:start w:val="1"/>
      <w:numFmt w:val="none"/>
      <w:lvlText w:val="%9."/>
      <w:lvlJc w:val="right"/>
      <w:pPr>
        <w:ind w:left="5103" w:firstLine="0"/>
      </w:pPr>
      <w:rPr>
        <w:rFonts w:hint="default"/>
      </w:rPr>
    </w:lvl>
  </w:abstractNum>
  <w:abstractNum w:abstractNumId="1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9"/>
  </w:num>
  <w:num w:numId="8">
    <w:abstractNumId w:val="4"/>
  </w:num>
  <w:num w:numId="9">
    <w:abstractNumId w:val="6"/>
  </w:num>
  <w:num w:numId="10">
    <w:abstractNumId w:val="11"/>
  </w:num>
  <w:num w:numId="11">
    <w:abstractNumId w:val="10"/>
  </w:num>
  <w:num w:numId="12">
    <w:abstractNumId w:val="8"/>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464BB"/>
    <w:rsid w:val="00056816"/>
    <w:rsid w:val="00071408"/>
    <w:rsid w:val="00075432"/>
    <w:rsid w:val="00087690"/>
    <w:rsid w:val="000912CE"/>
    <w:rsid w:val="000968ED"/>
    <w:rsid w:val="000978FB"/>
    <w:rsid w:val="000A3D97"/>
    <w:rsid w:val="000B3A78"/>
    <w:rsid w:val="000E426B"/>
    <w:rsid w:val="000F5E56"/>
    <w:rsid w:val="001362EE"/>
    <w:rsid w:val="001406E1"/>
    <w:rsid w:val="00141389"/>
    <w:rsid w:val="00155D8A"/>
    <w:rsid w:val="00160172"/>
    <w:rsid w:val="001647D5"/>
    <w:rsid w:val="001832A6"/>
    <w:rsid w:val="0019257F"/>
    <w:rsid w:val="0019592A"/>
    <w:rsid w:val="001A40B2"/>
    <w:rsid w:val="001A6C3E"/>
    <w:rsid w:val="001B40B8"/>
    <w:rsid w:val="001D4107"/>
    <w:rsid w:val="001E1E9C"/>
    <w:rsid w:val="00203D24"/>
    <w:rsid w:val="00210D5F"/>
    <w:rsid w:val="0021217E"/>
    <w:rsid w:val="002326AB"/>
    <w:rsid w:val="00243430"/>
    <w:rsid w:val="0024540F"/>
    <w:rsid w:val="002634C4"/>
    <w:rsid w:val="002928D3"/>
    <w:rsid w:val="002937BA"/>
    <w:rsid w:val="002F1FE6"/>
    <w:rsid w:val="002F4E68"/>
    <w:rsid w:val="00303427"/>
    <w:rsid w:val="0031253F"/>
    <w:rsid w:val="00312F7F"/>
    <w:rsid w:val="0031538C"/>
    <w:rsid w:val="00320645"/>
    <w:rsid w:val="00361450"/>
    <w:rsid w:val="003673CF"/>
    <w:rsid w:val="003845C1"/>
    <w:rsid w:val="003A6F89"/>
    <w:rsid w:val="003B355C"/>
    <w:rsid w:val="003B38C1"/>
    <w:rsid w:val="003C34E9"/>
    <w:rsid w:val="003C5195"/>
    <w:rsid w:val="003D5F2F"/>
    <w:rsid w:val="003E48D6"/>
    <w:rsid w:val="003F7DF9"/>
    <w:rsid w:val="00423E3E"/>
    <w:rsid w:val="00427AF4"/>
    <w:rsid w:val="0043238A"/>
    <w:rsid w:val="00453B24"/>
    <w:rsid w:val="004647DA"/>
    <w:rsid w:val="00474062"/>
    <w:rsid w:val="00477D6B"/>
    <w:rsid w:val="004C7266"/>
    <w:rsid w:val="005019FF"/>
    <w:rsid w:val="00515C59"/>
    <w:rsid w:val="0052161C"/>
    <w:rsid w:val="0053057A"/>
    <w:rsid w:val="005513AF"/>
    <w:rsid w:val="00556076"/>
    <w:rsid w:val="00560A29"/>
    <w:rsid w:val="005A5C77"/>
    <w:rsid w:val="005B5DE8"/>
    <w:rsid w:val="005C6649"/>
    <w:rsid w:val="005E7B89"/>
    <w:rsid w:val="00605827"/>
    <w:rsid w:val="00646050"/>
    <w:rsid w:val="006713CA"/>
    <w:rsid w:val="00676C5C"/>
    <w:rsid w:val="006A4C55"/>
    <w:rsid w:val="006B2894"/>
    <w:rsid w:val="006B5C12"/>
    <w:rsid w:val="006B751D"/>
    <w:rsid w:val="00720EFD"/>
    <w:rsid w:val="00726B26"/>
    <w:rsid w:val="0073597C"/>
    <w:rsid w:val="00767149"/>
    <w:rsid w:val="007854AF"/>
    <w:rsid w:val="00786074"/>
    <w:rsid w:val="00793A7C"/>
    <w:rsid w:val="007A398A"/>
    <w:rsid w:val="007C4902"/>
    <w:rsid w:val="007D1613"/>
    <w:rsid w:val="007E4C0E"/>
    <w:rsid w:val="007F2029"/>
    <w:rsid w:val="007F2146"/>
    <w:rsid w:val="008A134B"/>
    <w:rsid w:val="008B2CC1"/>
    <w:rsid w:val="008B60B2"/>
    <w:rsid w:val="008E3021"/>
    <w:rsid w:val="0090731E"/>
    <w:rsid w:val="00916EE2"/>
    <w:rsid w:val="00927DC3"/>
    <w:rsid w:val="00966A22"/>
    <w:rsid w:val="0096722F"/>
    <w:rsid w:val="00980843"/>
    <w:rsid w:val="009B0855"/>
    <w:rsid w:val="009C4C16"/>
    <w:rsid w:val="009E2791"/>
    <w:rsid w:val="009E3F6F"/>
    <w:rsid w:val="009E6887"/>
    <w:rsid w:val="009F25BA"/>
    <w:rsid w:val="009F499F"/>
    <w:rsid w:val="00A02F0F"/>
    <w:rsid w:val="00A37342"/>
    <w:rsid w:val="00A42DAF"/>
    <w:rsid w:val="00A45BD8"/>
    <w:rsid w:val="00A650CD"/>
    <w:rsid w:val="00A673F5"/>
    <w:rsid w:val="00A869B7"/>
    <w:rsid w:val="00A90F0A"/>
    <w:rsid w:val="00A94DD7"/>
    <w:rsid w:val="00AA283F"/>
    <w:rsid w:val="00AA4217"/>
    <w:rsid w:val="00AC0B98"/>
    <w:rsid w:val="00AC205C"/>
    <w:rsid w:val="00AD6307"/>
    <w:rsid w:val="00AF0A6B"/>
    <w:rsid w:val="00AF5728"/>
    <w:rsid w:val="00B00875"/>
    <w:rsid w:val="00B05A69"/>
    <w:rsid w:val="00B13420"/>
    <w:rsid w:val="00B32FDD"/>
    <w:rsid w:val="00B42CA9"/>
    <w:rsid w:val="00B51FF7"/>
    <w:rsid w:val="00B75281"/>
    <w:rsid w:val="00B92B95"/>
    <w:rsid w:val="00B92F1F"/>
    <w:rsid w:val="00B9734B"/>
    <w:rsid w:val="00BA30E2"/>
    <w:rsid w:val="00BA6D54"/>
    <w:rsid w:val="00BD2B24"/>
    <w:rsid w:val="00BF0277"/>
    <w:rsid w:val="00C03563"/>
    <w:rsid w:val="00C11BFE"/>
    <w:rsid w:val="00C5068F"/>
    <w:rsid w:val="00C73E7A"/>
    <w:rsid w:val="00C82220"/>
    <w:rsid w:val="00C86D74"/>
    <w:rsid w:val="00C943EB"/>
    <w:rsid w:val="00C96D47"/>
    <w:rsid w:val="00CB21D8"/>
    <w:rsid w:val="00CB3DBA"/>
    <w:rsid w:val="00CC3E2D"/>
    <w:rsid w:val="00CD04F1"/>
    <w:rsid w:val="00CE19F8"/>
    <w:rsid w:val="00CF681A"/>
    <w:rsid w:val="00D07C78"/>
    <w:rsid w:val="00D45252"/>
    <w:rsid w:val="00D530E8"/>
    <w:rsid w:val="00D60B2C"/>
    <w:rsid w:val="00D67EAE"/>
    <w:rsid w:val="00D71B4D"/>
    <w:rsid w:val="00D90B96"/>
    <w:rsid w:val="00D93D55"/>
    <w:rsid w:val="00D942A4"/>
    <w:rsid w:val="00DA6DDA"/>
    <w:rsid w:val="00DB21EA"/>
    <w:rsid w:val="00DD6BF4"/>
    <w:rsid w:val="00DD7B7F"/>
    <w:rsid w:val="00E15015"/>
    <w:rsid w:val="00E319DF"/>
    <w:rsid w:val="00E335FE"/>
    <w:rsid w:val="00E512AC"/>
    <w:rsid w:val="00E66CC5"/>
    <w:rsid w:val="00E72DC5"/>
    <w:rsid w:val="00E7374D"/>
    <w:rsid w:val="00EA7D6E"/>
    <w:rsid w:val="00EB2F76"/>
    <w:rsid w:val="00EC4E49"/>
    <w:rsid w:val="00ED77FB"/>
    <w:rsid w:val="00EE066C"/>
    <w:rsid w:val="00EE45FA"/>
    <w:rsid w:val="00EF583F"/>
    <w:rsid w:val="00F043DE"/>
    <w:rsid w:val="00F31179"/>
    <w:rsid w:val="00F62E64"/>
    <w:rsid w:val="00F66152"/>
    <w:rsid w:val="00F74624"/>
    <w:rsid w:val="00F9165B"/>
    <w:rsid w:val="00F95B45"/>
    <w:rsid w:val="00FC482F"/>
    <w:rsid w:val="00FE339E"/>
    <w:rsid w:val="00FF04BC"/>
    <w:rsid w:val="00FF40D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50676"/>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453B24"/>
    <w:rPr>
      <w:vertAlign w:val="superscript"/>
    </w:rPr>
  </w:style>
  <w:style w:type="paragraph" w:customStyle="1" w:styleId="footnotedescription">
    <w:name w:val="footnote description"/>
    <w:next w:val="Normal"/>
    <w:link w:val="footnotedescriptionChar"/>
    <w:hidden/>
    <w:rsid w:val="00453B24"/>
    <w:pPr>
      <w:spacing w:line="253" w:lineRule="auto"/>
    </w:pPr>
    <w:rPr>
      <w:rFonts w:ascii="Arial" w:eastAsia="Arial" w:hAnsi="Arial" w:cs="Calibri"/>
      <w:color w:val="000000"/>
      <w:szCs w:val="22"/>
      <w:lang w:val="en-AU" w:eastAsia="en-AU" w:bidi="ar-EG"/>
    </w:rPr>
  </w:style>
  <w:style w:type="character" w:customStyle="1" w:styleId="footnotedescriptionChar">
    <w:name w:val="footnote description Char"/>
    <w:link w:val="footnotedescription"/>
    <w:rsid w:val="00453B24"/>
    <w:rPr>
      <w:rFonts w:ascii="Arial" w:eastAsia="Arial" w:hAnsi="Arial" w:cs="Calibri"/>
      <w:color w:val="000000"/>
      <w:szCs w:val="22"/>
      <w:lang w:val="en-AU" w:eastAsia="en-AU" w:bidi="ar-EG"/>
    </w:rPr>
  </w:style>
  <w:style w:type="character" w:customStyle="1" w:styleId="footnotemark">
    <w:name w:val="footnote mark"/>
    <w:hidden/>
    <w:rsid w:val="00453B24"/>
    <w:rPr>
      <w:rFonts w:ascii="Arial" w:eastAsia="Arial" w:hAnsi="Arial" w:cs="Calibri"/>
      <w:color w:val="000000"/>
      <w:sz w:val="20"/>
      <w:vertAlign w:val="superscript"/>
    </w:rPr>
  </w:style>
  <w:style w:type="paragraph" w:styleId="BalloonText">
    <w:name w:val="Balloon Text"/>
    <w:basedOn w:val="Normal"/>
    <w:link w:val="BalloonTextChar"/>
    <w:semiHidden/>
    <w:unhideWhenUsed/>
    <w:rsid w:val="00FF40D2"/>
    <w:rPr>
      <w:rFonts w:ascii="Segoe UI" w:hAnsi="Segoe UI" w:cs="Segoe UI"/>
      <w:sz w:val="18"/>
      <w:szCs w:val="18"/>
    </w:rPr>
  </w:style>
  <w:style w:type="character" w:customStyle="1" w:styleId="BalloonTextChar">
    <w:name w:val="Balloon Text Char"/>
    <w:basedOn w:val="DefaultParagraphFont"/>
    <w:link w:val="BalloonText"/>
    <w:semiHidden/>
    <w:rsid w:val="00FF40D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49060-A850-4EDD-B341-19F8B206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1</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WIPO/GRTK/IC/42/1 Prov.2 (Arabic)</vt:lpstr>
    </vt:vector>
  </TitlesOfParts>
  <Company>WIPO</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Prov.2 (Arabic)</dc:title>
  <dc:creator>MERZOUK Fawzi</dc:creator>
  <cp:keywords>FOR OFFICIAL USE ONLY</cp:keywords>
  <cp:lastModifiedBy>ALAKHRAS Basel</cp:lastModifiedBy>
  <cp:revision>4</cp:revision>
  <cp:lastPrinted>2023-06-09T17:22:00Z</cp:lastPrinted>
  <dcterms:created xsi:type="dcterms:W3CDTF">2023-06-09T17:21:00Z</dcterms:created>
  <dcterms:modified xsi:type="dcterms:W3CDTF">2023-06-09T17:22:00Z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2023-06-08T15:01:58Z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ab4fea74-fab0-4e45-8cd2-a4c484e93951</vt:lpwstr>
  </property>
  <property fmtid="{D5CDD505-2E9C-101B-9397-08002B2CF9AE}" pid="13" name="MSIP_Label_20773ee6-353b-4fb9-a59d-0b94c8c67bea_ContentBits">
    <vt:lpwstr>0</vt:lpwstr>
  </property>
</Properties>
</file>