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3C2F49C9"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D90B96" w:rsidP="00771F01">
      <w:pPr>
        <w:bidi w:val="0"/>
        <w:rPr>
          <w:rFonts w:ascii="Arial Black" w:hAnsi="Arial Black"/>
          <w:caps/>
          <w:sz w:val="15"/>
          <w:szCs w:val="15"/>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r w:rsidR="00771F01">
        <w:rPr>
          <w:rFonts w:ascii="Arial Black" w:hAnsi="Arial Black"/>
          <w:caps/>
          <w:sz w:val="15"/>
          <w:szCs w:val="15"/>
        </w:rPr>
        <w:t>47</w:t>
      </w:r>
      <w:r>
        <w:rPr>
          <w:rFonts w:ascii="Arial Black" w:hAnsi="Arial Black"/>
          <w:caps/>
          <w:sz w:val="15"/>
          <w:szCs w:val="15"/>
        </w:rPr>
        <w:t>/</w:t>
      </w:r>
      <w:bookmarkStart w:id="0" w:name="Code"/>
      <w:bookmarkEnd w:id="0"/>
      <w:r w:rsidR="00ED7864">
        <w:rPr>
          <w:rFonts w:ascii="Arial Black" w:hAnsi="Arial Black"/>
          <w:caps/>
          <w:sz w:val="15"/>
          <w:szCs w:val="15"/>
        </w:rPr>
        <w:t>1</w:t>
      </w:r>
      <w:r w:rsidR="00771F01">
        <w:rPr>
          <w:rFonts w:ascii="Arial Black" w:hAnsi="Arial Black"/>
          <w:caps/>
          <w:sz w:val="15"/>
          <w:szCs w:val="15"/>
        </w:rPr>
        <w:t>9</w:t>
      </w:r>
    </w:p>
    <w:p w:rsidR="008B2CC1" w:rsidRPr="002937BA" w:rsidRDefault="00CC3E2D" w:rsidP="00CC3E2D">
      <w:pPr>
        <w:jc w:val="right"/>
        <w:rPr>
          <w:rFonts w:asciiTheme="minorHAnsi" w:hAnsiTheme="minorHAnsi" w:cstheme="minorHAnsi"/>
          <w:b/>
          <w:bCs/>
          <w:caps/>
          <w:sz w:val="15"/>
          <w:szCs w:val="15"/>
        </w:rPr>
      </w:pPr>
      <w:bookmarkStart w:id="1" w:name="Original"/>
      <w:r w:rsidRPr="002937BA">
        <w:rPr>
          <w:rFonts w:asciiTheme="minorHAnsi" w:hAnsiTheme="minorHAnsi" w:cstheme="minorHAnsi" w:hint="cs"/>
          <w:b/>
          <w:bCs/>
          <w:caps/>
          <w:sz w:val="15"/>
          <w:szCs w:val="15"/>
          <w:rtl/>
        </w:rPr>
        <w:t xml:space="preserve">الأصل: </w:t>
      </w:r>
      <w:r w:rsidR="002937BA" w:rsidRPr="002937BA">
        <w:rPr>
          <w:rFonts w:asciiTheme="minorHAnsi" w:hAnsiTheme="minorHAnsi" w:cstheme="minorHAnsi" w:hint="cs"/>
          <w:b/>
          <w:bCs/>
          <w:caps/>
          <w:sz w:val="15"/>
          <w:szCs w:val="15"/>
          <w:rtl/>
        </w:rPr>
        <w:t>بالإنكليزية</w:t>
      </w:r>
    </w:p>
    <w:p w:rsidR="008B2CC1" w:rsidRPr="00CC3E2D" w:rsidRDefault="00CC3E2D" w:rsidP="00771F01">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771F01">
        <w:rPr>
          <w:rFonts w:asciiTheme="minorHAnsi" w:hAnsiTheme="minorHAnsi" w:cstheme="minorHAnsi" w:hint="cs"/>
          <w:b/>
          <w:bCs/>
          <w:caps/>
          <w:sz w:val="15"/>
          <w:szCs w:val="15"/>
          <w:rtl/>
        </w:rPr>
        <w:t>22</w:t>
      </w:r>
      <w:r w:rsidR="002937BA">
        <w:rPr>
          <w:rFonts w:asciiTheme="minorHAnsi" w:hAnsiTheme="minorHAnsi" w:cstheme="minorHAnsi" w:hint="cs"/>
          <w:b/>
          <w:bCs/>
          <w:caps/>
          <w:sz w:val="15"/>
          <w:szCs w:val="15"/>
          <w:rtl/>
        </w:rPr>
        <w:t xml:space="preserve"> </w:t>
      </w:r>
      <w:r w:rsidR="00771F01">
        <w:rPr>
          <w:rFonts w:asciiTheme="minorHAnsi" w:hAnsiTheme="minorHAnsi" w:cstheme="minorHAnsi" w:hint="cs"/>
          <w:b/>
          <w:bCs/>
          <w:caps/>
          <w:sz w:val="15"/>
          <w:szCs w:val="15"/>
          <w:rtl/>
        </w:rPr>
        <w:t>مايو</w:t>
      </w:r>
      <w:r w:rsidR="0091474A">
        <w:rPr>
          <w:rFonts w:asciiTheme="minorHAnsi" w:hAnsiTheme="minorHAnsi" w:cstheme="minorHAnsi" w:hint="cs"/>
          <w:b/>
          <w:bCs/>
          <w:caps/>
          <w:sz w:val="15"/>
          <w:szCs w:val="15"/>
          <w:rtl/>
        </w:rPr>
        <w:t xml:space="preserve"> 2023</w:t>
      </w:r>
    </w:p>
    <w:bookmarkEnd w:id="2"/>
    <w:p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p>
    <w:p w:rsidR="00A90F0A" w:rsidRPr="00D67EAE" w:rsidRDefault="00D67EAE" w:rsidP="00771F01">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771F01">
        <w:rPr>
          <w:rFonts w:asciiTheme="minorHAnsi" w:hAnsiTheme="minorHAnsi" w:cstheme="minorHAnsi" w:hint="cs"/>
          <w:bCs/>
          <w:sz w:val="24"/>
          <w:szCs w:val="24"/>
          <w:rtl/>
        </w:rPr>
        <w:t>السابعة</w:t>
      </w:r>
      <w:r w:rsidRPr="00D67EAE">
        <w:rPr>
          <w:rFonts w:asciiTheme="minorHAnsi" w:hAnsiTheme="minorHAnsi" w:cstheme="minorHAnsi" w:hint="cs"/>
          <w:bCs/>
          <w:sz w:val="24"/>
          <w:szCs w:val="24"/>
          <w:rtl/>
        </w:rPr>
        <w:t xml:space="preserve"> والأربعون</w:t>
      </w:r>
    </w:p>
    <w:p w:rsidR="008B2CC1" w:rsidRPr="00D67EAE" w:rsidRDefault="00D67EAE" w:rsidP="00771F01">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771F01">
        <w:rPr>
          <w:rFonts w:asciiTheme="minorHAnsi" w:hAnsiTheme="minorHAnsi" w:cstheme="minorHAnsi" w:hint="cs"/>
          <w:bCs/>
          <w:sz w:val="24"/>
          <w:szCs w:val="24"/>
          <w:rtl/>
        </w:rPr>
        <w:t>5</w:t>
      </w:r>
      <w:r w:rsidR="0091474A">
        <w:rPr>
          <w:rFonts w:asciiTheme="minorHAnsi" w:hAnsiTheme="minorHAnsi" w:cstheme="minorHAnsi" w:hint="cs"/>
          <w:bCs/>
          <w:sz w:val="24"/>
          <w:szCs w:val="24"/>
          <w:rtl/>
        </w:rPr>
        <w:t xml:space="preserve"> </w:t>
      </w:r>
      <w:r w:rsidRPr="00D67EAE">
        <w:rPr>
          <w:rFonts w:asciiTheme="minorHAnsi" w:hAnsiTheme="minorHAnsi" w:cstheme="minorHAnsi" w:hint="cs"/>
          <w:bCs/>
          <w:sz w:val="24"/>
          <w:szCs w:val="24"/>
          <w:rtl/>
        </w:rPr>
        <w:t xml:space="preserve">إلى </w:t>
      </w:r>
      <w:r w:rsidR="00771F01">
        <w:rPr>
          <w:rFonts w:asciiTheme="minorHAnsi" w:hAnsiTheme="minorHAnsi" w:cstheme="minorHAnsi" w:hint="cs"/>
          <w:bCs/>
          <w:sz w:val="24"/>
          <w:szCs w:val="24"/>
          <w:rtl/>
        </w:rPr>
        <w:t>9</w:t>
      </w:r>
      <w:r w:rsidRPr="00D67EAE">
        <w:rPr>
          <w:rFonts w:asciiTheme="minorHAnsi" w:hAnsiTheme="minorHAnsi" w:cstheme="minorHAnsi" w:hint="cs"/>
          <w:bCs/>
          <w:sz w:val="24"/>
          <w:szCs w:val="24"/>
          <w:rtl/>
        </w:rPr>
        <w:t xml:space="preserve"> </w:t>
      </w:r>
      <w:r w:rsidR="00771F01">
        <w:rPr>
          <w:rFonts w:asciiTheme="minorHAnsi" w:hAnsiTheme="minorHAnsi" w:cstheme="minorHAnsi" w:hint="cs"/>
          <w:bCs/>
          <w:sz w:val="24"/>
          <w:szCs w:val="24"/>
          <w:rtl/>
        </w:rPr>
        <w:t>يونيو</w:t>
      </w:r>
      <w:r w:rsidR="0091474A">
        <w:rPr>
          <w:rFonts w:asciiTheme="minorHAnsi" w:hAnsiTheme="minorHAnsi" w:cstheme="minorHAnsi" w:hint="cs"/>
          <w:bCs/>
          <w:sz w:val="24"/>
          <w:szCs w:val="24"/>
          <w:rtl/>
        </w:rPr>
        <w:t xml:space="preserve"> 2023</w:t>
      </w:r>
    </w:p>
    <w:p w:rsidR="008B2CC1" w:rsidRPr="00D67EAE" w:rsidRDefault="00B8071A" w:rsidP="00B8071A">
      <w:pPr>
        <w:spacing w:after="360"/>
        <w:outlineLvl w:val="0"/>
        <w:rPr>
          <w:rFonts w:asciiTheme="minorHAnsi" w:hAnsiTheme="minorHAnsi" w:cstheme="minorHAnsi"/>
          <w:caps/>
          <w:sz w:val="24"/>
        </w:rPr>
      </w:pPr>
      <w:bookmarkStart w:id="3" w:name="TitleOfDoc"/>
      <w:r w:rsidRPr="00B8071A">
        <w:rPr>
          <w:rFonts w:asciiTheme="minorHAnsi" w:hAnsiTheme="minorHAnsi"/>
          <w:caps/>
          <w:sz w:val="28"/>
          <w:szCs w:val="24"/>
          <w:rtl/>
        </w:rPr>
        <w:t>تحديد أمثلة عن المعارف التقليدية لإثراء النقاش حول بيان الموضوع القابل للحماية والموضوع الذي لا</w:t>
      </w:r>
      <w:r w:rsidRPr="00B8071A">
        <w:rPr>
          <w:rFonts w:asciiTheme="minorHAnsi" w:hAnsiTheme="minorHAnsi" w:hint="cs"/>
          <w:caps/>
          <w:sz w:val="28"/>
          <w:szCs w:val="24"/>
          <w:rtl/>
        </w:rPr>
        <w:t> </w:t>
      </w:r>
      <w:r w:rsidRPr="00B8071A">
        <w:rPr>
          <w:rFonts w:asciiTheme="minorHAnsi" w:hAnsiTheme="minorHAnsi"/>
          <w:caps/>
          <w:sz w:val="28"/>
          <w:szCs w:val="24"/>
          <w:rtl/>
        </w:rPr>
        <w:t>تُطلب حمايته</w:t>
      </w:r>
    </w:p>
    <w:p w:rsidR="002928D3" w:rsidRDefault="00B8071A" w:rsidP="00B8071A">
      <w:pPr>
        <w:spacing w:after="1040"/>
        <w:rPr>
          <w:rFonts w:asciiTheme="minorHAnsi" w:hAnsiTheme="minorHAnsi" w:cstheme="minorHAnsi"/>
          <w:iCs/>
          <w:rtl/>
        </w:rPr>
      </w:pPr>
      <w:bookmarkStart w:id="4" w:name="Prepared"/>
      <w:bookmarkEnd w:id="3"/>
      <w:bookmarkEnd w:id="4"/>
      <w:r w:rsidRPr="00B8071A">
        <w:rPr>
          <w:rFonts w:asciiTheme="minorHAnsi" w:hAnsiTheme="minorHAnsi" w:hint="cs"/>
          <w:i/>
          <w:iCs/>
          <w:rtl/>
        </w:rPr>
        <w:t>وثيقة قدمها وفد الولايات المتحدة الأمريكية</w:t>
      </w:r>
    </w:p>
    <w:p w:rsidR="005B01D9" w:rsidRDefault="00B8071A" w:rsidP="00771F01">
      <w:pPr>
        <w:pStyle w:val="ONUMA"/>
        <w:rPr>
          <w:lang w:bidi="ar-EG"/>
        </w:rPr>
      </w:pPr>
      <w:r w:rsidRPr="00B8071A">
        <w:rPr>
          <w:rFonts w:hint="cs"/>
          <w:rtl/>
        </w:rPr>
        <w:t>ف</w:t>
      </w:r>
      <w:r w:rsidRPr="00B8071A">
        <w:rPr>
          <w:rtl/>
        </w:rPr>
        <w:t>ي</w:t>
      </w:r>
      <w:r w:rsidR="0091474A">
        <w:rPr>
          <w:rFonts w:hint="cs"/>
          <w:rtl/>
        </w:rPr>
        <w:t xml:space="preserve"> </w:t>
      </w:r>
      <w:r w:rsidR="00771F01">
        <w:rPr>
          <w:rFonts w:hint="cs"/>
          <w:rtl/>
        </w:rPr>
        <w:t>19</w:t>
      </w:r>
      <w:r w:rsidR="0091474A">
        <w:rPr>
          <w:rFonts w:hint="cs"/>
          <w:rtl/>
        </w:rPr>
        <w:t xml:space="preserve"> </w:t>
      </w:r>
      <w:r w:rsidR="00771F01">
        <w:rPr>
          <w:rFonts w:hint="cs"/>
          <w:rtl/>
        </w:rPr>
        <w:t>مايو</w:t>
      </w:r>
      <w:r w:rsidR="0091474A">
        <w:rPr>
          <w:rFonts w:hint="cs"/>
          <w:rtl/>
        </w:rPr>
        <w:t xml:space="preserve"> 2023</w:t>
      </w:r>
      <w:r w:rsidRPr="00B8071A">
        <w:rPr>
          <w:rFonts w:hint="cs"/>
          <w:rtl/>
        </w:rPr>
        <w:t xml:space="preserve">، </w:t>
      </w:r>
      <w:r w:rsidRPr="00B8071A">
        <w:rPr>
          <w:rtl/>
        </w:rPr>
        <w:t xml:space="preserve">تلقى المكتب الدولي للمنظمة العالمية للملكية الفكرية (الويبو) </w:t>
      </w:r>
      <w:r w:rsidRPr="00B8071A">
        <w:rPr>
          <w:rFonts w:hint="cs"/>
          <w:rtl/>
        </w:rPr>
        <w:t>طلبا</w:t>
      </w:r>
      <w:r>
        <w:rPr>
          <w:rFonts w:hint="cs"/>
          <w:rtl/>
        </w:rPr>
        <w:t>ً</w:t>
      </w:r>
      <w:r w:rsidRPr="00B8071A">
        <w:rPr>
          <w:rFonts w:hint="cs"/>
          <w:rtl/>
        </w:rPr>
        <w:t xml:space="preserve"> </w:t>
      </w:r>
      <w:r w:rsidRPr="00B8071A">
        <w:rPr>
          <w:rtl/>
        </w:rPr>
        <w:t xml:space="preserve">من </w:t>
      </w:r>
      <w:r w:rsidRPr="00B8071A">
        <w:rPr>
          <w:rFonts w:hint="cs"/>
          <w:rtl/>
        </w:rPr>
        <w:t>البعثة الدائمة ل</w:t>
      </w:r>
      <w:r w:rsidRPr="00B8071A">
        <w:rPr>
          <w:rtl/>
        </w:rPr>
        <w:t>لولايات المتحدة الأمريكية</w:t>
      </w:r>
      <w:r w:rsidRPr="00B8071A">
        <w:rPr>
          <w:rFonts w:hint="cs"/>
          <w:rtl/>
        </w:rPr>
        <w:t xml:space="preserve"> لدى </w:t>
      </w:r>
      <w:r>
        <w:rPr>
          <w:rFonts w:hint="cs"/>
          <w:rtl/>
        </w:rPr>
        <w:t xml:space="preserve">المنظمات الدولية في جنيف، </w:t>
      </w:r>
      <w:r w:rsidRPr="00B8071A">
        <w:rPr>
          <w:rFonts w:hint="cs"/>
          <w:rtl/>
        </w:rPr>
        <w:t>التمست فيه إعادة تقديم الوثيقة المعنونة "</w:t>
      </w:r>
      <w:r w:rsidRPr="00B8071A">
        <w:rPr>
          <w:rtl/>
        </w:rPr>
        <w:t>تحديد أمثلة عن المعارف التقليدية لإثراء النقاش حول بيان الموضوع القابل للحماية والموضوع الذي لا تُطلب حمايته</w:t>
      </w:r>
      <w:r w:rsidRPr="00B8071A">
        <w:rPr>
          <w:rFonts w:hint="cs"/>
          <w:rtl/>
        </w:rPr>
        <w:t xml:space="preserve">"، </w:t>
      </w:r>
      <w:r w:rsidRPr="00B8071A">
        <w:rPr>
          <w:rFonts w:hint="cs"/>
          <w:rtl/>
          <w:lang w:bidi="ar-EG"/>
        </w:rPr>
        <w:t>كما وردت في الوثيقة</w:t>
      </w:r>
      <w:r w:rsidRPr="00B8071A">
        <w:rPr>
          <w:rFonts w:hint="eastAsia"/>
          <w:rtl/>
          <w:lang w:bidi="ar-EG"/>
        </w:rPr>
        <w:t> </w:t>
      </w:r>
      <w:r w:rsidRPr="00B8071A">
        <w:rPr>
          <w:lang w:bidi="ar-EG"/>
        </w:rPr>
        <w:t>WIPO/GRTKF/IC/</w:t>
      </w:r>
      <w:r w:rsidR="00771F01">
        <w:rPr>
          <w:lang w:bidi="ar-EG"/>
        </w:rPr>
        <w:t>46</w:t>
      </w:r>
      <w:r w:rsidRPr="00B8071A">
        <w:rPr>
          <w:lang w:bidi="ar-EG"/>
        </w:rPr>
        <w:t>/</w:t>
      </w:r>
      <w:r w:rsidR="0066714C">
        <w:rPr>
          <w:lang w:bidi="ar-EG"/>
        </w:rPr>
        <w:t>1</w:t>
      </w:r>
      <w:r w:rsidR="00771F01">
        <w:rPr>
          <w:lang w:bidi="ar-EG"/>
        </w:rPr>
        <w:t>4</w:t>
      </w:r>
      <w:r w:rsidRPr="00B8071A">
        <w:rPr>
          <w:rFonts w:hint="cs"/>
          <w:rtl/>
          <w:lang w:bidi="ar-EG"/>
        </w:rPr>
        <w:t>، إلى اللجنة</w:t>
      </w:r>
      <w:r w:rsidRPr="00B8071A">
        <w:rPr>
          <w:rtl/>
          <w:lang w:bidi="ar-EG"/>
        </w:rPr>
        <w:t xml:space="preserve"> الحكومية الدولية المعنية بالملكية الفكرية والموارد الوراثية والمعارف التقليدية والفولكلور (لجنة ال</w:t>
      </w:r>
      <w:r w:rsidRPr="00B8071A">
        <w:rPr>
          <w:rFonts w:hint="cs"/>
          <w:rtl/>
          <w:lang w:bidi="ar-EG"/>
        </w:rPr>
        <w:t>معارف</w:t>
      </w:r>
      <w:r w:rsidRPr="00B8071A">
        <w:rPr>
          <w:rtl/>
          <w:lang w:bidi="ar-EG"/>
        </w:rPr>
        <w:t>)</w:t>
      </w:r>
      <w:r w:rsidRPr="00B8071A">
        <w:rPr>
          <w:rFonts w:hint="cs"/>
          <w:rtl/>
          <w:lang w:bidi="ar-EG"/>
        </w:rPr>
        <w:t xml:space="preserve"> كي تناقشها في دورتها</w:t>
      </w:r>
      <w:r w:rsidRPr="00B8071A">
        <w:rPr>
          <w:rtl/>
          <w:lang w:bidi="ar-EG"/>
        </w:rPr>
        <w:t xml:space="preserve"> </w:t>
      </w:r>
      <w:r w:rsidR="00771F01">
        <w:rPr>
          <w:rFonts w:hint="cs"/>
          <w:rtl/>
        </w:rPr>
        <w:t>السابعة</w:t>
      </w:r>
      <w:r>
        <w:rPr>
          <w:rFonts w:hint="cs"/>
          <w:rtl/>
        </w:rPr>
        <w:t xml:space="preserve"> والأربعين</w:t>
      </w:r>
      <w:r w:rsidRPr="00B8071A">
        <w:rPr>
          <w:rtl/>
          <w:lang w:bidi="ar-EG"/>
        </w:rPr>
        <w:t>.</w:t>
      </w:r>
    </w:p>
    <w:p w:rsidR="005B01D9" w:rsidRPr="005B01D9" w:rsidRDefault="00B8071A" w:rsidP="00B8071A">
      <w:pPr>
        <w:pStyle w:val="ONUMA"/>
        <w:rPr>
          <w:rtl/>
          <w:lang w:bidi="ar-EG"/>
        </w:rPr>
      </w:pPr>
      <w:r w:rsidRPr="00B8071A">
        <w:rPr>
          <w:rtl/>
        </w:rPr>
        <w:t>و</w:t>
      </w:r>
      <w:r w:rsidRPr="00B8071A">
        <w:rPr>
          <w:rFonts w:hint="cs"/>
          <w:rtl/>
        </w:rPr>
        <w:t xml:space="preserve">استجابة لذلك </w:t>
      </w:r>
      <w:r w:rsidRPr="00B8071A">
        <w:rPr>
          <w:rtl/>
        </w:rPr>
        <w:t>الطلب</w:t>
      </w:r>
      <w:r w:rsidRPr="00B8071A">
        <w:rPr>
          <w:rFonts w:hint="cs"/>
          <w:rtl/>
        </w:rPr>
        <w:t xml:space="preserve">، </w:t>
      </w:r>
      <w:r w:rsidRPr="00B8071A">
        <w:rPr>
          <w:rtl/>
        </w:rPr>
        <w:t xml:space="preserve">يحتوي مرفق هذه الوثيقة على </w:t>
      </w:r>
      <w:r w:rsidRPr="00B8071A">
        <w:rPr>
          <w:rFonts w:hint="cs"/>
          <w:rtl/>
        </w:rPr>
        <w:t>المساهمة</w:t>
      </w:r>
      <w:r w:rsidRPr="00B8071A">
        <w:rPr>
          <w:rtl/>
        </w:rPr>
        <w:t xml:space="preserve"> </w:t>
      </w:r>
      <w:r w:rsidRPr="00B8071A">
        <w:rPr>
          <w:rFonts w:hint="cs"/>
          <w:rtl/>
        </w:rPr>
        <w:t>المذكورة</w:t>
      </w:r>
      <w:r w:rsidRPr="00B8071A">
        <w:rPr>
          <w:rtl/>
        </w:rPr>
        <w:t>.</w:t>
      </w:r>
    </w:p>
    <w:p w:rsidR="005B01D9" w:rsidRPr="005B01D9" w:rsidRDefault="00B8071A" w:rsidP="00B8071A">
      <w:pPr>
        <w:pStyle w:val="ONUMA"/>
        <w:ind w:left="5530"/>
        <w:rPr>
          <w:i/>
          <w:iCs/>
          <w:rtl/>
          <w:lang w:bidi="ar-EG"/>
        </w:rPr>
      </w:pPr>
      <w:r w:rsidRPr="00B8071A">
        <w:rPr>
          <w:i/>
          <w:iCs/>
          <w:rtl/>
        </w:rPr>
        <w:t>إن اللجنة مدعوة إلى الإحاطة</w:t>
      </w:r>
      <w:r>
        <w:rPr>
          <w:i/>
          <w:iCs/>
          <w:rtl/>
        </w:rPr>
        <w:t xml:space="preserve"> علم</w:t>
      </w:r>
      <w:r w:rsidR="00771F01">
        <w:rPr>
          <w:rFonts w:hint="cs"/>
          <w:i/>
          <w:iCs/>
          <w:rtl/>
        </w:rPr>
        <w:t>اً</w:t>
      </w:r>
      <w:r w:rsidRPr="00B8071A">
        <w:rPr>
          <w:i/>
          <w:iCs/>
          <w:rtl/>
        </w:rPr>
        <w:t xml:space="preserve"> ب</w:t>
      </w:r>
      <w:r w:rsidRPr="00B8071A">
        <w:rPr>
          <w:rFonts w:hint="cs"/>
          <w:i/>
          <w:iCs/>
          <w:rtl/>
        </w:rPr>
        <w:t>هذه</w:t>
      </w:r>
      <w:r w:rsidRPr="00B8071A">
        <w:rPr>
          <w:rFonts w:hint="eastAsia"/>
          <w:i/>
          <w:iCs/>
          <w:rtl/>
        </w:rPr>
        <w:t> </w:t>
      </w:r>
      <w:r w:rsidRPr="00B8071A">
        <w:rPr>
          <w:rFonts w:hint="cs"/>
          <w:i/>
          <w:iCs/>
          <w:rtl/>
        </w:rPr>
        <w:t>الوثيقة</w:t>
      </w:r>
      <w:r w:rsidRPr="00B8071A">
        <w:rPr>
          <w:i/>
          <w:iCs/>
          <w:rtl/>
        </w:rPr>
        <w:t>.</w:t>
      </w:r>
    </w:p>
    <w:p w:rsidR="005B01D9" w:rsidRDefault="00FE339E" w:rsidP="005B01D9">
      <w:pPr>
        <w:pStyle w:val="Endofdocument-Annex"/>
        <w:rPr>
          <w:rtl/>
        </w:rPr>
        <w:sectPr w:rsidR="005B01D9"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pPr>
      <w:r w:rsidRPr="005B01D9">
        <w:rPr>
          <w:rtl/>
        </w:rPr>
        <w:t>[</w:t>
      </w:r>
      <w:r w:rsidR="005B01D9" w:rsidRPr="00151689">
        <w:rPr>
          <w:rFonts w:hint="cs"/>
          <w:rtl/>
        </w:rPr>
        <w:t>يلي ذلك المرفق</w:t>
      </w:r>
      <w:r w:rsidRPr="005B01D9">
        <w:rPr>
          <w:rtl/>
        </w:rPr>
        <w:t>]</w:t>
      </w:r>
    </w:p>
    <w:p w:rsidR="00B8071A" w:rsidRPr="00B8071A" w:rsidRDefault="00B8071A" w:rsidP="00B8071A">
      <w:pPr>
        <w:pStyle w:val="BodyText"/>
        <w:jc w:val="center"/>
        <w:rPr>
          <w:b/>
          <w:bCs/>
          <w:sz w:val="24"/>
          <w:szCs w:val="24"/>
          <w:rtl/>
        </w:rPr>
      </w:pPr>
      <w:r w:rsidRPr="00B8071A">
        <w:rPr>
          <w:rFonts w:hint="eastAsia"/>
          <w:b/>
          <w:bCs/>
          <w:sz w:val="24"/>
          <w:szCs w:val="24"/>
          <w:rtl/>
        </w:rPr>
        <w:lastRenderedPageBreak/>
        <w:t>تحديد</w:t>
      </w:r>
      <w:r w:rsidRPr="00B8071A">
        <w:rPr>
          <w:b/>
          <w:bCs/>
          <w:sz w:val="24"/>
          <w:szCs w:val="24"/>
          <w:rtl/>
        </w:rPr>
        <w:t xml:space="preserve"> أمثلة عن المعارف التقليدية لإثراء النقاش حول </w:t>
      </w:r>
      <w:r w:rsidRPr="00B8071A">
        <w:rPr>
          <w:rFonts w:hint="eastAsia"/>
          <w:b/>
          <w:bCs/>
          <w:sz w:val="24"/>
          <w:szCs w:val="24"/>
          <w:rtl/>
        </w:rPr>
        <w:t>بيان</w:t>
      </w:r>
      <w:r w:rsidRPr="00B8071A">
        <w:rPr>
          <w:b/>
          <w:bCs/>
          <w:sz w:val="24"/>
          <w:szCs w:val="24"/>
          <w:rtl/>
        </w:rPr>
        <w:t xml:space="preserve"> الموضوع القابل للحماية والموضوع الذي لا تُطلب حمايته</w:t>
      </w:r>
    </w:p>
    <w:p w:rsidR="00B8071A" w:rsidRPr="00B8071A" w:rsidRDefault="00B8071A" w:rsidP="00B8071A">
      <w:pPr>
        <w:pStyle w:val="BodyText"/>
        <w:rPr>
          <w:b/>
          <w:bCs/>
          <w:sz w:val="24"/>
          <w:szCs w:val="24"/>
          <w:rtl/>
        </w:rPr>
      </w:pPr>
      <w:r w:rsidRPr="00B8071A">
        <w:rPr>
          <w:rFonts w:hint="cs"/>
          <w:b/>
          <w:bCs/>
          <w:sz w:val="24"/>
          <w:szCs w:val="24"/>
          <w:rtl/>
        </w:rPr>
        <w:t>أولا.</w:t>
      </w:r>
      <w:r w:rsidRPr="00B8071A">
        <w:rPr>
          <w:b/>
          <w:bCs/>
          <w:sz w:val="24"/>
          <w:szCs w:val="24"/>
          <w:rtl/>
        </w:rPr>
        <w:tab/>
      </w:r>
      <w:r w:rsidRPr="00B8071A">
        <w:rPr>
          <w:rFonts w:hint="cs"/>
          <w:b/>
          <w:bCs/>
          <w:sz w:val="24"/>
          <w:szCs w:val="24"/>
          <w:rtl/>
        </w:rPr>
        <w:t>مقدمة</w:t>
      </w:r>
    </w:p>
    <w:p w:rsidR="00B8071A" w:rsidRPr="00B8071A" w:rsidRDefault="00B8071A" w:rsidP="00B8071A">
      <w:pPr>
        <w:pStyle w:val="BodyText"/>
        <w:rPr>
          <w:rtl/>
        </w:rPr>
      </w:pPr>
      <w:r w:rsidRPr="00B8071A">
        <w:rPr>
          <w:rFonts w:hint="cs"/>
          <w:rtl/>
        </w:rPr>
        <w:t xml:space="preserve">الهدف الذي تنشده لجنة الويبو الحكومية الدولية هو </w:t>
      </w:r>
      <w:r w:rsidRPr="00B8071A">
        <w:rPr>
          <w:rtl/>
        </w:rPr>
        <w:t>التوصل إلى اتفاق حول صك قانوني دولي (صكوك قانونية دولية) فيما يتعلق بالملكية الفكرية ويضمن الحماية المتوازنة والفعالة للموارد الوراثية والمعارف التقليدية وأشكال التعبير الثقافي التقليدي</w:t>
      </w:r>
      <w:r w:rsidRPr="00B8071A">
        <w:rPr>
          <w:rFonts w:hint="cs"/>
          <w:rtl/>
        </w:rPr>
        <w:t>. ويُتوقّع أن تعمل اللجنة، في سعيها إلى المضي قدما بعملها، على ا</w:t>
      </w:r>
      <w:r w:rsidRPr="00B8071A">
        <w:rPr>
          <w:rtl/>
        </w:rPr>
        <w:t>ستعمال</w:t>
      </w:r>
      <w:bookmarkStart w:id="6" w:name="_GoBack"/>
      <w:bookmarkEnd w:id="6"/>
      <w:r w:rsidRPr="00B8071A">
        <w:rPr>
          <w:rtl/>
        </w:rPr>
        <w:t xml:space="preserve"> منهج قائم على الأدلة، بما في ذلك الدراسات والأمثلة المتعلقة بالتجارب الوطنية، والتشريعات المحلية والأمثلة الخاصة بالموضوع القابل للحماية والموضوع الذي لا تُطلب حمايته</w:t>
      </w:r>
      <w:r w:rsidRPr="00B8071A">
        <w:rPr>
          <w:rFonts w:hint="cs"/>
          <w:rtl/>
        </w:rPr>
        <w:t>."</w:t>
      </w:r>
    </w:p>
    <w:p w:rsidR="00B8071A" w:rsidRPr="00B8071A" w:rsidRDefault="00B8071A" w:rsidP="00B8071A">
      <w:pPr>
        <w:pStyle w:val="BodyText"/>
        <w:rPr>
          <w:rtl/>
        </w:rPr>
      </w:pPr>
      <w:r w:rsidRPr="00B8071A">
        <w:rPr>
          <w:rFonts w:hint="cs"/>
          <w:rtl/>
        </w:rPr>
        <w:t>وتشترط ولاية لجنة الويبو الحكومية الدولية من الأعضاء التركيز بشكل رئيسي على التوصل إلى تفاهم مشترك للقضايا الجوهرية، بما في ذلك بيان المعارف التقليدية التي يحق لها أن تستفيد من الحماية على الصعيد الدولي والمعارف التقليدية التي لا تُطلب حمايتها.</w:t>
      </w:r>
    </w:p>
    <w:p w:rsidR="00B8071A" w:rsidRPr="00B8071A" w:rsidRDefault="00B8071A" w:rsidP="00B8071A">
      <w:pPr>
        <w:pStyle w:val="BodyText"/>
        <w:rPr>
          <w:rtl/>
        </w:rPr>
      </w:pPr>
      <w:r w:rsidRPr="00B8071A">
        <w:rPr>
          <w:rFonts w:hint="cs"/>
          <w:rtl/>
        </w:rPr>
        <w:t>والغرض من هذه الوثيقة هو الإسهام في التوصل إلى تفاهم مشترك من خلال تحديد بعض من المنتجات والأنشطة العديدة المعروفة والقائمة على معارف تقليدية من أجل تيسير نقاش حول المعارف التقليدية التي ينبغي حمايتها وتلك التي ينبغي أن تُتاج للجميع لأغراض الاستحداث والاستخدام دون قيد. وفيما يلي بضعة أمثلة يمكن بحثها في سياق مشروع صك قانوني دولي أو بدائل لذلك المشروع.</w:t>
      </w:r>
    </w:p>
    <w:p w:rsidR="00B8071A" w:rsidRPr="00B8071A" w:rsidRDefault="00B8071A" w:rsidP="00B8071A">
      <w:pPr>
        <w:pStyle w:val="BodyText"/>
        <w:rPr>
          <w:b/>
          <w:bCs/>
          <w:sz w:val="24"/>
          <w:szCs w:val="24"/>
          <w:rtl/>
        </w:rPr>
      </w:pPr>
      <w:r w:rsidRPr="00B8071A">
        <w:rPr>
          <w:rFonts w:hint="cs"/>
          <w:b/>
          <w:bCs/>
          <w:sz w:val="24"/>
          <w:szCs w:val="24"/>
          <w:rtl/>
        </w:rPr>
        <w:t>ثانيا.</w:t>
      </w:r>
      <w:r w:rsidRPr="00B8071A">
        <w:rPr>
          <w:b/>
          <w:bCs/>
          <w:sz w:val="24"/>
          <w:szCs w:val="24"/>
          <w:rtl/>
        </w:rPr>
        <w:tab/>
      </w:r>
      <w:r w:rsidRPr="00B8071A">
        <w:rPr>
          <w:rFonts w:hint="cs"/>
          <w:b/>
          <w:bCs/>
          <w:sz w:val="24"/>
          <w:szCs w:val="24"/>
          <w:rtl/>
        </w:rPr>
        <w:t>المنتجات والأنشطة المعروفة والمتأصلة في المعارف التقليدية</w:t>
      </w:r>
    </w:p>
    <w:p w:rsidR="00B8071A" w:rsidRPr="00B8071A" w:rsidRDefault="00B8071A" w:rsidP="00B8071A">
      <w:pPr>
        <w:pStyle w:val="BodyText"/>
        <w:rPr>
          <w:rtl/>
        </w:rPr>
      </w:pPr>
      <w:r w:rsidRPr="00B8071A">
        <w:rPr>
          <w:rFonts w:hint="cs"/>
          <w:b/>
          <w:bCs/>
          <w:rtl/>
        </w:rPr>
        <w:t>المحاقن:</w:t>
      </w:r>
      <w:r w:rsidRPr="00B8071A">
        <w:rPr>
          <w:rFonts w:hint="cs"/>
          <w:rtl/>
        </w:rPr>
        <w:t xml:space="preserve"> المحاقن أدوات طبية مهمة تمكّن من حقن سائل في جسم الإنسان أو استخراجه منه. ومع أن فضل اختراع المحقنة يُسند إلى الاسكتلندي ألكسندر وود الذي استنبطها في عام</w:t>
      </w:r>
      <w:r w:rsidRPr="00B8071A">
        <w:rPr>
          <w:rFonts w:hint="eastAsia"/>
          <w:rtl/>
        </w:rPr>
        <w:t> </w:t>
      </w:r>
      <w:r w:rsidRPr="00B8071A">
        <w:rPr>
          <w:rFonts w:hint="cs"/>
          <w:rtl/>
        </w:rPr>
        <w:t>1853، فإن ذلك الاختراع يعود في الأصل لسكان أمريكا الشمالية الأصليين الذين كانوا قبل ذلك التاريخ بكثير يستخدمون محقنة بدائية مكوّنة من عظم طير لحقن الدواء داخل الجلد وتنظيف الجروح أو غسلها.</w:t>
      </w:r>
      <w:r w:rsidRPr="00B8071A">
        <w:rPr>
          <w:vertAlign w:val="superscript"/>
          <w:rtl/>
        </w:rPr>
        <w:footnoteReference w:id="2"/>
      </w:r>
      <w:r w:rsidRPr="00B8071A">
        <w:rPr>
          <w:rFonts w:hint="cs"/>
          <w:rtl/>
        </w:rPr>
        <w:t xml:space="preserve"> وكانت إحدى حافتي عظم الطير تُشحذ لتُستخدم كإبرة، بينما كانت الحافة الأخرى موصولة بمثانة حيوان صغير تحتوي على الدواء.</w:t>
      </w:r>
      <w:r w:rsidRPr="00B8071A">
        <w:rPr>
          <w:vertAlign w:val="superscript"/>
          <w:rtl/>
        </w:rPr>
        <w:footnoteReference w:id="3"/>
      </w:r>
      <w:r w:rsidRPr="00B8071A">
        <w:rPr>
          <w:rFonts w:hint="cs"/>
          <w:rtl/>
        </w:rPr>
        <w:t xml:space="preserve"> وكان سكان أمريكا الجنوبية الأصليون يستخدمون أيضا محقنة مماثلة، ولكنهم كانوا يستعملون كرة مطاطية عوضا عن المثانة لاحتواء الدواء.</w:t>
      </w:r>
      <w:r w:rsidRPr="00B8071A">
        <w:rPr>
          <w:vertAlign w:val="superscript"/>
          <w:rtl/>
        </w:rPr>
        <w:footnoteReference w:id="4"/>
      </w:r>
      <w:r w:rsidRPr="00B8071A">
        <w:rPr>
          <w:rFonts w:hint="cs"/>
          <w:rtl/>
        </w:rPr>
        <w:t xml:space="preserve"> والمعروف أن تلك المحقنة كانت أوّل محاقن الكرة المطاطية.</w:t>
      </w:r>
    </w:p>
    <w:p w:rsidR="00B8071A" w:rsidRPr="00B8071A" w:rsidRDefault="00B8071A" w:rsidP="00B8071A">
      <w:pPr>
        <w:pStyle w:val="BodyText"/>
        <w:rPr>
          <w:rtl/>
        </w:rPr>
      </w:pPr>
      <w:r w:rsidRPr="00B8071A">
        <w:rPr>
          <w:rFonts w:hint="cs"/>
          <w:b/>
          <w:bCs/>
          <w:rtl/>
        </w:rPr>
        <w:t>الفشار (البوب كورن):</w:t>
      </w:r>
      <w:r w:rsidRPr="00B8071A">
        <w:rPr>
          <w:rFonts w:hint="cs"/>
          <w:rtl/>
        </w:rPr>
        <w:t xml:space="preserve"> الفشار يُستهلك بالأساس في الولايات المتحدة الأمريكية ولكنه مشهور في كل أرجاء العالم. ففي عام</w:t>
      </w:r>
      <w:r w:rsidRPr="00B8071A">
        <w:rPr>
          <w:rFonts w:hint="eastAsia"/>
          <w:rtl/>
        </w:rPr>
        <w:t> </w:t>
      </w:r>
      <w:r w:rsidRPr="00B8071A">
        <w:rPr>
          <w:rFonts w:hint="cs"/>
          <w:rtl/>
        </w:rPr>
        <w:t>2015 وحده، بيع نحو 1.2</w:t>
      </w:r>
      <w:r w:rsidRPr="00B8071A">
        <w:rPr>
          <w:rFonts w:hint="eastAsia"/>
          <w:rtl/>
        </w:rPr>
        <w:t> </w:t>
      </w:r>
      <w:r w:rsidRPr="00B8071A">
        <w:rPr>
          <w:rFonts w:hint="cs"/>
          <w:rtl/>
        </w:rPr>
        <w:t>مليار رطل إنجليزي من الفشار على الصعيد العالمي.</w:t>
      </w:r>
      <w:r w:rsidRPr="00B8071A">
        <w:rPr>
          <w:vertAlign w:val="superscript"/>
          <w:rtl/>
        </w:rPr>
        <w:footnoteReference w:id="5"/>
      </w:r>
      <w:r w:rsidRPr="00B8071A">
        <w:rPr>
          <w:rFonts w:hint="cs"/>
          <w:rtl/>
        </w:rPr>
        <w:t xml:space="preserve"> والفشار موجود ومعروف منذ آلاف السنين، ولو أن منشأه يظلّ غير مؤكّد. فقد اكتشف علماء الآثار بقايا منه تعود إلى نحو 3500</w:t>
      </w:r>
      <w:r w:rsidRPr="00B8071A">
        <w:rPr>
          <w:rFonts w:hint="eastAsia"/>
          <w:rtl/>
        </w:rPr>
        <w:t> </w:t>
      </w:r>
      <w:r w:rsidRPr="00B8071A">
        <w:rPr>
          <w:rFonts w:hint="cs"/>
          <w:rtl/>
        </w:rPr>
        <w:t>سنة قبل الميلاد في كهف الخفافيش بولاية نيو</w:t>
      </w:r>
      <w:r w:rsidRPr="00B8071A">
        <w:rPr>
          <w:rFonts w:hint="eastAsia"/>
          <w:rtl/>
        </w:rPr>
        <w:t> </w:t>
      </w:r>
      <w:r w:rsidRPr="00B8071A">
        <w:rPr>
          <w:rFonts w:hint="cs"/>
          <w:rtl/>
        </w:rPr>
        <w:t>مكسيكو في عام 1948.</w:t>
      </w:r>
      <w:r w:rsidRPr="00B8071A">
        <w:rPr>
          <w:vertAlign w:val="superscript"/>
          <w:rtl/>
        </w:rPr>
        <w:footnoteReference w:id="6"/>
      </w:r>
      <w:r w:rsidRPr="00B8071A">
        <w:rPr>
          <w:rFonts w:hint="cs"/>
          <w:rtl/>
        </w:rPr>
        <w:t xml:space="preserve"> كما اكتُشفت بقايا من الفشار في قبور بيروفية قديمة يعود تاريخها إلى 6700</w:t>
      </w:r>
      <w:r w:rsidRPr="00B8071A">
        <w:rPr>
          <w:rFonts w:hint="eastAsia"/>
          <w:rtl/>
        </w:rPr>
        <w:t> </w:t>
      </w:r>
      <w:r w:rsidRPr="00B8071A">
        <w:rPr>
          <w:rFonts w:hint="cs"/>
          <w:rtl/>
        </w:rPr>
        <w:t xml:space="preserve">سنة. </w:t>
      </w:r>
      <w:r w:rsidRPr="00B8071A">
        <w:rPr>
          <w:vertAlign w:val="superscript"/>
          <w:rtl/>
        </w:rPr>
        <w:footnoteReference w:id="7"/>
      </w:r>
      <w:r w:rsidRPr="00B8071A">
        <w:rPr>
          <w:rFonts w:hint="cs"/>
          <w:rtl/>
        </w:rPr>
        <w:t xml:space="preserve"> وأخيرا تشير مذكرات مستكشفون فرنسيون خلال القرن السابع عشر في أمريكا الشمالية إلى أنهم شاهدوا قبائل إيروكواس (إحدى جماعات أمريكا الشمالية الأصلية) يضعون حبات الذرة داخل أوعية تحتوي على رمل مسخّن.</w:t>
      </w:r>
      <w:r w:rsidRPr="00B8071A">
        <w:rPr>
          <w:vertAlign w:val="superscript"/>
          <w:rtl/>
        </w:rPr>
        <w:footnoteReference w:id="8"/>
      </w:r>
      <w:r w:rsidRPr="00B8071A">
        <w:rPr>
          <w:rFonts w:hint="cs"/>
          <w:rtl/>
        </w:rPr>
        <w:t xml:space="preserve"> ولاحظوا أن الحبات عندما تُسخّن بدرجة حرارة كافية تتفرقع وتشكّل ما نسمّيه الآن الفشار.</w:t>
      </w:r>
      <w:r w:rsidRPr="00B8071A">
        <w:rPr>
          <w:vertAlign w:val="superscript"/>
          <w:rtl/>
        </w:rPr>
        <w:footnoteReference w:id="9"/>
      </w:r>
    </w:p>
    <w:p w:rsidR="00B8071A" w:rsidRPr="00B8071A" w:rsidRDefault="00B8071A" w:rsidP="00B8071A">
      <w:pPr>
        <w:pStyle w:val="BodyText"/>
        <w:rPr>
          <w:rtl/>
        </w:rPr>
      </w:pPr>
      <w:r w:rsidRPr="00B8071A">
        <w:rPr>
          <w:rFonts w:hint="cs"/>
          <w:b/>
          <w:bCs/>
          <w:rtl/>
        </w:rPr>
        <w:t>كرة القدم:</w:t>
      </w:r>
      <w:r w:rsidRPr="00B8071A">
        <w:rPr>
          <w:rFonts w:hint="cs"/>
          <w:rtl/>
        </w:rPr>
        <w:t xml:space="preserve"> كرة القدم (أو ما يُعرف برياضة السوكر في الولايات المتحدة الأمريكية) هي أكثر الرياضات شيوعا في العالم. ويمارس تلك الرياضة اليوم أكثر من 240</w:t>
      </w:r>
      <w:r w:rsidRPr="00B8071A">
        <w:rPr>
          <w:rFonts w:hint="eastAsia"/>
          <w:rtl/>
        </w:rPr>
        <w:t> </w:t>
      </w:r>
      <w:r w:rsidRPr="00B8071A">
        <w:rPr>
          <w:rFonts w:hint="cs"/>
          <w:rtl/>
        </w:rPr>
        <w:t>مليون نسمة في ما يزيد على 200</w:t>
      </w:r>
      <w:r w:rsidRPr="00B8071A">
        <w:rPr>
          <w:rFonts w:hint="eastAsia"/>
          <w:rtl/>
        </w:rPr>
        <w:t> </w:t>
      </w:r>
      <w:r w:rsidRPr="00B8071A">
        <w:rPr>
          <w:rFonts w:hint="cs"/>
          <w:rtl/>
        </w:rPr>
        <w:t>بلد، وهي تُمارس منذ القرنين الثاني والثالث قبل الميلاد عندما استعملها الصينيون القدامى لأوّل مرّة كتمرين من تمارين التدريب العسكري.</w:t>
      </w:r>
      <w:r w:rsidRPr="00B8071A">
        <w:rPr>
          <w:vertAlign w:val="superscript"/>
          <w:rtl/>
        </w:rPr>
        <w:footnoteReference w:id="10"/>
      </w:r>
      <w:r w:rsidRPr="00B8071A">
        <w:rPr>
          <w:rFonts w:hint="cs"/>
          <w:rtl/>
        </w:rPr>
        <w:t xml:space="preserve"> وتلك الرياضة التي عُرفت باسم "تسو</w:t>
      </w:r>
      <w:r w:rsidRPr="00B8071A">
        <w:rPr>
          <w:rFonts w:hint="eastAsia"/>
          <w:rtl/>
        </w:rPr>
        <w:t> </w:t>
      </w:r>
      <w:r w:rsidRPr="00B8071A">
        <w:rPr>
          <w:rFonts w:hint="cs"/>
          <w:rtl/>
        </w:rPr>
        <w:t>تشو" لدى الصينيين في عهد مملكة هان، كانت تُلعب بكرة جلدية محشوة بالريش والشعر.</w:t>
      </w:r>
      <w:r w:rsidRPr="00B8071A">
        <w:rPr>
          <w:vertAlign w:val="superscript"/>
          <w:rtl/>
        </w:rPr>
        <w:footnoteReference w:id="11"/>
      </w:r>
      <w:r w:rsidRPr="00B8071A">
        <w:rPr>
          <w:rFonts w:hint="cs"/>
          <w:rtl/>
        </w:rPr>
        <w:t xml:space="preserve"> وكان الجنود الصينيون يضربون الكرة لإدخالها في ثغرة عرضها 30 إلى 40</w:t>
      </w:r>
      <w:r w:rsidRPr="00B8071A">
        <w:rPr>
          <w:rFonts w:hint="eastAsia"/>
          <w:rtl/>
        </w:rPr>
        <w:t> </w:t>
      </w:r>
      <w:r w:rsidRPr="00B8071A">
        <w:rPr>
          <w:rFonts w:hint="cs"/>
          <w:rtl/>
        </w:rPr>
        <w:t>سنتيمترا داخل شبكة مثبّتة بين قصبتين من الخيزران.</w:t>
      </w:r>
      <w:r w:rsidRPr="00B8071A">
        <w:rPr>
          <w:vertAlign w:val="superscript"/>
          <w:rtl/>
        </w:rPr>
        <w:footnoteReference w:id="12"/>
      </w:r>
      <w:r w:rsidRPr="00B8071A">
        <w:rPr>
          <w:rFonts w:hint="cs"/>
          <w:rtl/>
        </w:rPr>
        <w:t xml:space="preserve"> وكان الجنود، في أحد أشكال التمرين، لا يستخدمون سوى أقدامهم </w:t>
      </w:r>
      <w:r w:rsidRPr="00B8071A">
        <w:rPr>
          <w:rFonts w:hint="cs"/>
          <w:rtl/>
        </w:rPr>
        <w:lastRenderedPageBreak/>
        <w:t>وصدورهم وظهورهم وأكتافهم وكان ممنوعا عليهم استخدام أيديهم.</w:t>
      </w:r>
      <w:r w:rsidRPr="00B8071A">
        <w:rPr>
          <w:vertAlign w:val="superscript"/>
          <w:rtl/>
        </w:rPr>
        <w:footnoteReference w:id="13"/>
      </w:r>
      <w:r w:rsidRPr="00B8071A">
        <w:rPr>
          <w:rFonts w:hint="cs"/>
          <w:rtl/>
        </w:rPr>
        <w:t xml:space="preserve"> وهناك</w:t>
      </w:r>
      <w:r w:rsidRPr="00B8071A">
        <w:rPr>
          <w:rFonts w:hint="eastAsia"/>
          <w:rtl/>
        </w:rPr>
        <w:t> </w:t>
      </w:r>
      <w:r w:rsidRPr="00B8071A">
        <w:rPr>
          <w:rFonts w:hint="cs"/>
          <w:rtl/>
        </w:rPr>
        <w:t>شكل آخر من رياضة كرة القدم يُعرف باسم "كيماري" كان يمارسه اليابانيون بعد ذلك العهد بنحو 500 إلى 600</w:t>
      </w:r>
      <w:r w:rsidRPr="00B8071A">
        <w:rPr>
          <w:rFonts w:hint="eastAsia"/>
          <w:rtl/>
        </w:rPr>
        <w:t> </w:t>
      </w:r>
      <w:r w:rsidRPr="00B8071A">
        <w:rPr>
          <w:rFonts w:hint="cs"/>
          <w:rtl/>
        </w:rPr>
        <w:t>سنة.</w:t>
      </w:r>
      <w:r w:rsidRPr="00B8071A">
        <w:rPr>
          <w:vertAlign w:val="superscript"/>
          <w:rtl/>
        </w:rPr>
        <w:footnoteReference w:id="14"/>
      </w:r>
      <w:r w:rsidRPr="00B8071A">
        <w:rPr>
          <w:rFonts w:hint="cs"/>
          <w:rtl/>
        </w:rPr>
        <w:t xml:space="preserve"> وفي الكيماري، يمرّر اللاعبون كرة حول دائرة ويحرصون على ألا تمسّ الأرض.</w:t>
      </w:r>
      <w:r w:rsidRPr="00B8071A">
        <w:rPr>
          <w:vertAlign w:val="superscript"/>
          <w:rtl/>
        </w:rPr>
        <w:footnoteReference w:id="15"/>
      </w:r>
      <w:r w:rsidRPr="00B8071A">
        <w:rPr>
          <w:rFonts w:hint="cs"/>
          <w:rtl/>
        </w:rPr>
        <w:t xml:space="preserve"> وفي الولايات المتحدة الأمريكية، كان سكان أمريكا الشمالية الأصليون يماسون خلال القرن السابع عشر شكلا من رياضة كرة القدم يُعرف باسم "باسوكواكوهوفوغ"، ومعناه "اجتمعوا ليلعبوا الكرة بالقدم".</w:t>
      </w:r>
      <w:r w:rsidRPr="00B8071A">
        <w:rPr>
          <w:vertAlign w:val="superscript"/>
          <w:rtl/>
        </w:rPr>
        <w:footnoteReference w:id="16"/>
      </w:r>
    </w:p>
    <w:p w:rsidR="00B8071A" w:rsidRPr="00B8071A" w:rsidRDefault="00B8071A" w:rsidP="00B8071A">
      <w:pPr>
        <w:pStyle w:val="BodyText"/>
        <w:rPr>
          <w:rtl/>
        </w:rPr>
      </w:pPr>
      <w:r w:rsidRPr="00B8071A">
        <w:rPr>
          <w:rFonts w:hint="cs"/>
          <w:b/>
          <w:bCs/>
          <w:rtl/>
        </w:rPr>
        <w:t>المبنّجات:</w:t>
      </w:r>
      <w:r w:rsidRPr="00B8071A">
        <w:rPr>
          <w:rFonts w:hint="cs"/>
          <w:rtl/>
        </w:rPr>
        <w:t xml:space="preserve"> المبنّجات مواد تُستخدم على نطاق واسع لمنع أو تقليل الألم خلال العلميات الجراحية. ويستخدم الجراحون حاليا التبنيج الموضعي أو التبنيج العام. وتحول المبنّجات الموضعية بشكل مؤقت دون ظهور الألم في موضع معيّن من الجسم. أما</w:t>
      </w:r>
      <w:r w:rsidRPr="00B8071A">
        <w:rPr>
          <w:rFonts w:hint="eastAsia"/>
          <w:rtl/>
        </w:rPr>
        <w:t> </w:t>
      </w:r>
      <w:r w:rsidRPr="00B8071A">
        <w:rPr>
          <w:rFonts w:hint="cs"/>
          <w:rtl/>
        </w:rPr>
        <w:t>المبنّجات العامة فتؤدي إلى فقدان الوعي أثناء الخضوع لعملية جراحية. ولو أن فضل إجراء أوّل عملية جراحية باستخدام البنج الحديث (مادة الأثير) في عام</w:t>
      </w:r>
      <w:r w:rsidRPr="00B8071A">
        <w:rPr>
          <w:rFonts w:hint="eastAsia"/>
          <w:rtl/>
        </w:rPr>
        <w:t> </w:t>
      </w:r>
      <w:r w:rsidRPr="00B8071A">
        <w:rPr>
          <w:rFonts w:hint="cs"/>
          <w:rtl/>
        </w:rPr>
        <w:t>1846 يُسند إلى الدكتور ويليام ت.غ. مورتون،</w:t>
      </w:r>
      <w:r w:rsidRPr="00B8071A">
        <w:rPr>
          <w:vertAlign w:val="superscript"/>
          <w:rtl/>
        </w:rPr>
        <w:footnoteReference w:id="17"/>
      </w:r>
      <w:r w:rsidRPr="00B8071A">
        <w:rPr>
          <w:rFonts w:hint="cs"/>
          <w:rtl/>
        </w:rPr>
        <w:t xml:space="preserve"> فإن ثمة أدلة على استخدام هنود الإنكا القدامى في القرن العاشر بعد الميلاد تقريبا أوراق نبات الكوكا (</w:t>
      </w:r>
      <w:r w:rsidRPr="00B8071A">
        <w:rPr>
          <w:i/>
        </w:rPr>
        <w:t>Erythroxylon coca</w:t>
      </w:r>
      <w:r w:rsidRPr="00B8071A">
        <w:rPr>
          <w:rFonts w:hint="cs"/>
          <w:rtl/>
        </w:rPr>
        <w:t>) كمبنّج عند إجراء عملية جراحية على الجمجمة تُعرف باسم "النقب"</w:t>
      </w:r>
      <w:r w:rsidRPr="00B8071A">
        <w:rPr>
          <w:vertAlign w:val="superscript"/>
          <w:rtl/>
        </w:rPr>
        <w:footnoteReference w:id="18"/>
      </w:r>
      <w:r w:rsidRPr="00B8071A">
        <w:rPr>
          <w:rFonts w:hint="cs"/>
          <w:rtl/>
        </w:rPr>
        <w:t>. وكانت أوراق الكوكا تُمضغ أو توضع بعد ذلك على موضع الجراحة كمبنّج موضعي.</w:t>
      </w:r>
      <w:r w:rsidRPr="00B8071A">
        <w:rPr>
          <w:vertAlign w:val="superscript"/>
          <w:rtl/>
        </w:rPr>
        <w:footnoteReference w:id="19"/>
      </w:r>
      <w:r w:rsidRPr="00B8071A">
        <w:rPr>
          <w:rFonts w:hint="cs"/>
          <w:rtl/>
        </w:rPr>
        <w:t xml:space="preserve"> وكان هنود الإنكا يستخدمون كذلك كحول الذرة والتبغ كمبنّج بديل.</w:t>
      </w:r>
      <w:r w:rsidRPr="00B8071A">
        <w:rPr>
          <w:vertAlign w:val="superscript"/>
          <w:rtl/>
        </w:rPr>
        <w:footnoteReference w:id="20"/>
      </w:r>
    </w:p>
    <w:p w:rsidR="00B8071A" w:rsidRPr="00B8071A" w:rsidRDefault="00B8071A" w:rsidP="00B8071A">
      <w:pPr>
        <w:pStyle w:val="BodyText"/>
        <w:rPr>
          <w:rtl/>
        </w:rPr>
      </w:pPr>
      <w:r w:rsidRPr="00B8071A">
        <w:rPr>
          <w:rFonts w:hint="cs"/>
          <w:b/>
          <w:bCs/>
          <w:rtl/>
        </w:rPr>
        <w:t>ركوب الأمواج:</w:t>
      </w:r>
      <w:r w:rsidRPr="00B8071A">
        <w:rPr>
          <w:rFonts w:hint="cs"/>
          <w:rtl/>
        </w:rPr>
        <w:t xml:space="preserve"> ركوب الأمواج رياضة مائية معروفة تقتضي من "راكبي الأمواج" الوقوف على ألواح والتزلّج على أمواج يتراوح علوّها بين بضعة أقدام و50</w:t>
      </w:r>
      <w:r w:rsidRPr="00B8071A">
        <w:rPr>
          <w:rFonts w:hint="eastAsia"/>
          <w:rtl/>
        </w:rPr>
        <w:t> </w:t>
      </w:r>
      <w:r w:rsidRPr="00B8071A">
        <w:rPr>
          <w:rFonts w:hint="cs"/>
          <w:rtl/>
        </w:rPr>
        <w:t>قدما. وتعود أولى الأدلة على تلك الممارسة إلى ثلاثة آلاف سنة قبل عصرنا عندما كان صائدو الأسماك في غرب بولينيزيا يركبون ألواحا ويشقون طريقهم فوق الأمواج إلى الشاطئ كوسيلة فعالة لنقل صيدهم من البحر.</w:t>
      </w:r>
      <w:r w:rsidRPr="00B8071A">
        <w:rPr>
          <w:vertAlign w:val="superscript"/>
          <w:rtl/>
        </w:rPr>
        <w:footnoteReference w:id="21"/>
      </w:r>
      <w:r w:rsidRPr="00B8071A">
        <w:rPr>
          <w:rFonts w:hint="cs"/>
          <w:rtl/>
        </w:rPr>
        <w:t xml:space="preserve"> وهناك من يقول إن ركوب الأمواج يعود إلى تاريخ أقدم </w:t>
      </w:r>
      <w:r w:rsidRPr="00B8071A">
        <w:rPr>
          <w:rtl/>
        </w:rPr>
        <w:t>–</w:t>
      </w:r>
      <w:r w:rsidRPr="00B8071A">
        <w:rPr>
          <w:rFonts w:hint="cs"/>
          <w:rtl/>
        </w:rPr>
        <w:t xml:space="preserve"> إلى 2000</w:t>
      </w:r>
      <w:r w:rsidRPr="00B8071A">
        <w:rPr>
          <w:rFonts w:hint="eastAsia"/>
          <w:rtl/>
        </w:rPr>
        <w:t> </w:t>
      </w:r>
      <w:r w:rsidRPr="00B8071A">
        <w:rPr>
          <w:rFonts w:hint="cs"/>
          <w:rtl/>
        </w:rPr>
        <w:t xml:space="preserve">سنة قبل الميلاد </w:t>
      </w:r>
      <w:r w:rsidRPr="00B8071A">
        <w:rPr>
          <w:rtl/>
        </w:rPr>
        <w:t>–</w:t>
      </w:r>
      <w:r w:rsidRPr="00B8071A">
        <w:rPr>
          <w:rFonts w:hint="cs"/>
          <w:rtl/>
        </w:rPr>
        <w:t xml:space="preserve"> عندما كان سكان بولينيزيا وجزر المحيط الهادئ القدامى يمارسونه كشكل من أشكال الترفيه.</w:t>
      </w:r>
      <w:r w:rsidRPr="00B8071A">
        <w:rPr>
          <w:vertAlign w:val="superscript"/>
          <w:rtl/>
        </w:rPr>
        <w:footnoteReference w:id="22"/>
      </w:r>
      <w:r w:rsidRPr="00B8071A">
        <w:rPr>
          <w:rFonts w:hint="cs"/>
          <w:rtl/>
        </w:rPr>
        <w:t xml:space="preserve"> ومن المرجّح أن تلك المجتمعات المحلية أخذت معها المعارف الأساسية الخاصة بركوب الأمواج عندما هاجرت شرقا نحو جزر هاواي بحلول عام</w:t>
      </w:r>
      <w:r w:rsidRPr="00B8071A">
        <w:rPr>
          <w:rFonts w:hint="eastAsia"/>
          <w:rtl/>
        </w:rPr>
        <w:t> </w:t>
      </w:r>
      <w:r w:rsidRPr="00B8071A">
        <w:rPr>
          <w:rFonts w:hint="cs"/>
          <w:rtl/>
        </w:rPr>
        <w:t>400 بعد الميلاد.</w:t>
      </w:r>
      <w:r w:rsidRPr="00B8071A">
        <w:rPr>
          <w:vertAlign w:val="superscript"/>
          <w:rtl/>
        </w:rPr>
        <w:footnoteReference w:id="23"/>
      </w:r>
      <w:r w:rsidRPr="00B8071A">
        <w:rPr>
          <w:rFonts w:hint="cs"/>
          <w:rtl/>
        </w:rPr>
        <w:t xml:space="preserve"> وبحلول القرن الثامن عشر، كان سكان جزر هاواي يجيدون فن ركوب الأمواج وأحدثوا تأثيرا مستديما لدى المستكشفين الأوروبيين الذين اندهشوا من قدراتهم في ممارسته.</w:t>
      </w:r>
      <w:r w:rsidRPr="00B8071A">
        <w:rPr>
          <w:vertAlign w:val="superscript"/>
          <w:rtl/>
        </w:rPr>
        <w:footnoteReference w:id="24"/>
      </w:r>
    </w:p>
    <w:p w:rsidR="00B8071A" w:rsidRPr="00B8071A" w:rsidRDefault="00B8071A" w:rsidP="00B8071A">
      <w:pPr>
        <w:pStyle w:val="BodyText"/>
        <w:rPr>
          <w:rtl/>
        </w:rPr>
      </w:pPr>
      <w:r w:rsidRPr="00B8071A">
        <w:rPr>
          <w:rFonts w:hint="cs"/>
          <w:b/>
          <w:bCs/>
          <w:rtl/>
        </w:rPr>
        <w:t>الشكولاتة:</w:t>
      </w:r>
      <w:r w:rsidRPr="00B8071A">
        <w:rPr>
          <w:rFonts w:hint="cs"/>
          <w:rtl/>
        </w:rPr>
        <w:t xml:space="preserve"> الشوكولاتة من أكثر المنتجات استهلاكا على الصعيد العالمي ومن المواد التي شاعت على مدى قرون من الزمن. ففي عام</w:t>
      </w:r>
      <w:r w:rsidRPr="00B8071A">
        <w:rPr>
          <w:rFonts w:hint="eastAsia"/>
          <w:rtl/>
        </w:rPr>
        <w:t> </w:t>
      </w:r>
      <w:r w:rsidRPr="00B8071A">
        <w:rPr>
          <w:rFonts w:hint="cs"/>
          <w:rtl/>
        </w:rPr>
        <w:t>2014 وحده، بلغت الإيرادات المتأتية من الشوكولاتة نحو 117</w:t>
      </w:r>
      <w:r w:rsidRPr="00B8071A">
        <w:rPr>
          <w:rFonts w:hint="eastAsia"/>
          <w:rtl/>
        </w:rPr>
        <w:t> </w:t>
      </w:r>
      <w:r w:rsidRPr="00B8071A">
        <w:rPr>
          <w:rFonts w:hint="cs"/>
          <w:rtl/>
        </w:rPr>
        <w:t>مليار دولار أمريكي.</w:t>
      </w:r>
      <w:r w:rsidRPr="00B8071A">
        <w:rPr>
          <w:vertAlign w:val="superscript"/>
          <w:rtl/>
        </w:rPr>
        <w:footnoteReference w:id="25"/>
      </w:r>
      <w:r w:rsidRPr="00B8071A">
        <w:rPr>
          <w:rFonts w:hint="cs"/>
          <w:rtl/>
        </w:rPr>
        <w:t xml:space="preserve"> وزُرعت الشوكولاتة أوّل مرّة للاستخدام في مشروب اكتشفته قبائل المايا والأزتيك القدامى، التي اكتشفت طريقة لتخمير وتحميص وطحن حبوب الكاكاو التي تنمو في الغابات المطيرة لتحويلها إلى عجينة.</w:t>
      </w:r>
      <w:r w:rsidRPr="00B8071A">
        <w:rPr>
          <w:vertAlign w:val="superscript"/>
          <w:rtl/>
        </w:rPr>
        <w:footnoteReference w:id="26"/>
      </w:r>
      <w:r w:rsidRPr="00B8071A">
        <w:rPr>
          <w:rFonts w:hint="cs"/>
          <w:rtl/>
        </w:rPr>
        <w:t xml:space="preserve"> ثمّ كانت تلك العجينة تُخلط بالماء والفانيلا والعسل والفلفل الحار وتوابل أخرى.</w:t>
      </w:r>
      <w:r w:rsidRPr="00B8071A">
        <w:rPr>
          <w:vertAlign w:val="superscript"/>
          <w:rtl/>
        </w:rPr>
        <w:footnoteReference w:id="27"/>
      </w:r>
      <w:r w:rsidRPr="00B8071A">
        <w:rPr>
          <w:rFonts w:hint="cs"/>
          <w:rtl/>
        </w:rPr>
        <w:t xml:space="preserve"> وكان المحلول النهائي المُسمى "شوكوتال" عبارة عن مشروب من الشكولاتة تبيّن لقبائل المايا والأزتيك أنه يسهم في تحسين المزاج واليقظة والرومانسية.</w:t>
      </w:r>
      <w:r w:rsidRPr="00B8071A">
        <w:rPr>
          <w:vertAlign w:val="superscript"/>
          <w:rtl/>
        </w:rPr>
        <w:footnoteReference w:id="28"/>
      </w:r>
      <w:r w:rsidRPr="00B8071A">
        <w:rPr>
          <w:rFonts w:hint="cs"/>
          <w:rtl/>
        </w:rPr>
        <w:t xml:space="preserve"> ويُحكى أن امبراطور الأزتيك كان يشرب 50</w:t>
      </w:r>
      <w:r w:rsidRPr="00B8071A">
        <w:rPr>
          <w:rFonts w:hint="eastAsia"/>
          <w:rtl/>
        </w:rPr>
        <w:t> </w:t>
      </w:r>
      <w:r w:rsidRPr="00B8071A">
        <w:rPr>
          <w:rFonts w:hint="cs"/>
          <w:rtl/>
        </w:rPr>
        <w:t>قدحا من الشوكوتال يوميا. أما</w:t>
      </w:r>
      <w:r w:rsidRPr="00B8071A">
        <w:rPr>
          <w:rFonts w:hint="eastAsia"/>
          <w:rtl/>
        </w:rPr>
        <w:t> </w:t>
      </w:r>
      <w:r w:rsidRPr="00B8071A">
        <w:rPr>
          <w:rFonts w:hint="cs"/>
          <w:rtl/>
        </w:rPr>
        <w:t>الشوكولاتة الصلبة التي نعرفها اليوم فلم تُستحدث من زبدة الكاكاو إلا اعتبارا من عام</w:t>
      </w:r>
      <w:r w:rsidRPr="00B8071A">
        <w:rPr>
          <w:rFonts w:hint="eastAsia"/>
          <w:rtl/>
        </w:rPr>
        <w:t> </w:t>
      </w:r>
      <w:r w:rsidRPr="00B8071A">
        <w:rPr>
          <w:rFonts w:hint="cs"/>
          <w:rtl/>
        </w:rPr>
        <w:t>1828.</w:t>
      </w:r>
      <w:r w:rsidRPr="00B8071A">
        <w:rPr>
          <w:vertAlign w:val="superscript"/>
          <w:rtl/>
        </w:rPr>
        <w:footnoteReference w:id="29"/>
      </w:r>
    </w:p>
    <w:p w:rsidR="00B8071A" w:rsidRPr="00B8071A" w:rsidRDefault="00B8071A" w:rsidP="00B8071A">
      <w:pPr>
        <w:pStyle w:val="BodyText"/>
        <w:rPr>
          <w:rtl/>
        </w:rPr>
      </w:pPr>
      <w:r w:rsidRPr="00B8071A">
        <w:rPr>
          <w:rFonts w:hint="cs"/>
          <w:b/>
          <w:bCs/>
          <w:rtl/>
        </w:rPr>
        <w:t>المضادات الحيوية:</w:t>
      </w:r>
      <w:r w:rsidRPr="00B8071A">
        <w:rPr>
          <w:rFonts w:hint="cs"/>
          <w:rtl/>
        </w:rPr>
        <w:t xml:space="preserve"> المضادات الحيوية أدوية تقي من حالات العدوى الجرثومية أو تقلّل من حدتها. وهي تُستخدم عادة لعلاج أمراض مثل السعال الديكي والتهاب الحلق والأذن وحالات العدوى التي تصيب الجيوب الأنفية والسبيل البولي.</w:t>
      </w:r>
      <w:r w:rsidRPr="00B8071A">
        <w:rPr>
          <w:vertAlign w:val="superscript"/>
          <w:rtl/>
        </w:rPr>
        <w:footnoteReference w:id="30"/>
      </w:r>
      <w:r w:rsidRPr="00B8071A">
        <w:rPr>
          <w:rFonts w:hint="cs"/>
          <w:rtl/>
        </w:rPr>
        <w:t xml:space="preserve"> وعلى غرار مفعول المضادات الحيوية الحديثة، اكتشفت قبائل الأزتيك في عصر ما قبل كولومبوس أن نُسغ نبات الأغاف الأمريكي (</w:t>
      </w:r>
      <w:r w:rsidRPr="00B8071A">
        <w:rPr>
          <w:i/>
        </w:rPr>
        <w:t>Agave americana</w:t>
      </w:r>
      <w:r w:rsidRPr="00B8071A">
        <w:rPr>
          <w:rFonts w:hint="cs"/>
          <w:rtl/>
        </w:rPr>
        <w:t>) يقي من العدوى ويمكن استخدامه لعلاج الجروح.</w:t>
      </w:r>
      <w:r w:rsidRPr="00B8071A">
        <w:rPr>
          <w:vertAlign w:val="superscript"/>
          <w:rtl/>
        </w:rPr>
        <w:footnoteReference w:id="31"/>
      </w:r>
      <w:r w:rsidRPr="00B8071A">
        <w:rPr>
          <w:rFonts w:hint="cs"/>
          <w:rtl/>
        </w:rPr>
        <w:t xml:space="preserve"> وكان المعالجون الأزتيك يضيفون الملح إلى نُسغ نبات </w:t>
      </w:r>
      <w:r w:rsidRPr="00B8071A">
        <w:rPr>
          <w:rFonts w:hint="cs"/>
          <w:rtl/>
        </w:rPr>
        <w:lastRenderedPageBreak/>
        <w:t>الأغاف أحيانا لزيادة نجاعته.</w:t>
      </w:r>
      <w:r w:rsidRPr="00B8071A">
        <w:rPr>
          <w:vertAlign w:val="superscript"/>
          <w:rtl/>
        </w:rPr>
        <w:footnoteReference w:id="32"/>
      </w:r>
      <w:r w:rsidRPr="00B8071A">
        <w:rPr>
          <w:rFonts w:hint="cs"/>
          <w:rtl/>
        </w:rPr>
        <w:t xml:space="preserve"> وهناك جماعة أصلية أخرى تُسمى الماكا كانت تعيش في عصر ما</w:t>
      </w:r>
      <w:r w:rsidRPr="00B8071A">
        <w:rPr>
          <w:rFonts w:hint="eastAsia"/>
          <w:rtl/>
        </w:rPr>
        <w:t> </w:t>
      </w:r>
      <w:r w:rsidRPr="00B8071A">
        <w:rPr>
          <w:rFonts w:hint="cs"/>
          <w:rtl/>
        </w:rPr>
        <w:t>قبل كولومبوس في ولاية واشنطن الحالية استخدمت نبات القيصوم (</w:t>
      </w:r>
      <w:r w:rsidRPr="00B8071A">
        <w:rPr>
          <w:i/>
          <w:iCs/>
        </w:rPr>
        <w:t>Achillea millefolium</w:t>
      </w:r>
      <w:r w:rsidRPr="00B8071A">
        <w:rPr>
          <w:rFonts w:hint="cs"/>
          <w:rtl/>
        </w:rPr>
        <w:t>) كمضاد حيوي.</w:t>
      </w:r>
      <w:r w:rsidRPr="00B8071A">
        <w:rPr>
          <w:vertAlign w:val="superscript"/>
          <w:rtl/>
        </w:rPr>
        <w:footnoteReference w:id="33"/>
      </w:r>
    </w:p>
    <w:p w:rsidR="00B8071A" w:rsidRPr="00B8071A" w:rsidRDefault="00B8071A" w:rsidP="00B8071A">
      <w:pPr>
        <w:pStyle w:val="BodyText"/>
        <w:rPr>
          <w:rtl/>
        </w:rPr>
      </w:pPr>
      <w:r w:rsidRPr="00B8071A">
        <w:rPr>
          <w:rFonts w:hint="cs"/>
          <w:b/>
          <w:bCs/>
          <w:rtl/>
        </w:rPr>
        <w:t>الشاي:</w:t>
      </w:r>
      <w:r w:rsidRPr="00B8071A">
        <w:rPr>
          <w:rFonts w:hint="cs"/>
          <w:rtl/>
        </w:rPr>
        <w:t xml:space="preserve"> الشاي من المشروبات الأكثر شيوعا في العالم. ويقيّم بعض المحلّلون سوق الشاي في العالم بنحو 40</w:t>
      </w:r>
      <w:r w:rsidRPr="00B8071A">
        <w:rPr>
          <w:rFonts w:hint="eastAsia"/>
          <w:rtl/>
        </w:rPr>
        <w:t> </w:t>
      </w:r>
      <w:r w:rsidRPr="00B8071A">
        <w:rPr>
          <w:rFonts w:hint="cs"/>
          <w:rtl/>
        </w:rPr>
        <w:t>مليار دولار أمريكي.</w:t>
      </w:r>
      <w:r w:rsidRPr="00B8071A">
        <w:rPr>
          <w:vertAlign w:val="superscript"/>
          <w:rtl/>
        </w:rPr>
        <w:footnoteReference w:id="34"/>
      </w:r>
      <w:r w:rsidRPr="00B8071A">
        <w:rPr>
          <w:rFonts w:hint="cs"/>
          <w:rtl/>
        </w:rPr>
        <w:t xml:space="preserve"> ولا يُعرف بالتحديد منشأ الشاي، ولكن بعض المؤرخين يرجعون ظهوره إلى الصين القديمة عندما اكتشفه الامبراطور شين نونغ في عام</w:t>
      </w:r>
      <w:r w:rsidRPr="00B8071A">
        <w:rPr>
          <w:rFonts w:hint="eastAsia"/>
          <w:rtl/>
        </w:rPr>
        <w:t> </w:t>
      </w:r>
      <w:r w:rsidRPr="00B8071A">
        <w:rPr>
          <w:rFonts w:hint="cs"/>
          <w:rtl/>
        </w:rPr>
        <w:t>2737 قبل الميلاد بعد أن سقطت أوراق من الشاي عرضيا في قدحه المملوءة بالماء الساخن. ولاحظ الامبراطور الميزات المنعشة لذلك المزيج بعد أن شربه.</w:t>
      </w:r>
      <w:r w:rsidRPr="00B8071A">
        <w:rPr>
          <w:vertAlign w:val="superscript"/>
          <w:rtl/>
        </w:rPr>
        <w:footnoteReference w:id="35"/>
      </w:r>
      <w:r w:rsidRPr="00B8071A">
        <w:rPr>
          <w:rFonts w:hint="cs"/>
          <w:rtl/>
        </w:rPr>
        <w:t xml:space="preserve"> ومع اكتساب الصين لثقافة الشاي، بدأ الناس يكتشفون خصائصه الطبية وميزاته المنعشة وأصبحت تلك الحقائق واسعة الانتشار.</w:t>
      </w:r>
      <w:r w:rsidRPr="00B8071A">
        <w:rPr>
          <w:vertAlign w:val="superscript"/>
          <w:rtl/>
        </w:rPr>
        <w:footnoteReference w:id="36"/>
      </w:r>
      <w:r w:rsidRPr="00B8071A">
        <w:rPr>
          <w:rFonts w:hint="cs"/>
          <w:rtl/>
        </w:rPr>
        <w:t xml:space="preserve"> وهناك أيضا بعض الأدلة على احتمال نشأة الشاي في منطقة التبت القديمة أو شمال الهند.</w:t>
      </w:r>
      <w:r w:rsidRPr="00B8071A">
        <w:rPr>
          <w:vertAlign w:val="superscript"/>
          <w:rtl/>
        </w:rPr>
        <w:footnoteReference w:id="37"/>
      </w:r>
    </w:p>
    <w:p w:rsidR="00B8071A" w:rsidRPr="00B8071A" w:rsidRDefault="00B8071A" w:rsidP="00B8071A">
      <w:pPr>
        <w:pStyle w:val="BodyText"/>
        <w:rPr>
          <w:rtl/>
        </w:rPr>
      </w:pPr>
      <w:r w:rsidRPr="00B8071A">
        <w:rPr>
          <w:rFonts w:hint="cs"/>
          <w:b/>
          <w:bCs/>
          <w:rtl/>
        </w:rPr>
        <w:t>القهوة:</w:t>
      </w:r>
      <w:r w:rsidRPr="00B8071A">
        <w:rPr>
          <w:rFonts w:hint="cs"/>
          <w:rtl/>
        </w:rPr>
        <w:t xml:space="preserve"> القهوة هي ربّما أكثر المشروبات استهلاكا في العالم. فالإحصاءات تشير إلى أن الأمريكيين يستهلكون ما معدله 3.1</w:t>
      </w:r>
      <w:r w:rsidRPr="00B8071A">
        <w:rPr>
          <w:rFonts w:hint="eastAsia"/>
          <w:rtl/>
        </w:rPr>
        <w:t> </w:t>
      </w:r>
      <w:r w:rsidRPr="00B8071A">
        <w:rPr>
          <w:rFonts w:hint="cs"/>
          <w:rtl/>
        </w:rPr>
        <w:t>كوب من القهوة يوميا.</w:t>
      </w:r>
      <w:r w:rsidRPr="00B8071A">
        <w:rPr>
          <w:vertAlign w:val="superscript"/>
          <w:rtl/>
        </w:rPr>
        <w:footnoteReference w:id="38"/>
      </w:r>
      <w:r w:rsidRPr="00B8071A">
        <w:rPr>
          <w:rFonts w:hint="cs"/>
          <w:rtl/>
        </w:rPr>
        <w:t xml:space="preserve"> والقهوة تُنتج حاليا في أكثر من 50</w:t>
      </w:r>
      <w:r w:rsidRPr="00B8071A">
        <w:rPr>
          <w:rFonts w:hint="eastAsia"/>
          <w:rtl/>
        </w:rPr>
        <w:t> </w:t>
      </w:r>
      <w:r w:rsidRPr="00B8071A">
        <w:rPr>
          <w:rFonts w:hint="cs"/>
          <w:rtl/>
        </w:rPr>
        <w:t>بلدا، ولكنها موجودة بشكل طبيعي منذ آلاف السنين. ويزعم البعض أن مكتشفها هو أحد رعاة الماعز في إثيوبيا كان يُدعى كالدي، وقد لاحظ ذلك الراعي أن قطيعه اكتسب في يوم ما طاقة فائقة بعد أن أكل الحبوب الحمراء لنبات البنّ.</w:t>
      </w:r>
      <w:r w:rsidRPr="00B8071A">
        <w:rPr>
          <w:vertAlign w:val="superscript"/>
          <w:rtl/>
        </w:rPr>
        <w:footnoteReference w:id="39"/>
      </w:r>
      <w:r w:rsidRPr="00B8071A">
        <w:rPr>
          <w:rFonts w:hint="cs"/>
          <w:rtl/>
        </w:rPr>
        <w:t xml:space="preserve"> ودفع الفضول كالدي إلى تناول بعضا من تلك الحبوب، ولاحظ أن لها المفعول نفسه لديه.</w:t>
      </w:r>
      <w:r w:rsidRPr="00B8071A">
        <w:rPr>
          <w:vertAlign w:val="superscript"/>
          <w:rtl/>
        </w:rPr>
        <w:footnoteReference w:id="40"/>
      </w:r>
      <w:r w:rsidRPr="00B8071A">
        <w:rPr>
          <w:rFonts w:hint="cs"/>
          <w:rtl/>
        </w:rPr>
        <w:t xml:space="preserve"> وتقول الأسطورة إنه تقاسم تلك الحبوب مع راهب كان يصعب عليه البقاء مستيقظا أثناء أداء الصلوات.</w:t>
      </w:r>
      <w:r w:rsidRPr="00B8071A">
        <w:rPr>
          <w:vertAlign w:val="superscript"/>
          <w:rtl/>
        </w:rPr>
        <w:footnoteReference w:id="41"/>
      </w:r>
    </w:p>
    <w:p w:rsidR="00B8071A" w:rsidRPr="00B8071A" w:rsidRDefault="00B8071A" w:rsidP="00B8071A">
      <w:pPr>
        <w:pStyle w:val="BodyText"/>
        <w:rPr>
          <w:rtl/>
        </w:rPr>
      </w:pPr>
      <w:r w:rsidRPr="00B8071A">
        <w:rPr>
          <w:rFonts w:hint="cs"/>
          <w:b/>
          <w:bCs/>
          <w:rtl/>
        </w:rPr>
        <w:t>العلكة:</w:t>
      </w:r>
      <w:r w:rsidRPr="00B8071A">
        <w:rPr>
          <w:rFonts w:hint="cs"/>
          <w:rtl/>
        </w:rPr>
        <w:t xml:space="preserve"> العلكة منتج آخر يعود منشؤه إلى الشعوب الأصلية. فقد كانت قبائل المايا في فترة ما قبل كولومبوس تمضغ علكة طبيعية تُعرف باسم "تشيكل"، وهي مادة مستخرجة من شجرة السبوتة،</w:t>
      </w:r>
      <w:r w:rsidRPr="00B8071A">
        <w:rPr>
          <w:vertAlign w:val="superscript"/>
          <w:rtl/>
        </w:rPr>
        <w:footnoteReference w:id="42"/>
      </w:r>
      <w:r w:rsidRPr="00B8071A">
        <w:rPr>
          <w:rFonts w:hint="cs"/>
          <w:rtl/>
        </w:rPr>
        <w:t xml:space="preserve"> التي تنمو في جنوب المكسيك وأمريكا الوسطى.</w:t>
      </w:r>
      <w:r w:rsidRPr="00B8071A">
        <w:rPr>
          <w:vertAlign w:val="superscript"/>
          <w:rtl/>
        </w:rPr>
        <w:footnoteReference w:id="43"/>
      </w:r>
      <w:r w:rsidRPr="00B8071A">
        <w:rPr>
          <w:rFonts w:hint="cs"/>
          <w:rtl/>
        </w:rPr>
        <w:t xml:space="preserve"> وكان ذلك المضغ يسهم في مقاومة الجوع والعطش.</w:t>
      </w:r>
      <w:r w:rsidRPr="00B8071A">
        <w:rPr>
          <w:vertAlign w:val="superscript"/>
          <w:rtl/>
        </w:rPr>
        <w:footnoteReference w:id="44"/>
      </w:r>
      <w:r w:rsidRPr="00B8071A">
        <w:rPr>
          <w:rFonts w:hint="cs"/>
          <w:rtl/>
        </w:rPr>
        <w:t xml:space="preserve"> ولاحظت تلك القبائل أنه عندما يُقطع لحاء شجرة السبوتة أو</w:t>
      </w:r>
      <w:r w:rsidRPr="00B8071A">
        <w:rPr>
          <w:rFonts w:hint="eastAsia"/>
          <w:rtl/>
        </w:rPr>
        <w:t> </w:t>
      </w:r>
      <w:r w:rsidRPr="00B8071A">
        <w:rPr>
          <w:rFonts w:hint="cs"/>
          <w:rtl/>
        </w:rPr>
        <w:t>تغزوه الحشرات، تُفرز من الشجرة مادة بيضاء لزجة كاللبن لتصبح غشاء واقيا يحمي الموضع المتضرّر. وتلك المادة هي لثى "تشيكل"، وهو المصدر الأصلي للعلكة.</w:t>
      </w:r>
      <w:r w:rsidRPr="00B8071A">
        <w:rPr>
          <w:vertAlign w:val="superscript"/>
          <w:rtl/>
        </w:rPr>
        <w:footnoteReference w:id="45"/>
      </w:r>
      <w:r w:rsidRPr="00B8071A">
        <w:rPr>
          <w:rFonts w:hint="cs"/>
          <w:rtl/>
        </w:rPr>
        <w:t xml:space="preserve"> وأطلقت قبائل المايا على تلك العلكة اسم "تسيكتلي" بسبب ملمسه وحلاوته.</w:t>
      </w:r>
      <w:r w:rsidRPr="00B8071A">
        <w:rPr>
          <w:vertAlign w:val="superscript"/>
          <w:rtl/>
        </w:rPr>
        <w:footnoteReference w:id="46"/>
      </w:r>
      <w:r w:rsidRPr="00B8071A">
        <w:rPr>
          <w:rFonts w:hint="cs"/>
          <w:rtl/>
        </w:rPr>
        <w:t xml:space="preserve"> وكان الجنرال المكسيكي أنتونيو لوبيس دي سانتا آنا أوّل من جلب علكة "تشيكل" إلى الولايات المتحدة في عام</w:t>
      </w:r>
      <w:r w:rsidRPr="00B8071A">
        <w:rPr>
          <w:rFonts w:hint="eastAsia"/>
          <w:rtl/>
        </w:rPr>
        <w:t> </w:t>
      </w:r>
      <w:r w:rsidRPr="00B8071A">
        <w:rPr>
          <w:rFonts w:hint="cs"/>
          <w:rtl/>
        </w:rPr>
        <w:t>1855 عندما نُفي من المكسيك.</w:t>
      </w:r>
      <w:r w:rsidRPr="00B8071A">
        <w:rPr>
          <w:vertAlign w:val="superscript"/>
          <w:rtl/>
        </w:rPr>
        <w:footnoteReference w:id="47"/>
      </w:r>
      <w:r w:rsidRPr="00B8071A">
        <w:rPr>
          <w:rFonts w:hint="cs"/>
          <w:rtl/>
        </w:rPr>
        <w:t xml:space="preserve"> وفي أواخر القرن الثامن عشر ومطلع القرن التاسع عشر، أصبحت مادة "تشيكل" تشكّل أساس صناعة العلكة في أمريكا.</w:t>
      </w:r>
      <w:r w:rsidRPr="00B8071A">
        <w:rPr>
          <w:vertAlign w:val="superscript"/>
          <w:rtl/>
        </w:rPr>
        <w:footnoteReference w:id="48"/>
      </w:r>
    </w:p>
    <w:p w:rsidR="00B8071A" w:rsidRPr="00B8071A" w:rsidRDefault="00B8071A" w:rsidP="00B8071A">
      <w:pPr>
        <w:pStyle w:val="BodyText"/>
        <w:rPr>
          <w:rtl/>
        </w:rPr>
      </w:pPr>
      <w:r w:rsidRPr="00B8071A">
        <w:rPr>
          <w:rFonts w:hint="cs"/>
          <w:b/>
          <w:bCs/>
          <w:rtl/>
        </w:rPr>
        <w:t>المطاط:</w:t>
      </w:r>
      <w:r w:rsidRPr="00B8071A">
        <w:rPr>
          <w:rFonts w:hint="cs"/>
          <w:rtl/>
        </w:rPr>
        <w:t xml:space="preserve"> المطاط عنصر أساسي في كثير من المنتجات، بما في ذلك الأحذية والمواد اللاصقة والأحزمة وإطارات العجلات والعدسات اللاصقة والكرات والبالونات واللُعب. ويُسند فضل اكتشاف المطاط المُفلكن إلى تشارلز غوديير، ولكنّ المطاط مادة معروفة منذ قرون. فعندما اكتشف كولومبوس هيسبانيولا في عام</w:t>
      </w:r>
      <w:r w:rsidRPr="00B8071A">
        <w:rPr>
          <w:rFonts w:hint="eastAsia"/>
          <w:rtl/>
        </w:rPr>
        <w:t> </w:t>
      </w:r>
      <w:r w:rsidRPr="00B8071A">
        <w:rPr>
          <w:rFonts w:hint="cs"/>
          <w:rtl/>
        </w:rPr>
        <w:t>1492، شاهد السكان الأصليين يلعبون بكرات مطاطية.</w:t>
      </w:r>
      <w:r w:rsidRPr="00B8071A">
        <w:rPr>
          <w:vertAlign w:val="superscript"/>
          <w:rtl/>
        </w:rPr>
        <w:footnoteReference w:id="49"/>
      </w:r>
      <w:r w:rsidRPr="00B8071A">
        <w:rPr>
          <w:rFonts w:hint="cs"/>
          <w:rtl/>
        </w:rPr>
        <w:t xml:space="preserve"> كما لاحظ فريار خوان دي توركيميدا المنتمي إلى الرهبنة الفرانسيسكانية بالمكسيك، في عام</w:t>
      </w:r>
      <w:r w:rsidRPr="00B8071A">
        <w:rPr>
          <w:rFonts w:hint="eastAsia"/>
          <w:rtl/>
        </w:rPr>
        <w:t> </w:t>
      </w:r>
      <w:r w:rsidRPr="00B8071A">
        <w:rPr>
          <w:rFonts w:hint="cs"/>
          <w:rtl/>
        </w:rPr>
        <w:t>1615، استخدام السكان الأصليين للثى كانوا يستخرجونه من أشجار المطاط.</w:t>
      </w:r>
      <w:r w:rsidRPr="00B8071A">
        <w:rPr>
          <w:vertAlign w:val="superscript"/>
          <w:rtl/>
        </w:rPr>
        <w:footnoteReference w:id="50"/>
      </w:r>
      <w:r w:rsidRPr="00B8071A">
        <w:rPr>
          <w:rFonts w:hint="cs"/>
          <w:rtl/>
        </w:rPr>
        <w:t xml:space="preserve"> واكتشف هؤلاء السكان أنه يمكن استحداث المطاط من المادة البيضاء التي تُفرز عندما تُقطع سيقان نباتات من جنس الهندباء أو الصُقلاب.</w:t>
      </w:r>
      <w:r w:rsidRPr="00B8071A">
        <w:rPr>
          <w:vertAlign w:val="superscript"/>
          <w:rtl/>
        </w:rPr>
        <w:footnoteReference w:id="51"/>
      </w:r>
      <w:r w:rsidRPr="00B8071A">
        <w:rPr>
          <w:rFonts w:hint="cs"/>
          <w:rtl/>
        </w:rPr>
        <w:t xml:space="preserve"> وذلك السائل الأبيض هو اللثى، الذي يُعد المكوّن الأساسي للمطاط الطبيعي.</w:t>
      </w:r>
    </w:p>
    <w:p w:rsidR="00B8071A" w:rsidRPr="00B8071A" w:rsidRDefault="00B8071A" w:rsidP="00B8071A">
      <w:pPr>
        <w:pStyle w:val="BodyText"/>
        <w:rPr>
          <w:rtl/>
        </w:rPr>
      </w:pPr>
      <w:r w:rsidRPr="00B8071A">
        <w:rPr>
          <w:rFonts w:hint="cs"/>
          <w:b/>
          <w:bCs/>
          <w:rtl/>
        </w:rPr>
        <w:lastRenderedPageBreak/>
        <w:t>الغورغونزولا:</w:t>
      </w:r>
      <w:r w:rsidRPr="00B8071A">
        <w:rPr>
          <w:rFonts w:hint="cs"/>
          <w:rtl/>
        </w:rPr>
        <w:t xml:space="preserve"> الغورغونزولا (أو ما يُعرف في إيطاليا باسم "ستراتشينو دي غوغونزولا") هو الجبن المشهور عالميا والذي يُصنع أساسا في منطقتي بييمونتي ولومبارديا بإيطاليا.</w:t>
      </w:r>
      <w:r w:rsidRPr="00B8071A">
        <w:rPr>
          <w:vertAlign w:val="superscript"/>
          <w:rtl/>
        </w:rPr>
        <w:footnoteReference w:id="52"/>
      </w:r>
      <w:r w:rsidRPr="00B8071A">
        <w:rPr>
          <w:rFonts w:hint="cs"/>
          <w:rtl/>
        </w:rPr>
        <w:t xml:space="preserve"> ويُعرف ذلك الجبن بملمسه الناعم والهشّ ولونه المتميّز.</w:t>
      </w:r>
      <w:r w:rsidRPr="00B8071A">
        <w:rPr>
          <w:vertAlign w:val="superscript"/>
          <w:rtl/>
        </w:rPr>
        <w:footnoteReference w:id="53"/>
      </w:r>
      <w:r w:rsidRPr="00B8071A">
        <w:rPr>
          <w:rFonts w:hint="cs"/>
          <w:rtl/>
        </w:rPr>
        <w:t xml:space="preserve"> وهناك أساطير عدة عن اكتشافه. فيُحكى، في إحداها، أن شابا من صانعي الجبن في إيطاليا خلال القرن الخامس عشر غفل أثناء عمله وترك سهوا خثارة اللبن ليلة كاملة في قبو شديد الرطوبة.</w:t>
      </w:r>
      <w:r w:rsidRPr="00B8071A">
        <w:rPr>
          <w:vertAlign w:val="superscript"/>
          <w:rtl/>
        </w:rPr>
        <w:footnoteReference w:id="54"/>
      </w:r>
      <w:r w:rsidRPr="00B8071A">
        <w:rPr>
          <w:rFonts w:hint="cs"/>
          <w:rtl/>
        </w:rPr>
        <w:t xml:space="preserve"> وفي صباح اليوم التالي، حاول أن يتدارك خطأه فمزج خثارة الليلة السابقة بخثارة الصباح الجديدة. وبعد عدة أسابيع ، لاحظ أن مزيج الجبن الذي أعدّه أصبح أخضر اللون في جزء منه. عندها دفعه الفضول إلى تذوّق الجبن فوجده لذيذا. ثمّ وضع عيدانا داخله لجعل الهواء يتسرّب منه وإعطائه شكلا وطعما منفردين.</w:t>
      </w:r>
      <w:r w:rsidRPr="00B8071A">
        <w:rPr>
          <w:vertAlign w:val="superscript"/>
          <w:rtl/>
        </w:rPr>
        <w:footnoteReference w:id="55"/>
      </w:r>
      <w:r w:rsidRPr="00B8071A">
        <w:rPr>
          <w:rFonts w:hint="cs"/>
          <w:rtl/>
        </w:rPr>
        <w:t xml:space="preserve"> وهناك رواية أخرى عن الغورغونزولا يُحكى فيها أنه اكتُشف خلال العصر الروماني عندما كانت قطعان البقر تنتجع الكلأ من جبال الألب إلى المراعي الخصبة لنهر بو، قرب مدينة غورغونزولا بإيطاليا.</w:t>
      </w:r>
      <w:r w:rsidRPr="00B8071A">
        <w:rPr>
          <w:vertAlign w:val="superscript"/>
          <w:rtl/>
        </w:rPr>
        <w:footnoteReference w:id="56"/>
      </w:r>
      <w:r w:rsidRPr="00B8071A">
        <w:rPr>
          <w:rFonts w:hint="cs"/>
          <w:rtl/>
        </w:rPr>
        <w:t xml:space="preserve"> وتقول الأسطورة إن كثيرا من تلك الأبقار كانت تنزل من الجبال، مما جعل أهل المدينة يخترعون جبن الغورغونزولا للاحتفاظ بكل ما تدرّه من لبن.</w:t>
      </w:r>
      <w:r w:rsidRPr="00B8071A">
        <w:rPr>
          <w:vertAlign w:val="superscript"/>
          <w:rtl/>
        </w:rPr>
        <w:footnoteReference w:id="57"/>
      </w:r>
    </w:p>
    <w:p w:rsidR="00B8071A" w:rsidRPr="00B8071A" w:rsidRDefault="00B8071A" w:rsidP="00B8071A">
      <w:pPr>
        <w:pStyle w:val="BodyText"/>
      </w:pPr>
      <w:r w:rsidRPr="00B8071A">
        <w:rPr>
          <w:rFonts w:hint="cs"/>
          <w:b/>
          <w:bCs/>
          <w:rtl/>
        </w:rPr>
        <w:t>التشورتشخيلا:</w:t>
      </w:r>
      <w:r w:rsidRPr="00B8071A">
        <w:rPr>
          <w:rFonts w:hint="cs"/>
          <w:rtl/>
        </w:rPr>
        <w:t xml:space="preserve"> التشورتشخيلا حلوى تقليدية لها شكل السجق ويقع منشؤها في منطقة القوقاز، وتحديدا في منطقة كاخيتي بجورجيا.</w:t>
      </w:r>
      <w:r w:rsidRPr="00B8071A">
        <w:rPr>
          <w:vertAlign w:val="superscript"/>
          <w:rtl/>
        </w:rPr>
        <w:footnoteReference w:id="58"/>
      </w:r>
      <w:r w:rsidRPr="00B8071A">
        <w:rPr>
          <w:rFonts w:hint="cs"/>
          <w:rtl/>
        </w:rPr>
        <w:t xml:space="preserve"> وهي مصنوعة من عصير العنب والمكسرات والطحين. ويعود تاريخ التشورتشخيلا إلى العصور القديمة عندما كان المحاربون الجورجيون يأخذون في جعبتهم هذه الوجبة الصغيرة التي تُحفظ بسهولة لاحتوائها على طاقة عالية وبقائها صالحة للاستهلاك لمدة طويلة.</w:t>
      </w:r>
      <w:r w:rsidRPr="00B8071A">
        <w:rPr>
          <w:vertAlign w:val="superscript"/>
          <w:rtl/>
        </w:rPr>
        <w:footnoteReference w:id="59"/>
      </w:r>
      <w:r w:rsidRPr="00B8071A">
        <w:rPr>
          <w:rFonts w:hint="cs"/>
          <w:rtl/>
        </w:rPr>
        <w:t xml:space="preserve"> </w:t>
      </w:r>
      <w:r w:rsidRPr="00B8071A">
        <w:rPr>
          <w:vertAlign w:val="superscript"/>
          <w:rtl/>
        </w:rPr>
        <w:footnoteReference w:id="60"/>
      </w:r>
      <w:r w:rsidRPr="00B8071A">
        <w:rPr>
          <w:rFonts w:hint="cs"/>
          <w:rtl/>
        </w:rPr>
        <w:t>. وتُصنع التشورتشخيلا عادة في الخريف عندما تُجني مكوناتها الرئيسية، أي العنب والمكسرات. وهي عبارة عن شريط من أنصاف جوز (أو مكسرات أخرى) مغموسة في عصير العنب ومُخثّرة بالطحين ومجفّفة تحت</w:t>
      </w:r>
      <w:r w:rsidRPr="00B8071A">
        <w:rPr>
          <w:rFonts w:hint="eastAsia"/>
          <w:rtl/>
        </w:rPr>
        <w:t> </w:t>
      </w:r>
      <w:r w:rsidRPr="00B8071A">
        <w:rPr>
          <w:rFonts w:hint="cs"/>
          <w:rtl/>
        </w:rPr>
        <w:t>الشمس.</w:t>
      </w:r>
      <w:r w:rsidRPr="00B8071A">
        <w:rPr>
          <w:vertAlign w:val="superscript"/>
          <w:rtl/>
        </w:rPr>
        <w:footnoteReference w:id="61"/>
      </w:r>
    </w:p>
    <w:p w:rsidR="00B8071A" w:rsidRPr="00B8071A" w:rsidRDefault="00B8071A" w:rsidP="00B8071A">
      <w:pPr>
        <w:pStyle w:val="BodyText"/>
        <w:rPr>
          <w:b/>
          <w:bCs/>
          <w:sz w:val="24"/>
          <w:szCs w:val="24"/>
          <w:rtl/>
        </w:rPr>
      </w:pPr>
      <w:r w:rsidRPr="00B8071A">
        <w:rPr>
          <w:rFonts w:hint="cs"/>
          <w:b/>
          <w:bCs/>
          <w:sz w:val="24"/>
          <w:szCs w:val="24"/>
          <w:rtl/>
        </w:rPr>
        <w:t>ثالثا.</w:t>
      </w:r>
      <w:r w:rsidRPr="00B8071A">
        <w:rPr>
          <w:b/>
          <w:bCs/>
          <w:sz w:val="24"/>
          <w:szCs w:val="24"/>
          <w:rtl/>
        </w:rPr>
        <w:tab/>
      </w:r>
      <w:r w:rsidRPr="00B8071A">
        <w:rPr>
          <w:rFonts w:hint="cs"/>
          <w:b/>
          <w:bCs/>
          <w:sz w:val="24"/>
          <w:szCs w:val="24"/>
          <w:rtl/>
        </w:rPr>
        <w:t>خلاصة</w:t>
      </w:r>
    </w:p>
    <w:p w:rsidR="00B8071A" w:rsidRPr="00B8071A" w:rsidRDefault="00B8071A" w:rsidP="00B8071A">
      <w:pPr>
        <w:pStyle w:val="BodyText"/>
        <w:rPr>
          <w:rtl/>
        </w:rPr>
      </w:pPr>
      <w:r w:rsidRPr="00B8071A">
        <w:rPr>
          <w:rFonts w:hint="cs"/>
          <w:rtl/>
        </w:rPr>
        <w:t>الغرض من هذه الوثيقة هو إثراء النقاش حول بيان الموضوع القابل للحماية والموضوع الذي ينبغي استثناؤه منها من ضمن موضوعات المعارف التقليدية. وندعو الأعضاء الآخرين إلى التعليق على الأمثلة الواردة في هذه الوثيقة وتحديد أمثلة أخرى للنقاش. وستساعدنا مناقشتنا لتلك الأمثلة على تنفيذ ولايتنا وهي التوصل إلى تفاهم مشترك حول الموضوع الذي يحق له الاستفادة من الحماية على الصعيد الدولي من ضمن موضوعات المعارف التقليدية. وستساعدنا أيضا على معالجة قضية أساسية عالقة في مفاوضاتنا.</w:t>
      </w:r>
    </w:p>
    <w:p w:rsidR="005B01D9" w:rsidRPr="005B01D9" w:rsidRDefault="005B01D9" w:rsidP="005B01D9">
      <w:pPr>
        <w:pStyle w:val="BodyText"/>
        <w:rPr>
          <w:rtl/>
        </w:rPr>
      </w:pPr>
    </w:p>
    <w:p w:rsidR="00FE339E" w:rsidRDefault="005B01D9" w:rsidP="005B01D9">
      <w:pPr>
        <w:pStyle w:val="Endofdocument-Annex"/>
        <w:rPr>
          <w:rtl/>
        </w:rPr>
      </w:pPr>
      <w:r w:rsidRPr="005B01D9">
        <w:rPr>
          <w:rFonts w:hint="cs"/>
          <w:rtl/>
        </w:rPr>
        <w:t>[نهاية المرفق والوثيقة]</w:t>
      </w:r>
    </w:p>
    <w:sectPr w:rsidR="00FE339E" w:rsidSect="00151689">
      <w:headerReference w:type="default" r:id="rId13"/>
      <w:headerReference w:type="first" r:id="rId14"/>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DF5" w:rsidRDefault="009D0DF5">
      <w:r>
        <w:separator/>
      </w:r>
    </w:p>
  </w:endnote>
  <w:endnote w:type="continuationSeparator" w:id="0">
    <w:p w:rsidR="009D0DF5" w:rsidRDefault="009D0DF5" w:rsidP="003B38C1">
      <w:r>
        <w:separator/>
      </w:r>
    </w:p>
    <w:p w:rsidR="009D0DF5" w:rsidRPr="003B38C1" w:rsidRDefault="009D0DF5" w:rsidP="003B38C1">
      <w:pPr>
        <w:spacing w:after="60"/>
        <w:rPr>
          <w:sz w:val="17"/>
        </w:rPr>
      </w:pPr>
      <w:r>
        <w:rPr>
          <w:sz w:val="17"/>
        </w:rPr>
        <w:t>[Endnote continued from previous page]</w:t>
      </w:r>
    </w:p>
  </w:endnote>
  <w:endnote w:type="continuationNotice" w:id="1">
    <w:p w:rsidR="009D0DF5" w:rsidRPr="003B38C1" w:rsidRDefault="009D0DF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DF5" w:rsidRDefault="009D0DF5">
      <w:r>
        <w:separator/>
      </w:r>
    </w:p>
  </w:footnote>
  <w:footnote w:type="continuationSeparator" w:id="0">
    <w:p w:rsidR="009D0DF5" w:rsidRDefault="009D0DF5" w:rsidP="008B60B2">
      <w:r>
        <w:separator/>
      </w:r>
    </w:p>
    <w:p w:rsidR="009D0DF5" w:rsidRPr="00ED77FB" w:rsidRDefault="009D0DF5" w:rsidP="008B60B2">
      <w:pPr>
        <w:spacing w:after="60"/>
        <w:rPr>
          <w:sz w:val="17"/>
          <w:szCs w:val="17"/>
        </w:rPr>
      </w:pPr>
      <w:r w:rsidRPr="00ED77FB">
        <w:rPr>
          <w:sz w:val="17"/>
          <w:szCs w:val="17"/>
        </w:rPr>
        <w:t>[Footnote continued from previous page]</w:t>
      </w:r>
    </w:p>
  </w:footnote>
  <w:footnote w:type="continuationNotice" w:id="1">
    <w:p w:rsidR="009D0DF5" w:rsidRPr="00ED77FB" w:rsidRDefault="009D0DF5" w:rsidP="008B60B2">
      <w:pPr>
        <w:spacing w:before="60"/>
        <w:jc w:val="right"/>
        <w:rPr>
          <w:sz w:val="17"/>
          <w:szCs w:val="17"/>
        </w:rPr>
      </w:pPr>
      <w:r w:rsidRPr="00ED77FB">
        <w:rPr>
          <w:sz w:val="17"/>
          <w:szCs w:val="17"/>
        </w:rPr>
        <w:t>[Footnote continued on next page]</w:t>
      </w:r>
    </w:p>
  </w:footnote>
  <w:footnote w:id="2">
    <w:p w:rsidR="00B8071A" w:rsidRDefault="00B8071A" w:rsidP="00B8071A">
      <w:pPr>
        <w:pStyle w:val="FootnoteText"/>
      </w:pPr>
      <w:r w:rsidRPr="002E31F0">
        <w:rPr>
          <w:rStyle w:val="FootnoteReference"/>
        </w:rPr>
        <w:footnoteRef/>
      </w:r>
      <w:r>
        <w:rPr>
          <w:rtl/>
        </w:rPr>
        <w:t xml:space="preserve"> </w:t>
      </w:r>
      <w:r>
        <w:rPr>
          <w:rFonts w:hint="cs"/>
          <w:rtl/>
        </w:rPr>
        <w:t>موسوعة إسهامات الهنود الأمريكيين في إنجازات العالم: 000</w:t>
      </w:r>
      <w:r>
        <w:rPr>
          <w:rFonts w:hint="eastAsia"/>
          <w:rtl/>
        </w:rPr>
        <w:t> </w:t>
      </w:r>
      <w:r>
        <w:rPr>
          <w:rFonts w:hint="cs"/>
          <w:rtl/>
        </w:rPr>
        <w:t>15 سنة من الاختراعات والابتكارات، ص.257 (إيموري دين كيوكي وكي ماري بوترفيلد، شركة</w:t>
      </w:r>
      <w:r>
        <w:rPr>
          <w:rFonts w:hint="eastAsia"/>
          <w:rtl/>
        </w:rPr>
        <w:t> </w:t>
      </w:r>
      <w:r>
        <w:rPr>
          <w:rFonts w:hint="cs"/>
          <w:rtl/>
        </w:rPr>
        <w:t>فاكتس أون فايل، 2003).</w:t>
      </w:r>
    </w:p>
  </w:footnote>
  <w:footnote w:id="3">
    <w:p w:rsidR="00B8071A" w:rsidRDefault="00B8071A" w:rsidP="00B8071A">
      <w:pPr>
        <w:pStyle w:val="FootnoteText"/>
      </w:pPr>
      <w:r w:rsidRPr="002E31F0">
        <w:rPr>
          <w:rStyle w:val="FootnoteReference"/>
        </w:rPr>
        <w:footnoteRef/>
      </w:r>
      <w:r>
        <w:rPr>
          <w:rtl/>
        </w:rPr>
        <w:t xml:space="preserve"> </w:t>
      </w:r>
      <w:r>
        <w:rPr>
          <w:rFonts w:hint="cs"/>
          <w:rtl/>
        </w:rPr>
        <w:t>مكرّر.</w:t>
      </w:r>
    </w:p>
  </w:footnote>
  <w:footnote w:id="4">
    <w:p w:rsidR="00B8071A" w:rsidRPr="00B8071A" w:rsidRDefault="00B8071A" w:rsidP="00B8071A">
      <w:pPr>
        <w:pStyle w:val="FootnoteText"/>
      </w:pPr>
      <w:r w:rsidRPr="002E31F0">
        <w:rPr>
          <w:rStyle w:val="FootnoteReference"/>
        </w:rPr>
        <w:footnoteRef/>
      </w:r>
      <w:r>
        <w:rPr>
          <w:rtl/>
        </w:rPr>
        <w:t xml:space="preserve"> </w:t>
      </w:r>
      <w:r>
        <w:rPr>
          <w:rFonts w:hint="cs"/>
          <w:rtl/>
        </w:rPr>
        <w:t>مكرّر.</w:t>
      </w:r>
    </w:p>
  </w:footnote>
  <w:footnote w:id="5">
    <w:p w:rsidR="00B8071A" w:rsidRPr="00B8071A" w:rsidRDefault="00B8071A" w:rsidP="00B8071A">
      <w:pPr>
        <w:pStyle w:val="FootnoteText"/>
      </w:pPr>
      <w:r w:rsidRPr="002E31F0">
        <w:rPr>
          <w:rStyle w:val="FootnoteReference"/>
        </w:rPr>
        <w:footnoteRef/>
      </w:r>
      <w:r w:rsidRPr="00B8071A">
        <w:rPr>
          <w:rtl/>
        </w:rPr>
        <w:t xml:space="preserve"> </w:t>
      </w:r>
      <w:hyperlink r:id="rId1" w:history="1">
        <w:r w:rsidRPr="0091474A">
          <w:rPr>
            <w:rStyle w:val="Hyperlink"/>
            <w:color w:val="0000FF"/>
          </w:rPr>
          <w:t>http://www.popcorn.org/Facts-Fun/Industry-Facts</w:t>
        </w:r>
      </w:hyperlink>
      <w:r w:rsidRPr="00B8071A">
        <w:rPr>
          <w:rFonts w:hint="cs"/>
          <w:rtl/>
        </w:rPr>
        <w:t>.</w:t>
      </w:r>
    </w:p>
  </w:footnote>
  <w:footnote w:id="6">
    <w:p w:rsidR="00B8071A" w:rsidRPr="00B8071A" w:rsidRDefault="00B8071A" w:rsidP="00B8071A">
      <w:pPr>
        <w:pStyle w:val="FootnoteText"/>
      </w:pPr>
      <w:r w:rsidRPr="002E31F0">
        <w:rPr>
          <w:rStyle w:val="FootnoteReference"/>
        </w:rPr>
        <w:footnoteRef/>
      </w:r>
      <w:r w:rsidRPr="00B8071A">
        <w:rPr>
          <w:rtl/>
        </w:rPr>
        <w:t xml:space="preserve"> </w:t>
      </w:r>
      <w:hyperlink r:id="rId2" w:history="1">
        <w:r w:rsidRPr="0091474A">
          <w:rPr>
            <w:rStyle w:val="Hyperlink"/>
            <w:color w:val="0000FF"/>
          </w:rPr>
          <w:t>http://www.popcorn.org/Facts-Fun/History-of-Popcorn/Early-History-of-Popcorn</w:t>
        </w:r>
      </w:hyperlink>
      <w:r w:rsidRPr="00B8071A">
        <w:rPr>
          <w:rFonts w:hint="cs"/>
          <w:rtl/>
        </w:rPr>
        <w:t>.</w:t>
      </w:r>
    </w:p>
  </w:footnote>
  <w:footnote w:id="7">
    <w:p w:rsidR="00B8071A" w:rsidRPr="00B8071A" w:rsidRDefault="00B8071A" w:rsidP="00B8071A">
      <w:pPr>
        <w:pStyle w:val="FootnoteText"/>
      </w:pPr>
      <w:r w:rsidRPr="002E31F0">
        <w:rPr>
          <w:rStyle w:val="FootnoteReference"/>
        </w:rPr>
        <w:footnoteRef/>
      </w:r>
      <w:r w:rsidRPr="00B8071A">
        <w:rPr>
          <w:rtl/>
        </w:rPr>
        <w:t xml:space="preserve"> </w:t>
      </w:r>
      <w:hyperlink r:id="rId3" w:history="1">
        <w:r w:rsidRPr="0091474A">
          <w:rPr>
            <w:rStyle w:val="Hyperlink"/>
            <w:color w:val="0000FF"/>
          </w:rPr>
          <w:t>http://www.history.com/news/popcorn-was-popular-in-ancient-peru-discovery-suggests</w:t>
        </w:r>
      </w:hyperlink>
      <w:r w:rsidRPr="00B8071A">
        <w:rPr>
          <w:rFonts w:hint="cs"/>
          <w:rtl/>
        </w:rPr>
        <w:t>.</w:t>
      </w:r>
    </w:p>
  </w:footnote>
  <w:footnote w:id="8">
    <w:p w:rsidR="00B8071A" w:rsidRPr="00B8071A" w:rsidRDefault="00B8071A" w:rsidP="00B8071A">
      <w:pPr>
        <w:pStyle w:val="FootnoteText"/>
      </w:pPr>
      <w:r w:rsidRPr="002E31F0">
        <w:rPr>
          <w:rStyle w:val="FootnoteReference"/>
        </w:rPr>
        <w:footnoteRef/>
      </w:r>
      <w:r w:rsidRPr="00B8071A">
        <w:rPr>
          <w:rtl/>
        </w:rPr>
        <w:t xml:space="preserve"> </w:t>
      </w:r>
      <w:hyperlink r:id="rId4" w:history="1">
        <w:r w:rsidRPr="0091474A">
          <w:rPr>
            <w:rStyle w:val="Hyperlink"/>
            <w:color w:val="0000FF"/>
          </w:rPr>
          <w:t>https://www.nal.usda.gov/exhibits/speccoll/exhibits/show/popcorn/europeans-meet-popcorn</w:t>
        </w:r>
      </w:hyperlink>
      <w:r w:rsidRPr="00B8071A">
        <w:rPr>
          <w:rFonts w:hint="cs"/>
          <w:rtl/>
        </w:rPr>
        <w:t>.</w:t>
      </w:r>
    </w:p>
  </w:footnote>
  <w:footnote w:id="9">
    <w:p w:rsidR="00B8071A" w:rsidRPr="00B8071A" w:rsidRDefault="00B8071A" w:rsidP="00B8071A">
      <w:pPr>
        <w:pStyle w:val="FootnoteText"/>
      </w:pPr>
      <w:r w:rsidRPr="002E31F0">
        <w:rPr>
          <w:rStyle w:val="FootnoteReference"/>
        </w:rPr>
        <w:footnoteRef/>
      </w:r>
      <w:r w:rsidRPr="00B8071A">
        <w:rPr>
          <w:rtl/>
        </w:rPr>
        <w:t xml:space="preserve"> </w:t>
      </w:r>
      <w:hyperlink r:id="rId5" w:history="1">
        <w:r w:rsidRPr="00B8071A">
          <w:rPr>
            <w:rStyle w:val="Hyperlink"/>
            <w:rFonts w:hint="cs"/>
            <w:color w:val="auto"/>
            <w:rtl/>
          </w:rPr>
          <w:t>مكرّر</w:t>
        </w:r>
      </w:hyperlink>
      <w:r w:rsidRPr="00B8071A">
        <w:rPr>
          <w:rFonts w:hint="cs"/>
          <w:rtl/>
        </w:rPr>
        <w:t>.</w:t>
      </w:r>
    </w:p>
  </w:footnote>
  <w:footnote w:id="10">
    <w:p w:rsidR="00B8071A" w:rsidRPr="00B8071A" w:rsidRDefault="00B8071A" w:rsidP="00B8071A">
      <w:pPr>
        <w:pStyle w:val="FootnoteText"/>
      </w:pPr>
      <w:r w:rsidRPr="002E31F0">
        <w:rPr>
          <w:rStyle w:val="FootnoteReference"/>
        </w:rPr>
        <w:footnoteRef/>
      </w:r>
      <w:r>
        <w:rPr>
          <w:rtl/>
        </w:rPr>
        <w:t xml:space="preserve"> </w:t>
      </w:r>
      <w:hyperlink r:id="rId6" w:history="1">
        <w:r w:rsidRPr="0091474A">
          <w:rPr>
            <w:rStyle w:val="Hyperlink"/>
            <w:color w:val="0000FF"/>
          </w:rPr>
          <w:t>http://www.fifa.com/about-fifa/who-we-are/the-game/</w:t>
        </w:r>
      </w:hyperlink>
      <w:r w:rsidRPr="00B8071A">
        <w:rPr>
          <w:rFonts w:hint="cs"/>
          <w:rtl/>
        </w:rPr>
        <w:t>.</w:t>
      </w:r>
    </w:p>
  </w:footnote>
  <w:footnote w:id="11">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12">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13">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14">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15">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16">
    <w:p w:rsidR="00B8071A" w:rsidRPr="00B8071A" w:rsidRDefault="00B8071A" w:rsidP="00B8071A">
      <w:pPr>
        <w:pStyle w:val="FootnoteText"/>
      </w:pPr>
      <w:r w:rsidRPr="002E31F0">
        <w:rPr>
          <w:rStyle w:val="FootnoteReference"/>
        </w:rPr>
        <w:footnoteRef/>
      </w:r>
      <w:r w:rsidRPr="00B8071A">
        <w:rPr>
          <w:rtl/>
        </w:rPr>
        <w:t xml:space="preserve"> </w:t>
      </w:r>
      <w:hyperlink r:id="rId7" w:history="1">
        <w:r w:rsidRPr="0091474A">
          <w:rPr>
            <w:rStyle w:val="Hyperlink"/>
            <w:color w:val="0000FF"/>
          </w:rPr>
          <w:t>http://historyoffootballreally.blogspot.com/2009/09/american-indians-and-pasuckuakohowog.html</w:t>
        </w:r>
      </w:hyperlink>
      <w:r w:rsidRPr="00B8071A">
        <w:rPr>
          <w:rFonts w:hint="cs"/>
          <w:rtl/>
        </w:rPr>
        <w:t>.</w:t>
      </w:r>
    </w:p>
  </w:footnote>
  <w:footnote w:id="17">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أساسيات التبنيج، ص.5 (رونالد د. ميلر ومانويل ك.باردو، 2011).</w:t>
      </w:r>
    </w:p>
  </w:footnote>
  <w:footnote w:id="18">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سميّة التبنيج، صز107 (سوزان أ. رايس وكيفين فيش، رافين بريس، 1994).</w:t>
      </w:r>
    </w:p>
  </w:footnote>
  <w:footnote w:id="19">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20">
    <w:p w:rsidR="00B8071A" w:rsidRPr="00B8071A" w:rsidRDefault="00B8071A" w:rsidP="00B8071A">
      <w:pPr>
        <w:pStyle w:val="FootnoteText"/>
      </w:pPr>
      <w:r w:rsidRPr="002E31F0">
        <w:rPr>
          <w:rStyle w:val="FootnoteReference"/>
        </w:rPr>
        <w:footnoteRef/>
      </w:r>
      <w:r w:rsidRPr="0091474A">
        <w:rPr>
          <w:color w:val="0000FF"/>
          <w:rtl/>
        </w:rPr>
        <w:t xml:space="preserve"> </w:t>
      </w:r>
      <w:hyperlink r:id="rId8" w:history="1">
        <w:r w:rsidRPr="0091474A">
          <w:rPr>
            <w:rStyle w:val="Hyperlink"/>
            <w:color w:val="0000FF"/>
          </w:rPr>
          <w:t>http://news.nationalgeographic.com/news/2008/05/080512-inca-skulls.html</w:t>
        </w:r>
      </w:hyperlink>
      <w:r w:rsidRPr="00B8071A">
        <w:rPr>
          <w:rFonts w:hint="cs"/>
          <w:rtl/>
        </w:rPr>
        <w:t>.</w:t>
      </w:r>
    </w:p>
  </w:footnote>
  <w:footnote w:id="21">
    <w:p w:rsidR="00B8071A" w:rsidRPr="00B8071A" w:rsidRDefault="00B8071A" w:rsidP="00B8071A">
      <w:pPr>
        <w:pStyle w:val="FootnoteText"/>
      </w:pPr>
      <w:r w:rsidRPr="002E31F0">
        <w:rPr>
          <w:rStyle w:val="FootnoteReference"/>
        </w:rPr>
        <w:footnoteRef/>
      </w:r>
      <w:r w:rsidRPr="00B8071A">
        <w:rPr>
          <w:rtl/>
        </w:rPr>
        <w:t xml:space="preserve"> </w:t>
      </w:r>
      <w:hyperlink r:id="rId9" w:history="1">
        <w:r w:rsidRPr="0091474A">
          <w:rPr>
            <w:rStyle w:val="Hyperlink"/>
            <w:color w:val="0000FF"/>
          </w:rPr>
          <w:t>http://iml.jou.ufl.edu/projects/spring04/britton/history.htm</w:t>
        </w:r>
      </w:hyperlink>
      <w:r w:rsidRPr="00B8071A">
        <w:rPr>
          <w:rFonts w:hint="cs"/>
          <w:rtl/>
        </w:rPr>
        <w:t>.</w:t>
      </w:r>
    </w:p>
  </w:footnote>
  <w:footnote w:id="22">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 xml:space="preserve">بين فيني وجيمس ج. هوستون، ركون الأمواج </w:t>
      </w:r>
      <w:r w:rsidRPr="00B8071A">
        <w:rPr>
          <w:rtl/>
        </w:rPr>
        <w:t>–</w:t>
      </w:r>
      <w:r w:rsidRPr="00B8071A">
        <w:rPr>
          <w:rFonts w:hint="cs"/>
          <w:rtl/>
        </w:rPr>
        <w:t xml:space="preserve"> تاريخ رياضة هاوايية قديمة، ص.21 (بومغرانات أرتبوكس، 1996).</w:t>
      </w:r>
    </w:p>
  </w:footnote>
  <w:footnote w:id="23">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24">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25">
    <w:p w:rsidR="00B8071A" w:rsidRPr="00B8071A" w:rsidRDefault="00B8071A" w:rsidP="00B8071A">
      <w:pPr>
        <w:pStyle w:val="FootnoteText"/>
        <w:rPr>
          <w:rtl/>
        </w:rPr>
      </w:pPr>
      <w:r w:rsidRPr="002E31F0">
        <w:rPr>
          <w:rStyle w:val="FootnoteReference"/>
        </w:rPr>
        <w:footnoteRef/>
      </w:r>
      <w:r>
        <w:rPr>
          <w:rtl/>
        </w:rPr>
        <w:t xml:space="preserve"> </w:t>
      </w:r>
      <w:r>
        <w:rPr>
          <w:rFonts w:hint="cs"/>
          <w:rtl/>
        </w:rPr>
        <w:t xml:space="preserve">ذوق </w:t>
      </w:r>
      <w:r w:rsidRPr="00B8071A">
        <w:rPr>
          <w:rFonts w:hint="cs"/>
          <w:rtl/>
        </w:rPr>
        <w:t xml:space="preserve">المستقبل، الاتجاهات الكفيلة بتغيير صناعة الشوكولاتة، ص.3 (يونيو 2014، شبكة </w:t>
      </w:r>
      <w:r w:rsidRPr="00B8071A">
        <w:t>KPMG</w:t>
      </w:r>
      <w:r w:rsidRPr="00B8071A">
        <w:rPr>
          <w:rFonts w:hint="cs"/>
          <w:rtl/>
        </w:rPr>
        <w:t xml:space="preserve"> الدولية).</w:t>
      </w:r>
    </w:p>
  </w:footnote>
  <w:footnote w:id="26">
    <w:p w:rsidR="00B8071A" w:rsidRPr="00B8071A" w:rsidRDefault="00B8071A" w:rsidP="00B8071A">
      <w:pPr>
        <w:pStyle w:val="FootnoteText"/>
      </w:pPr>
      <w:r w:rsidRPr="002E31F0">
        <w:rPr>
          <w:rStyle w:val="FootnoteReference"/>
        </w:rPr>
        <w:footnoteRef/>
      </w:r>
      <w:r w:rsidRPr="00B8071A">
        <w:rPr>
          <w:rtl/>
        </w:rPr>
        <w:t xml:space="preserve"> </w:t>
      </w:r>
      <w:hyperlink r:id="rId10" w:history="1">
        <w:r w:rsidRPr="0091474A">
          <w:rPr>
            <w:rStyle w:val="Hyperlink"/>
            <w:color w:val="0000FF"/>
          </w:rPr>
          <w:t>http://www.history.com/news/hungry-history/the-sweet-history-of-chocolate</w:t>
        </w:r>
      </w:hyperlink>
      <w:r w:rsidRPr="00B8071A">
        <w:rPr>
          <w:rFonts w:hint="cs"/>
          <w:rtl/>
        </w:rPr>
        <w:t>.</w:t>
      </w:r>
    </w:p>
  </w:footnote>
  <w:footnote w:id="27">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28">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29">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 xml:space="preserve">كريستوفر كلاين، تاريخ الشوكولاتة الطريف، </w:t>
      </w:r>
      <w:hyperlink r:id="rId11" w:history="1">
        <w:r w:rsidRPr="0091474A">
          <w:rPr>
            <w:rStyle w:val="Hyperlink"/>
            <w:color w:val="0000FF"/>
          </w:rPr>
          <w:t>http://www.history.com/news/hungry-history/the-sweet-history-of-chocolate</w:t>
        </w:r>
      </w:hyperlink>
      <w:r w:rsidRPr="00B8071A">
        <w:rPr>
          <w:rFonts w:hint="cs"/>
          <w:rtl/>
        </w:rPr>
        <w:t>.</w:t>
      </w:r>
    </w:p>
  </w:footnote>
  <w:footnote w:id="30">
    <w:p w:rsidR="00B8071A" w:rsidRPr="00B8071A" w:rsidRDefault="00B8071A" w:rsidP="00B8071A">
      <w:pPr>
        <w:pStyle w:val="FootnoteText"/>
      </w:pPr>
      <w:r w:rsidRPr="002E31F0">
        <w:rPr>
          <w:rStyle w:val="FootnoteReference"/>
        </w:rPr>
        <w:footnoteRef/>
      </w:r>
      <w:r w:rsidRPr="00B8071A">
        <w:rPr>
          <w:rtl/>
        </w:rPr>
        <w:t xml:space="preserve"> </w:t>
      </w:r>
      <w:hyperlink r:id="rId12" w:history="1">
        <w:r w:rsidRPr="0091474A">
          <w:rPr>
            <w:rStyle w:val="Hyperlink"/>
            <w:color w:val="0000FF"/>
          </w:rPr>
          <w:t>http://www.cdc.gov/getsmart/community/about/should-know.html</w:t>
        </w:r>
      </w:hyperlink>
      <w:r w:rsidRPr="00B8071A">
        <w:rPr>
          <w:rFonts w:hint="cs"/>
          <w:rtl/>
        </w:rPr>
        <w:t>.</w:t>
      </w:r>
    </w:p>
  </w:footnote>
  <w:footnote w:id="31">
    <w:p w:rsidR="00B8071A" w:rsidRPr="00B8071A" w:rsidRDefault="00B8071A" w:rsidP="0091474A">
      <w:pPr>
        <w:pStyle w:val="FootnoteText"/>
      </w:pPr>
      <w:r w:rsidRPr="002E31F0">
        <w:rPr>
          <w:rStyle w:val="FootnoteReference"/>
        </w:rPr>
        <w:footnoteRef/>
      </w:r>
      <w:r w:rsidRPr="00B8071A">
        <w:rPr>
          <w:rtl/>
        </w:rPr>
        <w:t xml:space="preserve"> </w:t>
      </w:r>
      <w:r w:rsidRPr="00B8071A">
        <w:rPr>
          <w:rFonts w:hint="cs"/>
          <w:rtl/>
        </w:rPr>
        <w:t>موسوعة إسهامات الهنود الأمريكيين في إنجازات العالم: 000</w:t>
      </w:r>
      <w:r w:rsidRPr="00B8071A">
        <w:rPr>
          <w:rFonts w:hint="eastAsia"/>
          <w:rtl/>
        </w:rPr>
        <w:t> </w:t>
      </w:r>
      <w:r w:rsidRPr="00B8071A">
        <w:rPr>
          <w:rFonts w:hint="cs"/>
          <w:rtl/>
        </w:rPr>
        <w:t>15 سنة من الاختراعات والابتكارات، الملحوظة العلوية 1، ص.15.</w:t>
      </w:r>
    </w:p>
  </w:footnote>
  <w:footnote w:id="32">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33">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34">
    <w:p w:rsidR="00B8071A" w:rsidRPr="00B8071A" w:rsidRDefault="00B8071A" w:rsidP="00B8071A">
      <w:pPr>
        <w:pStyle w:val="FootnoteText"/>
      </w:pPr>
      <w:r w:rsidRPr="002E31F0">
        <w:rPr>
          <w:rStyle w:val="FootnoteReference"/>
        </w:rPr>
        <w:footnoteRef/>
      </w:r>
      <w:r w:rsidRPr="00B8071A">
        <w:rPr>
          <w:rtl/>
        </w:rPr>
        <w:t xml:space="preserve"> </w:t>
      </w:r>
      <w:hyperlink r:id="rId13" w:history="1">
        <w:r w:rsidRPr="0091474A">
          <w:rPr>
            <w:rStyle w:val="Hyperlink"/>
            <w:color w:val="0000FF"/>
          </w:rPr>
          <w:t>http://fortune.com/2015/06/05/davids-tea-ipo/</w:t>
        </w:r>
      </w:hyperlink>
      <w:r w:rsidRPr="00B8071A">
        <w:rPr>
          <w:rFonts w:hint="cs"/>
          <w:rtl/>
        </w:rPr>
        <w:t>.</w:t>
      </w:r>
    </w:p>
  </w:footnote>
  <w:footnote w:id="35">
    <w:p w:rsidR="00B8071A" w:rsidRPr="00B8071A" w:rsidRDefault="00B8071A" w:rsidP="00B8071A">
      <w:pPr>
        <w:pStyle w:val="FootnoteText"/>
      </w:pPr>
      <w:r w:rsidRPr="002E31F0">
        <w:rPr>
          <w:rStyle w:val="FootnoteReference"/>
        </w:rPr>
        <w:footnoteRef/>
      </w:r>
      <w:r w:rsidRPr="00B8071A">
        <w:rPr>
          <w:rtl/>
        </w:rPr>
        <w:t xml:space="preserve"> </w:t>
      </w:r>
      <w:hyperlink r:id="rId14" w:history="1">
        <w:r w:rsidRPr="0091474A">
          <w:rPr>
            <w:rStyle w:val="Hyperlink"/>
            <w:color w:val="0000FF"/>
          </w:rPr>
          <w:t>http://www.mightyleaf.com/history-of-tea/</w:t>
        </w:r>
      </w:hyperlink>
      <w:r w:rsidRPr="00B8071A">
        <w:rPr>
          <w:rFonts w:hint="cs"/>
          <w:rtl/>
        </w:rPr>
        <w:t>.</w:t>
      </w:r>
    </w:p>
  </w:footnote>
  <w:footnote w:id="36">
    <w:p w:rsidR="00B8071A" w:rsidRPr="00B8071A" w:rsidRDefault="00B8071A" w:rsidP="00B8071A">
      <w:pPr>
        <w:pStyle w:val="FootnoteText"/>
      </w:pPr>
      <w:r w:rsidRPr="002E31F0">
        <w:rPr>
          <w:rStyle w:val="FootnoteReference"/>
        </w:rPr>
        <w:footnoteRef/>
      </w:r>
      <w:r w:rsidRPr="00B8071A">
        <w:rPr>
          <w:rtl/>
        </w:rPr>
        <w:t xml:space="preserve"> </w:t>
      </w:r>
      <w:hyperlink r:id="rId15" w:history="1">
        <w:r w:rsidRPr="0091474A">
          <w:rPr>
            <w:rStyle w:val="Hyperlink"/>
            <w:color w:val="0000FF"/>
          </w:rPr>
          <w:t>http://www.china.org.cn/learning_chinese/Chinese_tea/2011-07/15/content_22999489.htm</w:t>
        </w:r>
      </w:hyperlink>
      <w:r w:rsidRPr="00B8071A">
        <w:rPr>
          <w:rFonts w:hint="cs"/>
          <w:rtl/>
        </w:rPr>
        <w:t>.</w:t>
      </w:r>
    </w:p>
  </w:footnote>
  <w:footnote w:id="37">
    <w:p w:rsidR="00B8071A" w:rsidRPr="00B8071A" w:rsidRDefault="00B8071A" w:rsidP="00B8071A">
      <w:pPr>
        <w:pStyle w:val="FootnoteText"/>
      </w:pPr>
      <w:r w:rsidRPr="002E31F0">
        <w:rPr>
          <w:rStyle w:val="FootnoteReference"/>
        </w:rPr>
        <w:footnoteRef/>
      </w:r>
      <w:r w:rsidRPr="00B8071A">
        <w:rPr>
          <w:rFonts w:hint="cs"/>
          <w:rtl/>
        </w:rPr>
        <w:t xml:space="preserve"> مكرّر.</w:t>
      </w:r>
    </w:p>
  </w:footnote>
  <w:footnote w:id="38">
    <w:p w:rsidR="00B8071A" w:rsidRPr="00B8071A" w:rsidRDefault="00B8071A" w:rsidP="00B8071A">
      <w:pPr>
        <w:pStyle w:val="FootnoteText"/>
      </w:pPr>
      <w:r w:rsidRPr="002E31F0">
        <w:rPr>
          <w:rStyle w:val="FootnoteReference"/>
        </w:rPr>
        <w:footnoteRef/>
      </w:r>
      <w:r w:rsidRPr="00B8071A">
        <w:rPr>
          <w:rtl/>
        </w:rPr>
        <w:t xml:space="preserve"> </w:t>
      </w:r>
      <w:hyperlink r:id="rId16" w:history="1">
        <w:r w:rsidRPr="0091474A">
          <w:rPr>
            <w:rStyle w:val="Hyperlink"/>
            <w:color w:val="0000FF"/>
          </w:rPr>
          <w:t>https://www.hsph.harvard.edu/news/multimedia-article/facts/</w:t>
        </w:r>
      </w:hyperlink>
    </w:p>
  </w:footnote>
  <w:footnote w:id="39">
    <w:p w:rsidR="00B8071A" w:rsidRPr="00B8071A" w:rsidRDefault="00B8071A" w:rsidP="00B8071A">
      <w:pPr>
        <w:pStyle w:val="FootnoteText"/>
      </w:pPr>
      <w:r w:rsidRPr="002E31F0">
        <w:rPr>
          <w:rStyle w:val="FootnoteReference"/>
        </w:rPr>
        <w:footnoteRef/>
      </w:r>
      <w:r>
        <w:rPr>
          <w:rFonts w:hint="cs"/>
          <w:rtl/>
        </w:rPr>
        <w:t>.</w:t>
      </w:r>
      <w:r w:rsidRPr="00DA0B0A">
        <w:rPr>
          <w:rFonts w:hint="cs"/>
          <w:rtl/>
        </w:rPr>
        <w:t xml:space="preserve"> </w:t>
      </w:r>
      <w:r>
        <w:rPr>
          <w:rFonts w:hint="cs"/>
          <w:rtl/>
        </w:rPr>
        <w:t xml:space="preserve">قصص </w:t>
      </w:r>
      <w:r w:rsidRPr="00B8071A">
        <w:rPr>
          <w:rFonts w:hint="cs"/>
          <w:rtl/>
        </w:rPr>
        <w:t>وراء الأشياء اليومية، ص 76 (جين بولي، ريدر دايجست، 1980)</w:t>
      </w:r>
    </w:p>
  </w:footnote>
  <w:footnote w:id="40">
    <w:p w:rsidR="00B8071A" w:rsidRPr="00B8071A" w:rsidRDefault="00B8071A" w:rsidP="00B8071A">
      <w:pPr>
        <w:pStyle w:val="FootnoteText"/>
      </w:pPr>
      <w:r w:rsidRPr="002E31F0">
        <w:rPr>
          <w:rStyle w:val="FootnoteReference"/>
        </w:rPr>
        <w:footnoteRef/>
      </w:r>
      <w:r w:rsidRPr="00B8071A">
        <w:rPr>
          <w:rFonts w:hint="cs"/>
          <w:rtl/>
        </w:rPr>
        <w:t>.مكرّر.</w:t>
      </w:r>
    </w:p>
  </w:footnote>
  <w:footnote w:id="41">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42">
    <w:p w:rsidR="00B8071A" w:rsidRPr="00B8071A" w:rsidRDefault="00B8071A" w:rsidP="00B8071A">
      <w:pPr>
        <w:pStyle w:val="FootnoteText"/>
      </w:pPr>
      <w:r w:rsidRPr="002E31F0">
        <w:rPr>
          <w:rStyle w:val="FootnoteReference"/>
        </w:rPr>
        <w:footnoteRef/>
      </w:r>
      <w:r w:rsidRPr="00B8071A">
        <w:rPr>
          <w:rtl/>
        </w:rPr>
        <w:t xml:space="preserve"> </w:t>
      </w:r>
      <w:hyperlink r:id="rId17" w:history="1">
        <w:r w:rsidRPr="0091474A">
          <w:rPr>
            <w:rStyle w:val="Hyperlink"/>
            <w:color w:val="0000FF"/>
          </w:rPr>
          <w:t>http://www.history.com/news/hungry-history/chew-on-this-the-history-of-gum</w:t>
        </w:r>
      </w:hyperlink>
      <w:r w:rsidRPr="00B8071A">
        <w:rPr>
          <w:rFonts w:hint="cs"/>
          <w:rtl/>
        </w:rPr>
        <w:t>.</w:t>
      </w:r>
    </w:p>
  </w:footnote>
  <w:footnote w:id="43">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جينيفر ب. ماثيوز، تشيكل: علكة الأمريكتين، من حضارة المايا إلى ويبيام ريغلي، ص.5 (دار نشر لجامعة أريزونا، 2009).</w:t>
      </w:r>
    </w:p>
  </w:footnote>
  <w:footnote w:id="44">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 ص. 6.</w:t>
      </w:r>
    </w:p>
  </w:footnote>
  <w:footnote w:id="45">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46">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47">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موسوعة إسهامات الهنود الأمريكيين في إنجازات العالم: 000</w:t>
      </w:r>
      <w:r w:rsidRPr="00B8071A">
        <w:rPr>
          <w:rFonts w:hint="eastAsia"/>
          <w:rtl/>
        </w:rPr>
        <w:t> </w:t>
      </w:r>
      <w:r w:rsidRPr="00B8071A">
        <w:rPr>
          <w:rFonts w:hint="cs"/>
          <w:rtl/>
        </w:rPr>
        <w:t>15 سنة من الاختراعات والابتكارات، الملحوظة العلوية 30، ص.55.</w:t>
      </w:r>
    </w:p>
  </w:footnote>
  <w:footnote w:id="48">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49">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 ص. 285.</w:t>
      </w:r>
    </w:p>
  </w:footnote>
  <w:footnote w:id="50">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51">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 ص. 284.</w:t>
      </w:r>
    </w:p>
  </w:footnote>
  <w:footnote w:id="52">
    <w:p w:rsidR="00B8071A" w:rsidRPr="00B8071A" w:rsidRDefault="00B8071A" w:rsidP="00B8071A">
      <w:pPr>
        <w:pStyle w:val="FootnoteText"/>
      </w:pPr>
      <w:r w:rsidRPr="002E31F0">
        <w:rPr>
          <w:rStyle w:val="FootnoteReference"/>
        </w:rPr>
        <w:footnoteRef/>
      </w:r>
      <w:r w:rsidRPr="00B8071A">
        <w:rPr>
          <w:rtl/>
        </w:rPr>
        <w:t xml:space="preserve"> </w:t>
      </w:r>
      <w:hyperlink r:id="rId18" w:history="1">
        <w:r w:rsidRPr="0091474A">
          <w:rPr>
            <w:rStyle w:val="Hyperlink"/>
            <w:color w:val="0000FF"/>
          </w:rPr>
          <w:t>http://www.academiabarilla.com/the-italian-food-academy/traditional-cheese/gorgonzola.aspx</w:t>
        </w:r>
      </w:hyperlink>
      <w:r w:rsidRPr="00B8071A">
        <w:rPr>
          <w:rFonts w:hint="cs"/>
          <w:rtl/>
        </w:rPr>
        <w:t>.</w:t>
      </w:r>
    </w:p>
  </w:footnote>
  <w:footnote w:id="53">
    <w:p w:rsidR="00B8071A" w:rsidRPr="00B8071A" w:rsidRDefault="00B8071A" w:rsidP="00B8071A">
      <w:pPr>
        <w:pStyle w:val="FootnoteText"/>
      </w:pPr>
      <w:r w:rsidRPr="002E31F0">
        <w:rPr>
          <w:rStyle w:val="FootnoteReference"/>
        </w:rPr>
        <w:footnoteRef/>
      </w:r>
      <w:r w:rsidRPr="00B8071A">
        <w:rPr>
          <w:rtl/>
        </w:rPr>
        <w:t xml:space="preserve"> </w:t>
      </w:r>
      <w:hyperlink r:id="rId19" w:history="1">
        <w:r w:rsidRPr="0091474A">
          <w:rPr>
            <w:rStyle w:val="Hyperlink"/>
            <w:color w:val="0000FF"/>
          </w:rPr>
          <w:t>http://www.cheese.com/gorgonzola/</w:t>
        </w:r>
      </w:hyperlink>
      <w:r w:rsidRPr="00B8071A">
        <w:rPr>
          <w:rFonts w:hint="cs"/>
          <w:rtl/>
        </w:rPr>
        <w:t>.</w:t>
      </w:r>
    </w:p>
  </w:footnote>
  <w:footnote w:id="54">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كتاب الجبن العالمي، ص. 108 (جولييت هاربوت، شركة دورلين كينديرسلي المحدودة، 2009).</w:t>
      </w:r>
    </w:p>
  </w:footnote>
  <w:footnote w:id="55">
    <w:p w:rsidR="00B8071A" w:rsidRPr="00B8071A" w:rsidRDefault="00B8071A" w:rsidP="00B8071A">
      <w:pPr>
        <w:pStyle w:val="FootnoteText"/>
      </w:pPr>
      <w:r w:rsidRPr="002E31F0">
        <w:rPr>
          <w:rStyle w:val="FootnoteReference"/>
        </w:rPr>
        <w:footnoteRef/>
      </w:r>
      <w:r w:rsidRPr="00B8071A">
        <w:rPr>
          <w:rtl/>
        </w:rPr>
        <w:t xml:space="preserve"> </w:t>
      </w:r>
      <w:hyperlink r:id="rId20" w:history="1">
        <w:r w:rsidRPr="0091474A">
          <w:rPr>
            <w:rStyle w:val="Hyperlink"/>
            <w:color w:val="0000FF"/>
          </w:rPr>
          <w:t>http://www.academiabarilla.com/the-italian-food-academy/traditional-cheese/gorgonzola.aspx</w:t>
        </w:r>
      </w:hyperlink>
      <w:r w:rsidRPr="00B8071A">
        <w:rPr>
          <w:rFonts w:hint="cs"/>
          <w:rtl/>
        </w:rPr>
        <w:t>.</w:t>
      </w:r>
    </w:p>
  </w:footnote>
  <w:footnote w:id="56">
    <w:p w:rsidR="00B8071A" w:rsidRDefault="00B8071A" w:rsidP="00B8071A">
      <w:pPr>
        <w:pStyle w:val="FootnoteText"/>
      </w:pPr>
      <w:r w:rsidRPr="002E31F0">
        <w:rPr>
          <w:rStyle w:val="FootnoteReference"/>
        </w:rPr>
        <w:footnoteRef/>
      </w:r>
      <w:r>
        <w:rPr>
          <w:rtl/>
        </w:rPr>
        <w:t xml:space="preserve"> </w:t>
      </w:r>
      <w:r>
        <w:rPr>
          <w:rFonts w:hint="cs"/>
          <w:rtl/>
        </w:rPr>
        <w:t>مكرّر.</w:t>
      </w:r>
    </w:p>
  </w:footnote>
  <w:footnote w:id="57">
    <w:p w:rsidR="00B8071A" w:rsidRDefault="00B8071A" w:rsidP="00B8071A">
      <w:pPr>
        <w:pStyle w:val="FootnoteText"/>
      </w:pPr>
      <w:r w:rsidRPr="002E31F0">
        <w:rPr>
          <w:rStyle w:val="FootnoteReference"/>
        </w:rPr>
        <w:footnoteRef/>
      </w:r>
      <w:r>
        <w:rPr>
          <w:rtl/>
        </w:rPr>
        <w:t xml:space="preserve"> </w:t>
      </w:r>
      <w:r>
        <w:rPr>
          <w:rFonts w:hint="cs"/>
          <w:rtl/>
        </w:rPr>
        <w:t>مكرّر.</w:t>
      </w:r>
    </w:p>
  </w:footnote>
  <w:footnote w:id="58">
    <w:p w:rsidR="00B8071A" w:rsidRDefault="00B8071A" w:rsidP="001F4246">
      <w:pPr>
        <w:pStyle w:val="FootnoteText"/>
      </w:pPr>
      <w:r w:rsidRPr="002E31F0">
        <w:rPr>
          <w:rStyle w:val="FootnoteReference"/>
        </w:rPr>
        <w:footnoteRef/>
      </w:r>
      <w:r>
        <w:rPr>
          <w:rtl/>
        </w:rPr>
        <w:t xml:space="preserve"> </w:t>
      </w:r>
      <w:r w:rsidR="001F4246" w:rsidRPr="009D3DE8">
        <w:rPr>
          <w:color w:val="0000FF"/>
          <w:u w:val="single"/>
        </w:rPr>
        <w:t>https://georgiaabout.com/2012/05/16/churchkhela/</w:t>
      </w:r>
      <w:r>
        <w:rPr>
          <w:rFonts w:hint="cs"/>
          <w:rtl/>
        </w:rPr>
        <w:t>.</w:t>
      </w:r>
    </w:p>
  </w:footnote>
  <w:footnote w:id="59">
    <w:p w:rsidR="00B8071A" w:rsidRDefault="00B8071A" w:rsidP="001F4246">
      <w:pPr>
        <w:pStyle w:val="FootnoteText"/>
      </w:pPr>
      <w:r w:rsidRPr="002E31F0">
        <w:rPr>
          <w:rStyle w:val="FootnoteReference"/>
        </w:rPr>
        <w:footnoteRef/>
      </w:r>
      <w:r>
        <w:rPr>
          <w:rtl/>
        </w:rPr>
        <w:t xml:space="preserve"> </w:t>
      </w:r>
      <w:r w:rsidR="001F4246" w:rsidRPr="009D3DE8">
        <w:rPr>
          <w:color w:val="0000FF"/>
          <w:u w:val="single"/>
        </w:rPr>
        <w:t>https://www.thenational.ae/lifestyle/food/from-khinkali-to-churchkhela-a-guide-to-georgian-food-1.618632</w:t>
      </w:r>
      <w:r>
        <w:rPr>
          <w:rFonts w:hint="cs"/>
          <w:rtl/>
        </w:rPr>
        <w:t>.</w:t>
      </w:r>
    </w:p>
  </w:footnote>
  <w:footnote w:id="60">
    <w:p w:rsidR="00B8071A" w:rsidRDefault="00B8071A" w:rsidP="001F4246">
      <w:pPr>
        <w:pStyle w:val="FootnoteText"/>
      </w:pPr>
      <w:r w:rsidRPr="002E31F0">
        <w:rPr>
          <w:rStyle w:val="FootnoteReference"/>
        </w:rPr>
        <w:footnoteRef/>
      </w:r>
      <w:r>
        <w:rPr>
          <w:rtl/>
        </w:rPr>
        <w:t xml:space="preserve"> </w:t>
      </w:r>
      <w:r w:rsidR="001F4246" w:rsidRPr="009D3DE8">
        <w:rPr>
          <w:color w:val="0000FF"/>
          <w:u w:val="single"/>
        </w:rPr>
        <w:t>https://www.atlasobscura.com/foods/churchkhela-georgia-candy</w:t>
      </w:r>
      <w:r>
        <w:rPr>
          <w:rFonts w:hint="cs"/>
          <w:rtl/>
        </w:rPr>
        <w:t>.</w:t>
      </w:r>
    </w:p>
  </w:footnote>
  <w:footnote w:id="61">
    <w:p w:rsidR="00B8071A" w:rsidRDefault="00B8071A" w:rsidP="00B8071A">
      <w:pPr>
        <w:pStyle w:val="FootnoteText"/>
      </w:pPr>
      <w:r w:rsidRPr="002E31F0">
        <w:rPr>
          <w:rStyle w:val="FootnoteReference"/>
        </w:rPr>
        <w:footnoteRef/>
      </w:r>
      <w:r>
        <w:rPr>
          <w:rtl/>
        </w:rPr>
        <w:t xml:space="preserve"> </w:t>
      </w:r>
      <w:r>
        <w:rPr>
          <w:rFonts w:hint="cs"/>
          <w:rtl/>
        </w:rPr>
        <w:t>مكرّر.</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5E7B89" w:rsidP="00A02F0F">
    <w:pPr>
      <w:bidi w:val="0"/>
      <w:rPr>
        <w:caps/>
      </w:rPr>
    </w:pPr>
    <w:bookmarkStart w:id="5" w:name="Code2"/>
    <w:bookmarkEnd w:id="5"/>
    <w:r>
      <w:rPr>
        <w:caps/>
      </w:rPr>
      <w:t>WIPO/GRTK</w:t>
    </w:r>
    <w:r w:rsidR="009B0855">
      <w:rPr>
        <w:caps/>
      </w:rPr>
      <w:t>f</w:t>
    </w:r>
    <w:r>
      <w:rPr>
        <w:caps/>
      </w:rPr>
      <w:t>/IC/</w:t>
    </w:r>
    <w:r w:rsidR="00AA4217">
      <w:rPr>
        <w:caps/>
      </w:rPr>
      <w:t>42</w:t>
    </w:r>
    <w:r w:rsidR="00A02F0F">
      <w:rPr>
        <w:caps/>
      </w:rPr>
      <w:t xml:space="preserve">/1 </w:t>
    </w:r>
    <w:r w:rsidR="00A02F0F">
      <w:rPr>
        <w:lang w:bidi="ar-EG"/>
      </w:rPr>
      <w:t>Prov</w:t>
    </w:r>
    <w:r w:rsidR="00A02F0F">
      <w:rPr>
        <w:caps/>
      </w:rPr>
      <w:t>.</w:t>
    </w:r>
  </w:p>
  <w:p w:rsidR="00D07C78" w:rsidRDefault="00D07C78" w:rsidP="00210D5F">
    <w:pPr>
      <w:bidi w:val="0"/>
    </w:pPr>
    <w:r>
      <w:fldChar w:fldCharType="begin"/>
    </w:r>
    <w:r>
      <w:instrText xml:space="preserve"> PAGE  \* MERGEFORMAT </w:instrText>
    </w:r>
    <w:r>
      <w:fldChar w:fldCharType="separate"/>
    </w:r>
    <w:r w:rsidR="00596E97">
      <w:rPr>
        <w:noProof/>
      </w:rPr>
      <w:t>2</w:t>
    </w:r>
    <w:r>
      <w:fldChar w:fldCharType="end"/>
    </w:r>
  </w:p>
  <w:p w:rsidR="00D07C78" w:rsidRDefault="00D07C78" w:rsidP="00210D5F">
    <w:pPr>
      <w:bidi w:val="0"/>
    </w:pPr>
  </w:p>
  <w:p w:rsidR="00D07C78" w:rsidRDefault="00D07C78" w:rsidP="00210D5F">
    <w:pPr>
      <w:bidi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EC5" w:rsidRDefault="009E62DC" w:rsidP="00771F01">
    <w:pPr>
      <w:bidi w:val="0"/>
      <w:rPr>
        <w:rFonts w:cs="Arial"/>
      </w:rPr>
    </w:pPr>
    <w:bookmarkStart w:id="7" w:name="Code3"/>
    <w:bookmarkEnd w:id="7"/>
    <w:r>
      <w:rPr>
        <w:rFonts w:cs="Arial"/>
      </w:rPr>
      <w:t>WIPO/GRTKF/IC/</w:t>
    </w:r>
    <w:r w:rsidR="0091474A">
      <w:rPr>
        <w:rFonts w:cs="Arial"/>
      </w:rPr>
      <w:t>4</w:t>
    </w:r>
    <w:r w:rsidR="00771F01">
      <w:rPr>
        <w:rFonts w:cs="Arial"/>
      </w:rPr>
      <w:t>7</w:t>
    </w:r>
    <w:r>
      <w:rPr>
        <w:rFonts w:cs="Arial"/>
      </w:rPr>
      <w:t>/</w:t>
    </w:r>
    <w:r w:rsidR="0091474A">
      <w:rPr>
        <w:rFonts w:cs="Arial"/>
      </w:rPr>
      <w:t>1</w:t>
    </w:r>
    <w:r w:rsidR="00771F01">
      <w:rPr>
        <w:rFonts w:cs="Arial"/>
      </w:rPr>
      <w:t>9</w:t>
    </w:r>
  </w:p>
  <w:p w:rsidR="00151689" w:rsidRDefault="009E62DC" w:rsidP="00151689">
    <w:pPr>
      <w:bidi w:val="0"/>
      <w:rPr>
        <w:rFonts w:cs="Arial"/>
      </w:rPr>
    </w:pPr>
    <w:r>
      <w:rPr>
        <w:rFonts w:cs="Arial"/>
      </w:rPr>
      <w:t>Annex</w:t>
    </w:r>
  </w:p>
  <w:p w:rsidR="004C495B" w:rsidRPr="00C50A61" w:rsidRDefault="009E62DC" w:rsidP="0023693F">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666C0B">
      <w:rPr>
        <w:rFonts w:cs="Arial"/>
        <w:noProof/>
        <w:lang w:bidi="ar-EG"/>
      </w:rPr>
      <w:t>4</w:t>
    </w:r>
    <w:r w:rsidRPr="00C50A61">
      <w:rPr>
        <w:rFonts w:cs="Arial"/>
      </w:rPr>
      <w:fldChar w:fldCharType="end"/>
    </w:r>
  </w:p>
  <w:p w:rsidR="004C495B" w:rsidRDefault="00666C0B" w:rsidP="0023693F">
    <w:pPr>
      <w:bidi w:val="0"/>
      <w:rPr>
        <w:rFonts w:cs="Arial"/>
      </w:rPr>
    </w:pPr>
  </w:p>
  <w:p w:rsidR="00771F01" w:rsidRPr="00C50A61" w:rsidRDefault="00771F01" w:rsidP="00771F01">
    <w:pPr>
      <w:bidi w:val="0"/>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01" w:rsidRDefault="00771F01" w:rsidP="00771F01">
    <w:pPr>
      <w:bidi w:val="0"/>
      <w:rPr>
        <w:rFonts w:cs="Arial"/>
      </w:rPr>
    </w:pPr>
    <w:r>
      <w:rPr>
        <w:rFonts w:cs="Arial"/>
      </w:rPr>
      <w:t>WIPO/GRTKF/IC/4</w:t>
    </w:r>
    <w:r>
      <w:rPr>
        <w:rFonts w:cs="Arial"/>
      </w:rPr>
      <w:t>7</w:t>
    </w:r>
    <w:r>
      <w:rPr>
        <w:rFonts w:cs="Arial"/>
      </w:rPr>
      <w:t>/1</w:t>
    </w:r>
    <w:r>
      <w:rPr>
        <w:rFonts w:cs="Arial"/>
      </w:rPr>
      <w:t>9</w:t>
    </w:r>
  </w:p>
  <w:p w:rsidR="00771F01" w:rsidRDefault="00771F01" w:rsidP="00771F01">
    <w:pPr>
      <w:bidi w:val="0"/>
      <w:rPr>
        <w:rFonts w:cs="Arial"/>
      </w:rPr>
    </w:pPr>
    <w:r>
      <w:rPr>
        <w:rFonts w:cs="Arial"/>
      </w:rPr>
      <w:t>ANNEX</w:t>
    </w:r>
  </w:p>
  <w:p w:rsidR="00771F01" w:rsidRPr="00771F01" w:rsidRDefault="00771F01" w:rsidP="00771F01">
    <w:pPr>
      <w:jc w:val="right"/>
      <w:rPr>
        <w:rFonts w:asciiTheme="minorHAnsi" w:hAnsiTheme="minorHAnsi" w:cstheme="minorHAnsi"/>
        <w:rtl/>
      </w:rPr>
    </w:pPr>
    <w:r w:rsidRPr="00771F01">
      <w:rPr>
        <w:rFonts w:asciiTheme="minorHAnsi" w:hAnsiTheme="minorHAnsi" w:cstheme="minorHAnsi"/>
        <w:rtl/>
      </w:rPr>
      <w:t>المرفق</w:t>
    </w:r>
  </w:p>
  <w:p w:rsidR="00151689" w:rsidRDefault="00666C0B" w:rsidP="00151689">
    <w:pPr>
      <w:tabs>
        <w:tab w:val="center" w:pos="4536"/>
        <w:tab w:val="right" w:pos="9072"/>
      </w:tabs>
      <w:bidi w:val="0"/>
      <w:rPr>
        <w:rFonts w:cs="Arial"/>
        <w:szCs w:val="20"/>
        <w:rtl/>
      </w:rPr>
    </w:pPr>
  </w:p>
  <w:p w:rsidR="00771F01" w:rsidRPr="00151689" w:rsidRDefault="00771F01" w:rsidP="00771F01">
    <w:pPr>
      <w:tabs>
        <w:tab w:val="center" w:pos="4536"/>
        <w:tab w:val="right" w:pos="9072"/>
      </w:tabs>
      <w:bidi w:val="0"/>
      <w:rPr>
        <w:rFonts w:cs="Arial"/>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5"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7D159F5"/>
    <w:multiLevelType w:val="hybridMultilevel"/>
    <w:tmpl w:val="25A468C8"/>
    <w:lvl w:ilvl="0" w:tplc="8FE4A9D6">
      <w:numFmt w:val="bullet"/>
      <w:lvlText w:val="-"/>
      <w:lvlJc w:val="left"/>
      <w:pPr>
        <w:ind w:left="927" w:hanging="360"/>
      </w:pPr>
      <w:rPr>
        <w:rFonts w:ascii="Arabic Typesetting" w:eastAsia="Times New Roman" w:hAnsi="Arabic Typesetting" w:cs="Arabic Typesett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2"/>
  </w:num>
  <w:num w:numId="2">
    <w:abstractNumId w:val="6"/>
  </w:num>
  <w:num w:numId="3">
    <w:abstractNumId w:val="0"/>
  </w:num>
  <w:num w:numId="4">
    <w:abstractNumId w:val="8"/>
  </w:num>
  <w:num w:numId="5">
    <w:abstractNumId w:val="1"/>
  </w:num>
  <w:num w:numId="6">
    <w:abstractNumId w:val="3"/>
  </w:num>
  <w:num w:numId="7">
    <w:abstractNumId w:val="9"/>
  </w:num>
  <w:num w:numId="8">
    <w:abstractNumId w:val="5"/>
  </w:num>
  <w:num w:numId="9">
    <w:abstractNumId w:val="7"/>
  </w:num>
  <w:num w:numId="10">
    <w:abstractNumId w:val="4"/>
  </w:num>
  <w:num w:numId="11">
    <w:abstractNumId w:val="4"/>
    <w:lvlOverride w:ilvl="0">
      <w:startOverride w:val="1"/>
    </w:lvlOverride>
  </w:num>
  <w:num w:numId="12">
    <w:abstractNumId w:val="4"/>
    <w:lvlOverride w:ilvl="0">
      <w:startOverride w:val="1"/>
    </w:lvlOverride>
  </w:num>
  <w:num w:numId="13">
    <w:abstractNumId w:val="4"/>
    <w:lvlOverride w:ilvl="0">
      <w:startOverride w:val="6"/>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95"/>
    <w:rsid w:val="00043CAA"/>
    <w:rsid w:val="00045944"/>
    <w:rsid w:val="00056816"/>
    <w:rsid w:val="00075432"/>
    <w:rsid w:val="000968ED"/>
    <w:rsid w:val="000A3D97"/>
    <w:rsid w:val="000F5E56"/>
    <w:rsid w:val="00112454"/>
    <w:rsid w:val="001362EE"/>
    <w:rsid w:val="001406E1"/>
    <w:rsid w:val="00155D8A"/>
    <w:rsid w:val="00160172"/>
    <w:rsid w:val="001647D5"/>
    <w:rsid w:val="001832A6"/>
    <w:rsid w:val="0019592A"/>
    <w:rsid w:val="001D4107"/>
    <w:rsid w:val="001F4246"/>
    <w:rsid w:val="00203D24"/>
    <w:rsid w:val="00210D5F"/>
    <w:rsid w:val="0021217E"/>
    <w:rsid w:val="002326AB"/>
    <w:rsid w:val="00243430"/>
    <w:rsid w:val="0024540F"/>
    <w:rsid w:val="002634C4"/>
    <w:rsid w:val="002928D3"/>
    <w:rsid w:val="002937BA"/>
    <w:rsid w:val="002E31F0"/>
    <w:rsid w:val="002F1FE6"/>
    <w:rsid w:val="002F4E68"/>
    <w:rsid w:val="00304AC4"/>
    <w:rsid w:val="00312F7F"/>
    <w:rsid w:val="00361450"/>
    <w:rsid w:val="003673CF"/>
    <w:rsid w:val="003845C1"/>
    <w:rsid w:val="003862AF"/>
    <w:rsid w:val="00387778"/>
    <w:rsid w:val="003A6F89"/>
    <w:rsid w:val="003B355C"/>
    <w:rsid w:val="003B38C1"/>
    <w:rsid w:val="003C34E9"/>
    <w:rsid w:val="00423E3E"/>
    <w:rsid w:val="00427AF4"/>
    <w:rsid w:val="004647DA"/>
    <w:rsid w:val="00474062"/>
    <w:rsid w:val="00477D6B"/>
    <w:rsid w:val="004B5600"/>
    <w:rsid w:val="005019FF"/>
    <w:rsid w:val="0053057A"/>
    <w:rsid w:val="00552A07"/>
    <w:rsid w:val="00556076"/>
    <w:rsid w:val="00560A29"/>
    <w:rsid w:val="00585E36"/>
    <w:rsid w:val="00596E97"/>
    <w:rsid w:val="005B01D9"/>
    <w:rsid w:val="005C6649"/>
    <w:rsid w:val="005E7B89"/>
    <w:rsid w:val="00605827"/>
    <w:rsid w:val="00626EFE"/>
    <w:rsid w:val="00646050"/>
    <w:rsid w:val="00666C0B"/>
    <w:rsid w:val="0066714C"/>
    <w:rsid w:val="006713CA"/>
    <w:rsid w:val="00676C5C"/>
    <w:rsid w:val="006A4C55"/>
    <w:rsid w:val="006B5C12"/>
    <w:rsid w:val="00720EFD"/>
    <w:rsid w:val="00771F01"/>
    <w:rsid w:val="007854AF"/>
    <w:rsid w:val="00793A7C"/>
    <w:rsid w:val="007A398A"/>
    <w:rsid w:val="007C4902"/>
    <w:rsid w:val="007D1613"/>
    <w:rsid w:val="007E4C0E"/>
    <w:rsid w:val="007F2029"/>
    <w:rsid w:val="008A134B"/>
    <w:rsid w:val="008B2CC1"/>
    <w:rsid w:val="008B60B2"/>
    <w:rsid w:val="0090731E"/>
    <w:rsid w:val="0091474A"/>
    <w:rsid w:val="00916EE2"/>
    <w:rsid w:val="00966A22"/>
    <w:rsid w:val="0096722F"/>
    <w:rsid w:val="00980843"/>
    <w:rsid w:val="009B0855"/>
    <w:rsid w:val="009D0DF5"/>
    <w:rsid w:val="009E2791"/>
    <w:rsid w:val="009E3F6F"/>
    <w:rsid w:val="009E62DC"/>
    <w:rsid w:val="009F25BA"/>
    <w:rsid w:val="009F499F"/>
    <w:rsid w:val="00A02F0F"/>
    <w:rsid w:val="00A37342"/>
    <w:rsid w:val="00A42DAF"/>
    <w:rsid w:val="00A45BD8"/>
    <w:rsid w:val="00A869B7"/>
    <w:rsid w:val="00A90F0A"/>
    <w:rsid w:val="00AA4217"/>
    <w:rsid w:val="00AC205C"/>
    <w:rsid w:val="00AD6723"/>
    <w:rsid w:val="00AF0A6B"/>
    <w:rsid w:val="00B05A69"/>
    <w:rsid w:val="00B42CA9"/>
    <w:rsid w:val="00B51FF7"/>
    <w:rsid w:val="00B75281"/>
    <w:rsid w:val="00B8071A"/>
    <w:rsid w:val="00B92B95"/>
    <w:rsid w:val="00B92F1F"/>
    <w:rsid w:val="00B9734B"/>
    <w:rsid w:val="00BA289C"/>
    <w:rsid w:val="00BA30E2"/>
    <w:rsid w:val="00C11BFE"/>
    <w:rsid w:val="00C5068F"/>
    <w:rsid w:val="00C86D74"/>
    <w:rsid w:val="00CB3DBA"/>
    <w:rsid w:val="00CC3E2D"/>
    <w:rsid w:val="00CD04F1"/>
    <w:rsid w:val="00CE19F8"/>
    <w:rsid w:val="00CF681A"/>
    <w:rsid w:val="00D07C78"/>
    <w:rsid w:val="00D45252"/>
    <w:rsid w:val="00D530E8"/>
    <w:rsid w:val="00D60B2C"/>
    <w:rsid w:val="00D67EAE"/>
    <w:rsid w:val="00D71B4D"/>
    <w:rsid w:val="00D90B96"/>
    <w:rsid w:val="00D92546"/>
    <w:rsid w:val="00D93D55"/>
    <w:rsid w:val="00DD7B7F"/>
    <w:rsid w:val="00E15015"/>
    <w:rsid w:val="00E319DF"/>
    <w:rsid w:val="00E335FE"/>
    <w:rsid w:val="00E66CC5"/>
    <w:rsid w:val="00E7374D"/>
    <w:rsid w:val="00E77D6F"/>
    <w:rsid w:val="00EA22C9"/>
    <w:rsid w:val="00EA7D6E"/>
    <w:rsid w:val="00EB2F76"/>
    <w:rsid w:val="00EC4E49"/>
    <w:rsid w:val="00ED77FB"/>
    <w:rsid w:val="00ED7864"/>
    <w:rsid w:val="00EE066C"/>
    <w:rsid w:val="00EE45FA"/>
    <w:rsid w:val="00F043DE"/>
    <w:rsid w:val="00F3166D"/>
    <w:rsid w:val="00F66152"/>
    <w:rsid w:val="00F9165B"/>
    <w:rsid w:val="00FC482F"/>
    <w:rsid w:val="00FE339E"/>
    <w:rsid w:val="00FF04B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95D6BB"/>
  <w15:docId w15:val="{3C57B1DA-7AE6-4620-AA99-72D760AA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1F0"/>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styleId="FootnoteReference">
    <w:name w:val="footnote reference"/>
    <w:semiHidden/>
    <w:rsid w:val="002E31F0"/>
    <w:rPr>
      <w:rFonts w:ascii="Calibri" w:hAnsi="Calibri" w:cs="Calibri"/>
      <w:caps w:val="0"/>
      <w:smallCaps w:val="0"/>
      <w:strike w:val="0"/>
      <w:dstrike w:val="0"/>
      <w:vanish w:val="0"/>
      <w:sz w:val="18"/>
      <w:szCs w:val="18"/>
      <w:vertAlign w:val="superscript"/>
    </w:rPr>
  </w:style>
  <w:style w:type="character" w:styleId="Hyperlink">
    <w:name w:val="Hyperlink"/>
    <w:basedOn w:val="DefaultParagraphFont"/>
    <w:rsid w:val="00B807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news.nationalgeographic.com/news/2008/05/080512-inca-skulls.html" TargetMode="External"/><Relationship Id="rId13" Type="http://schemas.openxmlformats.org/officeDocument/2006/relationships/hyperlink" Target="http://fortune.com/2015/06/05/davids-tea-ipo/" TargetMode="External"/><Relationship Id="rId18" Type="http://schemas.openxmlformats.org/officeDocument/2006/relationships/hyperlink" Target="http://www.academiabarilla.com/the-italian-food-academy/traditional-cheese/gorgonzola.aspx" TargetMode="External"/><Relationship Id="rId3" Type="http://schemas.openxmlformats.org/officeDocument/2006/relationships/hyperlink" Target="http://www.history.com/news/popcorn-was-popular-in-ancient-peru-discovery-suggests" TargetMode="External"/><Relationship Id="rId7" Type="http://schemas.openxmlformats.org/officeDocument/2006/relationships/hyperlink" Target="http://historyoffootballreally.blogspot.com/2009/09/american-indians-and-pasuckuakohowog.html" TargetMode="External"/><Relationship Id="rId12" Type="http://schemas.openxmlformats.org/officeDocument/2006/relationships/hyperlink" Target="http://www.cdc.gov/getsmart/community/about/should-know.html" TargetMode="External"/><Relationship Id="rId17" Type="http://schemas.openxmlformats.org/officeDocument/2006/relationships/hyperlink" Target="http://www.history.com/news/hungry-history/chew-on-this-the-history-of-gum" TargetMode="External"/><Relationship Id="rId2" Type="http://schemas.openxmlformats.org/officeDocument/2006/relationships/hyperlink" Target="http://www.popcorn.org/Facts-Fun/History-of-Popcorn/Early-History-of-Popcorn" TargetMode="External"/><Relationship Id="rId16" Type="http://schemas.openxmlformats.org/officeDocument/2006/relationships/hyperlink" Target="https://www.hsph.harvard.edu/news/multimedia-article/facts/" TargetMode="External"/><Relationship Id="rId20" Type="http://schemas.openxmlformats.org/officeDocument/2006/relationships/hyperlink" Target="http://www.academiabarilla.com/the-italian-food-academy/traditional-cheese/gorgonzola.aspx" TargetMode="External"/><Relationship Id="rId1" Type="http://schemas.openxmlformats.org/officeDocument/2006/relationships/hyperlink" Target="http://www.popcorn.org/Facts-Fun/Industry-Facts" TargetMode="External"/><Relationship Id="rId6" Type="http://schemas.openxmlformats.org/officeDocument/2006/relationships/hyperlink" Target="http://www.fifa.com/about-fifa/who-we-are/the-game/" TargetMode="External"/><Relationship Id="rId11" Type="http://schemas.openxmlformats.org/officeDocument/2006/relationships/hyperlink" Target="http://www.history.com/news/hungry-history/the-sweet-history-of-chocolate" TargetMode="External"/><Relationship Id="rId5" Type="http://schemas.openxmlformats.org/officeDocument/2006/relationships/hyperlink" Target="https://www.nal.usda.gov/exhibits/speccoll/exhibits/show/popcorn/europeans-meet-popcorn" TargetMode="External"/><Relationship Id="rId15" Type="http://schemas.openxmlformats.org/officeDocument/2006/relationships/hyperlink" Target="http://www.china.org.cn/learning_chinese/Chinese_tea/2011-07/15/content_22999489.htm" TargetMode="External"/><Relationship Id="rId10" Type="http://schemas.openxmlformats.org/officeDocument/2006/relationships/hyperlink" Target="http://www.history.com/news/hungry-history/the-sweet-history-of-chocolate" TargetMode="External"/><Relationship Id="rId19" Type="http://schemas.openxmlformats.org/officeDocument/2006/relationships/hyperlink" Target="http://www.cheese.com/gorgonzola/" TargetMode="External"/><Relationship Id="rId4" Type="http://schemas.openxmlformats.org/officeDocument/2006/relationships/hyperlink" Target="https://www.nal.usda.gov/exhibits/speccoll/exhibits/show/popcorn/europeans-meet-popcorn" TargetMode="External"/><Relationship Id="rId9" Type="http://schemas.openxmlformats.org/officeDocument/2006/relationships/hyperlink" Target="http://iml.jou.ufl.edu/projects/spring04/britton/history.htm" TargetMode="External"/><Relationship Id="rId14" Type="http://schemas.openxmlformats.org/officeDocument/2006/relationships/hyperlink" Target="http://www.mightyleaf.com/history-of-te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D1650-5E93-443B-AA9B-ADCD3F227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IGC_42_AR.dotx</Template>
  <TotalTime>11</TotalTime>
  <Pages>5</Pages>
  <Words>1980</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WIPO/GRTK/IC/47/19 (Arabic)</vt:lpstr>
    </vt:vector>
  </TitlesOfParts>
  <Company>WIPO</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WIPO/GRTK/IC/47/19 (Arabic)</dc:title>
  <dc:creator>MERZOUK Fawzi</dc:creator>
  <cp:keywords>FOR OFFICIAL USE ONLY</cp:keywords>
  <cp:lastModifiedBy>MERZOUK Fawzi</cp:lastModifiedBy>
  <cp:revision>4</cp:revision>
  <cp:lastPrinted>2023-05-31T14:25:00Z</cp:lastPrinted>
  <dcterms:created xsi:type="dcterms:W3CDTF">2023-05-31T14:15:00Z</dcterms:created>
  <dcterms:modified xsi:type="dcterms:W3CDTF">2023-05-31T14:25:00Z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2023-05-31T14:23:10Z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bc3f73f5-1d42-4f79-90fc-f77ebde50e09</vt:lpwstr>
  </property>
  <property fmtid="{D5CDD505-2E9C-101B-9397-08002B2CF9AE}" pid="13" name="MSIP_Label_20773ee6-353b-4fb9-a59d-0b94c8c67bea_ContentBits">
    <vt:lpwstr>0</vt:lpwstr>
  </property>
</Properties>
</file>