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DB2A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B43ED3" w:rsidRDefault="00B43ED3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0" w:name="Original"/>
    </w:p>
    <w:p w:rsidR="008B2CC1" w:rsidRPr="00537947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537947" w:rsidRDefault="00CC3E2D" w:rsidP="00A947B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Date"/>
      <w:bookmarkEnd w:id="0"/>
      <w:r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A947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3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م</w:t>
      </w:r>
      <w:r w:rsidR="00A947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A947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</w:t>
      </w:r>
      <w:r w:rsidR="00AC77BC" w:rsidRPr="00537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947B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1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A947B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د</w:t>
      </w:r>
      <w:r w:rsidR="00C0015E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A947B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27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 xml:space="preserve">فبراير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3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م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001744">
        <w:rPr>
          <w:rFonts w:asciiTheme="minorHAnsi" w:hAnsiTheme="minorHAnsi" w:cstheme="minorHAnsi" w:hint="cs"/>
          <w:bCs/>
          <w:sz w:val="24"/>
          <w:szCs w:val="24"/>
          <w:rtl/>
        </w:rPr>
        <w:t>ر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947BC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483E15" w:rsidP="00A947B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قرارات الدورة </w:t>
      </w:r>
      <w:r w:rsidR="00AC77BC">
        <w:rPr>
          <w:rFonts w:asciiTheme="minorHAnsi" w:hAnsiTheme="minorHAnsi" w:cstheme="minorHAnsi" w:hint="cs"/>
          <w:caps/>
          <w:sz w:val="28"/>
          <w:szCs w:val="24"/>
          <w:rtl/>
        </w:rPr>
        <w:t>ال</w:t>
      </w:r>
      <w:r w:rsidR="00A947BC">
        <w:rPr>
          <w:rFonts w:asciiTheme="minorHAnsi" w:hAnsiTheme="minorHAnsi" w:cstheme="minorHAnsi" w:hint="cs"/>
          <w:caps/>
          <w:sz w:val="28"/>
          <w:szCs w:val="24"/>
          <w:rtl/>
        </w:rPr>
        <w:t>س</w:t>
      </w:r>
      <w:r w:rsidR="00C0015E">
        <w:rPr>
          <w:rFonts w:asciiTheme="minorHAnsi" w:hAnsiTheme="minorHAnsi" w:cstheme="minorHAnsi" w:hint="cs"/>
          <w:caps/>
          <w:sz w:val="28"/>
          <w:szCs w:val="24"/>
          <w:rtl/>
        </w:rPr>
        <w:t>ا</w:t>
      </w:r>
      <w:r w:rsidR="00A947BC">
        <w:rPr>
          <w:rFonts w:asciiTheme="minorHAnsi" w:hAnsiTheme="minorHAnsi" w:cstheme="minorHAnsi" w:hint="cs"/>
          <w:caps/>
          <w:sz w:val="28"/>
          <w:szCs w:val="24"/>
          <w:rtl/>
        </w:rPr>
        <w:t>د</w:t>
      </w:r>
      <w:r w:rsidR="00C0015E">
        <w:rPr>
          <w:rFonts w:asciiTheme="minorHAnsi" w:hAnsiTheme="minorHAnsi" w:cstheme="minorHAnsi" w:hint="cs"/>
          <w:caps/>
          <w:sz w:val="28"/>
          <w:szCs w:val="24"/>
          <w:rtl/>
        </w:rPr>
        <w:t>س</w:t>
      </w:r>
      <w:r w:rsidR="00AC77BC">
        <w:rPr>
          <w:rFonts w:asciiTheme="minorHAnsi" w:hAnsiTheme="minorHAnsi" w:cstheme="minorHAnsi" w:hint="cs"/>
          <w:caps/>
          <w:sz w:val="28"/>
          <w:szCs w:val="24"/>
          <w:rtl/>
        </w:rPr>
        <w:t>ة</w:t>
      </w:r>
      <w:r w:rsidRPr="00483E15">
        <w:rPr>
          <w:rFonts w:asciiTheme="minorHAnsi" w:hAnsiTheme="minorHAnsi" w:cstheme="minorHAnsi"/>
          <w:caps/>
          <w:sz w:val="28"/>
          <w:szCs w:val="24"/>
          <w:rtl/>
        </w:rPr>
        <w:t xml:space="preserve"> والأربعين للجنة</w:t>
      </w:r>
    </w:p>
    <w:p w:rsidR="002928D3" w:rsidRDefault="009C4610" w:rsidP="009C4610">
      <w:pPr>
        <w:spacing w:after="1040"/>
        <w:rPr>
          <w:rFonts w:asciiTheme="minorHAnsi" w:hAnsiTheme="minorHAnsi" w:cs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cstheme="minorHAnsi" w:hint="cs"/>
          <w:iCs/>
          <w:rtl/>
          <w:lang w:val="fr-CH" w:bidi="ar-SY"/>
        </w:rPr>
        <w:t>التي اعتمدتها اللجن</w:t>
      </w:r>
      <w:bookmarkStart w:id="4" w:name="_GoBack"/>
      <w:bookmarkEnd w:id="4"/>
      <w:r w:rsidR="005A1C65">
        <w:rPr>
          <w:rFonts w:asciiTheme="minorHAnsi" w:hAnsiTheme="minorHAnsi" w:cstheme="minorHAnsi" w:hint="cs"/>
          <w:iCs/>
          <w:rtl/>
        </w:rPr>
        <w:t>ة</w:t>
      </w:r>
    </w:p>
    <w:p w:rsidR="009B0855" w:rsidRDefault="009B0855" w:rsidP="00D60B2C">
      <w:pPr>
        <w:pStyle w:val="BodyText"/>
        <w:rPr>
          <w:lang w:bidi="ar-EG"/>
        </w:rPr>
      </w:pPr>
    </w:p>
    <w:p w:rsidR="00483E15" w:rsidRDefault="00483E15">
      <w:pPr>
        <w:bidi w:val="0"/>
        <w:rPr>
          <w:rtl/>
        </w:rPr>
      </w:pPr>
      <w:r>
        <w:rPr>
          <w:rtl/>
        </w:rPr>
        <w:br w:type="page"/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lastRenderedPageBreak/>
        <w:t>قرار بشأن البند 2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جدول الأعمال</w:t>
      </w:r>
    </w:p>
    <w:p w:rsidR="00483E15" w:rsidRPr="004B5B86" w:rsidRDefault="00483E15" w:rsidP="00A947BC">
      <w:pPr>
        <w:pStyle w:val="BodyText"/>
      </w:pPr>
      <w:r w:rsidRPr="004B5B86">
        <w:rPr>
          <w:rtl/>
        </w:rPr>
        <w:t>قدم</w:t>
      </w:r>
      <w:r w:rsidR="00AE1271">
        <w:rPr>
          <w:rFonts w:hint="cs"/>
          <w:rtl/>
        </w:rPr>
        <w:t>ت</w:t>
      </w:r>
      <w:r w:rsidRPr="004B5B86">
        <w:rPr>
          <w:rtl/>
        </w:rPr>
        <w:t xml:space="preserve"> الرئيس</w:t>
      </w:r>
      <w:r w:rsidR="00AE1271">
        <w:rPr>
          <w:rFonts w:hint="cs"/>
          <w:rtl/>
        </w:rPr>
        <w:t>ة</w:t>
      </w:r>
      <w:r w:rsidRPr="004B5B86">
        <w:rPr>
          <w:rtl/>
        </w:rPr>
        <w:t xml:space="preserve"> مشروع جدول الأعمال المُعمّم في الوثيقة </w:t>
      </w:r>
      <w:r w:rsidRPr="004B5B86">
        <w:t>WIPO/GRTKF/IC/</w:t>
      </w:r>
      <w:r w:rsidR="00A947BC">
        <w:t>46</w:t>
      </w:r>
      <w:r w:rsidRPr="004B5B86">
        <w:t>/1 Prov. 2</w:t>
      </w:r>
      <w:r w:rsidRPr="004B5B86">
        <w:rPr>
          <w:rtl/>
        </w:rPr>
        <w:t xml:space="preserve"> كي يُعتمد، وتم اعتماده.</w:t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3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اعتماد بعض المنظمات</w:t>
      </w:r>
    </w:p>
    <w:p w:rsidR="00A947BC" w:rsidRPr="00A947BC" w:rsidRDefault="00A947BC" w:rsidP="00A947BC">
      <w:pPr>
        <w:pStyle w:val="BodyText"/>
        <w:rPr>
          <w:rtl/>
          <w:lang w:val="fr-CH"/>
        </w:rPr>
      </w:pPr>
      <w:r w:rsidRPr="00A947BC">
        <w:rPr>
          <w:rtl/>
        </w:rPr>
        <w:t xml:space="preserve">وافقت اللجنة بالإجماع على اعتماد </w:t>
      </w:r>
      <w:r w:rsidRPr="00A947BC">
        <w:rPr>
          <w:i/>
          <w:iCs/>
          <w:rtl/>
          <w:lang w:val="fr-CH" w:bidi="ar-SY"/>
        </w:rPr>
        <w:t>مؤسسة الأعمال التجارية للشعوب الأصلية</w:t>
      </w:r>
      <w:r w:rsidRPr="00A947BC">
        <w:rPr>
          <w:rtl/>
          <w:lang w:val="fr-CH" w:bidi="ar-SY"/>
        </w:rPr>
        <w:t xml:space="preserve"> (</w:t>
      </w:r>
      <w:proofErr w:type="spellStart"/>
      <w:r w:rsidRPr="00A947BC">
        <w:rPr>
          <w:lang w:val="fr-CH" w:bidi="ar-SY"/>
        </w:rPr>
        <w:t>Fundación</w:t>
      </w:r>
      <w:proofErr w:type="spellEnd"/>
      <w:r w:rsidRPr="00A947BC">
        <w:rPr>
          <w:lang w:val="fr-CH" w:bidi="ar-SY"/>
        </w:rPr>
        <w:t xml:space="preserve"> </w:t>
      </w:r>
      <w:proofErr w:type="spellStart"/>
      <w:r w:rsidRPr="00A947BC">
        <w:rPr>
          <w:lang w:val="fr-CH" w:bidi="ar-SY"/>
        </w:rPr>
        <w:t>Empresas</w:t>
      </w:r>
      <w:proofErr w:type="spellEnd"/>
      <w:r w:rsidRPr="00A947BC">
        <w:rPr>
          <w:lang w:val="fr-CH" w:bidi="ar-SY"/>
        </w:rPr>
        <w:t xml:space="preserve"> </w:t>
      </w:r>
      <w:proofErr w:type="spellStart"/>
      <w:r w:rsidRPr="00A947BC">
        <w:rPr>
          <w:lang w:val="fr-CH" w:bidi="ar-SY"/>
        </w:rPr>
        <w:t>Indígenas</w:t>
      </w:r>
      <w:proofErr w:type="spellEnd"/>
      <w:r w:rsidRPr="00A947BC">
        <w:rPr>
          <w:rtl/>
          <w:lang w:val="fr-CH" w:bidi="ar-SY"/>
        </w:rPr>
        <w:t xml:space="preserve">) </w:t>
      </w:r>
      <w:r w:rsidRPr="00A947BC">
        <w:rPr>
          <w:rtl/>
        </w:rPr>
        <w:t>بصفة مراقب مؤقت</w:t>
      </w:r>
      <w:r>
        <w:rPr>
          <w:rFonts w:hint="cs"/>
          <w:rtl/>
        </w:rPr>
        <w:t>.</w:t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4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مشاركة الجماعات الأصلية والمحلية</w:t>
      </w:r>
    </w:p>
    <w:p w:rsidR="00A947BC" w:rsidRDefault="00483E15" w:rsidP="00730734">
      <w:pPr>
        <w:pStyle w:val="BodyText"/>
        <w:rPr>
          <w:rtl/>
        </w:rPr>
      </w:pPr>
      <w:r>
        <w:rPr>
          <w:rtl/>
        </w:rPr>
        <w:t>أحاطت اللجنة علما</w:t>
      </w:r>
      <w:r w:rsidR="00AC77BC">
        <w:rPr>
          <w:rFonts w:hint="cs"/>
          <w:rtl/>
        </w:rPr>
        <w:t>ً</w:t>
      </w:r>
      <w:r>
        <w:rPr>
          <w:rtl/>
        </w:rPr>
        <w:t xml:space="preserve"> </w:t>
      </w:r>
      <w:r w:rsidR="00A947BC" w:rsidRPr="00A947BC">
        <w:rPr>
          <w:rtl/>
        </w:rPr>
        <w:t xml:space="preserve">بتقرير </w:t>
      </w:r>
      <w:r w:rsidR="00730734" w:rsidRPr="00730734">
        <w:rPr>
          <w:rtl/>
        </w:rPr>
        <w:t xml:space="preserve">حلقة عمل خبراء الشعوب الأصلية </w:t>
      </w:r>
      <w:r w:rsidR="00A947BC" w:rsidRPr="00A947BC">
        <w:rPr>
          <w:rtl/>
        </w:rPr>
        <w:t xml:space="preserve">على النحو الوارد في الوثيقة </w:t>
      </w:r>
      <w:r w:rsidR="00A947BC" w:rsidRPr="00A947BC">
        <w:t>WIPO/GRTKF/IC/46/INF/ 9</w:t>
      </w:r>
      <w:r w:rsidR="00A947BC" w:rsidRPr="00A947BC">
        <w:rPr>
          <w:rtl/>
        </w:rPr>
        <w:t>.</w:t>
      </w:r>
    </w:p>
    <w:p w:rsidR="00483E15" w:rsidRDefault="00730734" w:rsidP="00730734">
      <w:pPr>
        <w:pStyle w:val="BodyText"/>
      </w:pPr>
      <w:r>
        <w:rPr>
          <w:rFonts w:hint="cs"/>
          <w:rtl/>
        </w:rPr>
        <w:t xml:space="preserve">وكذلك </w:t>
      </w:r>
      <w:r>
        <w:rPr>
          <w:rtl/>
        </w:rPr>
        <w:t>أحاطت اللجنة</w:t>
      </w:r>
      <w:r>
        <w:rPr>
          <w:rFonts w:hint="cs"/>
          <w:rtl/>
        </w:rPr>
        <w:t xml:space="preserve"> </w:t>
      </w:r>
      <w:r>
        <w:rPr>
          <w:rtl/>
        </w:rPr>
        <w:t>علما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 w:rsidRPr="00A947BC">
        <w:rPr>
          <w:rtl/>
        </w:rPr>
        <w:t>ب</w:t>
      </w:r>
      <w:r>
        <w:rPr>
          <w:rFonts w:hint="cs"/>
          <w:rtl/>
        </w:rPr>
        <w:t xml:space="preserve">الوثيقتين </w:t>
      </w:r>
      <w:r w:rsidR="00483E15">
        <w:t>WIPO/GRTKF/IC/</w:t>
      </w:r>
      <w:r>
        <w:t>46</w:t>
      </w:r>
      <w:r w:rsidR="00483E15">
        <w:t>/3</w:t>
      </w:r>
      <w:r w:rsidR="00483E15">
        <w:rPr>
          <w:rtl/>
        </w:rPr>
        <w:t xml:space="preserve"> و</w:t>
      </w:r>
      <w:r w:rsidR="00483E15">
        <w:t>WIPO/GRTKF/IC/</w:t>
      </w:r>
      <w:r>
        <w:t>46</w:t>
      </w:r>
      <w:r w:rsidR="00483E15">
        <w:t>/INF/4</w:t>
      </w:r>
      <w:r w:rsidR="00483E15">
        <w:rPr>
          <w:rtl/>
        </w:rPr>
        <w:t>.</w:t>
      </w:r>
    </w:p>
    <w:p w:rsidR="00483E15" w:rsidRDefault="00483E15" w:rsidP="00483E15">
      <w:pPr>
        <w:pStyle w:val="BodyText"/>
      </w:pPr>
      <w:r>
        <w:rPr>
          <w:rtl/>
        </w:rPr>
        <w:t>وشجَّعت بشدة أعضاءها وجميع الهيئات المهتمة في القطاعين العام والخاص وحثَّتها على الإسهام في صندوق الويبو للتبرعات لفائدة الجماعات الأصلية والمحلية المعتمدة.</w:t>
      </w:r>
    </w:p>
    <w:p w:rsidR="00730734" w:rsidRDefault="00483E15" w:rsidP="005A1C65">
      <w:pPr>
        <w:pStyle w:val="BodyText"/>
      </w:pPr>
      <w:r>
        <w:rPr>
          <w:rtl/>
        </w:rPr>
        <w:t>واقترح</w:t>
      </w:r>
      <w:r w:rsidR="00D50F52">
        <w:rPr>
          <w:rFonts w:hint="cs"/>
          <w:rtl/>
        </w:rPr>
        <w:t>ت</w:t>
      </w:r>
      <w:r>
        <w:rPr>
          <w:rtl/>
        </w:rPr>
        <w:t xml:space="preserve"> الرئيس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انتخاب الأعضاء</w:t>
      </w:r>
      <w:r w:rsidR="005A1C65">
        <w:rPr>
          <w:rFonts w:hint="cs"/>
          <w:rtl/>
        </w:rPr>
        <w:t xml:space="preserve"> السبعة </w:t>
      </w:r>
      <w:r>
        <w:rPr>
          <w:rtl/>
        </w:rPr>
        <w:t>التالية أسماؤهم في المجلس الاستشاري للعمل بصفتهم الشخصية وانتخبتهم اللجنة بالتزكية:</w:t>
      </w:r>
      <w:r w:rsidR="005A1C65">
        <w:rPr>
          <w:rFonts w:hint="cs"/>
          <w:rtl/>
        </w:rPr>
        <w:t xml:space="preserve"> </w:t>
      </w:r>
      <w:r w:rsidR="005A1C65" w:rsidRPr="005A1C65">
        <w:rPr>
          <w:rtl/>
        </w:rPr>
        <w:t xml:space="preserve">السيدة بيبي </w:t>
      </w:r>
      <w:proofErr w:type="spellStart"/>
      <w:r w:rsidR="005A1C65" w:rsidRPr="005A1C65">
        <w:rPr>
          <w:rtl/>
        </w:rPr>
        <w:t>باربا</w:t>
      </w:r>
      <w:proofErr w:type="spellEnd"/>
      <w:r w:rsidR="005A1C65" w:rsidRPr="005A1C65">
        <w:rPr>
          <w:rtl/>
        </w:rPr>
        <w:t xml:space="preserve">، ممثلة مركز قانون الفنون؛ السيد سيباستيان مولينا، رئيس قسم الملكية الفكرية، نائب وزارة التجارة، شيلي؛ السيدة لوسي </w:t>
      </w:r>
      <w:proofErr w:type="spellStart"/>
      <w:r w:rsidR="005A1C65" w:rsidRPr="005A1C65">
        <w:rPr>
          <w:rtl/>
        </w:rPr>
        <w:t>مولينكي</w:t>
      </w:r>
      <w:proofErr w:type="spellEnd"/>
      <w:r w:rsidR="005A1C65" w:rsidRPr="005A1C65">
        <w:rPr>
          <w:rtl/>
        </w:rPr>
        <w:t xml:space="preserve">، ممثلة شبكة معلومات السكان الأصليين؛ السيد </w:t>
      </w:r>
      <w:proofErr w:type="spellStart"/>
      <w:r w:rsidR="005A1C65" w:rsidRPr="005A1C65">
        <w:rPr>
          <w:rtl/>
        </w:rPr>
        <w:t>آلان</w:t>
      </w:r>
      <w:proofErr w:type="spellEnd"/>
      <w:r w:rsidR="005A1C65" w:rsidRPr="005A1C65">
        <w:rPr>
          <w:rtl/>
        </w:rPr>
        <w:t xml:space="preserve"> </w:t>
      </w:r>
      <w:proofErr w:type="spellStart"/>
      <w:r w:rsidR="005A1C65" w:rsidRPr="005A1C65">
        <w:rPr>
          <w:rtl/>
        </w:rPr>
        <w:t>نداجي</w:t>
      </w:r>
      <w:proofErr w:type="spellEnd"/>
      <w:r w:rsidR="005A1C65" w:rsidRPr="005A1C65">
        <w:rPr>
          <w:rtl/>
        </w:rPr>
        <w:t xml:space="preserve"> </w:t>
      </w:r>
      <w:proofErr w:type="spellStart"/>
      <w:r w:rsidR="005A1C65" w:rsidRPr="005A1C65">
        <w:rPr>
          <w:rtl/>
        </w:rPr>
        <w:t>موغارورا</w:t>
      </w:r>
      <w:proofErr w:type="spellEnd"/>
      <w:r w:rsidR="005A1C65" w:rsidRPr="005A1C65">
        <w:rPr>
          <w:rtl/>
        </w:rPr>
        <w:t>، سكرتير ثالث، البعثة الدائمة لأوغندا؛ السيد</w:t>
      </w:r>
      <w:r w:rsidR="005A1C65">
        <w:rPr>
          <w:rFonts w:hint="cs"/>
          <w:rtl/>
        </w:rPr>
        <w:t xml:space="preserve"> </w:t>
      </w:r>
      <w:proofErr w:type="spellStart"/>
      <w:r w:rsidR="005A1C65">
        <w:rPr>
          <w:rFonts w:hint="cs"/>
          <w:rtl/>
        </w:rPr>
        <w:t>ميدرادو</w:t>
      </w:r>
      <w:proofErr w:type="spellEnd"/>
      <w:r w:rsidR="005A1C65">
        <w:rPr>
          <w:rFonts w:hint="cs"/>
          <w:rtl/>
        </w:rPr>
        <w:t xml:space="preserve"> بين </w:t>
      </w:r>
      <w:proofErr w:type="spellStart"/>
      <w:r w:rsidR="005A1C65">
        <w:rPr>
          <w:rFonts w:hint="cs"/>
          <w:rtl/>
        </w:rPr>
        <w:t>كاخابي</w:t>
      </w:r>
      <w:proofErr w:type="spellEnd"/>
      <w:r w:rsidR="005A1C65" w:rsidRPr="005A1C65">
        <w:rPr>
          <w:rtl/>
        </w:rPr>
        <w:t>، ممثل</w:t>
      </w:r>
      <w:r w:rsidR="005A1C65">
        <w:rPr>
          <w:rFonts w:hint="cs"/>
          <w:rtl/>
        </w:rPr>
        <w:t xml:space="preserve"> </w:t>
      </w:r>
      <w:r w:rsidR="005A1C65" w:rsidRPr="005A1C65">
        <w:rPr>
          <w:rtl/>
        </w:rPr>
        <w:t xml:space="preserve">اللجنة القانونية للتنمية الذاتية لشعوب منطقة </w:t>
      </w:r>
      <w:proofErr w:type="spellStart"/>
      <w:r w:rsidR="005A1C65" w:rsidRPr="005A1C65">
        <w:rPr>
          <w:rtl/>
        </w:rPr>
        <w:t>الأنديز</w:t>
      </w:r>
      <w:proofErr w:type="spellEnd"/>
      <w:r w:rsidR="005A1C65" w:rsidRPr="005A1C65">
        <w:rPr>
          <w:rtl/>
        </w:rPr>
        <w:t xml:space="preserve"> الأوائل (</w:t>
      </w:r>
      <w:r w:rsidR="005A1C65" w:rsidRPr="005A1C65">
        <w:t>CAPAJ</w:t>
      </w:r>
      <w:r w:rsidR="005A1C65" w:rsidRPr="005A1C65">
        <w:rPr>
          <w:rtl/>
        </w:rPr>
        <w:t xml:space="preserve">)؛ السيد توماس </w:t>
      </w:r>
      <w:proofErr w:type="spellStart"/>
      <w:r w:rsidR="005A1C65" w:rsidRPr="005A1C65">
        <w:rPr>
          <w:rtl/>
        </w:rPr>
        <w:t>رايتنجر</w:t>
      </w:r>
      <w:proofErr w:type="spellEnd"/>
      <w:r w:rsidR="005A1C65" w:rsidRPr="005A1C65">
        <w:rPr>
          <w:rtl/>
        </w:rPr>
        <w:t xml:space="preserve">، كبير فاحصي </w:t>
      </w:r>
      <w:r w:rsidR="005A1C65">
        <w:rPr>
          <w:rFonts w:hint="cs"/>
          <w:rtl/>
        </w:rPr>
        <w:t>ال</w:t>
      </w:r>
      <w:r w:rsidR="005A1C65" w:rsidRPr="005A1C65">
        <w:rPr>
          <w:rtl/>
        </w:rPr>
        <w:t xml:space="preserve">براءات، قسم البراءات، المكتب الألماني للبراءات والعلامات التجارية، وزارة العدل الفيدرالية، ألمانيا؛ السيدة زكية </w:t>
      </w:r>
      <w:proofErr w:type="spellStart"/>
      <w:r w:rsidR="005A1C65" w:rsidRPr="005A1C65">
        <w:rPr>
          <w:rtl/>
        </w:rPr>
        <w:t>تاغيزاد</w:t>
      </w:r>
      <w:r w:rsidR="005A1C65">
        <w:rPr>
          <w:rFonts w:hint="cs"/>
          <w:rtl/>
        </w:rPr>
        <w:t>ه</w:t>
      </w:r>
      <w:proofErr w:type="spellEnd"/>
      <w:r w:rsidR="005A1C65" w:rsidRPr="005A1C65">
        <w:rPr>
          <w:rtl/>
        </w:rPr>
        <w:t>، سكرتيرة أولى، البعثة الدائمة لإيران</w:t>
      </w:r>
      <w:r w:rsidR="005A1C65">
        <w:rPr>
          <w:rFonts w:hint="cs"/>
          <w:rtl/>
        </w:rPr>
        <w:t>.</w:t>
      </w:r>
    </w:p>
    <w:p w:rsidR="00483E15" w:rsidRDefault="00483E15" w:rsidP="00483E15">
      <w:pPr>
        <w:pStyle w:val="BodyText"/>
      </w:pPr>
      <w:r>
        <w:rPr>
          <w:rtl/>
        </w:rPr>
        <w:t>وعيّن</w:t>
      </w:r>
      <w:r w:rsidR="00D50F52">
        <w:rPr>
          <w:rFonts w:hint="cs"/>
          <w:rtl/>
        </w:rPr>
        <w:t>ت</w:t>
      </w:r>
      <w:r>
        <w:rPr>
          <w:rtl/>
        </w:rPr>
        <w:t xml:space="preserve"> رئيس</w:t>
      </w:r>
      <w:r w:rsidR="00D50F52">
        <w:rPr>
          <w:rFonts w:hint="cs"/>
          <w:rtl/>
        </w:rPr>
        <w:t>ة</w:t>
      </w:r>
      <w:r>
        <w:rPr>
          <w:rtl/>
        </w:rPr>
        <w:t xml:space="preserve"> اللجنة السيد </w:t>
      </w:r>
      <w:proofErr w:type="spellStart"/>
      <w:r>
        <w:rPr>
          <w:rtl/>
        </w:rPr>
        <w:t>يوناه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سيليتي</w:t>
      </w:r>
      <w:proofErr w:type="spellEnd"/>
      <w:r>
        <w:rPr>
          <w:rtl/>
        </w:rPr>
        <w:t xml:space="preserve">، </w:t>
      </w:r>
      <w:r w:rsidR="00D80A3C">
        <w:rPr>
          <w:rFonts w:hint="cs"/>
          <w:rtl/>
        </w:rPr>
        <w:t xml:space="preserve">أحد </w:t>
      </w:r>
      <w:r>
        <w:rPr>
          <w:rtl/>
        </w:rPr>
        <w:t>نائب</w:t>
      </w:r>
      <w:r w:rsidR="00D80A3C">
        <w:rPr>
          <w:rFonts w:hint="cs"/>
          <w:rtl/>
        </w:rPr>
        <w:t>ي</w:t>
      </w:r>
      <w:r>
        <w:rPr>
          <w:rtl/>
        </w:rPr>
        <w:t xml:space="preserve"> رئيس</w:t>
      </w:r>
      <w:r w:rsidR="00AC77BC">
        <w:rPr>
          <w:rFonts w:hint="cs"/>
          <w:rtl/>
        </w:rPr>
        <w:t>ة</w:t>
      </w:r>
      <w:r>
        <w:rPr>
          <w:rtl/>
        </w:rPr>
        <w:t xml:space="preserve"> اللجنة، رئيسا</w:t>
      </w:r>
      <w:r w:rsidR="00D50F52">
        <w:rPr>
          <w:rFonts w:hint="cs"/>
          <w:rtl/>
        </w:rPr>
        <w:t>ً</w:t>
      </w:r>
      <w:r>
        <w:rPr>
          <w:rtl/>
        </w:rPr>
        <w:t xml:space="preserve"> للمجلس الاستشاري.</w:t>
      </w:r>
    </w:p>
    <w:p w:rsidR="00483E15" w:rsidRPr="004B5B86" w:rsidRDefault="00483E15" w:rsidP="00483E15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>قرار بشأن البند 5 من جدول الأعمال:</w:t>
      </w:r>
    </w:p>
    <w:p w:rsidR="00483E15" w:rsidRPr="004B5B86" w:rsidRDefault="00C0015E" w:rsidP="00C0015E">
      <w:pPr>
        <w:pStyle w:val="BodyText"/>
        <w:rPr>
          <w:b/>
          <w:bCs/>
          <w:sz w:val="24"/>
          <w:szCs w:val="24"/>
        </w:rPr>
      </w:pPr>
      <w:r w:rsidRPr="00C0015E">
        <w:rPr>
          <w:b/>
          <w:bCs/>
          <w:sz w:val="24"/>
          <w:szCs w:val="24"/>
          <w:rtl/>
        </w:rPr>
        <w:t>تقرير عن فريق الخبراء المخصص المعني بالمعارف التقليدية وأشكال التعبير الثقافي التقليدي</w:t>
      </w:r>
    </w:p>
    <w:p w:rsidR="00C0015E" w:rsidRDefault="00C0015E" w:rsidP="00C0015E">
      <w:pPr>
        <w:pStyle w:val="BodyText"/>
        <w:rPr>
          <w:rtl/>
        </w:rPr>
      </w:pPr>
      <w:r w:rsidRPr="00C0015E">
        <w:rPr>
          <w:rtl/>
        </w:rPr>
        <w:t>أحاطت اللجنة علما</w:t>
      </w:r>
      <w:r>
        <w:rPr>
          <w:rFonts w:hint="cs"/>
          <w:rtl/>
        </w:rPr>
        <w:t>ً</w:t>
      </w:r>
      <w:r w:rsidRPr="00C0015E">
        <w:rPr>
          <w:rtl/>
        </w:rPr>
        <w:t xml:space="preserve"> بالتقرير الشفوي المقدم من </w:t>
      </w:r>
      <w:r>
        <w:rPr>
          <w:rFonts w:hint="cs"/>
          <w:rtl/>
        </w:rPr>
        <w:t>ال</w:t>
      </w:r>
      <w:r w:rsidRPr="00C0015E">
        <w:rPr>
          <w:rtl/>
        </w:rPr>
        <w:t>رئيسي</w:t>
      </w:r>
      <w:r>
        <w:rPr>
          <w:rFonts w:hint="cs"/>
          <w:rtl/>
        </w:rPr>
        <w:t>ن</w:t>
      </w:r>
      <w:r w:rsidRPr="00C0015E">
        <w:rPr>
          <w:rtl/>
        </w:rPr>
        <w:t xml:space="preserve"> </w:t>
      </w:r>
      <w:r>
        <w:rPr>
          <w:rFonts w:hint="cs"/>
          <w:rtl/>
        </w:rPr>
        <w:t xml:space="preserve">بالشراكة </w:t>
      </w:r>
      <w:r w:rsidRPr="00C0015E">
        <w:rPr>
          <w:rtl/>
        </w:rPr>
        <w:t xml:space="preserve">لفريق الخبراء المخصص المعني بالمعارف التقليدية وأشكال التعبير الثقافي التقليدي، السيدة إدوينا لويس والسيد أنتوني </w:t>
      </w:r>
      <w:proofErr w:type="spellStart"/>
      <w:r w:rsidRPr="00C0015E">
        <w:rPr>
          <w:rtl/>
        </w:rPr>
        <w:t>كاكوزا</w:t>
      </w:r>
      <w:proofErr w:type="spellEnd"/>
      <w:r w:rsidRPr="00C0015E">
        <w:rPr>
          <w:rtl/>
        </w:rPr>
        <w:t>.</w:t>
      </w:r>
    </w:p>
    <w:p w:rsidR="00C0015E" w:rsidRDefault="00C0015E" w:rsidP="00C0015E">
      <w:pPr>
        <w:pStyle w:val="Heading1"/>
        <w:spacing w:after="120"/>
        <w:rPr>
          <w:sz w:val="24"/>
          <w:szCs w:val="24"/>
          <w:rtl/>
        </w:rPr>
      </w:pPr>
      <w:r w:rsidRPr="004B5B86">
        <w:rPr>
          <w:sz w:val="24"/>
          <w:szCs w:val="24"/>
          <w:rtl/>
        </w:rPr>
        <w:t xml:space="preserve">قرار بشأن البند </w:t>
      </w:r>
      <w:r>
        <w:rPr>
          <w:rFonts w:hint="cs"/>
          <w:sz w:val="24"/>
          <w:szCs w:val="24"/>
          <w:rtl/>
        </w:rPr>
        <w:t>6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C0015E" w:rsidRPr="00C0015E" w:rsidRDefault="00C0015E" w:rsidP="00C0015E">
      <w:pPr>
        <w:pStyle w:val="BodyText"/>
        <w:rPr>
          <w:b/>
          <w:bCs/>
          <w:sz w:val="24"/>
          <w:szCs w:val="24"/>
        </w:rPr>
      </w:pPr>
      <w:r w:rsidRPr="00C0015E">
        <w:rPr>
          <w:b/>
          <w:bCs/>
          <w:sz w:val="24"/>
          <w:szCs w:val="24"/>
          <w:rtl/>
        </w:rPr>
        <w:t>المعارف التقليدية</w:t>
      </w:r>
      <w:r>
        <w:rPr>
          <w:rFonts w:hint="cs"/>
          <w:b/>
          <w:bCs/>
          <w:sz w:val="24"/>
          <w:szCs w:val="24"/>
          <w:rtl/>
        </w:rPr>
        <w:t>/</w:t>
      </w:r>
      <w:r w:rsidRPr="00C0015E">
        <w:rPr>
          <w:b/>
          <w:bCs/>
          <w:sz w:val="24"/>
          <w:szCs w:val="24"/>
          <w:rtl/>
        </w:rPr>
        <w:t>التعبير الثقافي التقليدي</w:t>
      </w:r>
    </w:p>
    <w:p w:rsidR="00D50F52" w:rsidRDefault="00D50F52" w:rsidP="00730734">
      <w:pPr>
        <w:pStyle w:val="BodyText"/>
        <w:rPr>
          <w:rtl/>
        </w:rPr>
      </w:pPr>
      <w:r>
        <w:rPr>
          <w:rtl/>
        </w:rPr>
        <w:t xml:space="preserve">أعدت اللجنة، استنادا إلى الوثيقة </w:t>
      </w:r>
      <w:r>
        <w:t>WIPO/GRTKF/IC/</w:t>
      </w:r>
      <w:r w:rsidR="00730734">
        <w:t>46</w:t>
      </w:r>
      <w:r>
        <w:t>/4</w:t>
      </w:r>
      <w:r>
        <w:rPr>
          <w:rtl/>
        </w:rPr>
        <w:t>، نصا</w:t>
      </w:r>
      <w:r>
        <w:rPr>
          <w:rFonts w:hint="cs"/>
          <w:rtl/>
        </w:rPr>
        <w:t>ً</w:t>
      </w:r>
      <w:r>
        <w:rPr>
          <w:rtl/>
        </w:rPr>
        <w:t xml:space="preserve"> آخر بعنوان "حماية ال</w:t>
      </w:r>
      <w:r w:rsidR="00236F48">
        <w:rPr>
          <w:rtl/>
        </w:rPr>
        <w:t xml:space="preserve">معارف التقليدية: مشروع مواد - </w:t>
      </w:r>
      <w:r>
        <w:rPr>
          <w:rtl/>
        </w:rPr>
        <w:t xml:space="preserve">نسخة </w:t>
      </w:r>
      <w:r w:rsidR="00236F48">
        <w:rPr>
          <w:rFonts w:hint="cs"/>
          <w:rtl/>
        </w:rPr>
        <w:t xml:space="preserve">الميسّرين </w:t>
      </w:r>
      <w:r>
        <w:rPr>
          <w:rtl/>
        </w:rPr>
        <w:t>المعدّلة (</w:t>
      </w:r>
      <w:r>
        <w:t>Rev.</w:t>
      </w:r>
      <w:r>
        <w:rPr>
          <w:rtl/>
        </w:rPr>
        <w:t>)"، وأعدت، استنادا</w:t>
      </w:r>
      <w:r w:rsidR="00236F48">
        <w:rPr>
          <w:rFonts w:hint="cs"/>
          <w:rtl/>
        </w:rPr>
        <w:t>ً</w:t>
      </w:r>
      <w:r>
        <w:rPr>
          <w:rtl/>
        </w:rPr>
        <w:t xml:space="preserve"> إلى الوثيقة </w:t>
      </w:r>
      <w:r>
        <w:t>WIPO/GRTKF/IC/</w:t>
      </w:r>
      <w:r w:rsidR="00730734">
        <w:t>46</w:t>
      </w:r>
      <w:r>
        <w:t>/5</w:t>
      </w:r>
      <w:r>
        <w:rPr>
          <w:rtl/>
        </w:rPr>
        <w:t>، نصا</w:t>
      </w:r>
      <w:r w:rsidR="00236F48">
        <w:rPr>
          <w:rFonts w:hint="cs"/>
          <w:rtl/>
        </w:rPr>
        <w:t>ً</w:t>
      </w:r>
      <w:r>
        <w:rPr>
          <w:rtl/>
        </w:rPr>
        <w:t xml:space="preserve"> آخر بعنوان "حماية أشكال التعبير ا</w:t>
      </w:r>
      <w:r w:rsidR="00236F48">
        <w:rPr>
          <w:rtl/>
        </w:rPr>
        <w:t xml:space="preserve">لثقافي التقليدي: مشروع مواد - </w:t>
      </w:r>
      <w:r>
        <w:rPr>
          <w:rtl/>
        </w:rPr>
        <w:t xml:space="preserve">نسخة </w:t>
      </w:r>
      <w:r w:rsidR="00236F48">
        <w:rPr>
          <w:rFonts w:hint="cs"/>
          <w:rtl/>
        </w:rPr>
        <w:t xml:space="preserve">الميسّرين </w:t>
      </w:r>
      <w:r>
        <w:rPr>
          <w:rtl/>
        </w:rPr>
        <w:t>المعدّلة (</w:t>
      </w:r>
      <w:r>
        <w:t>Rev.</w:t>
      </w:r>
      <w:r>
        <w:rPr>
          <w:rtl/>
        </w:rPr>
        <w:t>)". وقرّرت اللجنة إحالة النصين المذكورين، بالصيغة التي وردا بها لدى اختتام النظر في هذا البند من جدول الأعمال في</w:t>
      </w:r>
      <w:r w:rsidR="00730734">
        <w:rPr>
          <w:rFonts w:hint="cs"/>
          <w:rtl/>
        </w:rPr>
        <w:t xml:space="preserve"> 3</w:t>
      </w:r>
      <w:r>
        <w:rPr>
          <w:rtl/>
        </w:rPr>
        <w:t xml:space="preserve"> </w:t>
      </w:r>
      <w:r w:rsidR="00236F48">
        <w:rPr>
          <w:rFonts w:hint="cs"/>
          <w:rtl/>
        </w:rPr>
        <w:t>م</w:t>
      </w:r>
      <w:r w:rsidR="00730734">
        <w:rPr>
          <w:rFonts w:hint="cs"/>
          <w:rtl/>
        </w:rPr>
        <w:t>ا</w:t>
      </w:r>
      <w:r w:rsidR="00236F48">
        <w:rPr>
          <w:rFonts w:hint="cs"/>
          <w:rtl/>
        </w:rPr>
        <w:t>ر</w:t>
      </w:r>
      <w:r w:rsidR="00730734">
        <w:rPr>
          <w:rFonts w:hint="cs"/>
          <w:rtl/>
        </w:rPr>
        <w:t>س</w:t>
      </w:r>
      <w:r>
        <w:rPr>
          <w:rtl/>
        </w:rPr>
        <w:t xml:space="preserve"> </w:t>
      </w:r>
      <w:r w:rsidR="00730734">
        <w:rPr>
          <w:rFonts w:hint="cs"/>
          <w:rtl/>
        </w:rPr>
        <w:t>2023</w:t>
      </w:r>
      <w:r>
        <w:rPr>
          <w:rtl/>
        </w:rPr>
        <w:t xml:space="preserve">، إلى دورتها </w:t>
      </w:r>
      <w:r w:rsidR="00236F48">
        <w:rPr>
          <w:rFonts w:hint="cs"/>
          <w:rtl/>
        </w:rPr>
        <w:t>ال</w:t>
      </w:r>
      <w:r w:rsidR="00C0015E">
        <w:rPr>
          <w:rFonts w:hint="cs"/>
          <w:rtl/>
        </w:rPr>
        <w:t>سا</w:t>
      </w:r>
      <w:r w:rsidR="00730734">
        <w:rPr>
          <w:rFonts w:hint="cs"/>
          <w:rtl/>
        </w:rPr>
        <w:t>بع</w:t>
      </w:r>
      <w:r w:rsidR="00236F48">
        <w:rPr>
          <w:rFonts w:hint="cs"/>
          <w:rtl/>
        </w:rPr>
        <w:t>ة</w:t>
      </w:r>
      <w:r w:rsidR="00236F48">
        <w:rPr>
          <w:rtl/>
        </w:rPr>
        <w:t xml:space="preserve"> وال</w:t>
      </w:r>
      <w:r w:rsidR="00236F48">
        <w:rPr>
          <w:rFonts w:hint="cs"/>
          <w:rtl/>
        </w:rPr>
        <w:t>أربعين</w:t>
      </w:r>
      <w:r>
        <w:rPr>
          <w:rtl/>
        </w:rPr>
        <w:t xml:space="preserve"> طبقا</w:t>
      </w:r>
      <w:r w:rsidR="00236F48">
        <w:rPr>
          <w:rFonts w:hint="cs"/>
          <w:rtl/>
        </w:rPr>
        <w:t>ً</w:t>
      </w:r>
      <w:r>
        <w:rPr>
          <w:rtl/>
        </w:rPr>
        <w:t xml:space="preserve"> لولايتها للثنائية </w:t>
      </w:r>
      <w:r w:rsidR="00236F48">
        <w:rPr>
          <w:rFonts w:hint="cs"/>
          <w:rtl/>
        </w:rPr>
        <w:t>2022</w:t>
      </w:r>
      <w:r>
        <w:rPr>
          <w:rtl/>
        </w:rPr>
        <w:t>-</w:t>
      </w:r>
      <w:r w:rsidR="00236F48">
        <w:rPr>
          <w:rFonts w:hint="cs"/>
          <w:rtl/>
        </w:rPr>
        <w:t> 2023</w:t>
      </w:r>
      <w:r>
        <w:rPr>
          <w:rtl/>
        </w:rPr>
        <w:t xml:space="preserve"> وبرنامج عملها لعام </w:t>
      </w:r>
      <w:r w:rsidR="00730734">
        <w:rPr>
          <w:rFonts w:hint="cs"/>
          <w:rtl/>
        </w:rPr>
        <w:t>2023</w:t>
      </w:r>
      <w:r>
        <w:rPr>
          <w:rtl/>
        </w:rPr>
        <w:t>.</w:t>
      </w:r>
    </w:p>
    <w:p w:rsidR="00483E15" w:rsidRDefault="00D50F52" w:rsidP="00730734">
      <w:pPr>
        <w:pStyle w:val="BodyText"/>
        <w:keepLines/>
        <w:rPr>
          <w:rtl/>
        </w:rPr>
      </w:pPr>
      <w:r>
        <w:rPr>
          <w:rtl/>
        </w:rPr>
        <w:t>وأحاطت اللجنة علما</w:t>
      </w:r>
      <w:r w:rsidR="00236F48">
        <w:rPr>
          <w:rFonts w:hint="cs"/>
          <w:rtl/>
        </w:rPr>
        <w:t>ً</w:t>
      </w:r>
      <w:r>
        <w:rPr>
          <w:rtl/>
        </w:rPr>
        <w:t xml:space="preserve"> بالوثائق </w:t>
      </w:r>
      <w:r>
        <w:t>WIPO/GRTKF/IC/</w:t>
      </w:r>
      <w:r w:rsidR="00730734">
        <w:t>46</w:t>
      </w:r>
      <w:r>
        <w:t>/6</w:t>
      </w:r>
      <w:r>
        <w:rPr>
          <w:rtl/>
        </w:rPr>
        <w:t>و</w:t>
      </w:r>
      <w:r>
        <w:t>WIPO/GRTKF/IC/</w:t>
      </w:r>
      <w:r w:rsidR="00730734">
        <w:t>46</w:t>
      </w:r>
      <w:r>
        <w:t>/7</w:t>
      </w:r>
      <w:r>
        <w:rPr>
          <w:rtl/>
        </w:rPr>
        <w:t xml:space="preserve"> و</w:t>
      </w:r>
      <w:r>
        <w:t>WIPO/GRTKF/IC/</w:t>
      </w:r>
      <w:r w:rsidR="00730734">
        <w:t>46</w:t>
      </w:r>
      <w:r>
        <w:t>/8</w:t>
      </w:r>
      <w:r>
        <w:rPr>
          <w:rtl/>
        </w:rPr>
        <w:t xml:space="preserve"> و</w:t>
      </w:r>
      <w:r>
        <w:t>WIPO/GRTKF/IC/</w:t>
      </w:r>
      <w:r w:rsidR="00730734">
        <w:t>46</w:t>
      </w:r>
      <w:r>
        <w:t>/9</w:t>
      </w:r>
      <w:r>
        <w:rPr>
          <w:rtl/>
        </w:rPr>
        <w:t xml:space="preserve"> و</w:t>
      </w:r>
      <w:r>
        <w:t>WIPO/GRTKF/IC/</w:t>
      </w:r>
      <w:r w:rsidR="00730734">
        <w:t>46</w:t>
      </w:r>
      <w:r>
        <w:t>/10</w:t>
      </w:r>
      <w:r>
        <w:rPr>
          <w:rtl/>
        </w:rPr>
        <w:t xml:space="preserve"> و</w:t>
      </w:r>
      <w:r>
        <w:t>WIPO/GRTKF/IC/</w:t>
      </w:r>
      <w:r w:rsidR="00730734">
        <w:t>46</w:t>
      </w:r>
      <w:r>
        <w:t>/11</w:t>
      </w:r>
      <w:r>
        <w:rPr>
          <w:rtl/>
        </w:rPr>
        <w:t xml:space="preserve"> و</w:t>
      </w:r>
      <w:r>
        <w:t>WIPO/GRTKF/IC/</w:t>
      </w:r>
      <w:r w:rsidR="00730734">
        <w:t>46</w:t>
      </w:r>
      <w:r>
        <w:t>/12</w:t>
      </w:r>
      <w:r>
        <w:rPr>
          <w:rtl/>
        </w:rPr>
        <w:t xml:space="preserve"> و</w:t>
      </w:r>
      <w:r>
        <w:t>WIPO/GRTKF/IC/</w:t>
      </w:r>
      <w:r w:rsidR="00730734">
        <w:t>46</w:t>
      </w:r>
      <w:r>
        <w:t>/13</w:t>
      </w:r>
      <w:r>
        <w:rPr>
          <w:rtl/>
        </w:rPr>
        <w:t xml:space="preserve"> </w:t>
      </w:r>
      <w:r w:rsidR="00730734">
        <w:rPr>
          <w:rtl/>
        </w:rPr>
        <w:t>و</w:t>
      </w:r>
      <w:r w:rsidR="00730734">
        <w:t>WIPO/GRTKF/IC/46/14</w:t>
      </w:r>
      <w:r w:rsidR="00730734">
        <w:rPr>
          <w:rFonts w:hint="cs"/>
          <w:rtl/>
        </w:rPr>
        <w:t xml:space="preserve"> </w:t>
      </w:r>
      <w:r>
        <w:rPr>
          <w:rtl/>
        </w:rPr>
        <w:t>و</w:t>
      </w:r>
      <w:r>
        <w:t>WIPO/GRTKF/IC/</w:t>
      </w:r>
      <w:r w:rsidR="00730734">
        <w:t>46</w:t>
      </w:r>
      <w:r>
        <w:t>/INF/7</w:t>
      </w:r>
      <w:r w:rsidR="00236F48">
        <w:rPr>
          <w:rFonts w:hint="cs"/>
          <w:rtl/>
        </w:rPr>
        <w:t xml:space="preserve"> </w:t>
      </w:r>
      <w:r w:rsidR="00236F48">
        <w:rPr>
          <w:rtl/>
        </w:rPr>
        <w:t>و</w:t>
      </w:r>
      <w:r w:rsidR="00236F48">
        <w:t>WIPO/GRTKF/IC/</w:t>
      </w:r>
      <w:r w:rsidR="00730734">
        <w:t>46</w:t>
      </w:r>
      <w:r w:rsidR="00236F48">
        <w:t>/INF/8</w:t>
      </w:r>
      <w:r>
        <w:rPr>
          <w:rtl/>
        </w:rPr>
        <w:t>، وأجرت مناقشات بشأنها.</w:t>
      </w:r>
    </w:p>
    <w:p w:rsidR="00483E15" w:rsidRPr="004B5B86" w:rsidRDefault="00483E15" w:rsidP="00C0015E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lastRenderedPageBreak/>
        <w:t xml:space="preserve">قرار بشأن البند </w:t>
      </w:r>
      <w:r w:rsidR="00C0015E">
        <w:rPr>
          <w:rFonts w:hint="cs"/>
          <w:sz w:val="24"/>
          <w:szCs w:val="24"/>
          <w:rtl/>
        </w:rPr>
        <w:t>7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أية مسائل أخرى</w:t>
      </w:r>
    </w:p>
    <w:p w:rsidR="00483E15" w:rsidRDefault="00483E15" w:rsidP="00483E15">
      <w:pPr>
        <w:pStyle w:val="BodyText"/>
        <w:rPr>
          <w:rtl/>
        </w:rPr>
      </w:pPr>
      <w:r w:rsidRPr="004F027E">
        <w:rPr>
          <w:rtl/>
        </w:rPr>
        <w:t>لم تجر أي مناقشات في إطار هذا البند.</w:t>
      </w:r>
    </w:p>
    <w:p w:rsidR="00483E15" w:rsidRPr="004B5B86" w:rsidRDefault="00483E15" w:rsidP="00730734">
      <w:pPr>
        <w:pStyle w:val="Heading1"/>
        <w:spacing w:after="120"/>
        <w:rPr>
          <w:sz w:val="24"/>
          <w:szCs w:val="24"/>
        </w:rPr>
      </w:pPr>
      <w:r w:rsidRPr="004B5B86">
        <w:rPr>
          <w:sz w:val="24"/>
          <w:szCs w:val="24"/>
          <w:rtl/>
        </w:rPr>
        <w:t xml:space="preserve">قرار بشأن البند </w:t>
      </w:r>
      <w:r w:rsidR="00730734">
        <w:rPr>
          <w:rFonts w:hint="cs"/>
          <w:sz w:val="24"/>
          <w:szCs w:val="24"/>
          <w:rtl/>
        </w:rPr>
        <w:t>8</w:t>
      </w:r>
      <w:r w:rsidRPr="004B5B86">
        <w:rPr>
          <w:sz w:val="24"/>
          <w:szCs w:val="24"/>
          <w:rtl/>
        </w:rPr>
        <w:t xml:space="preserve"> من جدول الأعمال:</w:t>
      </w:r>
    </w:p>
    <w:p w:rsidR="00483E15" w:rsidRPr="004B5B86" w:rsidRDefault="00483E15" w:rsidP="00483E15">
      <w:pPr>
        <w:pStyle w:val="BodyText"/>
        <w:rPr>
          <w:b/>
          <w:bCs/>
          <w:sz w:val="24"/>
          <w:szCs w:val="24"/>
        </w:rPr>
      </w:pPr>
      <w:r w:rsidRPr="004B5B86">
        <w:rPr>
          <w:b/>
          <w:bCs/>
          <w:sz w:val="24"/>
          <w:szCs w:val="24"/>
          <w:rtl/>
        </w:rPr>
        <w:t>اختتام الدورة</w:t>
      </w:r>
    </w:p>
    <w:p w:rsidR="00483E15" w:rsidRDefault="00483E15" w:rsidP="00730734">
      <w:pPr>
        <w:pStyle w:val="BodyText"/>
      </w:pPr>
      <w:r>
        <w:rPr>
          <w:rtl/>
        </w:rPr>
        <w:t>اعتمدت اللجنة قراراتها بشأن البنود</w:t>
      </w:r>
      <w:r w:rsidR="00AC77BC">
        <w:rPr>
          <w:rFonts w:hint="cs"/>
          <w:rtl/>
        </w:rPr>
        <w:t xml:space="preserve"> </w:t>
      </w:r>
      <w:r>
        <w:rPr>
          <w:rtl/>
        </w:rPr>
        <w:t xml:space="preserve">2 و3 و4 و5 و6 </w:t>
      </w:r>
      <w:r w:rsidR="00AC77BC">
        <w:rPr>
          <w:rFonts w:hint="cs"/>
          <w:rtl/>
        </w:rPr>
        <w:t>م</w:t>
      </w:r>
      <w:r>
        <w:rPr>
          <w:rtl/>
        </w:rPr>
        <w:t xml:space="preserve">ن جدول الأعمال في </w:t>
      </w:r>
      <w:r w:rsidR="00730734">
        <w:rPr>
          <w:rFonts w:hint="cs"/>
          <w:rtl/>
        </w:rPr>
        <w:t>3</w:t>
      </w:r>
      <w:r>
        <w:rPr>
          <w:rtl/>
        </w:rPr>
        <w:t xml:space="preserve"> </w:t>
      </w:r>
      <w:r w:rsidR="00AC77BC">
        <w:rPr>
          <w:rFonts w:hint="cs"/>
          <w:rtl/>
        </w:rPr>
        <w:t>م</w:t>
      </w:r>
      <w:r w:rsidR="00730734">
        <w:rPr>
          <w:rFonts w:hint="cs"/>
          <w:rtl/>
        </w:rPr>
        <w:t>ا</w:t>
      </w:r>
      <w:r w:rsidR="00AC77BC">
        <w:rPr>
          <w:rFonts w:hint="cs"/>
          <w:rtl/>
        </w:rPr>
        <w:t>ر</w:t>
      </w:r>
      <w:r w:rsidR="00730734">
        <w:rPr>
          <w:rFonts w:hint="cs"/>
          <w:rtl/>
        </w:rPr>
        <w:t>س</w:t>
      </w:r>
      <w:r>
        <w:rPr>
          <w:rtl/>
        </w:rPr>
        <w:t xml:space="preserve"> </w:t>
      </w:r>
      <w:r w:rsidR="00730734">
        <w:rPr>
          <w:rFonts w:hint="cs"/>
          <w:rtl/>
        </w:rPr>
        <w:t>2023</w:t>
      </w:r>
      <w:r>
        <w:rPr>
          <w:rtl/>
        </w:rPr>
        <w:t>.</w:t>
      </w:r>
    </w:p>
    <w:p w:rsidR="00483E15" w:rsidRPr="00FE339E" w:rsidRDefault="00483E15" w:rsidP="00FA0ECF">
      <w:pPr>
        <w:pStyle w:val="Endofdocument-Annex"/>
        <w:spacing w:before="480"/>
        <w:rPr>
          <w:lang w:bidi="ar-EG"/>
        </w:rPr>
      </w:pPr>
      <w:r w:rsidRPr="00FE339E">
        <w:rPr>
          <w:rtl/>
        </w:rPr>
        <w:t>[نهاية الوثيقة]</w:t>
      </w:r>
    </w:p>
    <w:sectPr w:rsidR="00483E15" w:rsidRPr="00FE3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7D" w:rsidRDefault="00426F7D">
      <w:r>
        <w:separator/>
      </w:r>
    </w:p>
  </w:endnote>
  <w:endnote w:type="continuationSeparator" w:id="0">
    <w:p w:rsidR="00426F7D" w:rsidRDefault="00426F7D" w:rsidP="003B38C1">
      <w:r>
        <w:separator/>
      </w:r>
    </w:p>
    <w:p w:rsidR="00426F7D" w:rsidRPr="003B38C1" w:rsidRDefault="00426F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6F7D" w:rsidRPr="003B38C1" w:rsidRDefault="00426F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7D" w:rsidRDefault="00426F7D">
      <w:r>
        <w:separator/>
      </w:r>
    </w:p>
  </w:footnote>
  <w:footnote w:type="continuationSeparator" w:id="0">
    <w:p w:rsidR="00426F7D" w:rsidRDefault="00426F7D" w:rsidP="008B60B2">
      <w:r>
        <w:separator/>
      </w:r>
    </w:p>
    <w:p w:rsidR="00426F7D" w:rsidRPr="00ED77FB" w:rsidRDefault="00426F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6F7D" w:rsidRPr="00ED77FB" w:rsidRDefault="00426F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C5992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37"/>
    <w:rsid w:val="00001744"/>
    <w:rsid w:val="00010956"/>
    <w:rsid w:val="0001789A"/>
    <w:rsid w:val="00043CAA"/>
    <w:rsid w:val="00051CED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A3678"/>
    <w:rsid w:val="001B1EF5"/>
    <w:rsid w:val="001C5992"/>
    <w:rsid w:val="001D4107"/>
    <w:rsid w:val="00203D24"/>
    <w:rsid w:val="00210D5F"/>
    <w:rsid w:val="0021217E"/>
    <w:rsid w:val="00216C10"/>
    <w:rsid w:val="002326AB"/>
    <w:rsid w:val="00236F48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742BD"/>
    <w:rsid w:val="003845C1"/>
    <w:rsid w:val="003876D5"/>
    <w:rsid w:val="003A6F89"/>
    <w:rsid w:val="003B355C"/>
    <w:rsid w:val="003B38C1"/>
    <w:rsid w:val="003B4E75"/>
    <w:rsid w:val="003C34E9"/>
    <w:rsid w:val="00423E3E"/>
    <w:rsid w:val="00426F7D"/>
    <w:rsid w:val="00427AF4"/>
    <w:rsid w:val="004647DA"/>
    <w:rsid w:val="00474062"/>
    <w:rsid w:val="00477D6B"/>
    <w:rsid w:val="00483E15"/>
    <w:rsid w:val="005019FF"/>
    <w:rsid w:val="0053057A"/>
    <w:rsid w:val="00537947"/>
    <w:rsid w:val="00550EDE"/>
    <w:rsid w:val="00556076"/>
    <w:rsid w:val="00560A29"/>
    <w:rsid w:val="00562095"/>
    <w:rsid w:val="00564A73"/>
    <w:rsid w:val="005A1C65"/>
    <w:rsid w:val="005C6649"/>
    <w:rsid w:val="005E7B89"/>
    <w:rsid w:val="00605827"/>
    <w:rsid w:val="00646050"/>
    <w:rsid w:val="006713CA"/>
    <w:rsid w:val="00676C5C"/>
    <w:rsid w:val="006B5C12"/>
    <w:rsid w:val="00720EFD"/>
    <w:rsid w:val="00730734"/>
    <w:rsid w:val="007854AF"/>
    <w:rsid w:val="00793A7C"/>
    <w:rsid w:val="007A398A"/>
    <w:rsid w:val="007A40B9"/>
    <w:rsid w:val="007C4730"/>
    <w:rsid w:val="007C4902"/>
    <w:rsid w:val="007D1613"/>
    <w:rsid w:val="007D2DEC"/>
    <w:rsid w:val="007E4C0E"/>
    <w:rsid w:val="007F2029"/>
    <w:rsid w:val="00844148"/>
    <w:rsid w:val="00844947"/>
    <w:rsid w:val="00862096"/>
    <w:rsid w:val="008A01F4"/>
    <w:rsid w:val="008A134B"/>
    <w:rsid w:val="008B2CC1"/>
    <w:rsid w:val="008B60B2"/>
    <w:rsid w:val="008F0067"/>
    <w:rsid w:val="0090731E"/>
    <w:rsid w:val="00916EE2"/>
    <w:rsid w:val="00966A22"/>
    <w:rsid w:val="0096722F"/>
    <w:rsid w:val="00980843"/>
    <w:rsid w:val="009B0855"/>
    <w:rsid w:val="009C4610"/>
    <w:rsid w:val="009E2791"/>
    <w:rsid w:val="009E3F6F"/>
    <w:rsid w:val="009F499F"/>
    <w:rsid w:val="009F4BB6"/>
    <w:rsid w:val="00A37342"/>
    <w:rsid w:val="00A42DAF"/>
    <w:rsid w:val="00A45BD8"/>
    <w:rsid w:val="00A869B7"/>
    <w:rsid w:val="00A90F0A"/>
    <w:rsid w:val="00A947BC"/>
    <w:rsid w:val="00AA4217"/>
    <w:rsid w:val="00AC205C"/>
    <w:rsid w:val="00AC77BC"/>
    <w:rsid w:val="00AE1271"/>
    <w:rsid w:val="00AF0A6B"/>
    <w:rsid w:val="00B05A69"/>
    <w:rsid w:val="00B42CA9"/>
    <w:rsid w:val="00B43ED3"/>
    <w:rsid w:val="00B51FF7"/>
    <w:rsid w:val="00B75281"/>
    <w:rsid w:val="00B92F1F"/>
    <w:rsid w:val="00B9734B"/>
    <w:rsid w:val="00BA30E2"/>
    <w:rsid w:val="00BA6B37"/>
    <w:rsid w:val="00C0015E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0F52"/>
    <w:rsid w:val="00D530E8"/>
    <w:rsid w:val="00D60B2C"/>
    <w:rsid w:val="00D67EAE"/>
    <w:rsid w:val="00D71B4D"/>
    <w:rsid w:val="00D80A3C"/>
    <w:rsid w:val="00D90B96"/>
    <w:rsid w:val="00D93D55"/>
    <w:rsid w:val="00DD7B7F"/>
    <w:rsid w:val="00E15015"/>
    <w:rsid w:val="00E319DF"/>
    <w:rsid w:val="00E335FE"/>
    <w:rsid w:val="00E66CC5"/>
    <w:rsid w:val="00E7374D"/>
    <w:rsid w:val="00E944D7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A0EC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EC0EBB"/>
  <w15:docId w15:val="{BCFA0722-895B-40F5-9149-56C9092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83E15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483E1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B87F-4DD7-4CA8-8376-8F2708EF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IGC_44_AR.dotx</Template>
  <TotalTime>9</TotalTime>
  <Pages>3</Pages>
  <Words>438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WIPO/GRTK/IC/44</vt:lpstr>
    </vt:vector>
  </TitlesOfParts>
  <Company>WIPO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WIPO/GRTK/IC/44</dc:title>
  <dc:creator>MERZOUK Fawzi</dc:creator>
  <cp:keywords>FOR OFFICIAL USE ONLY</cp:keywords>
  <cp:lastModifiedBy>ALAKHRAS Basel</cp:lastModifiedBy>
  <cp:revision>9</cp:revision>
  <cp:lastPrinted>2023-03-03T12:53:00Z</cp:lastPrinted>
  <dcterms:created xsi:type="dcterms:W3CDTF">2023-02-28T15:20:00Z</dcterms:created>
  <dcterms:modified xsi:type="dcterms:W3CDTF">2023-03-03T12:56:00Z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