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8F90A5" w14:textId="77777777"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14:anchorId="0F52ADC7" wp14:editId="71E170AD">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C99C111"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05ACCDE8" w14:textId="6FA3CF2E" w:rsidR="008B2CC1" w:rsidRPr="00C73E7A" w:rsidRDefault="00D90B96" w:rsidP="000A0201">
      <w:pPr>
        <w:bidi w:val="0"/>
        <w:rPr>
          <w:rFonts w:ascii="Arial Black" w:hAnsi="Arial Black"/>
          <w:caps/>
          <w:sz w:val="15"/>
          <w:szCs w:val="15"/>
          <w:lang w:bidi="ar-SY"/>
        </w:rPr>
      </w:pPr>
      <w:r>
        <w:rPr>
          <w:rFonts w:ascii="Arial Black" w:hAnsi="Arial Black"/>
          <w:caps/>
          <w:sz w:val="15"/>
          <w:szCs w:val="15"/>
        </w:rPr>
        <w:t>WIPO/GRTK</w:t>
      </w:r>
      <w:r w:rsidR="009B0855">
        <w:rPr>
          <w:rFonts w:ascii="Arial Black" w:hAnsi="Arial Black"/>
          <w:caps/>
          <w:sz w:val="15"/>
          <w:szCs w:val="15"/>
        </w:rPr>
        <w:t>F</w:t>
      </w:r>
      <w:r>
        <w:rPr>
          <w:rFonts w:ascii="Arial Black" w:hAnsi="Arial Black"/>
          <w:caps/>
          <w:sz w:val="15"/>
          <w:szCs w:val="15"/>
        </w:rPr>
        <w:t>/IC/</w:t>
      </w:r>
      <w:r w:rsidR="000A0201">
        <w:rPr>
          <w:rFonts w:ascii="Arial Black" w:hAnsi="Arial Black"/>
          <w:caps/>
          <w:sz w:val="15"/>
          <w:szCs w:val="15"/>
        </w:rPr>
        <w:t>45</w:t>
      </w:r>
      <w:r>
        <w:rPr>
          <w:rFonts w:ascii="Arial Black" w:hAnsi="Arial Black"/>
          <w:caps/>
          <w:sz w:val="15"/>
          <w:szCs w:val="15"/>
        </w:rPr>
        <w:t>/</w:t>
      </w:r>
      <w:bookmarkStart w:id="0" w:name="Code"/>
      <w:bookmarkEnd w:id="0"/>
      <w:r w:rsidR="00871792">
        <w:rPr>
          <w:rFonts w:ascii="Arial Black" w:hAnsi="Arial Black"/>
          <w:caps/>
          <w:sz w:val="15"/>
          <w:szCs w:val="15"/>
        </w:rPr>
        <w:t>7</w:t>
      </w:r>
    </w:p>
    <w:p w14:paraId="5163E717" w14:textId="77777777" w:rsidR="008B2CC1" w:rsidRPr="002937BA" w:rsidRDefault="00CC3E2D" w:rsidP="00CC3E2D">
      <w:pPr>
        <w:jc w:val="right"/>
        <w:rPr>
          <w:rFonts w:asciiTheme="minorHAnsi" w:hAnsiTheme="minorHAnsi" w:cstheme="minorHAnsi"/>
          <w:b/>
          <w:bCs/>
          <w:caps/>
          <w:sz w:val="15"/>
          <w:szCs w:val="15"/>
        </w:rPr>
      </w:pPr>
      <w:bookmarkStart w:id="1" w:name="Original"/>
      <w:r w:rsidRPr="002937BA">
        <w:rPr>
          <w:rFonts w:asciiTheme="minorHAnsi" w:hAnsiTheme="minorHAnsi" w:cstheme="minorHAnsi" w:hint="cs"/>
          <w:b/>
          <w:bCs/>
          <w:caps/>
          <w:sz w:val="15"/>
          <w:szCs w:val="15"/>
          <w:rtl/>
        </w:rPr>
        <w:t xml:space="preserve">الأصل: </w:t>
      </w:r>
      <w:r w:rsidR="002937BA" w:rsidRPr="002937BA">
        <w:rPr>
          <w:rFonts w:asciiTheme="minorHAnsi" w:hAnsiTheme="minorHAnsi" w:cstheme="minorHAnsi" w:hint="cs"/>
          <w:b/>
          <w:bCs/>
          <w:caps/>
          <w:sz w:val="15"/>
          <w:szCs w:val="15"/>
          <w:rtl/>
        </w:rPr>
        <w:t>بالإنكليزية</w:t>
      </w:r>
    </w:p>
    <w:p w14:paraId="00A544D6" w14:textId="7E6BFAC2" w:rsidR="008B2CC1" w:rsidRPr="00CC3E2D" w:rsidRDefault="00CC3E2D" w:rsidP="000A0201">
      <w:pPr>
        <w:spacing w:after="1200"/>
        <w:jc w:val="right"/>
        <w:rPr>
          <w:rFonts w:asciiTheme="minorHAnsi" w:hAnsiTheme="minorHAnsi" w:cstheme="minorHAnsi"/>
          <w:b/>
          <w:bCs/>
          <w:caps/>
          <w:sz w:val="15"/>
          <w:szCs w:val="15"/>
        </w:rPr>
      </w:pPr>
      <w:bookmarkStart w:id="2" w:name="Date"/>
      <w:bookmarkEnd w:id="1"/>
      <w:r>
        <w:rPr>
          <w:rFonts w:asciiTheme="minorHAnsi" w:hAnsiTheme="minorHAnsi" w:cstheme="minorHAnsi" w:hint="cs"/>
          <w:b/>
          <w:bCs/>
          <w:caps/>
          <w:sz w:val="15"/>
          <w:szCs w:val="15"/>
          <w:rtl/>
        </w:rPr>
        <w:t xml:space="preserve">التاريخ: </w:t>
      </w:r>
      <w:r w:rsidR="000A0201">
        <w:rPr>
          <w:rFonts w:asciiTheme="minorHAnsi" w:hAnsiTheme="minorHAnsi" w:cstheme="minorHAnsi" w:hint="cs"/>
          <w:b/>
          <w:bCs/>
          <w:caps/>
          <w:sz w:val="15"/>
          <w:szCs w:val="15"/>
          <w:rtl/>
        </w:rPr>
        <w:t>27</w:t>
      </w:r>
      <w:r w:rsidR="006B2894">
        <w:rPr>
          <w:rFonts w:asciiTheme="minorHAnsi" w:hAnsiTheme="minorHAnsi" w:cstheme="minorHAnsi" w:hint="cs"/>
          <w:b/>
          <w:bCs/>
          <w:caps/>
          <w:sz w:val="15"/>
          <w:szCs w:val="15"/>
          <w:rtl/>
        </w:rPr>
        <w:t xml:space="preserve"> </w:t>
      </w:r>
      <w:r w:rsidR="000A0201">
        <w:rPr>
          <w:rFonts w:asciiTheme="minorHAnsi" w:hAnsiTheme="minorHAnsi" w:cstheme="minorHAnsi" w:hint="cs"/>
          <w:b/>
          <w:bCs/>
          <w:caps/>
          <w:sz w:val="15"/>
          <w:szCs w:val="15"/>
          <w:rtl/>
        </w:rPr>
        <w:t>سبتمبر</w:t>
      </w:r>
      <w:r w:rsidR="002937BA">
        <w:rPr>
          <w:rFonts w:asciiTheme="minorHAnsi" w:hAnsiTheme="minorHAnsi" w:cstheme="minorHAnsi" w:hint="cs"/>
          <w:b/>
          <w:bCs/>
          <w:caps/>
          <w:sz w:val="15"/>
          <w:szCs w:val="15"/>
          <w:rtl/>
        </w:rPr>
        <w:t xml:space="preserve"> </w:t>
      </w:r>
      <w:r w:rsidR="006B2894">
        <w:rPr>
          <w:rFonts w:asciiTheme="minorHAnsi" w:hAnsiTheme="minorHAnsi" w:cstheme="minorHAnsi" w:hint="cs"/>
          <w:b/>
          <w:bCs/>
          <w:caps/>
          <w:sz w:val="15"/>
          <w:szCs w:val="15"/>
          <w:rtl/>
        </w:rPr>
        <w:t>2022</w:t>
      </w:r>
    </w:p>
    <w:p w14:paraId="5F4E734C" w14:textId="77777777" w:rsidR="008B2CC1" w:rsidRPr="00D67EAE" w:rsidRDefault="003B355C" w:rsidP="0019592A">
      <w:pPr>
        <w:pStyle w:val="Heading1"/>
      </w:pPr>
      <w:bookmarkStart w:id="3" w:name="_Toc108787464"/>
      <w:bookmarkStart w:id="4" w:name="_Toc108788350"/>
      <w:bookmarkStart w:id="5" w:name="_Toc109030374"/>
      <w:bookmarkEnd w:id="2"/>
      <w:r w:rsidRPr="00D67EAE">
        <w:rPr>
          <w:rtl/>
        </w:rPr>
        <w:t>اللجنة الحكومية الدولية المعنية بالملكية الفكرية والموارد الوراثية والمعارف التقليدية</w:t>
      </w:r>
      <w:r w:rsidR="0019592A">
        <w:rPr>
          <w:rFonts w:hint="cs"/>
          <w:rtl/>
        </w:rPr>
        <w:t> </w:t>
      </w:r>
      <w:r w:rsidRPr="00D67EAE">
        <w:rPr>
          <w:rtl/>
        </w:rPr>
        <w:t>والفولكلور</w:t>
      </w:r>
      <w:bookmarkEnd w:id="3"/>
      <w:bookmarkEnd w:id="4"/>
      <w:bookmarkEnd w:id="5"/>
    </w:p>
    <w:p w14:paraId="5FAA153B" w14:textId="2C71F67C" w:rsidR="00A90F0A" w:rsidRPr="00D67EAE" w:rsidRDefault="00D67EAE" w:rsidP="000A0201">
      <w:pPr>
        <w:outlineLvl w:val="1"/>
        <w:rPr>
          <w:rFonts w:asciiTheme="minorHAnsi" w:hAnsiTheme="minorHAnsi" w:cstheme="minorHAnsi"/>
          <w:bCs/>
          <w:sz w:val="24"/>
          <w:szCs w:val="24"/>
        </w:rPr>
      </w:pPr>
      <w:bookmarkStart w:id="6" w:name="_Toc108787465"/>
      <w:bookmarkStart w:id="7" w:name="_Toc108788351"/>
      <w:bookmarkStart w:id="8" w:name="_Toc109030375"/>
      <w:r w:rsidRPr="00D67EAE">
        <w:rPr>
          <w:rFonts w:asciiTheme="minorHAnsi" w:hAnsiTheme="minorHAnsi" w:cstheme="minorHAnsi" w:hint="cs"/>
          <w:bCs/>
          <w:sz w:val="24"/>
          <w:szCs w:val="24"/>
          <w:rtl/>
        </w:rPr>
        <w:t xml:space="preserve">الدورة </w:t>
      </w:r>
      <w:r w:rsidR="00C73E7A" w:rsidRPr="00C73E7A">
        <w:rPr>
          <w:rFonts w:asciiTheme="minorHAnsi" w:hAnsiTheme="minorHAnsi"/>
          <w:bCs/>
          <w:sz w:val="24"/>
          <w:szCs w:val="24"/>
          <w:rtl/>
        </w:rPr>
        <w:t>ال</w:t>
      </w:r>
      <w:r w:rsidR="000A0201">
        <w:rPr>
          <w:rFonts w:asciiTheme="minorHAnsi" w:hAnsiTheme="minorHAnsi" w:hint="cs"/>
          <w:bCs/>
          <w:sz w:val="24"/>
          <w:szCs w:val="24"/>
          <w:rtl/>
        </w:rPr>
        <w:t>خامس</w:t>
      </w:r>
      <w:r w:rsidR="00C73E7A" w:rsidRPr="00C73E7A">
        <w:rPr>
          <w:rFonts w:asciiTheme="minorHAnsi" w:hAnsiTheme="minorHAnsi"/>
          <w:bCs/>
          <w:sz w:val="24"/>
          <w:szCs w:val="24"/>
          <w:rtl/>
        </w:rPr>
        <w:t xml:space="preserve">ة </w:t>
      </w:r>
      <w:r w:rsidRPr="00D67EAE">
        <w:rPr>
          <w:rFonts w:asciiTheme="minorHAnsi" w:hAnsiTheme="minorHAnsi" w:cstheme="minorHAnsi" w:hint="cs"/>
          <w:bCs/>
          <w:sz w:val="24"/>
          <w:szCs w:val="24"/>
          <w:rtl/>
        </w:rPr>
        <w:t>والأربعون</w:t>
      </w:r>
      <w:bookmarkEnd w:id="6"/>
      <w:bookmarkEnd w:id="7"/>
      <w:bookmarkEnd w:id="8"/>
    </w:p>
    <w:p w14:paraId="1AFD6FF2" w14:textId="52B716A0" w:rsidR="008B2CC1" w:rsidRPr="00D67EAE" w:rsidRDefault="00D67EAE" w:rsidP="000A0201">
      <w:pPr>
        <w:spacing w:after="720"/>
        <w:outlineLvl w:val="1"/>
        <w:rPr>
          <w:rFonts w:asciiTheme="minorHAnsi" w:hAnsiTheme="minorHAnsi" w:cstheme="minorHAnsi"/>
          <w:bCs/>
          <w:sz w:val="24"/>
          <w:szCs w:val="24"/>
        </w:rPr>
      </w:pPr>
      <w:bookmarkStart w:id="9" w:name="_Toc108787466"/>
      <w:bookmarkStart w:id="10" w:name="_Toc108788352"/>
      <w:bookmarkStart w:id="11" w:name="_Toc109030376"/>
      <w:r w:rsidRPr="00D67EAE">
        <w:rPr>
          <w:rFonts w:asciiTheme="minorHAnsi" w:hAnsiTheme="minorHAnsi" w:cstheme="minorHAnsi" w:hint="cs"/>
          <w:bCs/>
          <w:sz w:val="24"/>
          <w:szCs w:val="24"/>
          <w:rtl/>
        </w:rPr>
        <w:t>جنيف، م</w:t>
      </w:r>
      <w:r w:rsidR="00C73E7A" w:rsidRPr="00C73E7A">
        <w:rPr>
          <w:rFonts w:asciiTheme="minorHAnsi" w:hAnsiTheme="minorHAnsi"/>
          <w:bCs/>
          <w:sz w:val="24"/>
          <w:szCs w:val="24"/>
          <w:rtl/>
        </w:rPr>
        <w:t xml:space="preserve">ن </w:t>
      </w:r>
      <w:r w:rsidR="000A0201">
        <w:rPr>
          <w:rFonts w:asciiTheme="minorHAnsi" w:hAnsiTheme="minorHAnsi" w:hint="cs"/>
          <w:bCs/>
          <w:sz w:val="24"/>
          <w:szCs w:val="24"/>
          <w:rtl/>
        </w:rPr>
        <w:t>5</w:t>
      </w:r>
      <w:r w:rsidR="00C73E7A" w:rsidRPr="00C73E7A">
        <w:rPr>
          <w:rFonts w:asciiTheme="minorHAnsi" w:hAnsiTheme="minorHAnsi"/>
          <w:bCs/>
          <w:sz w:val="24"/>
          <w:szCs w:val="24"/>
          <w:rtl/>
        </w:rPr>
        <w:t xml:space="preserve"> إلى </w:t>
      </w:r>
      <w:r w:rsidR="000A0201">
        <w:rPr>
          <w:rFonts w:asciiTheme="minorHAnsi" w:hAnsiTheme="minorHAnsi" w:hint="cs"/>
          <w:bCs/>
          <w:sz w:val="24"/>
          <w:szCs w:val="24"/>
          <w:rtl/>
        </w:rPr>
        <w:t>9</w:t>
      </w:r>
      <w:r w:rsidR="00C73E7A" w:rsidRPr="00C73E7A">
        <w:rPr>
          <w:rFonts w:asciiTheme="minorHAnsi" w:hAnsiTheme="minorHAnsi"/>
          <w:bCs/>
          <w:sz w:val="24"/>
          <w:szCs w:val="24"/>
          <w:rtl/>
        </w:rPr>
        <w:t xml:space="preserve"> </w:t>
      </w:r>
      <w:r w:rsidR="000A0201">
        <w:rPr>
          <w:rFonts w:asciiTheme="minorHAnsi" w:hAnsiTheme="minorHAnsi" w:hint="cs"/>
          <w:bCs/>
          <w:sz w:val="24"/>
          <w:szCs w:val="24"/>
          <w:rtl/>
        </w:rPr>
        <w:t>دي</w:t>
      </w:r>
      <w:r w:rsidR="00C73E7A" w:rsidRPr="00C73E7A">
        <w:rPr>
          <w:rFonts w:asciiTheme="minorHAnsi" w:hAnsiTheme="minorHAnsi"/>
          <w:bCs/>
          <w:sz w:val="24"/>
          <w:szCs w:val="24"/>
          <w:rtl/>
        </w:rPr>
        <w:t>سمبر 2022</w:t>
      </w:r>
      <w:bookmarkEnd w:id="9"/>
      <w:bookmarkEnd w:id="10"/>
      <w:bookmarkEnd w:id="11"/>
    </w:p>
    <w:p w14:paraId="07BC65E4" w14:textId="74AFD405" w:rsidR="008B2CC1" w:rsidRPr="00D67EAE" w:rsidRDefault="00FF1607" w:rsidP="00871792">
      <w:pPr>
        <w:spacing w:after="360"/>
        <w:outlineLvl w:val="0"/>
        <w:rPr>
          <w:rFonts w:asciiTheme="minorHAnsi" w:hAnsiTheme="minorHAnsi" w:cstheme="minorHAnsi"/>
          <w:caps/>
          <w:sz w:val="24"/>
        </w:rPr>
      </w:pPr>
      <w:bookmarkStart w:id="12" w:name="_Toc108787467"/>
      <w:bookmarkStart w:id="13" w:name="_Toc108788353"/>
      <w:bookmarkStart w:id="14" w:name="_Toc109030377"/>
      <w:bookmarkStart w:id="15" w:name="TitleOfDoc"/>
      <w:r w:rsidRPr="00FF1607">
        <w:rPr>
          <w:rFonts w:asciiTheme="minorHAnsi" w:hAnsiTheme="minorHAnsi"/>
          <w:caps/>
          <w:sz w:val="28"/>
          <w:szCs w:val="24"/>
          <w:rtl/>
        </w:rPr>
        <w:t xml:space="preserve">حماية </w:t>
      </w:r>
      <w:r w:rsidR="00871792">
        <w:rPr>
          <w:rFonts w:asciiTheme="minorHAnsi" w:hAnsiTheme="minorHAnsi" w:hint="cs"/>
          <w:caps/>
          <w:sz w:val="28"/>
          <w:szCs w:val="24"/>
          <w:rtl/>
        </w:rPr>
        <w:t>أشكال التعبير الثقافي التقليدي</w:t>
      </w:r>
      <w:r w:rsidRPr="00FF1607">
        <w:rPr>
          <w:rFonts w:asciiTheme="minorHAnsi" w:hAnsiTheme="minorHAnsi"/>
          <w:caps/>
          <w:sz w:val="28"/>
          <w:szCs w:val="24"/>
          <w:rtl/>
        </w:rPr>
        <w:t xml:space="preserve">: مشروع </w:t>
      </w:r>
      <w:r w:rsidR="00BC726D">
        <w:rPr>
          <w:rFonts w:asciiTheme="minorHAnsi" w:hAnsiTheme="minorHAnsi" w:hint="cs"/>
          <w:caps/>
          <w:sz w:val="28"/>
          <w:szCs w:val="24"/>
          <w:rtl/>
        </w:rPr>
        <w:t>تحليل الثغرات المحدّث</w:t>
      </w:r>
      <w:bookmarkEnd w:id="12"/>
      <w:bookmarkEnd w:id="13"/>
      <w:bookmarkEnd w:id="14"/>
    </w:p>
    <w:p w14:paraId="619DA089" w14:textId="77777777" w:rsidR="002928D3" w:rsidRDefault="00FF1607" w:rsidP="001D4107">
      <w:pPr>
        <w:spacing w:after="1040"/>
        <w:rPr>
          <w:rFonts w:asciiTheme="minorHAnsi" w:hAnsiTheme="minorHAnsi" w:cstheme="minorHAnsi"/>
          <w:iCs/>
          <w:rtl/>
        </w:rPr>
      </w:pPr>
      <w:bookmarkStart w:id="16" w:name="Prepared"/>
      <w:bookmarkEnd w:id="15"/>
      <w:bookmarkEnd w:id="16"/>
      <w:r w:rsidRPr="00FF1607">
        <w:rPr>
          <w:rFonts w:asciiTheme="minorHAnsi" w:hAnsiTheme="minorHAnsi"/>
          <w:iCs/>
          <w:rtl/>
        </w:rPr>
        <w:t xml:space="preserve">وثيقة </w:t>
      </w:r>
      <w:r w:rsidR="00D67EAE" w:rsidRPr="00D67EAE">
        <w:rPr>
          <w:rFonts w:asciiTheme="minorHAnsi" w:hAnsiTheme="minorHAnsi" w:cstheme="minorHAnsi" w:hint="cs"/>
          <w:iCs/>
          <w:rtl/>
        </w:rPr>
        <w:t>من إعداد</w:t>
      </w:r>
      <w:r w:rsidR="002937BA">
        <w:rPr>
          <w:rFonts w:asciiTheme="minorHAnsi" w:hAnsiTheme="minorHAnsi" w:cstheme="minorHAnsi" w:hint="cs"/>
          <w:iCs/>
          <w:rtl/>
        </w:rPr>
        <w:t xml:space="preserve"> الأمانة</w:t>
      </w:r>
    </w:p>
    <w:p w14:paraId="77249743" w14:textId="77777777" w:rsidR="00BC726D" w:rsidRDefault="00BC726D" w:rsidP="00BC726D">
      <w:pPr>
        <w:pStyle w:val="ONUME"/>
      </w:pPr>
      <w:r w:rsidRPr="00BC726D">
        <w:rPr>
          <w:rtl/>
        </w:rPr>
        <w:t>قررت اللجنة الحكومية الدولية المعنية بالملكية الفكرية والموارد الوراثية والمعارف التقليدية والفولكلور (اللجنة) في</w:t>
      </w:r>
      <w:r w:rsidRPr="00BC726D">
        <w:rPr>
          <w:rFonts w:hint="cs"/>
          <w:rtl/>
        </w:rPr>
        <w:t> </w:t>
      </w:r>
      <w:r w:rsidRPr="00BC726D">
        <w:rPr>
          <w:rtl/>
        </w:rPr>
        <w:t>دورتها الثانية عشرة</w:t>
      </w:r>
      <w:r w:rsidRPr="00BC726D">
        <w:rPr>
          <w:rFonts w:hint="cs"/>
          <w:rtl/>
        </w:rPr>
        <w:t xml:space="preserve"> المعقودة في جنيف من 25 إلى 29 فبراير 2008</w:t>
      </w:r>
      <w:r w:rsidRPr="00BC726D">
        <w:rPr>
          <w:rtl/>
        </w:rPr>
        <w:t xml:space="preserve"> أن تعد الأمانة، آخذة عمل اللجنة السابق بعين الاعتبار، وثيقة تكون بمثابة وثيقة العمل الخاصة بدورة اللجنة الثالثة عشرة، وتتضمن ما يلي: </w:t>
      </w:r>
    </w:p>
    <w:p w14:paraId="51CBC9F8" w14:textId="449B8FF1" w:rsidR="00BC726D" w:rsidRDefault="00BC726D" w:rsidP="00871792">
      <w:pPr>
        <w:pStyle w:val="ONUME"/>
        <w:numPr>
          <w:ilvl w:val="0"/>
          <w:numId w:val="0"/>
        </w:numPr>
        <w:spacing w:after="120"/>
        <w:ind w:left="1134" w:hanging="567"/>
        <w:rPr>
          <w:rtl/>
        </w:rPr>
      </w:pPr>
      <w:r>
        <w:rPr>
          <w:rFonts w:hint="cs"/>
          <w:rtl/>
        </w:rPr>
        <w:t>(أ)</w:t>
      </w:r>
      <w:r>
        <w:rPr>
          <w:rtl/>
        </w:rPr>
        <w:tab/>
      </w:r>
      <w:r>
        <w:rPr>
          <w:rFonts w:hint="cs"/>
          <w:rtl/>
        </w:rPr>
        <w:t xml:space="preserve">وصف </w:t>
      </w:r>
      <w:r w:rsidRPr="00BC726D">
        <w:rPr>
          <w:rtl/>
        </w:rPr>
        <w:t xml:space="preserve">الالتزامات والأحكام والإمكانيات القائمة على المستوى الدولي من أجل تأمين الحماية </w:t>
      </w:r>
      <w:r w:rsidR="00871792">
        <w:rPr>
          <w:rFonts w:hint="cs"/>
          <w:rtl/>
        </w:rPr>
        <w:t>لأشكال التعبير الثقافي التقليدي</w:t>
      </w:r>
      <w:r w:rsidRPr="00BC726D">
        <w:rPr>
          <w:rtl/>
        </w:rPr>
        <w:t>؛</w:t>
      </w:r>
    </w:p>
    <w:p w14:paraId="121006D7" w14:textId="77777777" w:rsidR="00BC726D" w:rsidRDefault="00BC726D" w:rsidP="00BC726D">
      <w:pPr>
        <w:pStyle w:val="ONUME"/>
        <w:numPr>
          <w:ilvl w:val="0"/>
          <w:numId w:val="0"/>
        </w:numPr>
        <w:spacing w:after="120"/>
        <w:ind w:firstLine="567"/>
        <w:rPr>
          <w:rtl/>
        </w:rPr>
      </w:pPr>
      <w:r>
        <w:rPr>
          <w:rFonts w:hint="cs"/>
          <w:rtl/>
        </w:rPr>
        <w:t>(ب)</w:t>
      </w:r>
      <w:r>
        <w:rPr>
          <w:rtl/>
        </w:rPr>
        <w:tab/>
      </w:r>
      <w:r>
        <w:rPr>
          <w:rFonts w:hint="cs"/>
          <w:rtl/>
        </w:rPr>
        <w:t xml:space="preserve">ووصف الثغرات </w:t>
      </w:r>
      <w:r w:rsidRPr="00BC726D">
        <w:rPr>
          <w:rtl/>
        </w:rPr>
        <w:t>الموجودة على المستوى الدولي وتوضيحها قدر المستطاع بالاستعانة بأمثلة محددة؛</w:t>
      </w:r>
    </w:p>
    <w:p w14:paraId="0BE30E1F" w14:textId="77777777" w:rsidR="00BC726D" w:rsidRDefault="00BC726D" w:rsidP="00BC726D">
      <w:pPr>
        <w:pStyle w:val="ONUME"/>
        <w:numPr>
          <w:ilvl w:val="0"/>
          <w:numId w:val="0"/>
        </w:numPr>
        <w:spacing w:after="120"/>
        <w:ind w:left="567"/>
        <w:rPr>
          <w:rtl/>
        </w:rPr>
      </w:pPr>
      <w:r>
        <w:rPr>
          <w:rFonts w:hint="cs"/>
          <w:rtl/>
        </w:rPr>
        <w:t>(ج)</w:t>
      </w:r>
      <w:r>
        <w:rPr>
          <w:rtl/>
        </w:rPr>
        <w:tab/>
      </w:r>
      <w:r>
        <w:rPr>
          <w:rFonts w:hint="cs"/>
          <w:rtl/>
        </w:rPr>
        <w:t>ووضع الاعتبارات المفيدة للبت في الحاجة إلى معالجة تلك الثغرات من عدمها؛</w:t>
      </w:r>
    </w:p>
    <w:p w14:paraId="20A16E97" w14:textId="77777777" w:rsidR="00BC726D" w:rsidRDefault="00BC726D" w:rsidP="00BC726D">
      <w:pPr>
        <w:pStyle w:val="ONUME"/>
        <w:numPr>
          <w:ilvl w:val="0"/>
          <w:numId w:val="0"/>
        </w:numPr>
        <w:spacing w:after="120"/>
        <w:ind w:left="1134" w:hanging="567"/>
        <w:rPr>
          <w:rtl/>
        </w:rPr>
      </w:pPr>
      <w:r>
        <w:rPr>
          <w:rFonts w:hint="cs"/>
          <w:rtl/>
        </w:rPr>
        <w:t>(د)</w:t>
      </w:r>
      <w:r>
        <w:rPr>
          <w:rFonts w:hint="cs"/>
          <w:rtl/>
        </w:rPr>
        <w:tab/>
        <w:t xml:space="preserve">ووصف الخيارات </w:t>
      </w:r>
      <w:r w:rsidRPr="005766D4">
        <w:rPr>
          <w:rtl/>
        </w:rPr>
        <w:t>القائمة أو التي يمكن وضعها لمعالجة أية ثغرات محددة، بما فيها الخيارات القانونية وغيرها سواء على المستوى الدولي أو الإقليمي أو الوطني</w:t>
      </w:r>
      <w:r>
        <w:rPr>
          <w:rFonts w:hint="cs"/>
          <w:rtl/>
        </w:rPr>
        <w:t>؛</w:t>
      </w:r>
    </w:p>
    <w:p w14:paraId="6C1C5A97" w14:textId="77777777" w:rsidR="00BC726D" w:rsidRPr="00BC726D" w:rsidRDefault="00BC726D" w:rsidP="00BC726D">
      <w:pPr>
        <w:pStyle w:val="ONUME"/>
        <w:numPr>
          <w:ilvl w:val="0"/>
          <w:numId w:val="0"/>
        </w:numPr>
        <w:ind w:left="567"/>
        <w:rPr>
          <w:rtl/>
        </w:rPr>
      </w:pPr>
      <w:r>
        <w:rPr>
          <w:rFonts w:hint="cs"/>
          <w:rtl/>
        </w:rPr>
        <w:t>(ه)</w:t>
      </w:r>
      <w:r>
        <w:rPr>
          <w:rFonts w:hint="cs"/>
          <w:rtl/>
        </w:rPr>
        <w:tab/>
        <w:t xml:space="preserve">ومرفق </w:t>
      </w:r>
      <w:r w:rsidRPr="005766D4">
        <w:rPr>
          <w:rtl/>
        </w:rPr>
        <w:t xml:space="preserve">يحتوي على جدول بالبنود المذكورة في الفقرات الفرعية </w:t>
      </w:r>
      <w:r w:rsidRPr="005766D4">
        <w:rPr>
          <w:rFonts w:hint="cs"/>
          <w:rtl/>
        </w:rPr>
        <w:t>(أ)</w:t>
      </w:r>
      <w:r w:rsidRPr="005766D4">
        <w:rPr>
          <w:rtl/>
        </w:rPr>
        <w:t xml:space="preserve"> إلى (د) أعلاه</w:t>
      </w:r>
      <w:r>
        <w:rPr>
          <w:rFonts w:hint="cs"/>
          <w:rtl/>
        </w:rPr>
        <w:t>.</w:t>
      </w:r>
    </w:p>
    <w:p w14:paraId="16CC347D" w14:textId="77777777" w:rsidR="00FF1607" w:rsidRPr="00FF1607" w:rsidRDefault="00BC726D" w:rsidP="00B85E65">
      <w:pPr>
        <w:pStyle w:val="ONUME"/>
        <w:rPr>
          <w:rtl/>
          <w:lang w:bidi="ar-EG"/>
        </w:rPr>
      </w:pPr>
      <w:r w:rsidRPr="005766D4">
        <w:rPr>
          <w:rtl/>
          <w:lang w:bidi="ar-EG"/>
        </w:rPr>
        <w:t>وطُلب إلى الأمانة أن "تبين صراحةً التعاريف العملية أو غير ذلك من الأسس المعتمد عليها في عملية التحليل"</w:t>
      </w:r>
      <w:r>
        <w:rPr>
          <w:rFonts w:hint="cs"/>
          <w:rtl/>
          <w:lang w:bidi="ar-EG"/>
        </w:rPr>
        <w:t>.</w:t>
      </w:r>
    </w:p>
    <w:p w14:paraId="33066CF6" w14:textId="6294F11B" w:rsidR="00FF1607" w:rsidRDefault="00BC726D" w:rsidP="000A0201">
      <w:pPr>
        <w:pStyle w:val="ONUME"/>
        <w:rPr>
          <w:rtl/>
          <w:lang w:bidi="ar-EG"/>
        </w:rPr>
      </w:pPr>
      <w:r w:rsidRPr="00BC726D">
        <w:rPr>
          <w:rFonts w:hint="cs"/>
          <w:rtl/>
          <w:lang w:bidi="ar-EG"/>
        </w:rPr>
        <w:t>و</w:t>
      </w:r>
      <w:r w:rsidRPr="00BC726D">
        <w:rPr>
          <w:rtl/>
          <w:lang w:bidi="ar-EG"/>
        </w:rPr>
        <w:t xml:space="preserve">أعدت الأمانة المشروع الأول لتحليل الثغرات في حماية </w:t>
      </w:r>
      <w:r w:rsidR="00871792">
        <w:rPr>
          <w:rFonts w:hint="cs"/>
          <w:rtl/>
          <w:lang w:bidi="ar-EG"/>
        </w:rPr>
        <w:t>أشكال التعبير الثقافي التقليدي</w:t>
      </w:r>
      <w:r w:rsidRPr="00BC726D">
        <w:rPr>
          <w:rFonts w:hint="cs"/>
          <w:rtl/>
          <w:lang w:bidi="ar-EG"/>
        </w:rPr>
        <w:t xml:space="preserve"> في ذلك الوقت</w:t>
      </w:r>
      <w:r w:rsidRPr="00BC726D">
        <w:rPr>
          <w:rtl/>
          <w:lang w:bidi="ar-EG"/>
        </w:rPr>
        <w:t xml:space="preserve"> وعممته </w:t>
      </w:r>
      <w:r w:rsidRPr="00BC726D">
        <w:rPr>
          <w:rFonts w:hint="cs"/>
          <w:rtl/>
          <w:lang w:bidi="ar-EG"/>
        </w:rPr>
        <w:t xml:space="preserve">على المشاركين في اللجنة </w:t>
      </w:r>
      <w:r w:rsidRPr="00BC726D">
        <w:rPr>
          <w:rtl/>
          <w:lang w:bidi="ar-EG"/>
        </w:rPr>
        <w:t xml:space="preserve">للتعليق عليه. </w:t>
      </w:r>
      <w:r w:rsidRPr="00BC726D">
        <w:rPr>
          <w:rFonts w:hint="cs"/>
          <w:rtl/>
          <w:lang w:bidi="ar-EG"/>
        </w:rPr>
        <w:t>وأخذا في الاعتبار</w:t>
      </w:r>
      <w:r w:rsidRPr="00BC726D">
        <w:rPr>
          <w:rtl/>
          <w:lang w:bidi="ar-EG"/>
        </w:rPr>
        <w:t xml:space="preserve"> </w:t>
      </w:r>
      <w:r w:rsidR="009B4A92">
        <w:rPr>
          <w:rFonts w:hint="cs"/>
          <w:rtl/>
          <w:lang w:bidi="ar-EG"/>
        </w:rPr>
        <w:t>التعاليق الواردة</w:t>
      </w:r>
      <w:r w:rsidRPr="00BC726D">
        <w:rPr>
          <w:vertAlign w:val="superscript"/>
          <w:rtl/>
          <w:lang w:bidi="ar-EG"/>
        </w:rPr>
        <w:footnoteReference w:id="2"/>
      </w:r>
      <w:r w:rsidR="009B4A92">
        <w:rPr>
          <w:rFonts w:cs="Times New Roman" w:hint="cs"/>
          <w:rtl/>
          <w:lang w:bidi="ar-EG"/>
        </w:rPr>
        <w:t xml:space="preserve">، </w:t>
      </w:r>
      <w:r w:rsidRPr="00BC726D">
        <w:rPr>
          <w:rFonts w:hint="cs"/>
          <w:rtl/>
          <w:lang w:bidi="ar-EG"/>
        </w:rPr>
        <w:t xml:space="preserve"> أُعدّ </w:t>
      </w:r>
      <w:r w:rsidRPr="00BC726D">
        <w:rPr>
          <w:rtl/>
        </w:rPr>
        <w:t xml:space="preserve">مشروع </w:t>
      </w:r>
      <w:r w:rsidRPr="00BC726D">
        <w:rPr>
          <w:rFonts w:hint="cs"/>
          <w:rtl/>
        </w:rPr>
        <w:t>آخر</w:t>
      </w:r>
      <w:r w:rsidRPr="00BC726D">
        <w:rPr>
          <w:rtl/>
        </w:rPr>
        <w:t xml:space="preserve"> لتحليل الثغرات </w:t>
      </w:r>
      <w:r w:rsidRPr="00BC726D">
        <w:rPr>
          <w:rFonts w:hint="cs"/>
          <w:rtl/>
        </w:rPr>
        <w:t xml:space="preserve">وأتيح بمثابة الوثيقة </w:t>
      </w:r>
      <w:r w:rsidRPr="00BC726D">
        <w:rPr>
          <w:lang w:bidi="ar-EG"/>
        </w:rPr>
        <w:t>WIPO/GRTKF/IC/13/4(b) Rev</w:t>
      </w:r>
      <w:r w:rsidRPr="00BC726D">
        <w:rPr>
          <w:lang w:val="fr-FR" w:bidi="ar-EG"/>
        </w:rPr>
        <w:t>.</w:t>
      </w:r>
      <w:r w:rsidRPr="00BC726D">
        <w:rPr>
          <w:rFonts w:hint="cs"/>
          <w:rtl/>
        </w:rPr>
        <w:t xml:space="preserve"> للدورة</w:t>
      </w:r>
      <w:r w:rsidRPr="00BC726D">
        <w:rPr>
          <w:rtl/>
        </w:rPr>
        <w:t xml:space="preserve"> الثالثة عشرة</w:t>
      </w:r>
      <w:r w:rsidRPr="00BC726D">
        <w:rPr>
          <w:rFonts w:hint="cs"/>
          <w:rtl/>
        </w:rPr>
        <w:t xml:space="preserve"> للجنة المعقودة من 13 إلى 17 أكتوبر 2008</w:t>
      </w:r>
      <w:r>
        <w:rPr>
          <w:rFonts w:hint="cs"/>
          <w:rtl/>
        </w:rPr>
        <w:t>.</w:t>
      </w:r>
    </w:p>
    <w:p w14:paraId="188EF322" w14:textId="50F223F0" w:rsidR="00FF1607" w:rsidRDefault="00BC726D" w:rsidP="00A853C4">
      <w:pPr>
        <w:pStyle w:val="ONUME"/>
        <w:rPr>
          <w:rtl/>
          <w:lang w:bidi="ar-EG"/>
        </w:rPr>
      </w:pPr>
      <w:r w:rsidRPr="005766D4">
        <w:rPr>
          <w:rtl/>
        </w:rPr>
        <w:lastRenderedPageBreak/>
        <w:t>وقد ا</w:t>
      </w:r>
      <w:r w:rsidRPr="005766D4">
        <w:rPr>
          <w:rFonts w:hint="cs"/>
          <w:rtl/>
        </w:rPr>
        <w:t>ُ</w:t>
      </w:r>
      <w:r w:rsidRPr="005766D4">
        <w:rPr>
          <w:rtl/>
        </w:rPr>
        <w:t>ت</w:t>
      </w:r>
      <w:r w:rsidRPr="005766D4">
        <w:rPr>
          <w:rFonts w:hint="cs"/>
          <w:rtl/>
        </w:rPr>
        <w:t>ّ</w:t>
      </w:r>
      <w:r w:rsidRPr="005766D4">
        <w:rPr>
          <w:rtl/>
        </w:rPr>
        <w:t xml:space="preserve">خذ نفس القرار في الدورة الثانية عشرة للجنة في ذلك الوقت فيما يتعلق </w:t>
      </w:r>
      <w:r w:rsidR="00A853C4">
        <w:rPr>
          <w:rFonts w:hint="cs"/>
          <w:rtl/>
        </w:rPr>
        <w:t>بالمعارف التقليدية</w:t>
      </w:r>
      <w:r w:rsidRPr="005766D4">
        <w:rPr>
          <w:rtl/>
        </w:rPr>
        <w:t xml:space="preserve">، </w:t>
      </w:r>
      <w:r w:rsidRPr="005766D4">
        <w:rPr>
          <w:rFonts w:hint="cs"/>
          <w:rtl/>
        </w:rPr>
        <w:t>وبالتالي</w:t>
      </w:r>
      <w:r w:rsidRPr="005766D4">
        <w:rPr>
          <w:rtl/>
        </w:rPr>
        <w:t xml:space="preserve"> </w:t>
      </w:r>
      <w:r w:rsidRPr="005766D4">
        <w:rPr>
          <w:rFonts w:hint="cs"/>
          <w:rtl/>
        </w:rPr>
        <w:t>تضمنت</w:t>
      </w:r>
      <w:r w:rsidRPr="005766D4">
        <w:rPr>
          <w:rtl/>
        </w:rPr>
        <w:t xml:space="preserve"> </w:t>
      </w:r>
      <w:r w:rsidRPr="005766D4">
        <w:rPr>
          <w:rFonts w:hint="cs"/>
          <w:rtl/>
        </w:rPr>
        <w:t>ا</w:t>
      </w:r>
      <w:r w:rsidRPr="005766D4">
        <w:rPr>
          <w:rtl/>
        </w:rPr>
        <w:t>لدورة الثالثة عشرة للجنة</w:t>
      </w:r>
      <w:r w:rsidRPr="005766D4">
        <w:rPr>
          <w:rFonts w:hint="cs"/>
          <w:rtl/>
        </w:rPr>
        <w:t xml:space="preserve"> </w:t>
      </w:r>
      <w:r w:rsidRPr="005766D4">
        <w:rPr>
          <w:rtl/>
        </w:rPr>
        <w:t xml:space="preserve">مشروعين لتحليل </w:t>
      </w:r>
      <w:r w:rsidRPr="005766D4">
        <w:rPr>
          <w:rFonts w:hint="cs"/>
          <w:rtl/>
        </w:rPr>
        <w:t>الثغرات</w:t>
      </w:r>
      <w:r w:rsidRPr="005766D4">
        <w:rPr>
          <w:rtl/>
        </w:rPr>
        <w:t xml:space="preserve"> أمام اللجنة الحكومية </w:t>
      </w:r>
      <w:r w:rsidRPr="005766D4">
        <w:rPr>
          <w:rFonts w:hint="cs"/>
          <w:rtl/>
        </w:rPr>
        <w:t>الدولية،</w:t>
      </w:r>
      <w:r w:rsidRPr="005766D4">
        <w:rPr>
          <w:rtl/>
        </w:rPr>
        <w:t xml:space="preserve"> </w:t>
      </w:r>
      <w:r w:rsidRPr="005766D4">
        <w:rPr>
          <w:rFonts w:hint="cs"/>
          <w:rtl/>
        </w:rPr>
        <w:t>ووردا في الوثيقتين</w:t>
      </w:r>
      <w:r w:rsidRPr="005766D4">
        <w:rPr>
          <w:rtl/>
        </w:rPr>
        <w:t xml:space="preserve"> </w:t>
      </w:r>
      <w:r w:rsidRPr="005766D4">
        <w:t>WIPO/GRTKF/IC/13/4(b) Rev.</w:t>
      </w:r>
      <w:r w:rsidRPr="005766D4">
        <w:rPr>
          <w:rFonts w:hint="cs"/>
          <w:rtl/>
        </w:rPr>
        <w:t xml:space="preserve"> (بالنسبة ل</w:t>
      </w:r>
      <w:r w:rsidRPr="005766D4">
        <w:rPr>
          <w:rtl/>
        </w:rPr>
        <w:t>أشكال التعبير الثقافي التقليدي</w:t>
      </w:r>
      <w:r w:rsidRPr="005766D4">
        <w:rPr>
          <w:rFonts w:hint="cs"/>
          <w:rtl/>
        </w:rPr>
        <w:t>) و</w:t>
      </w:r>
      <w:r w:rsidRPr="005766D4">
        <w:t xml:space="preserve">WIPO/GRTKF/IC/13/5(b) Rev. </w:t>
      </w:r>
      <w:r w:rsidRPr="005766D4">
        <w:rPr>
          <w:rFonts w:hint="cs"/>
          <w:rtl/>
        </w:rPr>
        <w:t xml:space="preserve"> (بالنسبة ل</w:t>
      </w:r>
      <w:r w:rsidRPr="005766D4">
        <w:rPr>
          <w:rtl/>
        </w:rPr>
        <w:t>لمعارف التقليدية</w:t>
      </w:r>
      <w:r w:rsidRPr="005766D4">
        <w:rPr>
          <w:rFonts w:hint="cs"/>
          <w:rtl/>
        </w:rPr>
        <w:t>)</w:t>
      </w:r>
      <w:r w:rsidR="00FF1607">
        <w:rPr>
          <w:rtl/>
          <w:lang w:bidi="ar-EG"/>
        </w:rPr>
        <w:t>.</w:t>
      </w:r>
    </w:p>
    <w:p w14:paraId="3F122A0E" w14:textId="22A08F18" w:rsidR="00FF1607" w:rsidRDefault="00BC726D" w:rsidP="00A853C4">
      <w:pPr>
        <w:pStyle w:val="ONUME"/>
        <w:rPr>
          <w:lang w:bidi="ar-EG"/>
        </w:rPr>
      </w:pPr>
      <w:r w:rsidRPr="005766D4">
        <w:rPr>
          <w:rtl/>
        </w:rPr>
        <w:t xml:space="preserve">وبحلول تلك </w:t>
      </w:r>
      <w:r w:rsidRPr="005766D4">
        <w:rPr>
          <w:rFonts w:hint="cs"/>
          <w:rtl/>
        </w:rPr>
        <w:t>المرحلة،</w:t>
      </w:r>
      <w:r w:rsidRPr="005766D4">
        <w:rPr>
          <w:rtl/>
        </w:rPr>
        <w:t xml:space="preserve"> استعرضت اللجنة على نطاق واسع الخيارات القانونية </w:t>
      </w:r>
      <w:proofErr w:type="spellStart"/>
      <w:r w:rsidRPr="005766D4">
        <w:rPr>
          <w:rtl/>
        </w:rPr>
        <w:t>والسياساتية</w:t>
      </w:r>
      <w:proofErr w:type="spellEnd"/>
      <w:r w:rsidRPr="005766D4">
        <w:rPr>
          <w:rtl/>
        </w:rPr>
        <w:t xml:space="preserve"> لحماية </w:t>
      </w:r>
      <w:r w:rsidR="00A853C4">
        <w:rPr>
          <w:rFonts w:hint="cs"/>
          <w:rtl/>
        </w:rPr>
        <w:t>أشكال التعبير الثقافي التقليدي</w:t>
      </w:r>
      <w:r w:rsidRPr="005766D4">
        <w:rPr>
          <w:rtl/>
        </w:rPr>
        <w:t xml:space="preserve">. وقد شمل هذا الاستعراض تحليلات شاملة للآليات القانونية الوطنية والإقليمية </w:t>
      </w:r>
      <w:r w:rsidRPr="005766D4">
        <w:rPr>
          <w:rFonts w:hint="cs"/>
          <w:rtl/>
        </w:rPr>
        <w:t>القائمة</w:t>
      </w:r>
      <w:r w:rsidRPr="005766D4">
        <w:rPr>
          <w:rtl/>
        </w:rPr>
        <w:t xml:space="preserve">، وعروض </w:t>
      </w:r>
      <w:r w:rsidRPr="005766D4">
        <w:rPr>
          <w:rFonts w:hint="cs"/>
          <w:rtl/>
        </w:rPr>
        <w:t>فريق الخبراء</w:t>
      </w:r>
      <w:r w:rsidRPr="005766D4">
        <w:rPr>
          <w:rtl/>
        </w:rPr>
        <w:t xml:space="preserve"> عن تجارب وطنية </w:t>
      </w:r>
      <w:r w:rsidRPr="005766D4">
        <w:rPr>
          <w:rFonts w:hint="cs"/>
          <w:rtl/>
        </w:rPr>
        <w:t>متنوعة،</w:t>
      </w:r>
      <w:r w:rsidRPr="005766D4">
        <w:rPr>
          <w:rtl/>
        </w:rPr>
        <w:t xml:space="preserve"> وعناصر </w:t>
      </w:r>
      <w:r w:rsidRPr="005766D4">
        <w:rPr>
          <w:rFonts w:hint="cs"/>
          <w:rtl/>
        </w:rPr>
        <w:t>شائعة</w:t>
      </w:r>
      <w:r w:rsidRPr="005766D4">
        <w:rPr>
          <w:rtl/>
        </w:rPr>
        <w:t xml:space="preserve"> لحماية </w:t>
      </w:r>
      <w:r w:rsidR="00A853C4">
        <w:rPr>
          <w:rFonts w:hint="cs"/>
          <w:rtl/>
        </w:rPr>
        <w:t>أشكال التعبير الثقافي</w:t>
      </w:r>
      <w:r w:rsidRPr="005766D4">
        <w:rPr>
          <w:rFonts w:hint="cs"/>
          <w:rtl/>
        </w:rPr>
        <w:t>،</w:t>
      </w:r>
      <w:r w:rsidRPr="005766D4">
        <w:rPr>
          <w:rtl/>
        </w:rPr>
        <w:t xml:space="preserve"> ودراسات </w:t>
      </w:r>
      <w:r w:rsidRPr="005766D4">
        <w:rPr>
          <w:rFonts w:hint="cs"/>
          <w:rtl/>
        </w:rPr>
        <w:t>الحالة،</w:t>
      </w:r>
      <w:r w:rsidRPr="005766D4">
        <w:rPr>
          <w:rtl/>
        </w:rPr>
        <w:t xml:space="preserve"> ودراسات استقصائية </w:t>
      </w:r>
      <w:r w:rsidRPr="005766D4">
        <w:rPr>
          <w:rFonts w:hint="cs"/>
          <w:rtl/>
        </w:rPr>
        <w:t>جارية</w:t>
      </w:r>
      <w:r w:rsidRPr="005766D4">
        <w:rPr>
          <w:rtl/>
        </w:rPr>
        <w:t xml:space="preserve"> للسياسة الدولية والبيئة القانونية وكذلك المبادئ والأهداف الرئيسية لحماية</w:t>
      </w:r>
      <w:r w:rsidRPr="005766D4">
        <w:rPr>
          <w:rFonts w:hint="cs"/>
          <w:rtl/>
        </w:rPr>
        <w:t xml:space="preserve"> </w:t>
      </w:r>
      <w:r w:rsidR="00A853C4">
        <w:rPr>
          <w:rFonts w:hint="cs"/>
          <w:rtl/>
        </w:rPr>
        <w:t>أشكال التعبير الثقافي</w:t>
      </w:r>
      <w:r w:rsidRPr="005766D4">
        <w:rPr>
          <w:rtl/>
        </w:rPr>
        <w:t xml:space="preserve"> التي تلقت الدعم في دورات اللجنة السابقة. وكما طلبت اللجنة،</w:t>
      </w:r>
      <w:r w:rsidRPr="005766D4">
        <w:rPr>
          <w:rFonts w:hint="cs"/>
          <w:rtl/>
        </w:rPr>
        <w:t xml:space="preserve"> لُخّص </w:t>
      </w:r>
      <w:r w:rsidRPr="005766D4">
        <w:rPr>
          <w:rtl/>
        </w:rPr>
        <w:t>هذا العمل التأسيسي السابق في الوثيقة</w:t>
      </w:r>
      <w:r w:rsidRPr="005766D4">
        <w:rPr>
          <w:rFonts w:hint="cs"/>
          <w:rtl/>
        </w:rPr>
        <w:t xml:space="preserve"> </w:t>
      </w:r>
      <w:r w:rsidRPr="005766D4">
        <w:t>WIPO/GRTKF/IC/13/</w:t>
      </w:r>
      <w:r w:rsidR="00A853C4">
        <w:t>4</w:t>
      </w:r>
      <w:r w:rsidRPr="005766D4">
        <w:t>(a)</w:t>
      </w:r>
      <w:r w:rsidRPr="005766D4">
        <w:rPr>
          <w:rFonts w:hint="cs"/>
          <w:rtl/>
        </w:rPr>
        <w:t xml:space="preserve"> </w:t>
      </w:r>
      <w:r w:rsidRPr="005766D4">
        <w:rPr>
          <w:rtl/>
        </w:rPr>
        <w:t xml:space="preserve">التي رافقت مشروع تحليل </w:t>
      </w:r>
      <w:r w:rsidRPr="005766D4">
        <w:rPr>
          <w:rFonts w:hint="cs"/>
          <w:rtl/>
        </w:rPr>
        <w:t>الثغرات</w:t>
      </w:r>
      <w:r w:rsidRPr="005766D4">
        <w:rPr>
          <w:rtl/>
        </w:rPr>
        <w:t xml:space="preserve"> في الوثيق</w:t>
      </w:r>
      <w:r w:rsidRPr="005766D4">
        <w:rPr>
          <w:rFonts w:hint="cs"/>
          <w:rtl/>
        </w:rPr>
        <w:t xml:space="preserve">ة </w:t>
      </w:r>
      <w:r w:rsidRPr="005766D4">
        <w:t>WIPO/GRTKF/IC/13/</w:t>
      </w:r>
      <w:r w:rsidR="00A853C4">
        <w:t>4</w:t>
      </w:r>
      <w:r w:rsidRPr="005766D4">
        <w:t xml:space="preserve">(b) </w:t>
      </w:r>
      <w:proofErr w:type="gramStart"/>
      <w:r w:rsidRPr="005766D4">
        <w:t>Rev.</w:t>
      </w:r>
      <w:r w:rsidR="00FF1607">
        <w:rPr>
          <w:rtl/>
          <w:lang w:bidi="ar-EG"/>
        </w:rPr>
        <w:t>.</w:t>
      </w:r>
      <w:proofErr w:type="gramEnd"/>
    </w:p>
    <w:p w14:paraId="36E43899" w14:textId="15650B8E" w:rsidR="00BC726D" w:rsidRDefault="00BC726D" w:rsidP="00A853C4">
      <w:pPr>
        <w:pStyle w:val="ONUME"/>
        <w:rPr>
          <w:lang w:bidi="ar-EG"/>
        </w:rPr>
      </w:pPr>
      <w:r w:rsidRPr="005766D4">
        <w:rPr>
          <w:rFonts w:hint="cs"/>
          <w:rtl/>
        </w:rPr>
        <w:t>و</w:t>
      </w:r>
      <w:r w:rsidRPr="005766D4">
        <w:rPr>
          <w:rtl/>
        </w:rPr>
        <w:t xml:space="preserve">لم </w:t>
      </w:r>
      <w:r w:rsidRPr="005766D4">
        <w:rPr>
          <w:rFonts w:hint="cs"/>
          <w:rtl/>
        </w:rPr>
        <w:t>تناقش</w:t>
      </w:r>
      <w:r w:rsidRPr="005766D4">
        <w:rPr>
          <w:rtl/>
        </w:rPr>
        <w:t xml:space="preserve"> الدورة الثالثة عشرة للجنة في أكتوبر 2008 الوثيقة </w:t>
      </w:r>
      <w:r w:rsidRPr="005766D4">
        <w:t>WIPO/GRTKF/IC/13/</w:t>
      </w:r>
      <w:r w:rsidR="00A853C4">
        <w:t>4</w:t>
      </w:r>
      <w:r w:rsidRPr="005766D4">
        <w:t xml:space="preserve"> (b) Rev.</w:t>
      </w:r>
      <w:r w:rsidRPr="005766D4">
        <w:rPr>
          <w:rFonts w:hint="cs"/>
          <w:rtl/>
        </w:rPr>
        <w:t xml:space="preserve"> </w:t>
      </w:r>
      <w:r w:rsidRPr="005766D4">
        <w:rPr>
          <w:rtl/>
        </w:rPr>
        <w:t>بالتفصيل،</w:t>
      </w:r>
      <w:r w:rsidRPr="005766D4">
        <w:rPr>
          <w:vertAlign w:val="superscript"/>
          <w:rtl/>
        </w:rPr>
        <w:footnoteReference w:id="3"/>
      </w:r>
      <w:r w:rsidRPr="005766D4">
        <w:rPr>
          <w:rtl/>
        </w:rPr>
        <w:t xml:space="preserve"> </w:t>
      </w:r>
      <w:r w:rsidRPr="005766D4">
        <w:rPr>
          <w:rFonts w:hint="cs"/>
          <w:rtl/>
        </w:rPr>
        <w:t>و</w:t>
      </w:r>
      <w:r w:rsidRPr="005766D4">
        <w:rPr>
          <w:rtl/>
        </w:rPr>
        <w:t>تعكس قرارات تلك الدورة</w:t>
      </w:r>
      <w:r w:rsidRPr="005766D4">
        <w:rPr>
          <w:rFonts w:hint="cs"/>
          <w:rtl/>
        </w:rPr>
        <w:t xml:space="preserve"> فقط</w:t>
      </w:r>
      <w:r w:rsidRPr="005766D4">
        <w:rPr>
          <w:rtl/>
        </w:rPr>
        <w:t xml:space="preserve"> </w:t>
      </w:r>
      <w:r w:rsidRPr="005766D4">
        <w:rPr>
          <w:rFonts w:hint="cs"/>
          <w:rtl/>
        </w:rPr>
        <w:t>على</w:t>
      </w:r>
      <w:r w:rsidRPr="005766D4">
        <w:rPr>
          <w:rtl/>
        </w:rPr>
        <w:t xml:space="preserve"> أنها "أحاطت علما" بالوثيقة.</w:t>
      </w:r>
      <w:r w:rsidRPr="005766D4">
        <w:rPr>
          <w:vertAlign w:val="superscript"/>
          <w:rtl/>
        </w:rPr>
        <w:footnoteReference w:id="4"/>
      </w:r>
      <w:r w:rsidRPr="005766D4">
        <w:rPr>
          <w:rtl/>
        </w:rPr>
        <w:t xml:space="preserve"> </w:t>
      </w:r>
      <w:r w:rsidRPr="005766D4">
        <w:rPr>
          <w:rFonts w:hint="cs"/>
          <w:rtl/>
        </w:rPr>
        <w:t>و</w:t>
      </w:r>
      <w:r w:rsidRPr="005766D4">
        <w:rPr>
          <w:rtl/>
        </w:rPr>
        <w:t>لم تقرر اللجنة النظر في الوثيقة في الدورات المقبلة</w:t>
      </w:r>
      <w:r>
        <w:rPr>
          <w:rFonts w:hint="cs"/>
          <w:rtl/>
        </w:rPr>
        <w:t>.</w:t>
      </w:r>
    </w:p>
    <w:p w14:paraId="6C5C136E" w14:textId="30B0F824" w:rsidR="00BC726D" w:rsidRDefault="00BC726D" w:rsidP="00890949">
      <w:pPr>
        <w:numPr>
          <w:ilvl w:val="0"/>
          <w:numId w:val="2"/>
        </w:numPr>
        <w:tabs>
          <w:tab w:val="clear" w:pos="567"/>
          <w:tab w:val="num" w:pos="360"/>
        </w:tabs>
        <w:spacing w:before="200"/>
      </w:pPr>
      <w:r w:rsidRPr="005766D4">
        <w:rPr>
          <w:rFonts w:hint="cs"/>
          <w:rtl/>
        </w:rPr>
        <w:t>و</w:t>
      </w:r>
      <w:r w:rsidRPr="005766D4">
        <w:rPr>
          <w:rtl/>
        </w:rPr>
        <w:t xml:space="preserve">في عام 2017، طلبت الجمعية العامة للويبو من الأمانة "تحديث تحليل </w:t>
      </w:r>
      <w:r w:rsidRPr="005766D4">
        <w:rPr>
          <w:rFonts w:hint="cs"/>
          <w:rtl/>
        </w:rPr>
        <w:t>الثغرات</w:t>
      </w:r>
      <w:r w:rsidRPr="005766D4">
        <w:rPr>
          <w:rtl/>
        </w:rPr>
        <w:t xml:space="preserve"> لعام 2008 بشأن أنظمة الحماية الحالية المتعلقة بالمعارف التقليدية وأشكال التعبير الثقافي التقليدي".</w:t>
      </w:r>
    </w:p>
    <w:p w14:paraId="2362589A" w14:textId="5118373B" w:rsidR="00BC726D" w:rsidRDefault="00BC726D" w:rsidP="00A853C4">
      <w:pPr>
        <w:numPr>
          <w:ilvl w:val="0"/>
          <w:numId w:val="2"/>
        </w:numPr>
        <w:tabs>
          <w:tab w:val="clear" w:pos="567"/>
          <w:tab w:val="num" w:pos="360"/>
        </w:tabs>
        <w:spacing w:before="200"/>
      </w:pPr>
      <w:r w:rsidRPr="005766D4">
        <w:rPr>
          <w:rtl/>
        </w:rPr>
        <w:t xml:space="preserve">وعملاً بهذا </w:t>
      </w:r>
      <w:r w:rsidRPr="005766D4">
        <w:rPr>
          <w:rFonts w:hint="cs"/>
          <w:rtl/>
        </w:rPr>
        <w:t>القرار،</w:t>
      </w:r>
      <w:r w:rsidRPr="005766D4">
        <w:rPr>
          <w:rtl/>
        </w:rPr>
        <w:t xml:space="preserve"> </w:t>
      </w:r>
      <w:r w:rsidRPr="005766D4">
        <w:rPr>
          <w:rFonts w:hint="cs"/>
          <w:rtl/>
        </w:rPr>
        <w:t>اشتمل</w:t>
      </w:r>
      <w:r w:rsidRPr="005766D4">
        <w:rPr>
          <w:rtl/>
        </w:rPr>
        <w:t xml:space="preserve"> المرفق الأول </w:t>
      </w:r>
      <w:r w:rsidRPr="005766D4">
        <w:rPr>
          <w:rFonts w:hint="cs"/>
          <w:rtl/>
        </w:rPr>
        <w:t xml:space="preserve">للوثيقة </w:t>
      </w:r>
      <w:r w:rsidRPr="005766D4">
        <w:t>WIPO/GRTKF/IC/37/</w:t>
      </w:r>
      <w:r w:rsidR="00A853C4">
        <w:t>7</w:t>
      </w:r>
      <w:r w:rsidRPr="005766D4">
        <w:rPr>
          <w:rtl/>
        </w:rPr>
        <w:t xml:space="preserve"> على مشروع محدث لتحليل </w:t>
      </w:r>
      <w:r w:rsidRPr="005766D4">
        <w:rPr>
          <w:rFonts w:hint="cs"/>
          <w:rtl/>
        </w:rPr>
        <w:t>الثغرات</w:t>
      </w:r>
      <w:r w:rsidRPr="005766D4">
        <w:rPr>
          <w:rtl/>
        </w:rPr>
        <w:t xml:space="preserve"> لعام 2008 بشأن حماية المعارف التقليدية. </w:t>
      </w:r>
      <w:r w:rsidRPr="005766D4">
        <w:rPr>
          <w:rFonts w:hint="cs"/>
          <w:rtl/>
        </w:rPr>
        <w:t>ولم يشهد</w:t>
      </w:r>
      <w:r w:rsidRPr="005766D4">
        <w:rPr>
          <w:rtl/>
        </w:rPr>
        <w:t xml:space="preserve"> هيكل وشكل ومحتويات تحليل الثغرات السابق </w:t>
      </w:r>
      <w:r w:rsidRPr="005766D4">
        <w:rPr>
          <w:rFonts w:hint="cs"/>
          <w:rtl/>
        </w:rPr>
        <w:t>تغييرات كبيرة</w:t>
      </w:r>
      <w:r w:rsidRPr="005766D4">
        <w:rPr>
          <w:rtl/>
        </w:rPr>
        <w:t xml:space="preserve">، باستثناء </w:t>
      </w:r>
      <w:r w:rsidRPr="005766D4">
        <w:rPr>
          <w:rFonts w:hint="cs"/>
          <w:rtl/>
        </w:rPr>
        <w:t>المواضع الذي أدرجت فيه</w:t>
      </w:r>
      <w:r w:rsidRPr="005766D4">
        <w:rPr>
          <w:rtl/>
        </w:rPr>
        <w:t xml:space="preserve"> أحدث الصكوك الدولية أو التطورات التشريعية أو </w:t>
      </w:r>
      <w:proofErr w:type="spellStart"/>
      <w:r w:rsidRPr="005766D4">
        <w:rPr>
          <w:rtl/>
        </w:rPr>
        <w:t>السياسات</w:t>
      </w:r>
      <w:r w:rsidRPr="005766D4">
        <w:rPr>
          <w:rFonts w:hint="cs"/>
          <w:rtl/>
        </w:rPr>
        <w:t>ية</w:t>
      </w:r>
      <w:proofErr w:type="spellEnd"/>
      <w:r w:rsidRPr="005766D4">
        <w:rPr>
          <w:rtl/>
        </w:rPr>
        <w:t xml:space="preserve">. </w:t>
      </w:r>
      <w:r w:rsidRPr="005766D4">
        <w:rPr>
          <w:rFonts w:hint="cs"/>
          <w:rtl/>
        </w:rPr>
        <w:t>وبالتالي،</w:t>
      </w:r>
      <w:r w:rsidRPr="005766D4">
        <w:rPr>
          <w:rtl/>
        </w:rPr>
        <w:t xml:space="preserve"> فإن هذا </w:t>
      </w:r>
      <w:r w:rsidRPr="005766D4">
        <w:rPr>
          <w:rFonts w:hint="cs"/>
          <w:rtl/>
        </w:rPr>
        <w:t>الإصدار،</w:t>
      </w:r>
      <w:r w:rsidRPr="005766D4">
        <w:rPr>
          <w:rtl/>
        </w:rPr>
        <w:t xml:space="preserve"> حسب طلب اللجنة، هو في الأساس "تحديث". </w:t>
      </w:r>
      <w:r w:rsidRPr="005766D4">
        <w:rPr>
          <w:rFonts w:hint="cs"/>
          <w:rtl/>
        </w:rPr>
        <w:t>و</w:t>
      </w:r>
      <w:r w:rsidRPr="005766D4">
        <w:rPr>
          <w:rtl/>
        </w:rPr>
        <w:t xml:space="preserve">على وجه الخصوص، </w:t>
      </w:r>
      <w:r w:rsidRPr="005766D4">
        <w:rPr>
          <w:rFonts w:hint="cs"/>
          <w:rtl/>
        </w:rPr>
        <w:t>طرأت</w:t>
      </w:r>
      <w:r w:rsidRPr="005766D4">
        <w:rPr>
          <w:rtl/>
        </w:rPr>
        <w:t xml:space="preserve"> تغييرات على الفقرات </w:t>
      </w:r>
      <w:r w:rsidRPr="005766D4">
        <w:rPr>
          <w:rFonts w:hint="cs"/>
          <w:rtl/>
        </w:rPr>
        <w:t>3-6 و12-13 و15 و16-17 و21-24 و33 و35 و39 و54 و59-61 و66 و71-73 و75 و81-84 و94 و98 و101 و108 و111 و113 و117 و122 و125-126 و131 و134 و136 و138 و140 و142 و147</w:t>
      </w:r>
      <w:r w:rsidRPr="005766D4">
        <w:rPr>
          <w:rtl/>
        </w:rPr>
        <w:t xml:space="preserve">. </w:t>
      </w:r>
      <w:r w:rsidRPr="005766D4">
        <w:rPr>
          <w:rFonts w:hint="cs"/>
          <w:rtl/>
        </w:rPr>
        <w:t>وعرض</w:t>
      </w:r>
      <w:r w:rsidRPr="005766D4">
        <w:rPr>
          <w:rtl/>
        </w:rPr>
        <w:t xml:space="preserve"> المرفق الثاني </w:t>
      </w:r>
      <w:r w:rsidRPr="005766D4">
        <w:rPr>
          <w:rFonts w:hint="cs"/>
          <w:rtl/>
        </w:rPr>
        <w:t>جدولاً محدثاً بالبنود</w:t>
      </w:r>
      <w:r w:rsidRPr="005766D4">
        <w:rPr>
          <w:rtl/>
        </w:rPr>
        <w:t xml:space="preserve"> المذكورة في الفقرات الفرعية (أ) إلى (د) أعلاه.</w:t>
      </w:r>
      <w:r>
        <w:rPr>
          <w:rFonts w:hint="cs"/>
          <w:rtl/>
        </w:rPr>
        <w:t xml:space="preserve"> وأعيد إصدار الوثيقة ذاتها لأغراض </w:t>
      </w:r>
      <w:r w:rsidR="00DD1DF4">
        <w:rPr>
          <w:rFonts w:hint="cs"/>
          <w:rtl/>
        </w:rPr>
        <w:t>الدورات</w:t>
      </w:r>
      <w:r>
        <w:rPr>
          <w:rFonts w:hint="cs"/>
          <w:rtl/>
        </w:rPr>
        <w:t xml:space="preserve"> 38 و39 </w:t>
      </w:r>
      <w:r w:rsidR="00DD1DF4">
        <w:rPr>
          <w:rFonts w:hint="cs"/>
          <w:rtl/>
        </w:rPr>
        <w:t xml:space="preserve">و40 </w:t>
      </w:r>
      <w:r w:rsidR="000A0201">
        <w:rPr>
          <w:rFonts w:hint="cs"/>
          <w:rtl/>
          <w:lang w:val="fr-CH" w:bidi="ar-SY"/>
        </w:rPr>
        <w:t xml:space="preserve">و44 </w:t>
      </w:r>
      <w:r>
        <w:rPr>
          <w:rFonts w:hint="cs"/>
          <w:rtl/>
        </w:rPr>
        <w:t>للجنة ولأغراض هذه الدورة أيضاً.</w:t>
      </w:r>
    </w:p>
    <w:p w14:paraId="0EEDC651" w14:textId="77777777" w:rsidR="00BC726D" w:rsidRDefault="00DD1DF4" w:rsidP="00890949">
      <w:pPr>
        <w:numPr>
          <w:ilvl w:val="0"/>
          <w:numId w:val="2"/>
        </w:numPr>
        <w:tabs>
          <w:tab w:val="clear" w:pos="567"/>
          <w:tab w:val="num" w:pos="360"/>
        </w:tabs>
        <w:spacing w:before="200"/>
      </w:pPr>
      <w:r w:rsidRPr="005766D4">
        <w:rPr>
          <w:rFonts w:hint="cs"/>
          <w:rtl/>
          <w:lang w:bidi="ar-EG"/>
        </w:rPr>
        <w:t>وترد النسخة المحدَّثة من مشروع تحليل الثغرات والجدول في مرفقَي هذه الوثيقة</w:t>
      </w:r>
      <w:r>
        <w:rPr>
          <w:rFonts w:hint="cs"/>
          <w:rtl/>
          <w:lang w:bidi="ar-EG"/>
        </w:rPr>
        <w:t>.</w:t>
      </w:r>
    </w:p>
    <w:p w14:paraId="52DDD802" w14:textId="77777777" w:rsidR="00DD1DF4" w:rsidRDefault="00DD1DF4" w:rsidP="00DD1DF4">
      <w:pPr>
        <w:spacing w:before="200"/>
        <w:rPr>
          <w:rtl/>
        </w:rPr>
      </w:pPr>
    </w:p>
    <w:p w14:paraId="23B4A29D" w14:textId="3BDE5737" w:rsidR="00FF1607" w:rsidRDefault="00FF1607" w:rsidP="00DD1DF4">
      <w:pPr>
        <w:pStyle w:val="ONUME"/>
        <w:ind w:left="5530"/>
        <w:rPr>
          <w:i/>
          <w:iCs/>
          <w:lang w:bidi="ar-EG"/>
        </w:rPr>
      </w:pPr>
      <w:r w:rsidRPr="00B85E65">
        <w:rPr>
          <w:i/>
          <w:iCs/>
          <w:rtl/>
          <w:lang w:bidi="ar-EG"/>
        </w:rPr>
        <w:t>إن اللجنة مدعوة</w:t>
      </w:r>
      <w:r w:rsidR="00A853C4">
        <w:rPr>
          <w:rFonts w:hint="cs"/>
          <w:i/>
          <w:iCs/>
          <w:rtl/>
          <w:lang w:bidi="ar-EG"/>
        </w:rPr>
        <w:t xml:space="preserve"> إلى</w:t>
      </w:r>
      <w:r w:rsidRPr="00B85E65">
        <w:rPr>
          <w:i/>
          <w:iCs/>
          <w:rtl/>
          <w:lang w:bidi="ar-EG"/>
        </w:rPr>
        <w:t xml:space="preserve"> </w:t>
      </w:r>
      <w:r w:rsidR="00DD1DF4" w:rsidRPr="005766D4">
        <w:rPr>
          <w:i/>
          <w:iCs/>
          <w:rtl/>
        </w:rPr>
        <w:t>النظر في مشروع تحليل الثغرات</w:t>
      </w:r>
      <w:r w:rsidR="00DD1DF4" w:rsidRPr="005766D4">
        <w:rPr>
          <w:rFonts w:hint="cs"/>
          <w:i/>
          <w:iCs/>
          <w:rtl/>
          <w:lang w:bidi="ar-EG"/>
        </w:rPr>
        <w:t xml:space="preserve"> والجدول</w:t>
      </w:r>
      <w:r w:rsidR="00DD1DF4" w:rsidRPr="005766D4">
        <w:rPr>
          <w:i/>
          <w:iCs/>
          <w:rtl/>
        </w:rPr>
        <w:t xml:space="preserve"> </w:t>
      </w:r>
      <w:r w:rsidR="00DD1DF4" w:rsidRPr="005766D4">
        <w:rPr>
          <w:rFonts w:hint="cs"/>
          <w:i/>
          <w:iCs/>
          <w:rtl/>
        </w:rPr>
        <w:t xml:space="preserve">المحدّثين </w:t>
      </w:r>
      <w:r w:rsidR="00DD1DF4" w:rsidRPr="005766D4">
        <w:rPr>
          <w:i/>
          <w:iCs/>
          <w:rtl/>
        </w:rPr>
        <w:t>الوارد</w:t>
      </w:r>
      <w:r w:rsidR="00DD1DF4" w:rsidRPr="005766D4">
        <w:rPr>
          <w:rFonts w:hint="cs"/>
          <w:i/>
          <w:iCs/>
          <w:rtl/>
        </w:rPr>
        <w:t>ين</w:t>
      </w:r>
      <w:r w:rsidR="00DD1DF4" w:rsidRPr="005766D4">
        <w:rPr>
          <w:i/>
          <w:iCs/>
          <w:rtl/>
        </w:rPr>
        <w:t xml:space="preserve"> في المرفقين الأول والثاني</w:t>
      </w:r>
      <w:r w:rsidR="00DD1DF4">
        <w:rPr>
          <w:rFonts w:hint="cs"/>
          <w:i/>
          <w:iCs/>
          <w:rtl/>
          <w:lang w:bidi="ar-EG"/>
        </w:rPr>
        <w:t>.</w:t>
      </w:r>
    </w:p>
    <w:p w14:paraId="63CF2B5D" w14:textId="77777777" w:rsidR="00FE339E" w:rsidRDefault="00FF1607" w:rsidP="007A5194">
      <w:pPr>
        <w:pStyle w:val="Endofdocument-Annex"/>
        <w:spacing w:before="480"/>
        <w:rPr>
          <w:lang w:bidi="ar-EG"/>
        </w:rPr>
      </w:pPr>
      <w:r>
        <w:rPr>
          <w:rtl/>
          <w:lang w:bidi="ar-EG"/>
        </w:rPr>
        <w:t xml:space="preserve">[يلي </w:t>
      </w:r>
      <w:r>
        <w:rPr>
          <w:rtl/>
        </w:rPr>
        <w:t>ذلك</w:t>
      </w:r>
      <w:r>
        <w:rPr>
          <w:rtl/>
          <w:lang w:bidi="ar-EG"/>
        </w:rPr>
        <w:t xml:space="preserve"> </w:t>
      </w:r>
      <w:r w:rsidR="00DD1DF4">
        <w:rPr>
          <w:rFonts w:hint="cs"/>
          <w:rtl/>
          <w:lang w:bidi="ar-EG"/>
        </w:rPr>
        <w:t>المرفقان</w:t>
      </w:r>
      <w:r>
        <w:rPr>
          <w:rtl/>
          <w:lang w:bidi="ar-EG"/>
        </w:rPr>
        <w:t>]</w:t>
      </w:r>
    </w:p>
    <w:p w14:paraId="1DBF6FD2" w14:textId="77777777" w:rsidR="00B85E65" w:rsidRDefault="00B85E65" w:rsidP="00B85E65">
      <w:pPr>
        <w:pStyle w:val="Endofdocument-Annex"/>
        <w:rPr>
          <w:rtl/>
        </w:rPr>
      </w:pPr>
    </w:p>
    <w:p w14:paraId="54318761" w14:textId="77777777" w:rsidR="00FF1607" w:rsidRDefault="00FF1607" w:rsidP="00FF04BC">
      <w:pPr>
        <w:pStyle w:val="Endofdocument-Annex"/>
        <w:rPr>
          <w:rtl/>
          <w:lang w:bidi="ar-EG"/>
        </w:rPr>
        <w:sectPr w:rsidR="00FF1607" w:rsidSect="009B4A92">
          <w:headerReference w:type="default" r:id="rId12"/>
          <w:footnotePr>
            <w:numRestart w:val="eachSect"/>
          </w:footnotePr>
          <w:endnotePr>
            <w:numFmt w:val="decimal"/>
          </w:endnotePr>
          <w:type w:val="continuous"/>
          <w:pgSz w:w="11907" w:h="16840" w:code="9"/>
          <w:pgMar w:top="567" w:right="1418" w:bottom="1418" w:left="1134" w:header="510" w:footer="1021" w:gutter="0"/>
          <w:cols w:space="720"/>
          <w:titlePg/>
          <w:bidi/>
          <w:rtlGutter/>
          <w:docGrid w:linePitch="299"/>
        </w:sectPr>
      </w:pPr>
    </w:p>
    <w:p w14:paraId="3A7A9B56" w14:textId="07E736A8" w:rsidR="00A853C4" w:rsidRDefault="00A853C4" w:rsidP="002A3D69">
      <w:pPr>
        <w:pStyle w:val="BodyText"/>
        <w:jc w:val="center"/>
        <w:rPr>
          <w:b/>
          <w:bCs/>
          <w:sz w:val="24"/>
          <w:szCs w:val="24"/>
          <w:rtl/>
        </w:rPr>
      </w:pPr>
      <w:r>
        <w:rPr>
          <w:rFonts w:hint="cs"/>
          <w:b/>
          <w:bCs/>
          <w:sz w:val="24"/>
          <w:szCs w:val="24"/>
          <w:rtl/>
        </w:rPr>
        <w:lastRenderedPageBreak/>
        <w:t>المرفق الأول</w:t>
      </w:r>
    </w:p>
    <w:p w14:paraId="0B238802" w14:textId="1897D807" w:rsidR="0095258F" w:rsidRPr="0095258F" w:rsidRDefault="0095258F" w:rsidP="007E34E6">
      <w:pPr>
        <w:pStyle w:val="BodyText"/>
        <w:jc w:val="center"/>
        <w:rPr>
          <w:b/>
          <w:bCs/>
          <w:lang w:bidi="ar-EG"/>
        </w:rPr>
      </w:pPr>
      <w:r w:rsidRPr="002A3D69">
        <w:rPr>
          <w:b/>
          <w:bCs/>
          <w:sz w:val="24"/>
          <w:szCs w:val="24"/>
          <w:rtl/>
        </w:rPr>
        <w:t xml:space="preserve">مشروع تحليل الثغرات المحدّث </w:t>
      </w:r>
      <w:r w:rsidRPr="002A3D69">
        <w:rPr>
          <w:rFonts w:hint="cs"/>
          <w:b/>
          <w:bCs/>
          <w:sz w:val="24"/>
          <w:szCs w:val="24"/>
          <w:rtl/>
        </w:rPr>
        <w:t>بشأن</w:t>
      </w:r>
      <w:r w:rsidR="007E34E6">
        <w:rPr>
          <w:b/>
          <w:bCs/>
          <w:sz w:val="24"/>
          <w:szCs w:val="24"/>
          <w:rtl/>
        </w:rPr>
        <w:t xml:space="preserve"> حماية</w:t>
      </w:r>
      <w:r w:rsidR="007E34E6">
        <w:rPr>
          <w:rFonts w:hint="cs"/>
          <w:b/>
          <w:bCs/>
          <w:sz w:val="24"/>
          <w:szCs w:val="24"/>
          <w:rtl/>
        </w:rPr>
        <w:t xml:space="preserve"> أشكال التعبير الثقافي التقليدي</w:t>
      </w:r>
    </w:p>
    <w:p w14:paraId="4F3A5F3F" w14:textId="70AF5744" w:rsidR="008166C7" w:rsidRPr="008166C7" w:rsidRDefault="0095258F" w:rsidP="00C05E1B">
      <w:pPr>
        <w:pStyle w:val="BodyText"/>
        <w:spacing w:after="0"/>
        <w:rPr>
          <w:rFonts w:asciiTheme="minorHAnsi" w:eastAsiaTheme="minorEastAsia" w:hAnsiTheme="minorHAnsi" w:cstheme="minorHAnsi"/>
          <w:b/>
          <w:bCs/>
          <w:noProof/>
        </w:rPr>
      </w:pPr>
      <w:r w:rsidRPr="002A3D69">
        <w:rPr>
          <w:sz w:val="24"/>
          <w:szCs w:val="24"/>
          <w:rtl/>
        </w:rPr>
        <w:t>المحتويات</w:t>
      </w:r>
      <w:r w:rsidRPr="0095258F">
        <w:rPr>
          <w:lang w:bidi="ar-EG"/>
        </w:rPr>
        <w:fldChar w:fldCharType="begin"/>
      </w:r>
      <w:r w:rsidRPr="002A3D69">
        <w:rPr>
          <w:lang w:bidi="ar-EG"/>
        </w:rPr>
        <w:instrText xml:space="preserve"> TOC \o "1-4" \h \z \u </w:instrText>
      </w:r>
      <w:r w:rsidRPr="0095258F">
        <w:rPr>
          <w:lang w:bidi="ar-EG"/>
        </w:rPr>
        <w:fldChar w:fldCharType="separate"/>
      </w:r>
    </w:p>
    <w:p w14:paraId="03DD8694" w14:textId="3EC0A386" w:rsidR="008166C7" w:rsidRPr="008166C7" w:rsidRDefault="008166C7" w:rsidP="00C05E1B">
      <w:pPr>
        <w:pStyle w:val="TOC1"/>
        <w:spacing w:after="0"/>
        <w:rPr>
          <w:rFonts w:asciiTheme="minorHAnsi" w:eastAsiaTheme="minorEastAsia" w:hAnsiTheme="minorHAnsi" w:cstheme="minorHAnsi"/>
          <w:b w:val="0"/>
          <w:bCs w:val="0"/>
          <w:sz w:val="22"/>
          <w:szCs w:val="22"/>
          <w:rtl/>
        </w:rPr>
      </w:pPr>
    </w:p>
    <w:p w14:paraId="648097B5" w14:textId="654180AF" w:rsidR="008166C7" w:rsidRPr="008166C7" w:rsidRDefault="000A0201" w:rsidP="00C05E1B">
      <w:pPr>
        <w:pStyle w:val="TOC1"/>
        <w:tabs>
          <w:tab w:val="left" w:pos="1134"/>
        </w:tabs>
        <w:spacing w:after="0"/>
        <w:rPr>
          <w:rFonts w:asciiTheme="minorHAnsi" w:eastAsiaTheme="minorEastAsia" w:hAnsiTheme="minorHAnsi" w:cstheme="minorHAnsi"/>
          <w:b w:val="0"/>
          <w:bCs w:val="0"/>
          <w:sz w:val="22"/>
          <w:szCs w:val="22"/>
          <w:rtl/>
        </w:rPr>
      </w:pPr>
      <w:hyperlink w:anchor="_Toc109030378" w:history="1">
        <w:r w:rsidR="008166C7" w:rsidRPr="008166C7">
          <w:rPr>
            <w:rStyle w:val="Hyperlink"/>
            <w:rFonts w:asciiTheme="minorHAnsi" w:hAnsiTheme="minorHAnsi" w:cstheme="minorHAnsi"/>
            <w:sz w:val="22"/>
            <w:szCs w:val="22"/>
            <w:rtl/>
            <w:lang w:val="it-IT"/>
          </w:rPr>
          <w:t>أولا.</w:t>
        </w:r>
        <w:r w:rsidR="0057376C">
          <w:rPr>
            <w:rFonts w:eastAsiaTheme="minorEastAsia" w:hint="cs"/>
            <w:b w:val="0"/>
            <w:bCs w:val="0"/>
            <w:rtl/>
          </w:rPr>
          <w:t xml:space="preserve"> </w:t>
        </w:r>
        <w:r w:rsidR="008166C7" w:rsidRPr="008166C7">
          <w:rPr>
            <w:rStyle w:val="Hyperlink"/>
            <w:rFonts w:asciiTheme="minorHAnsi" w:hAnsiTheme="minorHAnsi" w:cstheme="minorHAnsi"/>
            <w:sz w:val="22"/>
            <w:szCs w:val="22"/>
            <w:rtl/>
            <w:lang w:val="it-IT"/>
          </w:rPr>
          <w:t>المراجع والمواد الأخرى المستخدمة من أجل إعداد هذا التحليل</w:t>
        </w:r>
        <w:r w:rsidR="008166C7" w:rsidRPr="008166C7">
          <w:rPr>
            <w:rFonts w:asciiTheme="minorHAnsi" w:hAnsiTheme="minorHAnsi" w:cstheme="minorHAnsi"/>
            <w:webHidden/>
            <w:sz w:val="22"/>
            <w:szCs w:val="22"/>
            <w:rtl/>
          </w:rPr>
          <w:tab/>
        </w:r>
        <w:r w:rsidR="008166C7" w:rsidRPr="008166C7">
          <w:rPr>
            <w:rFonts w:asciiTheme="minorHAnsi" w:hAnsiTheme="minorHAnsi" w:cstheme="minorHAnsi"/>
            <w:webHidden/>
            <w:sz w:val="22"/>
            <w:szCs w:val="22"/>
            <w:rtl/>
          </w:rPr>
          <w:fldChar w:fldCharType="begin"/>
        </w:r>
        <w:r w:rsidR="008166C7" w:rsidRPr="008166C7">
          <w:rPr>
            <w:rFonts w:asciiTheme="minorHAnsi" w:hAnsiTheme="minorHAnsi" w:cstheme="minorHAnsi"/>
            <w:webHidden/>
            <w:sz w:val="22"/>
            <w:szCs w:val="22"/>
            <w:rtl/>
          </w:rPr>
          <w:instrText xml:space="preserve"> </w:instrText>
        </w:r>
        <w:r w:rsidR="008166C7" w:rsidRPr="008166C7">
          <w:rPr>
            <w:rFonts w:asciiTheme="minorHAnsi" w:hAnsiTheme="minorHAnsi" w:cstheme="minorHAnsi"/>
            <w:webHidden/>
            <w:sz w:val="22"/>
            <w:szCs w:val="22"/>
          </w:rPr>
          <w:instrText>PAGEREF</w:instrText>
        </w:r>
        <w:r w:rsidR="008166C7" w:rsidRPr="008166C7">
          <w:rPr>
            <w:rFonts w:asciiTheme="minorHAnsi" w:hAnsiTheme="minorHAnsi" w:cstheme="minorHAnsi"/>
            <w:webHidden/>
            <w:sz w:val="22"/>
            <w:szCs w:val="22"/>
            <w:rtl/>
          </w:rPr>
          <w:instrText xml:space="preserve"> _</w:instrText>
        </w:r>
        <w:r w:rsidR="008166C7" w:rsidRPr="008166C7">
          <w:rPr>
            <w:rFonts w:asciiTheme="minorHAnsi" w:hAnsiTheme="minorHAnsi" w:cstheme="minorHAnsi"/>
            <w:webHidden/>
            <w:sz w:val="22"/>
            <w:szCs w:val="22"/>
          </w:rPr>
          <w:instrText>Toc109030378 \h</w:instrText>
        </w:r>
        <w:r w:rsidR="008166C7" w:rsidRPr="008166C7">
          <w:rPr>
            <w:rFonts w:asciiTheme="minorHAnsi" w:hAnsiTheme="minorHAnsi" w:cstheme="minorHAnsi"/>
            <w:webHidden/>
            <w:sz w:val="22"/>
            <w:szCs w:val="22"/>
            <w:rtl/>
          </w:rPr>
          <w:instrText xml:space="preserve"> </w:instrText>
        </w:r>
        <w:r w:rsidR="008166C7" w:rsidRPr="008166C7">
          <w:rPr>
            <w:rFonts w:asciiTheme="minorHAnsi" w:hAnsiTheme="minorHAnsi" w:cstheme="minorHAnsi"/>
            <w:webHidden/>
            <w:sz w:val="22"/>
            <w:szCs w:val="22"/>
            <w:rtl/>
          </w:rPr>
        </w:r>
        <w:r w:rsidR="008166C7" w:rsidRPr="008166C7">
          <w:rPr>
            <w:rFonts w:asciiTheme="minorHAnsi" w:hAnsiTheme="minorHAnsi" w:cstheme="minorHAnsi"/>
            <w:webHidden/>
            <w:sz w:val="22"/>
            <w:szCs w:val="22"/>
            <w:rtl/>
          </w:rPr>
          <w:fldChar w:fldCharType="separate"/>
        </w:r>
        <w:r w:rsidR="00BE57BB">
          <w:rPr>
            <w:rFonts w:asciiTheme="minorHAnsi" w:hAnsiTheme="minorHAnsi" w:cstheme="minorHAnsi"/>
            <w:webHidden/>
            <w:sz w:val="22"/>
            <w:szCs w:val="22"/>
            <w:rtl/>
          </w:rPr>
          <w:t>3</w:t>
        </w:r>
        <w:r w:rsidR="008166C7" w:rsidRPr="008166C7">
          <w:rPr>
            <w:rFonts w:asciiTheme="minorHAnsi" w:hAnsiTheme="minorHAnsi" w:cstheme="minorHAnsi"/>
            <w:webHidden/>
            <w:sz w:val="22"/>
            <w:szCs w:val="22"/>
            <w:rtl/>
          </w:rPr>
          <w:fldChar w:fldCharType="end"/>
        </w:r>
      </w:hyperlink>
    </w:p>
    <w:p w14:paraId="3448E095" w14:textId="2B55C176" w:rsidR="008166C7" w:rsidRPr="008166C7" w:rsidRDefault="000A0201" w:rsidP="00C05E1B">
      <w:pPr>
        <w:pStyle w:val="TOC1"/>
        <w:tabs>
          <w:tab w:val="left" w:pos="567"/>
        </w:tabs>
        <w:spacing w:after="0"/>
        <w:rPr>
          <w:rFonts w:asciiTheme="minorHAnsi" w:eastAsiaTheme="minorEastAsia" w:hAnsiTheme="minorHAnsi" w:cstheme="minorHAnsi"/>
          <w:b w:val="0"/>
          <w:bCs w:val="0"/>
          <w:sz w:val="22"/>
          <w:szCs w:val="22"/>
          <w:rtl/>
        </w:rPr>
      </w:pPr>
      <w:hyperlink w:anchor="_Toc109030379" w:history="1">
        <w:r w:rsidR="008166C7" w:rsidRPr="008166C7">
          <w:rPr>
            <w:rStyle w:val="Hyperlink"/>
            <w:rFonts w:asciiTheme="minorHAnsi" w:hAnsiTheme="minorHAnsi" w:cstheme="minorHAnsi"/>
            <w:sz w:val="22"/>
            <w:szCs w:val="22"/>
            <w:rtl/>
            <w:lang w:val="it-IT" w:bidi="ar-EG"/>
          </w:rPr>
          <w:t>ثانيا.</w:t>
        </w:r>
        <w:r w:rsidR="008166C7" w:rsidRPr="008166C7">
          <w:rPr>
            <w:rFonts w:asciiTheme="minorHAnsi" w:eastAsiaTheme="minorEastAsia" w:hAnsiTheme="minorHAnsi" w:cstheme="minorHAnsi"/>
            <w:b w:val="0"/>
            <w:bCs w:val="0"/>
            <w:sz w:val="22"/>
            <w:szCs w:val="22"/>
            <w:rtl/>
          </w:rPr>
          <w:tab/>
        </w:r>
        <w:r w:rsidR="008166C7" w:rsidRPr="008166C7">
          <w:rPr>
            <w:rStyle w:val="Hyperlink"/>
            <w:rFonts w:asciiTheme="minorHAnsi" w:hAnsiTheme="minorHAnsi" w:cstheme="minorHAnsi"/>
            <w:sz w:val="22"/>
            <w:szCs w:val="22"/>
            <w:rtl/>
            <w:lang w:val="it-IT" w:bidi="ar-EG"/>
          </w:rPr>
          <w:t>التعاريف العملية وغيرها من الأسس المعتمد عليها في عملية التحليل</w:t>
        </w:r>
        <w:r w:rsidR="008166C7" w:rsidRPr="008166C7">
          <w:rPr>
            <w:rFonts w:asciiTheme="minorHAnsi" w:hAnsiTheme="minorHAnsi" w:cstheme="minorHAnsi"/>
            <w:webHidden/>
            <w:sz w:val="22"/>
            <w:szCs w:val="22"/>
            <w:rtl/>
          </w:rPr>
          <w:tab/>
        </w:r>
        <w:r w:rsidR="008166C7" w:rsidRPr="008166C7">
          <w:rPr>
            <w:rFonts w:asciiTheme="minorHAnsi" w:hAnsiTheme="minorHAnsi" w:cstheme="minorHAnsi"/>
            <w:webHidden/>
            <w:sz w:val="22"/>
            <w:szCs w:val="22"/>
            <w:rtl/>
          </w:rPr>
          <w:fldChar w:fldCharType="begin"/>
        </w:r>
        <w:r w:rsidR="008166C7" w:rsidRPr="008166C7">
          <w:rPr>
            <w:rFonts w:asciiTheme="minorHAnsi" w:hAnsiTheme="minorHAnsi" w:cstheme="minorHAnsi"/>
            <w:webHidden/>
            <w:sz w:val="22"/>
            <w:szCs w:val="22"/>
            <w:rtl/>
          </w:rPr>
          <w:instrText xml:space="preserve"> </w:instrText>
        </w:r>
        <w:r w:rsidR="008166C7" w:rsidRPr="008166C7">
          <w:rPr>
            <w:rFonts w:asciiTheme="minorHAnsi" w:hAnsiTheme="minorHAnsi" w:cstheme="minorHAnsi"/>
            <w:webHidden/>
            <w:sz w:val="22"/>
            <w:szCs w:val="22"/>
          </w:rPr>
          <w:instrText>PAGEREF</w:instrText>
        </w:r>
        <w:r w:rsidR="008166C7" w:rsidRPr="008166C7">
          <w:rPr>
            <w:rFonts w:asciiTheme="minorHAnsi" w:hAnsiTheme="minorHAnsi" w:cstheme="minorHAnsi"/>
            <w:webHidden/>
            <w:sz w:val="22"/>
            <w:szCs w:val="22"/>
            <w:rtl/>
          </w:rPr>
          <w:instrText xml:space="preserve"> _</w:instrText>
        </w:r>
        <w:r w:rsidR="008166C7" w:rsidRPr="008166C7">
          <w:rPr>
            <w:rFonts w:asciiTheme="minorHAnsi" w:hAnsiTheme="minorHAnsi" w:cstheme="minorHAnsi"/>
            <w:webHidden/>
            <w:sz w:val="22"/>
            <w:szCs w:val="22"/>
          </w:rPr>
          <w:instrText>Toc109030379 \h</w:instrText>
        </w:r>
        <w:r w:rsidR="008166C7" w:rsidRPr="008166C7">
          <w:rPr>
            <w:rFonts w:asciiTheme="minorHAnsi" w:hAnsiTheme="minorHAnsi" w:cstheme="minorHAnsi"/>
            <w:webHidden/>
            <w:sz w:val="22"/>
            <w:szCs w:val="22"/>
            <w:rtl/>
          </w:rPr>
          <w:instrText xml:space="preserve"> </w:instrText>
        </w:r>
        <w:r w:rsidR="008166C7" w:rsidRPr="008166C7">
          <w:rPr>
            <w:rFonts w:asciiTheme="minorHAnsi" w:hAnsiTheme="minorHAnsi" w:cstheme="minorHAnsi"/>
            <w:webHidden/>
            <w:sz w:val="22"/>
            <w:szCs w:val="22"/>
            <w:rtl/>
          </w:rPr>
        </w:r>
        <w:r w:rsidR="008166C7" w:rsidRPr="008166C7">
          <w:rPr>
            <w:rFonts w:asciiTheme="minorHAnsi" w:hAnsiTheme="minorHAnsi" w:cstheme="minorHAnsi"/>
            <w:webHidden/>
            <w:sz w:val="22"/>
            <w:szCs w:val="22"/>
            <w:rtl/>
          </w:rPr>
          <w:fldChar w:fldCharType="separate"/>
        </w:r>
        <w:r w:rsidR="00BE57BB">
          <w:rPr>
            <w:rFonts w:asciiTheme="minorHAnsi" w:hAnsiTheme="minorHAnsi" w:cstheme="minorHAnsi"/>
            <w:webHidden/>
            <w:sz w:val="22"/>
            <w:szCs w:val="22"/>
            <w:rtl/>
          </w:rPr>
          <w:t>3</w:t>
        </w:r>
        <w:r w:rsidR="008166C7" w:rsidRPr="008166C7">
          <w:rPr>
            <w:rFonts w:asciiTheme="minorHAnsi" w:hAnsiTheme="minorHAnsi" w:cstheme="minorHAnsi"/>
            <w:webHidden/>
            <w:sz w:val="22"/>
            <w:szCs w:val="22"/>
            <w:rtl/>
          </w:rPr>
          <w:fldChar w:fldCharType="end"/>
        </w:r>
      </w:hyperlink>
    </w:p>
    <w:p w14:paraId="6ADC8832" w14:textId="283A31BC" w:rsidR="008166C7" w:rsidRPr="008166C7" w:rsidRDefault="000A0201" w:rsidP="00C05E1B">
      <w:pPr>
        <w:pStyle w:val="TOC2"/>
        <w:rPr>
          <w:rFonts w:eastAsiaTheme="minorEastAsia"/>
          <w:rtl/>
          <w:lang w:bidi="ar-SA"/>
        </w:rPr>
      </w:pPr>
      <w:hyperlink w:anchor="_Toc109030380" w:history="1">
        <w:r w:rsidR="008166C7" w:rsidRPr="008166C7">
          <w:rPr>
            <w:rStyle w:val="Hyperlink"/>
            <w:rtl/>
            <w:lang w:val="it-IT" w:bidi="ar-EG"/>
          </w:rPr>
          <w:t>أشكال التعبير الثقافي التقليدي</w:t>
        </w:r>
        <w:r w:rsidR="008166C7" w:rsidRPr="008166C7">
          <w:rPr>
            <w:webHidden/>
            <w:rtl/>
          </w:rPr>
          <w:tab/>
        </w:r>
        <w:r w:rsidR="008166C7" w:rsidRPr="00157FB3">
          <w:rPr>
            <w:i w:val="0"/>
            <w:iCs w:val="0"/>
            <w:webHidden/>
            <w:rtl/>
          </w:rPr>
          <w:fldChar w:fldCharType="begin"/>
        </w:r>
        <w:r w:rsidR="008166C7" w:rsidRPr="00157FB3">
          <w:rPr>
            <w:i w:val="0"/>
            <w:iCs w:val="0"/>
            <w:webHidden/>
            <w:rtl/>
          </w:rPr>
          <w:instrText xml:space="preserve"> </w:instrText>
        </w:r>
        <w:r w:rsidR="008166C7" w:rsidRPr="00157FB3">
          <w:rPr>
            <w:i w:val="0"/>
            <w:iCs w:val="0"/>
            <w:webHidden/>
          </w:rPr>
          <w:instrText>PAGEREF</w:instrText>
        </w:r>
        <w:r w:rsidR="008166C7" w:rsidRPr="00157FB3">
          <w:rPr>
            <w:i w:val="0"/>
            <w:iCs w:val="0"/>
            <w:webHidden/>
            <w:rtl/>
          </w:rPr>
          <w:instrText xml:space="preserve"> _</w:instrText>
        </w:r>
        <w:r w:rsidR="008166C7" w:rsidRPr="00157FB3">
          <w:rPr>
            <w:i w:val="0"/>
            <w:iCs w:val="0"/>
            <w:webHidden/>
          </w:rPr>
          <w:instrText>Toc109030380 \h</w:instrText>
        </w:r>
        <w:r w:rsidR="008166C7" w:rsidRPr="00157FB3">
          <w:rPr>
            <w:i w:val="0"/>
            <w:iCs w:val="0"/>
            <w:webHidden/>
            <w:rtl/>
          </w:rPr>
          <w:instrText xml:space="preserve"> </w:instrText>
        </w:r>
        <w:r w:rsidR="008166C7" w:rsidRPr="00157FB3">
          <w:rPr>
            <w:i w:val="0"/>
            <w:iCs w:val="0"/>
            <w:webHidden/>
            <w:rtl/>
          </w:rPr>
        </w:r>
        <w:r w:rsidR="008166C7" w:rsidRPr="00157FB3">
          <w:rPr>
            <w:i w:val="0"/>
            <w:iCs w:val="0"/>
            <w:webHidden/>
            <w:rtl/>
          </w:rPr>
          <w:fldChar w:fldCharType="separate"/>
        </w:r>
        <w:r w:rsidR="00BE57BB">
          <w:rPr>
            <w:i w:val="0"/>
            <w:iCs w:val="0"/>
            <w:webHidden/>
            <w:rtl/>
          </w:rPr>
          <w:t>3</w:t>
        </w:r>
        <w:r w:rsidR="008166C7" w:rsidRPr="00157FB3">
          <w:rPr>
            <w:i w:val="0"/>
            <w:iCs w:val="0"/>
            <w:webHidden/>
            <w:rtl/>
          </w:rPr>
          <w:fldChar w:fldCharType="end"/>
        </w:r>
      </w:hyperlink>
    </w:p>
    <w:p w14:paraId="2961DEBA" w14:textId="5246610E" w:rsidR="008166C7" w:rsidRPr="008166C7" w:rsidRDefault="000A0201" w:rsidP="00C05E1B">
      <w:pPr>
        <w:pStyle w:val="TOC3"/>
        <w:spacing w:after="0"/>
        <w:rPr>
          <w:rFonts w:asciiTheme="minorHAnsi" w:eastAsiaTheme="minorEastAsia" w:hAnsiTheme="minorHAnsi" w:cstheme="minorHAnsi"/>
          <w:noProof/>
          <w:sz w:val="22"/>
          <w:szCs w:val="22"/>
          <w:rtl/>
        </w:rPr>
      </w:pPr>
      <w:hyperlink w:anchor="_Toc109030381" w:history="1">
        <w:r w:rsidR="008166C7" w:rsidRPr="008166C7">
          <w:rPr>
            <w:rStyle w:val="Hyperlink"/>
            <w:rFonts w:asciiTheme="minorHAnsi" w:hAnsiTheme="minorHAnsi" w:cstheme="minorHAnsi"/>
            <w:b/>
            <w:i/>
            <w:iCs/>
            <w:noProof/>
            <w:sz w:val="22"/>
            <w:szCs w:val="22"/>
            <w:rtl/>
            <w:lang w:val="it-IT" w:bidi="ar-EG"/>
          </w:rPr>
          <w:t>سمات أشكال التعبير الثقافي التقليدي</w:t>
        </w:r>
        <w:r w:rsidR="008166C7" w:rsidRPr="008166C7">
          <w:rPr>
            <w:rFonts w:asciiTheme="minorHAnsi" w:hAnsiTheme="minorHAnsi" w:cstheme="minorHAnsi"/>
            <w:noProof/>
            <w:webHidden/>
            <w:sz w:val="22"/>
            <w:szCs w:val="22"/>
            <w:rtl/>
          </w:rPr>
          <w:tab/>
        </w:r>
        <w:r w:rsidR="008166C7" w:rsidRPr="008166C7">
          <w:rPr>
            <w:rFonts w:asciiTheme="minorHAnsi" w:hAnsiTheme="minorHAnsi" w:cstheme="minorHAnsi"/>
            <w:noProof/>
            <w:webHidden/>
            <w:sz w:val="22"/>
            <w:szCs w:val="22"/>
            <w:rtl/>
          </w:rPr>
          <w:fldChar w:fldCharType="begin"/>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Pr>
          <w:instrText>PAGEREF</w:instrText>
        </w:r>
        <w:r w:rsidR="008166C7" w:rsidRPr="008166C7">
          <w:rPr>
            <w:rFonts w:asciiTheme="minorHAnsi" w:hAnsiTheme="minorHAnsi" w:cstheme="minorHAnsi"/>
            <w:noProof/>
            <w:webHidden/>
            <w:sz w:val="22"/>
            <w:szCs w:val="22"/>
            <w:rtl/>
          </w:rPr>
          <w:instrText xml:space="preserve"> _</w:instrText>
        </w:r>
        <w:r w:rsidR="008166C7" w:rsidRPr="008166C7">
          <w:rPr>
            <w:rFonts w:asciiTheme="minorHAnsi" w:hAnsiTheme="minorHAnsi" w:cstheme="minorHAnsi"/>
            <w:noProof/>
            <w:webHidden/>
            <w:sz w:val="22"/>
            <w:szCs w:val="22"/>
          </w:rPr>
          <w:instrText>Toc109030381 \h</w:instrText>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tl/>
          </w:rPr>
        </w:r>
        <w:r w:rsidR="008166C7" w:rsidRPr="008166C7">
          <w:rPr>
            <w:rFonts w:asciiTheme="minorHAnsi" w:hAnsiTheme="minorHAnsi" w:cstheme="minorHAnsi"/>
            <w:noProof/>
            <w:webHidden/>
            <w:sz w:val="22"/>
            <w:szCs w:val="22"/>
            <w:rtl/>
          </w:rPr>
          <w:fldChar w:fldCharType="separate"/>
        </w:r>
        <w:r w:rsidR="00BE57BB">
          <w:rPr>
            <w:rFonts w:asciiTheme="minorHAnsi" w:hAnsiTheme="minorHAnsi" w:cstheme="minorHAnsi"/>
            <w:noProof/>
            <w:webHidden/>
            <w:sz w:val="22"/>
            <w:szCs w:val="22"/>
            <w:rtl/>
          </w:rPr>
          <w:t>3</w:t>
        </w:r>
        <w:r w:rsidR="008166C7" w:rsidRPr="008166C7">
          <w:rPr>
            <w:rFonts w:asciiTheme="minorHAnsi" w:hAnsiTheme="minorHAnsi" w:cstheme="minorHAnsi"/>
            <w:noProof/>
            <w:webHidden/>
            <w:sz w:val="22"/>
            <w:szCs w:val="22"/>
            <w:rtl/>
          </w:rPr>
          <w:fldChar w:fldCharType="end"/>
        </w:r>
      </w:hyperlink>
    </w:p>
    <w:p w14:paraId="2AAA4317" w14:textId="32F3E36E" w:rsidR="008166C7" w:rsidRPr="008166C7" w:rsidRDefault="000A0201" w:rsidP="00C05E1B">
      <w:pPr>
        <w:pStyle w:val="TOC3"/>
        <w:spacing w:after="0"/>
        <w:rPr>
          <w:rFonts w:asciiTheme="minorHAnsi" w:eastAsiaTheme="minorEastAsia" w:hAnsiTheme="minorHAnsi" w:cstheme="minorHAnsi"/>
          <w:noProof/>
          <w:sz w:val="22"/>
          <w:szCs w:val="22"/>
          <w:rtl/>
        </w:rPr>
      </w:pPr>
      <w:hyperlink w:anchor="_Toc109030382" w:history="1">
        <w:r w:rsidR="008166C7" w:rsidRPr="008166C7">
          <w:rPr>
            <w:rStyle w:val="Hyperlink"/>
            <w:rFonts w:asciiTheme="minorHAnsi" w:hAnsiTheme="minorHAnsi" w:cstheme="minorHAnsi"/>
            <w:b/>
            <w:i/>
            <w:iCs/>
            <w:noProof/>
            <w:sz w:val="22"/>
            <w:szCs w:val="22"/>
            <w:rtl/>
            <w:lang w:val="it-IT" w:bidi="ar-EG"/>
          </w:rPr>
          <w:t>أشكال التعبير الثقافي التقليدي</w:t>
        </w:r>
        <w:r w:rsidR="008166C7" w:rsidRPr="008166C7">
          <w:rPr>
            <w:rFonts w:asciiTheme="minorHAnsi" w:hAnsiTheme="minorHAnsi" w:cstheme="minorHAnsi"/>
            <w:noProof/>
            <w:webHidden/>
            <w:sz w:val="22"/>
            <w:szCs w:val="22"/>
            <w:rtl/>
          </w:rPr>
          <w:tab/>
        </w:r>
        <w:r w:rsidR="008166C7" w:rsidRPr="008166C7">
          <w:rPr>
            <w:rFonts w:asciiTheme="minorHAnsi" w:hAnsiTheme="minorHAnsi" w:cstheme="minorHAnsi"/>
            <w:noProof/>
            <w:webHidden/>
            <w:sz w:val="22"/>
            <w:szCs w:val="22"/>
            <w:rtl/>
          </w:rPr>
          <w:fldChar w:fldCharType="begin"/>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Pr>
          <w:instrText>PAGEREF</w:instrText>
        </w:r>
        <w:r w:rsidR="008166C7" w:rsidRPr="008166C7">
          <w:rPr>
            <w:rFonts w:asciiTheme="minorHAnsi" w:hAnsiTheme="minorHAnsi" w:cstheme="minorHAnsi"/>
            <w:noProof/>
            <w:webHidden/>
            <w:sz w:val="22"/>
            <w:szCs w:val="22"/>
            <w:rtl/>
          </w:rPr>
          <w:instrText xml:space="preserve"> _</w:instrText>
        </w:r>
        <w:r w:rsidR="008166C7" w:rsidRPr="008166C7">
          <w:rPr>
            <w:rFonts w:asciiTheme="minorHAnsi" w:hAnsiTheme="minorHAnsi" w:cstheme="minorHAnsi"/>
            <w:noProof/>
            <w:webHidden/>
            <w:sz w:val="22"/>
            <w:szCs w:val="22"/>
          </w:rPr>
          <w:instrText>Toc109030382 \h</w:instrText>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tl/>
          </w:rPr>
        </w:r>
        <w:r w:rsidR="008166C7" w:rsidRPr="008166C7">
          <w:rPr>
            <w:rFonts w:asciiTheme="minorHAnsi" w:hAnsiTheme="minorHAnsi" w:cstheme="minorHAnsi"/>
            <w:noProof/>
            <w:webHidden/>
            <w:sz w:val="22"/>
            <w:szCs w:val="22"/>
            <w:rtl/>
          </w:rPr>
          <w:fldChar w:fldCharType="separate"/>
        </w:r>
        <w:r w:rsidR="00BE57BB">
          <w:rPr>
            <w:rFonts w:asciiTheme="minorHAnsi" w:hAnsiTheme="minorHAnsi" w:cstheme="minorHAnsi"/>
            <w:noProof/>
            <w:webHidden/>
            <w:sz w:val="22"/>
            <w:szCs w:val="22"/>
            <w:rtl/>
          </w:rPr>
          <w:t>4</w:t>
        </w:r>
        <w:r w:rsidR="008166C7" w:rsidRPr="008166C7">
          <w:rPr>
            <w:rFonts w:asciiTheme="minorHAnsi" w:hAnsiTheme="minorHAnsi" w:cstheme="minorHAnsi"/>
            <w:noProof/>
            <w:webHidden/>
            <w:sz w:val="22"/>
            <w:szCs w:val="22"/>
            <w:rtl/>
          </w:rPr>
          <w:fldChar w:fldCharType="end"/>
        </w:r>
      </w:hyperlink>
    </w:p>
    <w:p w14:paraId="60DC81B3" w14:textId="74177C20" w:rsidR="008166C7" w:rsidRPr="008166C7" w:rsidRDefault="000A0201" w:rsidP="00C05E1B">
      <w:pPr>
        <w:pStyle w:val="TOC2"/>
        <w:rPr>
          <w:rFonts w:eastAsiaTheme="minorEastAsia"/>
          <w:rtl/>
          <w:lang w:bidi="ar-SA"/>
        </w:rPr>
      </w:pPr>
      <w:hyperlink w:anchor="_Toc109030383" w:history="1">
        <w:r w:rsidR="008166C7">
          <w:rPr>
            <w:rStyle w:val="Hyperlink"/>
            <w:rtl/>
            <w:lang w:val="it-IT" w:bidi="ar-EG"/>
          </w:rPr>
          <w:t>معنى "</w:t>
        </w:r>
        <w:r w:rsidR="008166C7">
          <w:rPr>
            <w:rStyle w:val="Hyperlink"/>
            <w:rFonts w:hint="cs"/>
            <w:rtl/>
            <w:lang w:val="it-IT" w:bidi="ar-EG"/>
          </w:rPr>
          <w:t>الحماية</w:t>
        </w:r>
        <w:r w:rsidR="00C05E1B">
          <w:rPr>
            <w:webHidden/>
            <w:rtl/>
          </w:rPr>
          <w:tab/>
        </w:r>
        <w:r w:rsidR="008166C7">
          <w:rPr>
            <w:rFonts w:hint="cs"/>
            <w:webHidden/>
            <w:rtl/>
          </w:rPr>
          <w:tab/>
        </w:r>
        <w:r w:rsidR="008166C7" w:rsidRPr="00157FB3">
          <w:rPr>
            <w:i w:val="0"/>
            <w:iCs w:val="0"/>
            <w:webHidden/>
            <w:rtl/>
          </w:rPr>
          <w:fldChar w:fldCharType="begin"/>
        </w:r>
        <w:r w:rsidR="008166C7" w:rsidRPr="00157FB3">
          <w:rPr>
            <w:i w:val="0"/>
            <w:iCs w:val="0"/>
            <w:webHidden/>
            <w:rtl/>
          </w:rPr>
          <w:instrText xml:space="preserve"> </w:instrText>
        </w:r>
        <w:r w:rsidR="008166C7" w:rsidRPr="00157FB3">
          <w:rPr>
            <w:i w:val="0"/>
            <w:iCs w:val="0"/>
            <w:webHidden/>
          </w:rPr>
          <w:instrText>PAGEREF</w:instrText>
        </w:r>
        <w:r w:rsidR="008166C7" w:rsidRPr="00157FB3">
          <w:rPr>
            <w:i w:val="0"/>
            <w:iCs w:val="0"/>
            <w:webHidden/>
            <w:rtl/>
          </w:rPr>
          <w:instrText xml:space="preserve"> _</w:instrText>
        </w:r>
        <w:r w:rsidR="008166C7" w:rsidRPr="00157FB3">
          <w:rPr>
            <w:i w:val="0"/>
            <w:iCs w:val="0"/>
            <w:webHidden/>
          </w:rPr>
          <w:instrText>Toc109030383 \h</w:instrText>
        </w:r>
        <w:r w:rsidR="008166C7" w:rsidRPr="00157FB3">
          <w:rPr>
            <w:i w:val="0"/>
            <w:iCs w:val="0"/>
            <w:webHidden/>
            <w:rtl/>
          </w:rPr>
          <w:instrText xml:space="preserve"> </w:instrText>
        </w:r>
        <w:r w:rsidR="008166C7" w:rsidRPr="00157FB3">
          <w:rPr>
            <w:i w:val="0"/>
            <w:iCs w:val="0"/>
            <w:webHidden/>
            <w:rtl/>
          </w:rPr>
        </w:r>
        <w:r w:rsidR="008166C7" w:rsidRPr="00157FB3">
          <w:rPr>
            <w:i w:val="0"/>
            <w:iCs w:val="0"/>
            <w:webHidden/>
            <w:rtl/>
          </w:rPr>
          <w:fldChar w:fldCharType="separate"/>
        </w:r>
        <w:r w:rsidR="00BE57BB">
          <w:rPr>
            <w:i w:val="0"/>
            <w:iCs w:val="0"/>
            <w:webHidden/>
            <w:rtl/>
          </w:rPr>
          <w:t>5</w:t>
        </w:r>
        <w:r w:rsidR="008166C7" w:rsidRPr="00157FB3">
          <w:rPr>
            <w:i w:val="0"/>
            <w:iCs w:val="0"/>
            <w:webHidden/>
            <w:rtl/>
          </w:rPr>
          <w:fldChar w:fldCharType="end"/>
        </w:r>
      </w:hyperlink>
    </w:p>
    <w:p w14:paraId="0668A0A6" w14:textId="1B4E37A4" w:rsidR="008166C7" w:rsidRPr="008166C7" w:rsidRDefault="000A0201" w:rsidP="00C05E1B">
      <w:pPr>
        <w:pStyle w:val="TOC3"/>
        <w:spacing w:after="0"/>
        <w:rPr>
          <w:rFonts w:asciiTheme="minorHAnsi" w:eastAsiaTheme="minorEastAsia" w:hAnsiTheme="minorHAnsi" w:cstheme="minorHAnsi"/>
          <w:noProof/>
          <w:sz w:val="22"/>
          <w:szCs w:val="22"/>
          <w:rtl/>
        </w:rPr>
      </w:pPr>
      <w:hyperlink w:anchor="_Toc109030384" w:history="1">
        <w:r w:rsidR="008166C7" w:rsidRPr="008166C7">
          <w:rPr>
            <w:rStyle w:val="Hyperlink"/>
            <w:rFonts w:asciiTheme="minorHAnsi" w:hAnsiTheme="minorHAnsi" w:cstheme="minorHAnsi"/>
            <w:b/>
            <w:i/>
            <w:iCs/>
            <w:noProof/>
            <w:sz w:val="22"/>
            <w:szCs w:val="22"/>
            <w:rtl/>
            <w:lang w:val="it-IT" w:bidi="ar-EG"/>
          </w:rPr>
          <w:t>الخصائص العامة لحماية الملكية الفكرية</w:t>
        </w:r>
        <w:r w:rsidR="008166C7" w:rsidRPr="008166C7">
          <w:rPr>
            <w:rFonts w:asciiTheme="minorHAnsi" w:hAnsiTheme="minorHAnsi" w:cstheme="minorHAnsi"/>
            <w:noProof/>
            <w:webHidden/>
            <w:sz w:val="22"/>
            <w:szCs w:val="22"/>
            <w:rtl/>
          </w:rPr>
          <w:tab/>
        </w:r>
        <w:r w:rsidR="008166C7" w:rsidRPr="008166C7">
          <w:rPr>
            <w:rFonts w:asciiTheme="minorHAnsi" w:hAnsiTheme="minorHAnsi" w:cstheme="minorHAnsi"/>
            <w:noProof/>
            <w:webHidden/>
            <w:sz w:val="22"/>
            <w:szCs w:val="22"/>
            <w:rtl/>
          </w:rPr>
          <w:fldChar w:fldCharType="begin"/>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Pr>
          <w:instrText>PAGEREF</w:instrText>
        </w:r>
        <w:r w:rsidR="008166C7" w:rsidRPr="008166C7">
          <w:rPr>
            <w:rFonts w:asciiTheme="minorHAnsi" w:hAnsiTheme="minorHAnsi" w:cstheme="minorHAnsi"/>
            <w:noProof/>
            <w:webHidden/>
            <w:sz w:val="22"/>
            <w:szCs w:val="22"/>
            <w:rtl/>
          </w:rPr>
          <w:instrText xml:space="preserve"> _</w:instrText>
        </w:r>
        <w:r w:rsidR="008166C7" w:rsidRPr="008166C7">
          <w:rPr>
            <w:rFonts w:asciiTheme="minorHAnsi" w:hAnsiTheme="minorHAnsi" w:cstheme="minorHAnsi"/>
            <w:noProof/>
            <w:webHidden/>
            <w:sz w:val="22"/>
            <w:szCs w:val="22"/>
          </w:rPr>
          <w:instrText>Toc109030384 \h</w:instrText>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tl/>
          </w:rPr>
        </w:r>
        <w:r w:rsidR="008166C7" w:rsidRPr="008166C7">
          <w:rPr>
            <w:rFonts w:asciiTheme="minorHAnsi" w:hAnsiTheme="minorHAnsi" w:cstheme="minorHAnsi"/>
            <w:noProof/>
            <w:webHidden/>
            <w:sz w:val="22"/>
            <w:szCs w:val="22"/>
            <w:rtl/>
          </w:rPr>
          <w:fldChar w:fldCharType="separate"/>
        </w:r>
        <w:r w:rsidR="00BE57BB">
          <w:rPr>
            <w:rFonts w:asciiTheme="minorHAnsi" w:hAnsiTheme="minorHAnsi" w:cstheme="minorHAnsi"/>
            <w:noProof/>
            <w:webHidden/>
            <w:sz w:val="22"/>
            <w:szCs w:val="22"/>
            <w:rtl/>
          </w:rPr>
          <w:t>5</w:t>
        </w:r>
        <w:r w:rsidR="008166C7" w:rsidRPr="008166C7">
          <w:rPr>
            <w:rFonts w:asciiTheme="minorHAnsi" w:hAnsiTheme="minorHAnsi" w:cstheme="minorHAnsi"/>
            <w:noProof/>
            <w:webHidden/>
            <w:sz w:val="22"/>
            <w:szCs w:val="22"/>
            <w:rtl/>
          </w:rPr>
          <w:fldChar w:fldCharType="end"/>
        </w:r>
      </w:hyperlink>
    </w:p>
    <w:p w14:paraId="76E7B401" w14:textId="3240FA07" w:rsidR="008166C7" w:rsidRPr="008166C7" w:rsidRDefault="000A0201" w:rsidP="00C05E1B">
      <w:pPr>
        <w:pStyle w:val="TOC3"/>
        <w:spacing w:after="0"/>
        <w:rPr>
          <w:rFonts w:asciiTheme="minorHAnsi" w:eastAsiaTheme="minorEastAsia" w:hAnsiTheme="minorHAnsi" w:cstheme="minorHAnsi"/>
          <w:noProof/>
          <w:sz w:val="22"/>
          <w:szCs w:val="22"/>
          <w:rtl/>
        </w:rPr>
      </w:pPr>
      <w:hyperlink w:anchor="_Toc109030385" w:history="1">
        <w:r w:rsidR="008166C7" w:rsidRPr="008166C7">
          <w:rPr>
            <w:rStyle w:val="Hyperlink"/>
            <w:rFonts w:asciiTheme="minorHAnsi" w:hAnsiTheme="minorHAnsi" w:cstheme="minorHAnsi"/>
            <w:b/>
            <w:i/>
            <w:iCs/>
            <w:noProof/>
            <w:sz w:val="22"/>
            <w:szCs w:val="22"/>
            <w:rtl/>
            <w:lang w:val="it-IT" w:bidi="ar-EG"/>
          </w:rPr>
          <w:t>أنواع حماية الملكية الفكرية الأنسب لأشكال التعبير الثقافي التقليدي</w:t>
        </w:r>
        <w:r w:rsidR="008166C7" w:rsidRPr="008166C7">
          <w:rPr>
            <w:rFonts w:asciiTheme="minorHAnsi" w:hAnsiTheme="minorHAnsi" w:cstheme="minorHAnsi"/>
            <w:noProof/>
            <w:webHidden/>
            <w:sz w:val="22"/>
            <w:szCs w:val="22"/>
            <w:rtl/>
          </w:rPr>
          <w:tab/>
        </w:r>
        <w:r w:rsidR="008166C7" w:rsidRPr="008166C7">
          <w:rPr>
            <w:rFonts w:asciiTheme="minorHAnsi" w:hAnsiTheme="minorHAnsi" w:cstheme="minorHAnsi"/>
            <w:noProof/>
            <w:webHidden/>
            <w:sz w:val="22"/>
            <w:szCs w:val="22"/>
            <w:rtl/>
          </w:rPr>
          <w:fldChar w:fldCharType="begin"/>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Pr>
          <w:instrText>PAGEREF</w:instrText>
        </w:r>
        <w:r w:rsidR="008166C7" w:rsidRPr="008166C7">
          <w:rPr>
            <w:rFonts w:asciiTheme="minorHAnsi" w:hAnsiTheme="minorHAnsi" w:cstheme="minorHAnsi"/>
            <w:noProof/>
            <w:webHidden/>
            <w:sz w:val="22"/>
            <w:szCs w:val="22"/>
            <w:rtl/>
          </w:rPr>
          <w:instrText xml:space="preserve"> _</w:instrText>
        </w:r>
        <w:r w:rsidR="008166C7" w:rsidRPr="008166C7">
          <w:rPr>
            <w:rFonts w:asciiTheme="minorHAnsi" w:hAnsiTheme="minorHAnsi" w:cstheme="minorHAnsi"/>
            <w:noProof/>
            <w:webHidden/>
            <w:sz w:val="22"/>
            <w:szCs w:val="22"/>
          </w:rPr>
          <w:instrText>Toc109030385 \h</w:instrText>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tl/>
          </w:rPr>
        </w:r>
        <w:r w:rsidR="008166C7" w:rsidRPr="008166C7">
          <w:rPr>
            <w:rFonts w:asciiTheme="minorHAnsi" w:hAnsiTheme="minorHAnsi" w:cstheme="minorHAnsi"/>
            <w:noProof/>
            <w:webHidden/>
            <w:sz w:val="22"/>
            <w:szCs w:val="22"/>
            <w:rtl/>
          </w:rPr>
          <w:fldChar w:fldCharType="separate"/>
        </w:r>
        <w:r w:rsidR="00BE57BB">
          <w:rPr>
            <w:rFonts w:asciiTheme="minorHAnsi" w:hAnsiTheme="minorHAnsi" w:cstheme="minorHAnsi"/>
            <w:noProof/>
            <w:webHidden/>
            <w:sz w:val="22"/>
            <w:szCs w:val="22"/>
            <w:rtl/>
          </w:rPr>
          <w:t>5</w:t>
        </w:r>
        <w:r w:rsidR="008166C7" w:rsidRPr="008166C7">
          <w:rPr>
            <w:rFonts w:asciiTheme="minorHAnsi" w:hAnsiTheme="minorHAnsi" w:cstheme="minorHAnsi"/>
            <w:noProof/>
            <w:webHidden/>
            <w:sz w:val="22"/>
            <w:szCs w:val="22"/>
            <w:rtl/>
          </w:rPr>
          <w:fldChar w:fldCharType="end"/>
        </w:r>
      </w:hyperlink>
    </w:p>
    <w:p w14:paraId="31F170F1" w14:textId="76D7E98B" w:rsidR="008166C7" w:rsidRPr="008166C7" w:rsidRDefault="000A0201" w:rsidP="00C05E1B">
      <w:pPr>
        <w:pStyle w:val="TOC3"/>
        <w:spacing w:after="0"/>
        <w:rPr>
          <w:rFonts w:asciiTheme="minorHAnsi" w:eastAsiaTheme="minorEastAsia" w:hAnsiTheme="minorHAnsi" w:cstheme="minorHAnsi"/>
          <w:noProof/>
          <w:sz w:val="22"/>
          <w:szCs w:val="22"/>
          <w:rtl/>
        </w:rPr>
      </w:pPr>
      <w:hyperlink w:anchor="_Toc109030386" w:history="1">
        <w:r w:rsidR="008166C7" w:rsidRPr="008166C7">
          <w:rPr>
            <w:rStyle w:val="Hyperlink"/>
            <w:rFonts w:asciiTheme="minorHAnsi" w:hAnsiTheme="minorHAnsi" w:cstheme="minorHAnsi"/>
            <w:b/>
            <w:i/>
            <w:iCs/>
            <w:noProof/>
            <w:sz w:val="22"/>
            <w:szCs w:val="22"/>
            <w:rtl/>
            <w:lang w:val="it-IT" w:bidi="ar-EG"/>
          </w:rPr>
          <w:t>اتفاقيات ومعاهدات الملكية الفكرية الدولية المناسبة</w:t>
        </w:r>
        <w:r w:rsidR="008166C7" w:rsidRPr="008166C7">
          <w:rPr>
            <w:rFonts w:asciiTheme="minorHAnsi" w:hAnsiTheme="minorHAnsi" w:cstheme="minorHAnsi"/>
            <w:noProof/>
            <w:webHidden/>
            <w:sz w:val="22"/>
            <w:szCs w:val="22"/>
            <w:rtl/>
          </w:rPr>
          <w:tab/>
        </w:r>
        <w:r w:rsidR="008166C7" w:rsidRPr="008166C7">
          <w:rPr>
            <w:rFonts w:asciiTheme="minorHAnsi" w:hAnsiTheme="minorHAnsi" w:cstheme="minorHAnsi"/>
            <w:noProof/>
            <w:webHidden/>
            <w:sz w:val="22"/>
            <w:szCs w:val="22"/>
            <w:rtl/>
          </w:rPr>
          <w:fldChar w:fldCharType="begin"/>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Pr>
          <w:instrText>PAGEREF</w:instrText>
        </w:r>
        <w:r w:rsidR="008166C7" w:rsidRPr="008166C7">
          <w:rPr>
            <w:rFonts w:asciiTheme="minorHAnsi" w:hAnsiTheme="minorHAnsi" w:cstheme="minorHAnsi"/>
            <w:noProof/>
            <w:webHidden/>
            <w:sz w:val="22"/>
            <w:szCs w:val="22"/>
            <w:rtl/>
          </w:rPr>
          <w:instrText xml:space="preserve"> _</w:instrText>
        </w:r>
        <w:r w:rsidR="008166C7" w:rsidRPr="008166C7">
          <w:rPr>
            <w:rFonts w:asciiTheme="minorHAnsi" w:hAnsiTheme="minorHAnsi" w:cstheme="minorHAnsi"/>
            <w:noProof/>
            <w:webHidden/>
            <w:sz w:val="22"/>
            <w:szCs w:val="22"/>
          </w:rPr>
          <w:instrText>Toc109030386 \h</w:instrText>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tl/>
          </w:rPr>
        </w:r>
        <w:r w:rsidR="008166C7" w:rsidRPr="008166C7">
          <w:rPr>
            <w:rFonts w:asciiTheme="minorHAnsi" w:hAnsiTheme="minorHAnsi" w:cstheme="minorHAnsi"/>
            <w:noProof/>
            <w:webHidden/>
            <w:sz w:val="22"/>
            <w:szCs w:val="22"/>
            <w:rtl/>
          </w:rPr>
          <w:fldChar w:fldCharType="separate"/>
        </w:r>
        <w:r w:rsidR="00BE57BB">
          <w:rPr>
            <w:rFonts w:asciiTheme="minorHAnsi" w:hAnsiTheme="minorHAnsi" w:cstheme="minorHAnsi"/>
            <w:noProof/>
            <w:webHidden/>
            <w:sz w:val="22"/>
            <w:szCs w:val="22"/>
            <w:rtl/>
          </w:rPr>
          <w:t>5</w:t>
        </w:r>
        <w:r w:rsidR="008166C7" w:rsidRPr="008166C7">
          <w:rPr>
            <w:rFonts w:asciiTheme="minorHAnsi" w:hAnsiTheme="minorHAnsi" w:cstheme="minorHAnsi"/>
            <w:noProof/>
            <w:webHidden/>
            <w:sz w:val="22"/>
            <w:szCs w:val="22"/>
            <w:rtl/>
          </w:rPr>
          <w:fldChar w:fldCharType="end"/>
        </w:r>
      </w:hyperlink>
    </w:p>
    <w:p w14:paraId="16869AA8" w14:textId="7A8A2F3A" w:rsidR="008166C7" w:rsidRPr="008166C7" w:rsidRDefault="000A0201" w:rsidP="00C05E1B">
      <w:pPr>
        <w:pStyle w:val="TOC3"/>
        <w:spacing w:after="0"/>
        <w:rPr>
          <w:rFonts w:asciiTheme="minorHAnsi" w:eastAsiaTheme="minorEastAsia" w:hAnsiTheme="minorHAnsi" w:cstheme="minorHAnsi"/>
          <w:noProof/>
          <w:sz w:val="22"/>
          <w:szCs w:val="22"/>
          <w:rtl/>
        </w:rPr>
      </w:pPr>
      <w:hyperlink w:anchor="_Toc109030387" w:history="1">
        <w:r w:rsidR="008166C7" w:rsidRPr="008166C7">
          <w:rPr>
            <w:rStyle w:val="Hyperlink"/>
            <w:rFonts w:asciiTheme="minorHAnsi" w:hAnsiTheme="minorHAnsi" w:cstheme="minorHAnsi"/>
            <w:b/>
            <w:i/>
            <w:iCs/>
            <w:noProof/>
            <w:sz w:val="22"/>
            <w:szCs w:val="22"/>
            <w:rtl/>
            <w:lang w:val="it-IT"/>
          </w:rPr>
          <w:t>"الحماية" وليس "الصون" أو "الحفاظ" أو "النهوض"</w:t>
        </w:r>
        <w:r w:rsidR="008166C7" w:rsidRPr="008166C7">
          <w:rPr>
            <w:rFonts w:asciiTheme="minorHAnsi" w:hAnsiTheme="minorHAnsi" w:cstheme="minorHAnsi"/>
            <w:noProof/>
            <w:webHidden/>
            <w:sz w:val="22"/>
            <w:szCs w:val="22"/>
            <w:rtl/>
          </w:rPr>
          <w:tab/>
        </w:r>
        <w:r w:rsidR="008166C7" w:rsidRPr="008166C7">
          <w:rPr>
            <w:rFonts w:asciiTheme="minorHAnsi" w:hAnsiTheme="minorHAnsi" w:cstheme="minorHAnsi"/>
            <w:noProof/>
            <w:webHidden/>
            <w:sz w:val="22"/>
            <w:szCs w:val="22"/>
            <w:rtl/>
          </w:rPr>
          <w:fldChar w:fldCharType="begin"/>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Pr>
          <w:instrText>PAGEREF</w:instrText>
        </w:r>
        <w:r w:rsidR="008166C7" w:rsidRPr="008166C7">
          <w:rPr>
            <w:rFonts w:asciiTheme="minorHAnsi" w:hAnsiTheme="minorHAnsi" w:cstheme="minorHAnsi"/>
            <w:noProof/>
            <w:webHidden/>
            <w:sz w:val="22"/>
            <w:szCs w:val="22"/>
            <w:rtl/>
          </w:rPr>
          <w:instrText xml:space="preserve"> _</w:instrText>
        </w:r>
        <w:r w:rsidR="008166C7" w:rsidRPr="008166C7">
          <w:rPr>
            <w:rFonts w:asciiTheme="minorHAnsi" w:hAnsiTheme="minorHAnsi" w:cstheme="minorHAnsi"/>
            <w:noProof/>
            <w:webHidden/>
            <w:sz w:val="22"/>
            <w:szCs w:val="22"/>
          </w:rPr>
          <w:instrText>Toc109030387 \h</w:instrText>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tl/>
          </w:rPr>
        </w:r>
        <w:r w:rsidR="008166C7" w:rsidRPr="008166C7">
          <w:rPr>
            <w:rFonts w:asciiTheme="minorHAnsi" w:hAnsiTheme="minorHAnsi" w:cstheme="minorHAnsi"/>
            <w:noProof/>
            <w:webHidden/>
            <w:sz w:val="22"/>
            <w:szCs w:val="22"/>
            <w:rtl/>
          </w:rPr>
          <w:fldChar w:fldCharType="separate"/>
        </w:r>
        <w:r w:rsidR="00BE57BB">
          <w:rPr>
            <w:rFonts w:asciiTheme="minorHAnsi" w:hAnsiTheme="minorHAnsi" w:cstheme="minorHAnsi"/>
            <w:noProof/>
            <w:webHidden/>
            <w:sz w:val="22"/>
            <w:szCs w:val="22"/>
            <w:rtl/>
          </w:rPr>
          <w:t>6</w:t>
        </w:r>
        <w:r w:rsidR="008166C7" w:rsidRPr="008166C7">
          <w:rPr>
            <w:rFonts w:asciiTheme="minorHAnsi" w:hAnsiTheme="minorHAnsi" w:cstheme="minorHAnsi"/>
            <w:noProof/>
            <w:webHidden/>
            <w:sz w:val="22"/>
            <w:szCs w:val="22"/>
            <w:rtl/>
          </w:rPr>
          <w:fldChar w:fldCharType="end"/>
        </w:r>
      </w:hyperlink>
    </w:p>
    <w:p w14:paraId="44E7CEFC" w14:textId="7954D659" w:rsidR="008166C7" w:rsidRPr="008166C7" w:rsidRDefault="000A0201" w:rsidP="00C05E1B">
      <w:pPr>
        <w:pStyle w:val="TOC3"/>
        <w:spacing w:after="0"/>
        <w:rPr>
          <w:rFonts w:asciiTheme="minorHAnsi" w:eastAsiaTheme="minorEastAsia" w:hAnsiTheme="minorHAnsi" w:cstheme="minorHAnsi"/>
          <w:noProof/>
          <w:sz w:val="22"/>
          <w:szCs w:val="22"/>
          <w:rtl/>
        </w:rPr>
      </w:pPr>
      <w:hyperlink w:anchor="_Toc109030388" w:history="1">
        <w:r w:rsidR="008166C7" w:rsidRPr="008166C7">
          <w:rPr>
            <w:rStyle w:val="Hyperlink"/>
            <w:rFonts w:asciiTheme="minorHAnsi" w:hAnsiTheme="minorHAnsi" w:cstheme="minorHAnsi"/>
            <w:b/>
            <w:i/>
            <w:iCs/>
            <w:noProof/>
            <w:sz w:val="22"/>
            <w:szCs w:val="22"/>
            <w:rtl/>
            <w:lang w:val="it-IT"/>
          </w:rPr>
          <w:t xml:space="preserve">أهداف متصلة بحماية </w:t>
        </w:r>
        <w:r w:rsidR="008166C7" w:rsidRPr="008166C7">
          <w:rPr>
            <w:rStyle w:val="Hyperlink"/>
            <w:rFonts w:asciiTheme="minorHAnsi" w:hAnsiTheme="minorHAnsi" w:cstheme="minorHAnsi"/>
            <w:b/>
            <w:i/>
            <w:iCs/>
            <w:noProof/>
            <w:sz w:val="22"/>
            <w:szCs w:val="22"/>
            <w:rtl/>
            <w:lang w:val="it-IT" w:bidi="ar-EG"/>
          </w:rPr>
          <w:t>أشكال التعبير الثقافي التقليدي</w:t>
        </w:r>
        <w:r w:rsidR="008166C7" w:rsidRPr="008166C7">
          <w:rPr>
            <w:rFonts w:asciiTheme="minorHAnsi" w:hAnsiTheme="minorHAnsi" w:cstheme="minorHAnsi"/>
            <w:noProof/>
            <w:webHidden/>
            <w:sz w:val="22"/>
            <w:szCs w:val="22"/>
            <w:rtl/>
          </w:rPr>
          <w:tab/>
        </w:r>
        <w:r w:rsidR="008166C7" w:rsidRPr="008166C7">
          <w:rPr>
            <w:rFonts w:asciiTheme="minorHAnsi" w:hAnsiTheme="minorHAnsi" w:cstheme="minorHAnsi"/>
            <w:noProof/>
            <w:webHidden/>
            <w:sz w:val="22"/>
            <w:szCs w:val="22"/>
            <w:rtl/>
          </w:rPr>
          <w:fldChar w:fldCharType="begin"/>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Pr>
          <w:instrText>PAGEREF</w:instrText>
        </w:r>
        <w:r w:rsidR="008166C7" w:rsidRPr="008166C7">
          <w:rPr>
            <w:rFonts w:asciiTheme="minorHAnsi" w:hAnsiTheme="minorHAnsi" w:cstheme="minorHAnsi"/>
            <w:noProof/>
            <w:webHidden/>
            <w:sz w:val="22"/>
            <w:szCs w:val="22"/>
            <w:rtl/>
          </w:rPr>
          <w:instrText xml:space="preserve"> _</w:instrText>
        </w:r>
        <w:r w:rsidR="008166C7" w:rsidRPr="008166C7">
          <w:rPr>
            <w:rFonts w:asciiTheme="minorHAnsi" w:hAnsiTheme="minorHAnsi" w:cstheme="minorHAnsi"/>
            <w:noProof/>
            <w:webHidden/>
            <w:sz w:val="22"/>
            <w:szCs w:val="22"/>
          </w:rPr>
          <w:instrText>Toc109030388 \h</w:instrText>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tl/>
          </w:rPr>
        </w:r>
        <w:r w:rsidR="008166C7" w:rsidRPr="008166C7">
          <w:rPr>
            <w:rFonts w:asciiTheme="minorHAnsi" w:hAnsiTheme="minorHAnsi" w:cstheme="minorHAnsi"/>
            <w:noProof/>
            <w:webHidden/>
            <w:sz w:val="22"/>
            <w:szCs w:val="22"/>
            <w:rtl/>
          </w:rPr>
          <w:fldChar w:fldCharType="separate"/>
        </w:r>
        <w:r w:rsidR="00BE57BB">
          <w:rPr>
            <w:rFonts w:asciiTheme="minorHAnsi" w:hAnsiTheme="minorHAnsi" w:cstheme="minorHAnsi"/>
            <w:noProof/>
            <w:webHidden/>
            <w:sz w:val="22"/>
            <w:szCs w:val="22"/>
            <w:rtl/>
          </w:rPr>
          <w:t>6</w:t>
        </w:r>
        <w:r w:rsidR="008166C7" w:rsidRPr="008166C7">
          <w:rPr>
            <w:rFonts w:asciiTheme="minorHAnsi" w:hAnsiTheme="minorHAnsi" w:cstheme="minorHAnsi"/>
            <w:noProof/>
            <w:webHidden/>
            <w:sz w:val="22"/>
            <w:szCs w:val="22"/>
            <w:rtl/>
          </w:rPr>
          <w:fldChar w:fldCharType="end"/>
        </w:r>
      </w:hyperlink>
    </w:p>
    <w:p w14:paraId="0BFC7CFB" w14:textId="38DE4F90" w:rsidR="008166C7" w:rsidRPr="008166C7" w:rsidRDefault="000A0201" w:rsidP="00C05E1B">
      <w:pPr>
        <w:pStyle w:val="TOC3"/>
        <w:spacing w:after="0"/>
        <w:rPr>
          <w:rFonts w:asciiTheme="minorHAnsi" w:eastAsiaTheme="minorEastAsia" w:hAnsiTheme="minorHAnsi" w:cstheme="minorHAnsi"/>
          <w:noProof/>
          <w:sz w:val="22"/>
          <w:szCs w:val="22"/>
          <w:rtl/>
        </w:rPr>
      </w:pPr>
      <w:hyperlink w:anchor="_Toc109030389" w:history="1">
        <w:r w:rsidR="008166C7" w:rsidRPr="008166C7">
          <w:rPr>
            <w:rStyle w:val="Hyperlink"/>
            <w:rFonts w:asciiTheme="minorHAnsi" w:hAnsiTheme="minorHAnsi" w:cstheme="minorHAnsi"/>
            <w:b/>
            <w:i/>
            <w:iCs/>
            <w:noProof/>
            <w:sz w:val="22"/>
            <w:szCs w:val="22"/>
            <w:rtl/>
            <w:lang w:val="it-IT"/>
          </w:rPr>
          <w:t>أشكال محددة من الحماية المرغوب فيها لأشكال التعبير الثقافي التقليدي</w:t>
        </w:r>
        <w:r w:rsidR="008166C7" w:rsidRPr="008166C7">
          <w:rPr>
            <w:rFonts w:asciiTheme="minorHAnsi" w:hAnsiTheme="minorHAnsi" w:cstheme="minorHAnsi"/>
            <w:noProof/>
            <w:webHidden/>
            <w:sz w:val="22"/>
            <w:szCs w:val="22"/>
            <w:rtl/>
          </w:rPr>
          <w:tab/>
        </w:r>
        <w:r w:rsidR="008166C7" w:rsidRPr="008166C7">
          <w:rPr>
            <w:rFonts w:asciiTheme="minorHAnsi" w:hAnsiTheme="minorHAnsi" w:cstheme="minorHAnsi"/>
            <w:noProof/>
            <w:webHidden/>
            <w:sz w:val="22"/>
            <w:szCs w:val="22"/>
            <w:rtl/>
          </w:rPr>
          <w:fldChar w:fldCharType="begin"/>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Pr>
          <w:instrText>PAGEREF</w:instrText>
        </w:r>
        <w:r w:rsidR="008166C7" w:rsidRPr="008166C7">
          <w:rPr>
            <w:rFonts w:asciiTheme="minorHAnsi" w:hAnsiTheme="minorHAnsi" w:cstheme="minorHAnsi"/>
            <w:noProof/>
            <w:webHidden/>
            <w:sz w:val="22"/>
            <w:szCs w:val="22"/>
            <w:rtl/>
          </w:rPr>
          <w:instrText xml:space="preserve"> _</w:instrText>
        </w:r>
        <w:r w:rsidR="008166C7" w:rsidRPr="008166C7">
          <w:rPr>
            <w:rFonts w:asciiTheme="minorHAnsi" w:hAnsiTheme="minorHAnsi" w:cstheme="minorHAnsi"/>
            <w:noProof/>
            <w:webHidden/>
            <w:sz w:val="22"/>
            <w:szCs w:val="22"/>
          </w:rPr>
          <w:instrText>Toc109030389 \h</w:instrText>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tl/>
          </w:rPr>
        </w:r>
        <w:r w:rsidR="008166C7" w:rsidRPr="008166C7">
          <w:rPr>
            <w:rFonts w:asciiTheme="minorHAnsi" w:hAnsiTheme="minorHAnsi" w:cstheme="minorHAnsi"/>
            <w:noProof/>
            <w:webHidden/>
            <w:sz w:val="22"/>
            <w:szCs w:val="22"/>
            <w:rtl/>
          </w:rPr>
          <w:fldChar w:fldCharType="separate"/>
        </w:r>
        <w:r w:rsidR="00BE57BB">
          <w:rPr>
            <w:rFonts w:asciiTheme="minorHAnsi" w:hAnsiTheme="minorHAnsi" w:cstheme="minorHAnsi"/>
            <w:noProof/>
            <w:webHidden/>
            <w:sz w:val="22"/>
            <w:szCs w:val="22"/>
            <w:rtl/>
          </w:rPr>
          <w:t>7</w:t>
        </w:r>
        <w:r w:rsidR="008166C7" w:rsidRPr="008166C7">
          <w:rPr>
            <w:rFonts w:asciiTheme="minorHAnsi" w:hAnsiTheme="minorHAnsi" w:cstheme="minorHAnsi"/>
            <w:noProof/>
            <w:webHidden/>
            <w:sz w:val="22"/>
            <w:szCs w:val="22"/>
            <w:rtl/>
          </w:rPr>
          <w:fldChar w:fldCharType="end"/>
        </w:r>
      </w:hyperlink>
    </w:p>
    <w:p w14:paraId="70535E15" w14:textId="45236D7D" w:rsidR="008166C7" w:rsidRPr="008166C7" w:rsidRDefault="000A0201" w:rsidP="00C05E1B">
      <w:pPr>
        <w:pStyle w:val="TOC2"/>
        <w:rPr>
          <w:rFonts w:eastAsiaTheme="minorEastAsia"/>
          <w:rtl/>
          <w:lang w:bidi="ar-SA"/>
        </w:rPr>
      </w:pPr>
      <w:hyperlink w:anchor="_Toc109030390" w:history="1">
        <w:r w:rsidR="008166C7" w:rsidRPr="008166C7">
          <w:rPr>
            <w:rStyle w:val="Hyperlink"/>
            <w:rtl/>
            <w:lang w:val="it-IT"/>
          </w:rPr>
          <w:t>معنى</w:t>
        </w:r>
        <w:r w:rsidR="008166C7" w:rsidRPr="008166C7">
          <w:rPr>
            <w:rStyle w:val="Hyperlink"/>
            <w:rtl/>
            <w:lang w:val="it-IT" w:bidi="ar-EG"/>
          </w:rPr>
          <w:t xml:space="preserve"> "الثغرات"</w:t>
        </w:r>
        <w:r w:rsidR="008166C7" w:rsidRPr="008166C7">
          <w:rPr>
            <w:webHidden/>
            <w:rtl/>
          </w:rPr>
          <w:tab/>
        </w:r>
        <w:r w:rsidR="00C05E1B">
          <w:rPr>
            <w:webHidden/>
            <w:rtl/>
          </w:rPr>
          <w:tab/>
        </w:r>
        <w:r w:rsidR="008166C7" w:rsidRPr="00157FB3">
          <w:rPr>
            <w:i w:val="0"/>
            <w:iCs w:val="0"/>
            <w:webHidden/>
            <w:rtl/>
          </w:rPr>
          <w:fldChar w:fldCharType="begin"/>
        </w:r>
        <w:r w:rsidR="008166C7" w:rsidRPr="00157FB3">
          <w:rPr>
            <w:i w:val="0"/>
            <w:iCs w:val="0"/>
            <w:webHidden/>
            <w:rtl/>
          </w:rPr>
          <w:instrText xml:space="preserve"> </w:instrText>
        </w:r>
        <w:r w:rsidR="008166C7" w:rsidRPr="00157FB3">
          <w:rPr>
            <w:i w:val="0"/>
            <w:iCs w:val="0"/>
            <w:webHidden/>
          </w:rPr>
          <w:instrText>PAGEREF</w:instrText>
        </w:r>
        <w:r w:rsidR="008166C7" w:rsidRPr="00157FB3">
          <w:rPr>
            <w:i w:val="0"/>
            <w:iCs w:val="0"/>
            <w:webHidden/>
            <w:rtl/>
          </w:rPr>
          <w:instrText xml:space="preserve"> _</w:instrText>
        </w:r>
        <w:r w:rsidR="008166C7" w:rsidRPr="00157FB3">
          <w:rPr>
            <w:i w:val="0"/>
            <w:iCs w:val="0"/>
            <w:webHidden/>
          </w:rPr>
          <w:instrText>Toc109030390 \h</w:instrText>
        </w:r>
        <w:r w:rsidR="008166C7" w:rsidRPr="00157FB3">
          <w:rPr>
            <w:i w:val="0"/>
            <w:iCs w:val="0"/>
            <w:webHidden/>
            <w:rtl/>
          </w:rPr>
          <w:instrText xml:space="preserve"> </w:instrText>
        </w:r>
        <w:r w:rsidR="008166C7" w:rsidRPr="00157FB3">
          <w:rPr>
            <w:i w:val="0"/>
            <w:iCs w:val="0"/>
            <w:webHidden/>
            <w:rtl/>
          </w:rPr>
        </w:r>
        <w:r w:rsidR="008166C7" w:rsidRPr="00157FB3">
          <w:rPr>
            <w:i w:val="0"/>
            <w:iCs w:val="0"/>
            <w:webHidden/>
            <w:rtl/>
          </w:rPr>
          <w:fldChar w:fldCharType="separate"/>
        </w:r>
        <w:r w:rsidR="00BE57BB">
          <w:rPr>
            <w:i w:val="0"/>
            <w:iCs w:val="0"/>
            <w:webHidden/>
            <w:rtl/>
          </w:rPr>
          <w:t>7</w:t>
        </w:r>
        <w:r w:rsidR="008166C7" w:rsidRPr="00157FB3">
          <w:rPr>
            <w:i w:val="0"/>
            <w:iCs w:val="0"/>
            <w:webHidden/>
            <w:rtl/>
          </w:rPr>
          <w:fldChar w:fldCharType="end"/>
        </w:r>
      </w:hyperlink>
    </w:p>
    <w:p w14:paraId="494D2E9C" w14:textId="1066D62A" w:rsidR="008166C7" w:rsidRPr="008166C7" w:rsidRDefault="000A0201" w:rsidP="00C05E1B">
      <w:pPr>
        <w:pStyle w:val="TOC3"/>
        <w:spacing w:after="0"/>
        <w:rPr>
          <w:rFonts w:asciiTheme="minorHAnsi" w:eastAsiaTheme="minorEastAsia" w:hAnsiTheme="minorHAnsi" w:cstheme="minorHAnsi"/>
          <w:noProof/>
          <w:sz w:val="22"/>
          <w:szCs w:val="22"/>
          <w:rtl/>
        </w:rPr>
      </w:pPr>
      <w:hyperlink w:anchor="_Toc109030391" w:history="1">
        <w:r w:rsidR="008166C7" w:rsidRPr="008166C7">
          <w:rPr>
            <w:rStyle w:val="Hyperlink"/>
            <w:rFonts w:asciiTheme="minorHAnsi" w:hAnsiTheme="minorHAnsi" w:cstheme="minorHAnsi"/>
            <w:b/>
            <w:i/>
            <w:iCs/>
            <w:noProof/>
            <w:sz w:val="22"/>
            <w:szCs w:val="22"/>
            <w:rtl/>
            <w:lang w:val="it-IT" w:bidi="ar-EG"/>
          </w:rPr>
          <w:t>الثغرات التي لا يعالجها هذا التحليل بشكل مباشر</w:t>
        </w:r>
        <w:r w:rsidR="008166C7" w:rsidRPr="008166C7">
          <w:rPr>
            <w:rFonts w:asciiTheme="minorHAnsi" w:hAnsiTheme="minorHAnsi" w:cstheme="minorHAnsi"/>
            <w:noProof/>
            <w:webHidden/>
            <w:sz w:val="22"/>
            <w:szCs w:val="22"/>
            <w:rtl/>
          </w:rPr>
          <w:tab/>
        </w:r>
        <w:r w:rsidR="008166C7" w:rsidRPr="008166C7">
          <w:rPr>
            <w:rFonts w:asciiTheme="minorHAnsi" w:hAnsiTheme="minorHAnsi" w:cstheme="minorHAnsi"/>
            <w:noProof/>
            <w:webHidden/>
            <w:sz w:val="22"/>
            <w:szCs w:val="22"/>
            <w:rtl/>
          </w:rPr>
          <w:fldChar w:fldCharType="begin"/>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Pr>
          <w:instrText>PAGEREF</w:instrText>
        </w:r>
        <w:r w:rsidR="008166C7" w:rsidRPr="008166C7">
          <w:rPr>
            <w:rFonts w:asciiTheme="minorHAnsi" w:hAnsiTheme="minorHAnsi" w:cstheme="minorHAnsi"/>
            <w:noProof/>
            <w:webHidden/>
            <w:sz w:val="22"/>
            <w:szCs w:val="22"/>
            <w:rtl/>
          </w:rPr>
          <w:instrText xml:space="preserve"> _</w:instrText>
        </w:r>
        <w:r w:rsidR="008166C7" w:rsidRPr="008166C7">
          <w:rPr>
            <w:rFonts w:asciiTheme="minorHAnsi" w:hAnsiTheme="minorHAnsi" w:cstheme="minorHAnsi"/>
            <w:noProof/>
            <w:webHidden/>
            <w:sz w:val="22"/>
            <w:szCs w:val="22"/>
          </w:rPr>
          <w:instrText>Toc109030391 \h</w:instrText>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tl/>
          </w:rPr>
        </w:r>
        <w:r w:rsidR="008166C7" w:rsidRPr="008166C7">
          <w:rPr>
            <w:rFonts w:asciiTheme="minorHAnsi" w:hAnsiTheme="minorHAnsi" w:cstheme="minorHAnsi"/>
            <w:noProof/>
            <w:webHidden/>
            <w:sz w:val="22"/>
            <w:szCs w:val="22"/>
            <w:rtl/>
          </w:rPr>
          <w:fldChar w:fldCharType="separate"/>
        </w:r>
        <w:r w:rsidR="00BE57BB">
          <w:rPr>
            <w:rFonts w:asciiTheme="minorHAnsi" w:hAnsiTheme="minorHAnsi" w:cstheme="minorHAnsi"/>
            <w:noProof/>
            <w:webHidden/>
            <w:sz w:val="22"/>
            <w:szCs w:val="22"/>
            <w:rtl/>
          </w:rPr>
          <w:t>8</w:t>
        </w:r>
        <w:r w:rsidR="008166C7" w:rsidRPr="008166C7">
          <w:rPr>
            <w:rFonts w:asciiTheme="minorHAnsi" w:hAnsiTheme="minorHAnsi" w:cstheme="minorHAnsi"/>
            <w:noProof/>
            <w:webHidden/>
            <w:sz w:val="22"/>
            <w:szCs w:val="22"/>
            <w:rtl/>
          </w:rPr>
          <w:fldChar w:fldCharType="end"/>
        </w:r>
      </w:hyperlink>
    </w:p>
    <w:p w14:paraId="3101EE90" w14:textId="3BC659EC" w:rsidR="008166C7" w:rsidRPr="008166C7" w:rsidRDefault="000A0201" w:rsidP="00C05E1B">
      <w:pPr>
        <w:pStyle w:val="TOC3"/>
        <w:spacing w:after="0"/>
        <w:rPr>
          <w:rFonts w:asciiTheme="minorHAnsi" w:eastAsiaTheme="minorEastAsia" w:hAnsiTheme="minorHAnsi" w:cstheme="minorHAnsi"/>
          <w:noProof/>
          <w:sz w:val="22"/>
          <w:szCs w:val="22"/>
          <w:rtl/>
        </w:rPr>
      </w:pPr>
      <w:hyperlink w:anchor="_Toc109030392" w:history="1">
        <w:r w:rsidR="008166C7" w:rsidRPr="008166C7">
          <w:rPr>
            <w:rStyle w:val="Hyperlink"/>
            <w:rFonts w:asciiTheme="minorHAnsi" w:hAnsiTheme="minorHAnsi" w:cstheme="minorHAnsi"/>
            <w:b/>
            <w:i/>
            <w:iCs/>
            <w:noProof/>
            <w:sz w:val="22"/>
            <w:szCs w:val="22"/>
            <w:rtl/>
            <w:lang w:val="it-IT" w:bidi="ar-EG"/>
          </w:rPr>
          <w:t>ثغرات في سياق النهج المتعدد المستويات إزاء نطاق الحماية</w:t>
        </w:r>
        <w:r w:rsidR="008166C7" w:rsidRPr="008166C7">
          <w:rPr>
            <w:rFonts w:asciiTheme="minorHAnsi" w:hAnsiTheme="minorHAnsi" w:cstheme="minorHAnsi"/>
            <w:noProof/>
            <w:webHidden/>
            <w:sz w:val="22"/>
            <w:szCs w:val="22"/>
            <w:rtl/>
          </w:rPr>
          <w:tab/>
        </w:r>
        <w:r w:rsidR="008166C7" w:rsidRPr="008166C7">
          <w:rPr>
            <w:rFonts w:asciiTheme="minorHAnsi" w:hAnsiTheme="minorHAnsi" w:cstheme="minorHAnsi"/>
            <w:noProof/>
            <w:webHidden/>
            <w:sz w:val="22"/>
            <w:szCs w:val="22"/>
            <w:rtl/>
          </w:rPr>
          <w:fldChar w:fldCharType="begin"/>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Pr>
          <w:instrText>PAGEREF</w:instrText>
        </w:r>
        <w:r w:rsidR="008166C7" w:rsidRPr="008166C7">
          <w:rPr>
            <w:rFonts w:asciiTheme="minorHAnsi" w:hAnsiTheme="minorHAnsi" w:cstheme="minorHAnsi"/>
            <w:noProof/>
            <w:webHidden/>
            <w:sz w:val="22"/>
            <w:szCs w:val="22"/>
            <w:rtl/>
          </w:rPr>
          <w:instrText xml:space="preserve"> _</w:instrText>
        </w:r>
        <w:r w:rsidR="008166C7" w:rsidRPr="008166C7">
          <w:rPr>
            <w:rFonts w:asciiTheme="minorHAnsi" w:hAnsiTheme="minorHAnsi" w:cstheme="minorHAnsi"/>
            <w:noProof/>
            <w:webHidden/>
            <w:sz w:val="22"/>
            <w:szCs w:val="22"/>
          </w:rPr>
          <w:instrText>Toc109030392 \h</w:instrText>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tl/>
          </w:rPr>
        </w:r>
        <w:r w:rsidR="008166C7" w:rsidRPr="008166C7">
          <w:rPr>
            <w:rFonts w:asciiTheme="minorHAnsi" w:hAnsiTheme="minorHAnsi" w:cstheme="minorHAnsi"/>
            <w:noProof/>
            <w:webHidden/>
            <w:sz w:val="22"/>
            <w:szCs w:val="22"/>
            <w:rtl/>
          </w:rPr>
          <w:fldChar w:fldCharType="separate"/>
        </w:r>
        <w:r w:rsidR="00BE57BB">
          <w:rPr>
            <w:rFonts w:asciiTheme="minorHAnsi" w:hAnsiTheme="minorHAnsi" w:cstheme="minorHAnsi"/>
            <w:noProof/>
            <w:webHidden/>
            <w:sz w:val="22"/>
            <w:szCs w:val="22"/>
            <w:rtl/>
          </w:rPr>
          <w:t>9</w:t>
        </w:r>
        <w:r w:rsidR="008166C7" w:rsidRPr="008166C7">
          <w:rPr>
            <w:rFonts w:asciiTheme="minorHAnsi" w:hAnsiTheme="minorHAnsi" w:cstheme="minorHAnsi"/>
            <w:noProof/>
            <w:webHidden/>
            <w:sz w:val="22"/>
            <w:szCs w:val="22"/>
            <w:rtl/>
          </w:rPr>
          <w:fldChar w:fldCharType="end"/>
        </w:r>
      </w:hyperlink>
    </w:p>
    <w:p w14:paraId="3229E6A0" w14:textId="0EAE6D71" w:rsidR="008166C7" w:rsidRPr="008166C7" w:rsidRDefault="000A0201" w:rsidP="00C05E1B">
      <w:pPr>
        <w:pStyle w:val="TOC2"/>
        <w:rPr>
          <w:rFonts w:eastAsiaTheme="minorEastAsia"/>
          <w:rtl/>
          <w:lang w:bidi="ar-SA"/>
        </w:rPr>
      </w:pPr>
      <w:hyperlink w:anchor="_Toc109030393" w:history="1">
        <w:r w:rsidR="008166C7" w:rsidRPr="008166C7">
          <w:rPr>
            <w:rStyle w:val="Hyperlink"/>
            <w:rtl/>
            <w:lang w:val="it-IT" w:bidi="ar-EG"/>
          </w:rPr>
          <w:t>ملخص</w:t>
        </w:r>
        <w:r w:rsidR="00C05E1B">
          <w:rPr>
            <w:webHidden/>
            <w:rtl/>
          </w:rPr>
          <w:tab/>
        </w:r>
        <w:r w:rsidR="00C05E1B">
          <w:rPr>
            <w:webHidden/>
            <w:rtl/>
          </w:rPr>
          <w:tab/>
        </w:r>
        <w:r w:rsidR="008166C7" w:rsidRPr="00157FB3">
          <w:rPr>
            <w:i w:val="0"/>
            <w:iCs w:val="0"/>
            <w:webHidden/>
            <w:rtl/>
          </w:rPr>
          <w:fldChar w:fldCharType="begin"/>
        </w:r>
        <w:r w:rsidR="008166C7" w:rsidRPr="00157FB3">
          <w:rPr>
            <w:i w:val="0"/>
            <w:iCs w:val="0"/>
            <w:webHidden/>
            <w:rtl/>
          </w:rPr>
          <w:instrText xml:space="preserve"> </w:instrText>
        </w:r>
        <w:r w:rsidR="008166C7" w:rsidRPr="00157FB3">
          <w:rPr>
            <w:i w:val="0"/>
            <w:iCs w:val="0"/>
            <w:webHidden/>
          </w:rPr>
          <w:instrText>PAGEREF</w:instrText>
        </w:r>
        <w:r w:rsidR="008166C7" w:rsidRPr="00157FB3">
          <w:rPr>
            <w:i w:val="0"/>
            <w:iCs w:val="0"/>
            <w:webHidden/>
            <w:rtl/>
          </w:rPr>
          <w:instrText xml:space="preserve"> _</w:instrText>
        </w:r>
        <w:r w:rsidR="008166C7" w:rsidRPr="00157FB3">
          <w:rPr>
            <w:i w:val="0"/>
            <w:iCs w:val="0"/>
            <w:webHidden/>
          </w:rPr>
          <w:instrText>Toc109030393 \h</w:instrText>
        </w:r>
        <w:r w:rsidR="008166C7" w:rsidRPr="00157FB3">
          <w:rPr>
            <w:i w:val="0"/>
            <w:iCs w:val="0"/>
            <w:webHidden/>
            <w:rtl/>
          </w:rPr>
          <w:instrText xml:space="preserve"> </w:instrText>
        </w:r>
        <w:r w:rsidR="008166C7" w:rsidRPr="00157FB3">
          <w:rPr>
            <w:i w:val="0"/>
            <w:iCs w:val="0"/>
            <w:webHidden/>
            <w:rtl/>
          </w:rPr>
        </w:r>
        <w:r w:rsidR="008166C7" w:rsidRPr="00157FB3">
          <w:rPr>
            <w:i w:val="0"/>
            <w:iCs w:val="0"/>
            <w:webHidden/>
            <w:rtl/>
          </w:rPr>
          <w:fldChar w:fldCharType="separate"/>
        </w:r>
        <w:r w:rsidR="00BE57BB">
          <w:rPr>
            <w:i w:val="0"/>
            <w:iCs w:val="0"/>
            <w:webHidden/>
            <w:rtl/>
          </w:rPr>
          <w:t>10</w:t>
        </w:r>
        <w:r w:rsidR="008166C7" w:rsidRPr="00157FB3">
          <w:rPr>
            <w:i w:val="0"/>
            <w:iCs w:val="0"/>
            <w:webHidden/>
            <w:rtl/>
          </w:rPr>
          <w:fldChar w:fldCharType="end"/>
        </w:r>
      </w:hyperlink>
    </w:p>
    <w:p w14:paraId="0C815993" w14:textId="24E0C650" w:rsidR="008166C7" w:rsidRPr="008166C7" w:rsidRDefault="000A0201" w:rsidP="0057376C">
      <w:pPr>
        <w:pStyle w:val="TOC1"/>
        <w:tabs>
          <w:tab w:val="left" w:pos="1760"/>
        </w:tabs>
        <w:spacing w:after="0"/>
        <w:rPr>
          <w:rFonts w:asciiTheme="minorHAnsi" w:eastAsiaTheme="minorEastAsia" w:hAnsiTheme="minorHAnsi" w:cstheme="minorHAnsi"/>
          <w:b w:val="0"/>
          <w:bCs w:val="0"/>
          <w:sz w:val="22"/>
          <w:szCs w:val="22"/>
          <w:rtl/>
        </w:rPr>
      </w:pPr>
      <w:hyperlink w:anchor="_Toc109030394" w:history="1">
        <w:r w:rsidR="00C05E1B">
          <w:rPr>
            <w:rStyle w:val="Hyperlink"/>
            <w:rFonts w:asciiTheme="minorHAnsi" w:hAnsiTheme="minorHAnsi" w:cstheme="minorHAnsi"/>
            <w:sz w:val="22"/>
            <w:szCs w:val="22"/>
            <w:rtl/>
            <w:lang w:val="it-IT" w:bidi="ar-EG"/>
          </w:rPr>
          <w:t>ثالثا</w:t>
        </w:r>
        <w:r w:rsidR="00C05E1B">
          <w:rPr>
            <w:rStyle w:val="Hyperlink"/>
            <w:rFonts w:asciiTheme="minorHAnsi" w:hAnsiTheme="minorHAnsi" w:cstheme="minorHAnsi" w:hint="cs"/>
            <w:sz w:val="22"/>
            <w:szCs w:val="22"/>
            <w:rtl/>
            <w:lang w:val="it-IT" w:bidi="ar-EG"/>
          </w:rPr>
          <w:t>.</w:t>
        </w:r>
        <w:r w:rsidR="0057376C">
          <w:rPr>
            <w:rFonts w:asciiTheme="minorHAnsi" w:hAnsiTheme="minorHAnsi" w:cstheme="minorHAnsi" w:hint="cs"/>
            <w:webHidden/>
            <w:sz w:val="22"/>
            <w:szCs w:val="22"/>
            <w:rtl/>
          </w:rPr>
          <w:t xml:space="preserve">    </w:t>
        </w:r>
        <w:r w:rsidR="00C05E1B">
          <w:rPr>
            <w:rFonts w:asciiTheme="minorHAnsi" w:hAnsiTheme="minorHAnsi" w:cstheme="minorHAnsi" w:hint="cs"/>
            <w:webHidden/>
            <w:sz w:val="22"/>
            <w:szCs w:val="22"/>
            <w:rtl/>
          </w:rPr>
          <w:t>التحليل</w:t>
        </w:r>
        <w:r w:rsidR="002A3583">
          <w:rPr>
            <w:rFonts w:asciiTheme="minorHAnsi" w:hAnsiTheme="minorHAnsi" w:cstheme="minorHAnsi"/>
            <w:webHidden/>
            <w:sz w:val="22"/>
            <w:szCs w:val="22"/>
            <w:rtl/>
          </w:rPr>
          <w:tab/>
        </w:r>
        <w:r w:rsidR="002A3583">
          <w:rPr>
            <w:rFonts w:asciiTheme="minorHAnsi" w:hAnsiTheme="minorHAnsi" w:cstheme="minorHAnsi"/>
            <w:webHidden/>
            <w:sz w:val="22"/>
            <w:szCs w:val="22"/>
            <w:rtl/>
          </w:rPr>
          <w:tab/>
        </w:r>
        <w:r w:rsidR="008166C7" w:rsidRPr="008166C7">
          <w:rPr>
            <w:rFonts w:asciiTheme="minorHAnsi" w:hAnsiTheme="minorHAnsi" w:cstheme="minorHAnsi"/>
            <w:webHidden/>
            <w:sz w:val="22"/>
            <w:szCs w:val="22"/>
            <w:rtl/>
          </w:rPr>
          <w:fldChar w:fldCharType="begin"/>
        </w:r>
        <w:r w:rsidR="008166C7" w:rsidRPr="008166C7">
          <w:rPr>
            <w:rFonts w:asciiTheme="minorHAnsi" w:hAnsiTheme="minorHAnsi" w:cstheme="minorHAnsi"/>
            <w:webHidden/>
            <w:sz w:val="22"/>
            <w:szCs w:val="22"/>
            <w:rtl/>
          </w:rPr>
          <w:instrText xml:space="preserve"> </w:instrText>
        </w:r>
        <w:r w:rsidR="008166C7" w:rsidRPr="008166C7">
          <w:rPr>
            <w:rFonts w:asciiTheme="minorHAnsi" w:hAnsiTheme="minorHAnsi" w:cstheme="minorHAnsi"/>
            <w:webHidden/>
            <w:sz w:val="22"/>
            <w:szCs w:val="22"/>
          </w:rPr>
          <w:instrText>PAGEREF</w:instrText>
        </w:r>
        <w:r w:rsidR="008166C7" w:rsidRPr="008166C7">
          <w:rPr>
            <w:rFonts w:asciiTheme="minorHAnsi" w:hAnsiTheme="minorHAnsi" w:cstheme="minorHAnsi"/>
            <w:webHidden/>
            <w:sz w:val="22"/>
            <w:szCs w:val="22"/>
            <w:rtl/>
          </w:rPr>
          <w:instrText xml:space="preserve"> _</w:instrText>
        </w:r>
        <w:r w:rsidR="008166C7" w:rsidRPr="008166C7">
          <w:rPr>
            <w:rFonts w:asciiTheme="minorHAnsi" w:hAnsiTheme="minorHAnsi" w:cstheme="minorHAnsi"/>
            <w:webHidden/>
            <w:sz w:val="22"/>
            <w:szCs w:val="22"/>
          </w:rPr>
          <w:instrText>Toc109030394 \h</w:instrText>
        </w:r>
        <w:r w:rsidR="008166C7" w:rsidRPr="008166C7">
          <w:rPr>
            <w:rFonts w:asciiTheme="minorHAnsi" w:hAnsiTheme="minorHAnsi" w:cstheme="minorHAnsi"/>
            <w:webHidden/>
            <w:sz w:val="22"/>
            <w:szCs w:val="22"/>
            <w:rtl/>
          </w:rPr>
          <w:instrText xml:space="preserve"> </w:instrText>
        </w:r>
        <w:r w:rsidR="008166C7" w:rsidRPr="008166C7">
          <w:rPr>
            <w:rFonts w:asciiTheme="minorHAnsi" w:hAnsiTheme="minorHAnsi" w:cstheme="minorHAnsi"/>
            <w:webHidden/>
            <w:sz w:val="22"/>
            <w:szCs w:val="22"/>
            <w:rtl/>
          </w:rPr>
        </w:r>
        <w:r w:rsidR="008166C7" w:rsidRPr="008166C7">
          <w:rPr>
            <w:rFonts w:asciiTheme="minorHAnsi" w:hAnsiTheme="minorHAnsi" w:cstheme="minorHAnsi"/>
            <w:webHidden/>
            <w:sz w:val="22"/>
            <w:szCs w:val="22"/>
            <w:rtl/>
          </w:rPr>
          <w:fldChar w:fldCharType="separate"/>
        </w:r>
        <w:r w:rsidR="00BE57BB">
          <w:rPr>
            <w:rFonts w:asciiTheme="minorHAnsi" w:hAnsiTheme="minorHAnsi" w:cstheme="minorHAnsi"/>
            <w:webHidden/>
            <w:sz w:val="22"/>
            <w:szCs w:val="22"/>
            <w:rtl/>
          </w:rPr>
          <w:t>10</w:t>
        </w:r>
        <w:r w:rsidR="008166C7" w:rsidRPr="008166C7">
          <w:rPr>
            <w:rFonts w:asciiTheme="minorHAnsi" w:hAnsiTheme="minorHAnsi" w:cstheme="minorHAnsi"/>
            <w:webHidden/>
            <w:sz w:val="22"/>
            <w:szCs w:val="22"/>
            <w:rtl/>
          </w:rPr>
          <w:fldChar w:fldCharType="end"/>
        </w:r>
      </w:hyperlink>
    </w:p>
    <w:p w14:paraId="595620E3" w14:textId="28BF4D44" w:rsidR="008166C7" w:rsidRPr="008166C7" w:rsidRDefault="000A0201" w:rsidP="00C05E1B">
      <w:pPr>
        <w:pStyle w:val="TOC2"/>
        <w:rPr>
          <w:rFonts w:eastAsiaTheme="minorEastAsia"/>
          <w:rtl/>
          <w:lang w:bidi="ar-SA"/>
        </w:rPr>
      </w:pPr>
      <w:hyperlink w:anchor="_Toc109030395" w:history="1">
        <w:r w:rsidR="008166C7" w:rsidRPr="008166C7">
          <w:rPr>
            <w:rStyle w:val="Hyperlink"/>
            <w:rtl/>
            <w:lang w:val="it-IT" w:bidi="ar-EG"/>
          </w:rPr>
          <w:t>ألف</w:t>
        </w:r>
        <w:r w:rsidR="008166C7" w:rsidRPr="008166C7">
          <w:rPr>
            <w:rStyle w:val="Hyperlink"/>
            <w:lang w:bidi="ar-EG"/>
          </w:rPr>
          <w:t>.</w:t>
        </w:r>
        <w:r w:rsidR="0057376C">
          <w:rPr>
            <w:rFonts w:eastAsiaTheme="minorEastAsia" w:hint="cs"/>
            <w:rtl/>
            <w:lang w:bidi="ar-SA"/>
          </w:rPr>
          <w:t xml:space="preserve">        </w:t>
        </w:r>
        <w:r w:rsidR="008166C7" w:rsidRPr="008166C7">
          <w:rPr>
            <w:rStyle w:val="Hyperlink"/>
            <w:rtl/>
            <w:lang w:val="it-IT" w:bidi="ar-EG"/>
          </w:rPr>
          <w:t>الالتزامات والأحكام والإمكانيات القائمة على المستوى الدولي من أجل تأمين الحماية ل</w:t>
        </w:r>
        <w:r w:rsidR="0057376C">
          <w:rPr>
            <w:rStyle w:val="Hyperlink"/>
            <w:rtl/>
            <w:lang w:val="it-IT" w:bidi="ar-EG"/>
          </w:rPr>
          <w:t>أشكال التعبير الثقافي التقليدي/</w:t>
        </w:r>
        <w:r w:rsidR="0057376C">
          <w:rPr>
            <w:rStyle w:val="Hyperlink"/>
            <w:rFonts w:hint="cs"/>
            <w:rtl/>
            <w:lang w:val="it-IT" w:bidi="ar-EG"/>
          </w:rPr>
          <w:t xml:space="preserve"> </w:t>
        </w:r>
        <w:r w:rsidR="008166C7" w:rsidRPr="008166C7">
          <w:rPr>
            <w:rStyle w:val="Hyperlink"/>
            <w:rtl/>
            <w:lang w:val="it-IT" w:bidi="ar-EG"/>
          </w:rPr>
          <w:t>أشكال التعبير الفولكلوري</w:t>
        </w:r>
        <w:r w:rsidR="008166C7" w:rsidRPr="008166C7">
          <w:rPr>
            <w:webHidden/>
            <w:rtl/>
          </w:rPr>
          <w:tab/>
        </w:r>
        <w:r w:rsidR="008166C7" w:rsidRPr="00157FB3">
          <w:rPr>
            <w:i w:val="0"/>
            <w:iCs w:val="0"/>
            <w:webHidden/>
            <w:rtl/>
          </w:rPr>
          <w:fldChar w:fldCharType="begin"/>
        </w:r>
        <w:r w:rsidR="008166C7" w:rsidRPr="00157FB3">
          <w:rPr>
            <w:i w:val="0"/>
            <w:iCs w:val="0"/>
            <w:webHidden/>
            <w:rtl/>
          </w:rPr>
          <w:instrText xml:space="preserve"> </w:instrText>
        </w:r>
        <w:r w:rsidR="008166C7" w:rsidRPr="00157FB3">
          <w:rPr>
            <w:i w:val="0"/>
            <w:iCs w:val="0"/>
            <w:webHidden/>
          </w:rPr>
          <w:instrText>PAGEREF</w:instrText>
        </w:r>
        <w:r w:rsidR="008166C7" w:rsidRPr="00157FB3">
          <w:rPr>
            <w:i w:val="0"/>
            <w:iCs w:val="0"/>
            <w:webHidden/>
            <w:rtl/>
          </w:rPr>
          <w:instrText xml:space="preserve"> _</w:instrText>
        </w:r>
        <w:r w:rsidR="008166C7" w:rsidRPr="00157FB3">
          <w:rPr>
            <w:i w:val="0"/>
            <w:iCs w:val="0"/>
            <w:webHidden/>
          </w:rPr>
          <w:instrText>Toc109030395 \h</w:instrText>
        </w:r>
        <w:r w:rsidR="008166C7" w:rsidRPr="00157FB3">
          <w:rPr>
            <w:i w:val="0"/>
            <w:iCs w:val="0"/>
            <w:webHidden/>
            <w:rtl/>
          </w:rPr>
          <w:instrText xml:space="preserve"> </w:instrText>
        </w:r>
        <w:r w:rsidR="008166C7" w:rsidRPr="00157FB3">
          <w:rPr>
            <w:i w:val="0"/>
            <w:iCs w:val="0"/>
            <w:webHidden/>
            <w:rtl/>
          </w:rPr>
        </w:r>
        <w:r w:rsidR="008166C7" w:rsidRPr="00157FB3">
          <w:rPr>
            <w:i w:val="0"/>
            <w:iCs w:val="0"/>
            <w:webHidden/>
            <w:rtl/>
          </w:rPr>
          <w:fldChar w:fldCharType="separate"/>
        </w:r>
        <w:r w:rsidR="00BE57BB">
          <w:rPr>
            <w:i w:val="0"/>
            <w:iCs w:val="0"/>
            <w:webHidden/>
            <w:rtl/>
          </w:rPr>
          <w:t>10</w:t>
        </w:r>
        <w:r w:rsidR="008166C7" w:rsidRPr="00157FB3">
          <w:rPr>
            <w:i w:val="0"/>
            <w:iCs w:val="0"/>
            <w:webHidden/>
            <w:rtl/>
          </w:rPr>
          <w:fldChar w:fldCharType="end"/>
        </w:r>
      </w:hyperlink>
    </w:p>
    <w:p w14:paraId="58387F0D" w14:textId="7FCE3B19" w:rsidR="008166C7" w:rsidRPr="008166C7" w:rsidRDefault="000A0201" w:rsidP="00C05E1B">
      <w:pPr>
        <w:pStyle w:val="TOC3"/>
        <w:spacing w:after="0"/>
        <w:rPr>
          <w:rFonts w:asciiTheme="minorHAnsi" w:eastAsiaTheme="minorEastAsia" w:hAnsiTheme="minorHAnsi" w:cstheme="minorHAnsi"/>
          <w:noProof/>
          <w:sz w:val="22"/>
          <w:szCs w:val="22"/>
          <w:rtl/>
        </w:rPr>
      </w:pPr>
      <w:hyperlink w:anchor="_Toc109030396" w:history="1">
        <w:r w:rsidR="008166C7" w:rsidRPr="008166C7">
          <w:rPr>
            <w:rStyle w:val="Hyperlink"/>
            <w:rFonts w:asciiTheme="minorHAnsi" w:hAnsiTheme="minorHAnsi" w:cstheme="minorHAnsi"/>
            <w:b/>
            <w:i/>
            <w:iCs/>
            <w:noProof/>
            <w:sz w:val="22"/>
            <w:szCs w:val="22"/>
            <w:rtl/>
            <w:lang w:val="it-IT" w:bidi="ar-EG"/>
          </w:rPr>
          <w:t>المنتجات الأدبية والفنية</w:t>
        </w:r>
        <w:r w:rsidR="008166C7" w:rsidRPr="008166C7">
          <w:rPr>
            <w:rFonts w:asciiTheme="minorHAnsi" w:hAnsiTheme="minorHAnsi" w:cstheme="minorHAnsi"/>
            <w:noProof/>
            <w:webHidden/>
            <w:sz w:val="22"/>
            <w:szCs w:val="22"/>
            <w:rtl/>
          </w:rPr>
          <w:tab/>
        </w:r>
        <w:r w:rsidR="008166C7" w:rsidRPr="008166C7">
          <w:rPr>
            <w:rFonts w:asciiTheme="minorHAnsi" w:hAnsiTheme="minorHAnsi" w:cstheme="minorHAnsi"/>
            <w:noProof/>
            <w:webHidden/>
            <w:sz w:val="22"/>
            <w:szCs w:val="22"/>
            <w:rtl/>
          </w:rPr>
          <w:fldChar w:fldCharType="begin"/>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Pr>
          <w:instrText>PAGEREF</w:instrText>
        </w:r>
        <w:r w:rsidR="008166C7" w:rsidRPr="008166C7">
          <w:rPr>
            <w:rFonts w:asciiTheme="minorHAnsi" w:hAnsiTheme="minorHAnsi" w:cstheme="minorHAnsi"/>
            <w:noProof/>
            <w:webHidden/>
            <w:sz w:val="22"/>
            <w:szCs w:val="22"/>
            <w:rtl/>
          </w:rPr>
          <w:instrText xml:space="preserve"> _</w:instrText>
        </w:r>
        <w:r w:rsidR="008166C7" w:rsidRPr="008166C7">
          <w:rPr>
            <w:rFonts w:asciiTheme="minorHAnsi" w:hAnsiTheme="minorHAnsi" w:cstheme="minorHAnsi"/>
            <w:noProof/>
            <w:webHidden/>
            <w:sz w:val="22"/>
            <w:szCs w:val="22"/>
          </w:rPr>
          <w:instrText>Toc109030396 \h</w:instrText>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tl/>
          </w:rPr>
        </w:r>
        <w:r w:rsidR="008166C7" w:rsidRPr="008166C7">
          <w:rPr>
            <w:rFonts w:asciiTheme="minorHAnsi" w:hAnsiTheme="minorHAnsi" w:cstheme="minorHAnsi"/>
            <w:noProof/>
            <w:webHidden/>
            <w:sz w:val="22"/>
            <w:szCs w:val="22"/>
            <w:rtl/>
          </w:rPr>
          <w:fldChar w:fldCharType="separate"/>
        </w:r>
        <w:r w:rsidR="00BE57BB">
          <w:rPr>
            <w:rFonts w:asciiTheme="minorHAnsi" w:hAnsiTheme="minorHAnsi" w:cstheme="minorHAnsi"/>
            <w:noProof/>
            <w:webHidden/>
            <w:sz w:val="22"/>
            <w:szCs w:val="22"/>
            <w:rtl/>
          </w:rPr>
          <w:t>10</w:t>
        </w:r>
        <w:r w:rsidR="008166C7" w:rsidRPr="008166C7">
          <w:rPr>
            <w:rFonts w:asciiTheme="minorHAnsi" w:hAnsiTheme="minorHAnsi" w:cstheme="minorHAnsi"/>
            <w:noProof/>
            <w:webHidden/>
            <w:sz w:val="22"/>
            <w:szCs w:val="22"/>
            <w:rtl/>
          </w:rPr>
          <w:fldChar w:fldCharType="end"/>
        </w:r>
      </w:hyperlink>
    </w:p>
    <w:p w14:paraId="0A6F06B8" w14:textId="41CED791" w:rsidR="008166C7" w:rsidRPr="008166C7" w:rsidRDefault="000A0201" w:rsidP="00C05E1B">
      <w:pPr>
        <w:pStyle w:val="TOC3"/>
        <w:spacing w:after="0"/>
        <w:rPr>
          <w:rFonts w:asciiTheme="minorHAnsi" w:eastAsiaTheme="minorEastAsia" w:hAnsiTheme="minorHAnsi" w:cstheme="minorHAnsi"/>
          <w:noProof/>
          <w:sz w:val="22"/>
          <w:szCs w:val="22"/>
          <w:rtl/>
        </w:rPr>
      </w:pPr>
      <w:hyperlink w:anchor="_Toc109030397" w:history="1">
        <w:r w:rsidR="008166C7" w:rsidRPr="008166C7">
          <w:rPr>
            <w:rStyle w:val="Hyperlink"/>
            <w:rFonts w:asciiTheme="minorHAnsi" w:hAnsiTheme="minorHAnsi" w:cstheme="minorHAnsi"/>
            <w:b/>
            <w:i/>
            <w:iCs/>
            <w:noProof/>
            <w:sz w:val="22"/>
            <w:szCs w:val="22"/>
            <w:rtl/>
            <w:lang w:val="it-IT"/>
          </w:rPr>
          <w:t>أداء أشكال التعبير الثقافي التقليدي</w:t>
        </w:r>
        <w:r w:rsidR="008166C7" w:rsidRPr="008166C7">
          <w:rPr>
            <w:rFonts w:asciiTheme="minorHAnsi" w:hAnsiTheme="minorHAnsi" w:cstheme="minorHAnsi"/>
            <w:noProof/>
            <w:webHidden/>
            <w:sz w:val="22"/>
            <w:szCs w:val="22"/>
            <w:rtl/>
          </w:rPr>
          <w:tab/>
        </w:r>
        <w:r w:rsidR="008166C7" w:rsidRPr="008166C7">
          <w:rPr>
            <w:rFonts w:asciiTheme="minorHAnsi" w:hAnsiTheme="minorHAnsi" w:cstheme="minorHAnsi"/>
            <w:noProof/>
            <w:webHidden/>
            <w:sz w:val="22"/>
            <w:szCs w:val="22"/>
            <w:rtl/>
          </w:rPr>
          <w:fldChar w:fldCharType="begin"/>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Pr>
          <w:instrText>PAGEREF</w:instrText>
        </w:r>
        <w:r w:rsidR="008166C7" w:rsidRPr="008166C7">
          <w:rPr>
            <w:rFonts w:asciiTheme="minorHAnsi" w:hAnsiTheme="minorHAnsi" w:cstheme="minorHAnsi"/>
            <w:noProof/>
            <w:webHidden/>
            <w:sz w:val="22"/>
            <w:szCs w:val="22"/>
            <w:rtl/>
          </w:rPr>
          <w:instrText xml:space="preserve"> _</w:instrText>
        </w:r>
        <w:r w:rsidR="008166C7" w:rsidRPr="008166C7">
          <w:rPr>
            <w:rFonts w:asciiTheme="minorHAnsi" w:hAnsiTheme="minorHAnsi" w:cstheme="minorHAnsi"/>
            <w:noProof/>
            <w:webHidden/>
            <w:sz w:val="22"/>
            <w:szCs w:val="22"/>
          </w:rPr>
          <w:instrText>Toc109030397 \h</w:instrText>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tl/>
          </w:rPr>
        </w:r>
        <w:r w:rsidR="008166C7" w:rsidRPr="008166C7">
          <w:rPr>
            <w:rFonts w:asciiTheme="minorHAnsi" w:hAnsiTheme="minorHAnsi" w:cstheme="minorHAnsi"/>
            <w:noProof/>
            <w:webHidden/>
            <w:sz w:val="22"/>
            <w:szCs w:val="22"/>
            <w:rtl/>
          </w:rPr>
          <w:fldChar w:fldCharType="separate"/>
        </w:r>
        <w:r w:rsidR="00BE57BB">
          <w:rPr>
            <w:rFonts w:asciiTheme="minorHAnsi" w:hAnsiTheme="minorHAnsi" w:cstheme="minorHAnsi"/>
            <w:noProof/>
            <w:webHidden/>
            <w:sz w:val="22"/>
            <w:szCs w:val="22"/>
            <w:rtl/>
          </w:rPr>
          <w:t>12</w:t>
        </w:r>
        <w:r w:rsidR="008166C7" w:rsidRPr="008166C7">
          <w:rPr>
            <w:rFonts w:asciiTheme="minorHAnsi" w:hAnsiTheme="minorHAnsi" w:cstheme="minorHAnsi"/>
            <w:noProof/>
            <w:webHidden/>
            <w:sz w:val="22"/>
            <w:szCs w:val="22"/>
            <w:rtl/>
          </w:rPr>
          <w:fldChar w:fldCharType="end"/>
        </w:r>
      </w:hyperlink>
    </w:p>
    <w:p w14:paraId="60617105" w14:textId="3D9312FD" w:rsidR="008166C7" w:rsidRPr="008166C7" w:rsidRDefault="000A0201" w:rsidP="00C05E1B">
      <w:pPr>
        <w:pStyle w:val="TOC3"/>
        <w:spacing w:after="0"/>
        <w:rPr>
          <w:rFonts w:asciiTheme="minorHAnsi" w:eastAsiaTheme="minorEastAsia" w:hAnsiTheme="minorHAnsi" w:cstheme="minorHAnsi"/>
          <w:noProof/>
          <w:sz w:val="22"/>
          <w:szCs w:val="22"/>
          <w:rtl/>
        </w:rPr>
      </w:pPr>
      <w:hyperlink w:anchor="_Toc109030398" w:history="1">
        <w:r w:rsidR="008166C7" w:rsidRPr="008166C7">
          <w:rPr>
            <w:rStyle w:val="Hyperlink"/>
            <w:rFonts w:asciiTheme="minorHAnsi" w:hAnsiTheme="minorHAnsi" w:cstheme="minorHAnsi"/>
            <w:b/>
            <w:i/>
            <w:iCs/>
            <w:noProof/>
            <w:sz w:val="22"/>
            <w:szCs w:val="22"/>
            <w:rtl/>
            <w:lang w:val="it-IT"/>
          </w:rPr>
          <w:t>التصاميم</w:t>
        </w:r>
        <w:r w:rsidR="008166C7" w:rsidRPr="008166C7">
          <w:rPr>
            <w:rFonts w:asciiTheme="minorHAnsi" w:hAnsiTheme="minorHAnsi" w:cstheme="minorHAnsi"/>
            <w:noProof/>
            <w:webHidden/>
            <w:sz w:val="22"/>
            <w:szCs w:val="22"/>
            <w:rtl/>
          </w:rPr>
          <w:tab/>
        </w:r>
        <w:r w:rsidR="008166C7" w:rsidRPr="008166C7">
          <w:rPr>
            <w:rFonts w:asciiTheme="minorHAnsi" w:hAnsiTheme="minorHAnsi" w:cstheme="minorHAnsi"/>
            <w:noProof/>
            <w:webHidden/>
            <w:sz w:val="22"/>
            <w:szCs w:val="22"/>
            <w:rtl/>
          </w:rPr>
          <w:fldChar w:fldCharType="begin"/>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Pr>
          <w:instrText>PAGEREF</w:instrText>
        </w:r>
        <w:r w:rsidR="008166C7" w:rsidRPr="008166C7">
          <w:rPr>
            <w:rFonts w:asciiTheme="minorHAnsi" w:hAnsiTheme="minorHAnsi" w:cstheme="minorHAnsi"/>
            <w:noProof/>
            <w:webHidden/>
            <w:sz w:val="22"/>
            <w:szCs w:val="22"/>
            <w:rtl/>
          </w:rPr>
          <w:instrText xml:space="preserve"> _</w:instrText>
        </w:r>
        <w:r w:rsidR="008166C7" w:rsidRPr="008166C7">
          <w:rPr>
            <w:rFonts w:asciiTheme="minorHAnsi" w:hAnsiTheme="minorHAnsi" w:cstheme="minorHAnsi"/>
            <w:noProof/>
            <w:webHidden/>
            <w:sz w:val="22"/>
            <w:szCs w:val="22"/>
          </w:rPr>
          <w:instrText>Toc109030398 \h</w:instrText>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tl/>
          </w:rPr>
        </w:r>
        <w:r w:rsidR="008166C7" w:rsidRPr="008166C7">
          <w:rPr>
            <w:rFonts w:asciiTheme="minorHAnsi" w:hAnsiTheme="minorHAnsi" w:cstheme="minorHAnsi"/>
            <w:noProof/>
            <w:webHidden/>
            <w:sz w:val="22"/>
            <w:szCs w:val="22"/>
            <w:rtl/>
          </w:rPr>
          <w:fldChar w:fldCharType="separate"/>
        </w:r>
        <w:r w:rsidR="00BE57BB">
          <w:rPr>
            <w:rFonts w:asciiTheme="minorHAnsi" w:hAnsiTheme="minorHAnsi" w:cstheme="minorHAnsi"/>
            <w:noProof/>
            <w:webHidden/>
            <w:sz w:val="22"/>
            <w:szCs w:val="22"/>
            <w:rtl/>
          </w:rPr>
          <w:t>13</w:t>
        </w:r>
        <w:r w:rsidR="008166C7" w:rsidRPr="008166C7">
          <w:rPr>
            <w:rFonts w:asciiTheme="minorHAnsi" w:hAnsiTheme="minorHAnsi" w:cstheme="minorHAnsi"/>
            <w:noProof/>
            <w:webHidden/>
            <w:sz w:val="22"/>
            <w:szCs w:val="22"/>
            <w:rtl/>
          </w:rPr>
          <w:fldChar w:fldCharType="end"/>
        </w:r>
      </w:hyperlink>
    </w:p>
    <w:p w14:paraId="1539C527" w14:textId="1533C4EA" w:rsidR="008166C7" w:rsidRPr="008166C7" w:rsidRDefault="000A0201" w:rsidP="00C05E1B">
      <w:pPr>
        <w:pStyle w:val="TOC3"/>
        <w:spacing w:after="0"/>
        <w:rPr>
          <w:rFonts w:asciiTheme="minorHAnsi" w:eastAsiaTheme="minorEastAsia" w:hAnsiTheme="minorHAnsi" w:cstheme="minorHAnsi"/>
          <w:noProof/>
          <w:sz w:val="22"/>
          <w:szCs w:val="22"/>
          <w:rtl/>
        </w:rPr>
      </w:pPr>
      <w:hyperlink w:anchor="_Toc109030399" w:history="1">
        <w:r w:rsidR="008166C7" w:rsidRPr="008166C7">
          <w:rPr>
            <w:rStyle w:val="Hyperlink"/>
            <w:rFonts w:asciiTheme="minorHAnsi" w:hAnsiTheme="minorHAnsi" w:cstheme="minorHAnsi"/>
            <w:b/>
            <w:i/>
            <w:iCs/>
            <w:noProof/>
            <w:sz w:val="22"/>
            <w:szCs w:val="22"/>
            <w:rtl/>
            <w:lang w:val="it-IT"/>
          </w:rPr>
          <w:t>أشكال التعبير الثقافي التقليدي السرية</w:t>
        </w:r>
        <w:r w:rsidR="008166C7" w:rsidRPr="008166C7">
          <w:rPr>
            <w:rFonts w:asciiTheme="minorHAnsi" w:hAnsiTheme="minorHAnsi" w:cstheme="minorHAnsi"/>
            <w:noProof/>
            <w:webHidden/>
            <w:sz w:val="22"/>
            <w:szCs w:val="22"/>
            <w:rtl/>
          </w:rPr>
          <w:tab/>
        </w:r>
        <w:r w:rsidR="008166C7" w:rsidRPr="008166C7">
          <w:rPr>
            <w:rFonts w:asciiTheme="minorHAnsi" w:hAnsiTheme="minorHAnsi" w:cstheme="minorHAnsi"/>
            <w:noProof/>
            <w:webHidden/>
            <w:sz w:val="22"/>
            <w:szCs w:val="22"/>
            <w:rtl/>
          </w:rPr>
          <w:fldChar w:fldCharType="begin"/>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Pr>
          <w:instrText>PAGEREF</w:instrText>
        </w:r>
        <w:r w:rsidR="008166C7" w:rsidRPr="008166C7">
          <w:rPr>
            <w:rFonts w:asciiTheme="minorHAnsi" w:hAnsiTheme="minorHAnsi" w:cstheme="minorHAnsi"/>
            <w:noProof/>
            <w:webHidden/>
            <w:sz w:val="22"/>
            <w:szCs w:val="22"/>
            <w:rtl/>
          </w:rPr>
          <w:instrText xml:space="preserve"> _</w:instrText>
        </w:r>
        <w:r w:rsidR="008166C7" w:rsidRPr="008166C7">
          <w:rPr>
            <w:rFonts w:asciiTheme="minorHAnsi" w:hAnsiTheme="minorHAnsi" w:cstheme="minorHAnsi"/>
            <w:noProof/>
            <w:webHidden/>
            <w:sz w:val="22"/>
            <w:szCs w:val="22"/>
          </w:rPr>
          <w:instrText>Toc109030399 \h</w:instrText>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tl/>
          </w:rPr>
        </w:r>
        <w:r w:rsidR="008166C7" w:rsidRPr="008166C7">
          <w:rPr>
            <w:rFonts w:asciiTheme="minorHAnsi" w:hAnsiTheme="minorHAnsi" w:cstheme="minorHAnsi"/>
            <w:noProof/>
            <w:webHidden/>
            <w:sz w:val="22"/>
            <w:szCs w:val="22"/>
            <w:rtl/>
          </w:rPr>
          <w:fldChar w:fldCharType="separate"/>
        </w:r>
        <w:r w:rsidR="00BE57BB">
          <w:rPr>
            <w:rFonts w:asciiTheme="minorHAnsi" w:hAnsiTheme="minorHAnsi" w:cstheme="minorHAnsi"/>
            <w:noProof/>
            <w:webHidden/>
            <w:sz w:val="22"/>
            <w:szCs w:val="22"/>
            <w:rtl/>
          </w:rPr>
          <w:t>13</w:t>
        </w:r>
        <w:r w:rsidR="008166C7" w:rsidRPr="008166C7">
          <w:rPr>
            <w:rFonts w:asciiTheme="minorHAnsi" w:hAnsiTheme="minorHAnsi" w:cstheme="minorHAnsi"/>
            <w:noProof/>
            <w:webHidden/>
            <w:sz w:val="22"/>
            <w:szCs w:val="22"/>
            <w:rtl/>
          </w:rPr>
          <w:fldChar w:fldCharType="end"/>
        </w:r>
      </w:hyperlink>
    </w:p>
    <w:p w14:paraId="644D3811" w14:textId="24F28AD3" w:rsidR="008166C7" w:rsidRPr="008166C7" w:rsidRDefault="000A0201" w:rsidP="00C05E1B">
      <w:pPr>
        <w:pStyle w:val="TOC3"/>
        <w:spacing w:after="0"/>
        <w:rPr>
          <w:rFonts w:asciiTheme="minorHAnsi" w:eastAsiaTheme="minorEastAsia" w:hAnsiTheme="minorHAnsi" w:cstheme="minorHAnsi"/>
          <w:noProof/>
          <w:sz w:val="22"/>
          <w:szCs w:val="22"/>
          <w:rtl/>
        </w:rPr>
      </w:pPr>
      <w:hyperlink w:anchor="_Toc109030400" w:history="1">
        <w:r w:rsidR="008166C7" w:rsidRPr="008166C7">
          <w:rPr>
            <w:rStyle w:val="Hyperlink"/>
            <w:rFonts w:asciiTheme="minorHAnsi" w:hAnsiTheme="minorHAnsi" w:cstheme="minorHAnsi"/>
            <w:b/>
            <w:i/>
            <w:iCs/>
            <w:noProof/>
            <w:sz w:val="22"/>
            <w:szCs w:val="22"/>
            <w:rtl/>
            <w:lang w:val="it-IT"/>
          </w:rPr>
          <w:t>الأسماء والكلمات والرموز الأصلية والتقليدية</w:t>
        </w:r>
        <w:r w:rsidR="008166C7" w:rsidRPr="008166C7">
          <w:rPr>
            <w:rFonts w:asciiTheme="minorHAnsi" w:hAnsiTheme="minorHAnsi" w:cstheme="minorHAnsi"/>
            <w:noProof/>
            <w:webHidden/>
            <w:sz w:val="22"/>
            <w:szCs w:val="22"/>
            <w:rtl/>
          </w:rPr>
          <w:tab/>
        </w:r>
        <w:r w:rsidR="008166C7" w:rsidRPr="008166C7">
          <w:rPr>
            <w:rFonts w:asciiTheme="minorHAnsi" w:hAnsiTheme="minorHAnsi" w:cstheme="minorHAnsi"/>
            <w:noProof/>
            <w:webHidden/>
            <w:sz w:val="22"/>
            <w:szCs w:val="22"/>
            <w:rtl/>
          </w:rPr>
          <w:fldChar w:fldCharType="begin"/>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Pr>
          <w:instrText>PAGEREF</w:instrText>
        </w:r>
        <w:r w:rsidR="008166C7" w:rsidRPr="008166C7">
          <w:rPr>
            <w:rFonts w:asciiTheme="minorHAnsi" w:hAnsiTheme="minorHAnsi" w:cstheme="minorHAnsi"/>
            <w:noProof/>
            <w:webHidden/>
            <w:sz w:val="22"/>
            <w:szCs w:val="22"/>
            <w:rtl/>
          </w:rPr>
          <w:instrText xml:space="preserve"> _</w:instrText>
        </w:r>
        <w:r w:rsidR="008166C7" w:rsidRPr="008166C7">
          <w:rPr>
            <w:rFonts w:asciiTheme="minorHAnsi" w:hAnsiTheme="minorHAnsi" w:cstheme="minorHAnsi"/>
            <w:noProof/>
            <w:webHidden/>
            <w:sz w:val="22"/>
            <w:szCs w:val="22"/>
          </w:rPr>
          <w:instrText>Toc109030400 \h</w:instrText>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tl/>
          </w:rPr>
        </w:r>
        <w:r w:rsidR="008166C7" w:rsidRPr="008166C7">
          <w:rPr>
            <w:rFonts w:asciiTheme="minorHAnsi" w:hAnsiTheme="minorHAnsi" w:cstheme="minorHAnsi"/>
            <w:noProof/>
            <w:webHidden/>
            <w:sz w:val="22"/>
            <w:szCs w:val="22"/>
            <w:rtl/>
          </w:rPr>
          <w:fldChar w:fldCharType="separate"/>
        </w:r>
        <w:r w:rsidR="00BE57BB">
          <w:rPr>
            <w:rFonts w:asciiTheme="minorHAnsi" w:hAnsiTheme="minorHAnsi" w:cstheme="minorHAnsi"/>
            <w:noProof/>
            <w:webHidden/>
            <w:sz w:val="22"/>
            <w:szCs w:val="22"/>
            <w:rtl/>
          </w:rPr>
          <w:t>14</w:t>
        </w:r>
        <w:r w:rsidR="008166C7" w:rsidRPr="008166C7">
          <w:rPr>
            <w:rFonts w:asciiTheme="minorHAnsi" w:hAnsiTheme="minorHAnsi" w:cstheme="minorHAnsi"/>
            <w:noProof/>
            <w:webHidden/>
            <w:sz w:val="22"/>
            <w:szCs w:val="22"/>
            <w:rtl/>
          </w:rPr>
          <w:fldChar w:fldCharType="end"/>
        </w:r>
      </w:hyperlink>
    </w:p>
    <w:p w14:paraId="016CC849" w14:textId="7F75A494" w:rsidR="008166C7" w:rsidRPr="00157FB3" w:rsidRDefault="000A0201" w:rsidP="00C05E1B">
      <w:pPr>
        <w:pStyle w:val="TOC2"/>
        <w:rPr>
          <w:rFonts w:eastAsiaTheme="minorEastAsia"/>
          <w:i w:val="0"/>
          <w:iCs w:val="0"/>
          <w:rtl/>
          <w:lang w:bidi="ar-SA"/>
        </w:rPr>
      </w:pPr>
      <w:hyperlink w:anchor="_Toc109030401" w:history="1">
        <w:r w:rsidR="008166C7" w:rsidRPr="008166C7">
          <w:rPr>
            <w:rStyle w:val="Hyperlink"/>
            <w:rtl/>
            <w:lang w:val="it-IT" w:bidi="ar-EG"/>
          </w:rPr>
          <w:t>باء.</w:t>
        </w:r>
        <w:r w:rsidR="0057376C">
          <w:rPr>
            <w:rFonts w:eastAsiaTheme="minorEastAsia" w:hint="cs"/>
            <w:rtl/>
            <w:lang w:bidi="ar-SA"/>
          </w:rPr>
          <w:t xml:space="preserve">           </w:t>
        </w:r>
        <w:r w:rsidR="008166C7" w:rsidRPr="008166C7">
          <w:rPr>
            <w:rStyle w:val="Hyperlink"/>
            <w:rtl/>
            <w:lang w:val="it-IT" w:bidi="ar-EG"/>
          </w:rPr>
          <w:t>وصف الثغرات الموجودة على المستوى الدولي وتوضيحها قدر المستطاع بالاستعانة بأمثلة</w:t>
        </w:r>
        <w:r w:rsidR="008166C7" w:rsidRPr="008166C7">
          <w:rPr>
            <w:webHidden/>
            <w:rtl/>
          </w:rPr>
          <w:tab/>
        </w:r>
        <w:r w:rsidR="008166C7" w:rsidRPr="00157FB3">
          <w:rPr>
            <w:i w:val="0"/>
            <w:iCs w:val="0"/>
            <w:webHidden/>
            <w:rtl/>
          </w:rPr>
          <w:fldChar w:fldCharType="begin"/>
        </w:r>
        <w:r w:rsidR="008166C7" w:rsidRPr="00157FB3">
          <w:rPr>
            <w:i w:val="0"/>
            <w:iCs w:val="0"/>
            <w:webHidden/>
            <w:rtl/>
          </w:rPr>
          <w:instrText xml:space="preserve"> </w:instrText>
        </w:r>
        <w:r w:rsidR="008166C7" w:rsidRPr="00157FB3">
          <w:rPr>
            <w:i w:val="0"/>
            <w:iCs w:val="0"/>
            <w:webHidden/>
          </w:rPr>
          <w:instrText>PAGEREF</w:instrText>
        </w:r>
        <w:r w:rsidR="008166C7" w:rsidRPr="00157FB3">
          <w:rPr>
            <w:i w:val="0"/>
            <w:iCs w:val="0"/>
            <w:webHidden/>
            <w:rtl/>
          </w:rPr>
          <w:instrText xml:space="preserve"> _</w:instrText>
        </w:r>
        <w:r w:rsidR="008166C7" w:rsidRPr="00157FB3">
          <w:rPr>
            <w:i w:val="0"/>
            <w:iCs w:val="0"/>
            <w:webHidden/>
          </w:rPr>
          <w:instrText>Toc109030401 \h</w:instrText>
        </w:r>
        <w:r w:rsidR="008166C7" w:rsidRPr="00157FB3">
          <w:rPr>
            <w:i w:val="0"/>
            <w:iCs w:val="0"/>
            <w:webHidden/>
            <w:rtl/>
          </w:rPr>
          <w:instrText xml:space="preserve"> </w:instrText>
        </w:r>
        <w:r w:rsidR="008166C7" w:rsidRPr="00157FB3">
          <w:rPr>
            <w:i w:val="0"/>
            <w:iCs w:val="0"/>
            <w:webHidden/>
            <w:rtl/>
          </w:rPr>
        </w:r>
        <w:r w:rsidR="008166C7" w:rsidRPr="00157FB3">
          <w:rPr>
            <w:i w:val="0"/>
            <w:iCs w:val="0"/>
            <w:webHidden/>
            <w:rtl/>
          </w:rPr>
          <w:fldChar w:fldCharType="separate"/>
        </w:r>
        <w:r w:rsidR="00BE57BB">
          <w:rPr>
            <w:i w:val="0"/>
            <w:iCs w:val="0"/>
            <w:webHidden/>
            <w:rtl/>
          </w:rPr>
          <w:t>15</w:t>
        </w:r>
        <w:r w:rsidR="008166C7" w:rsidRPr="00157FB3">
          <w:rPr>
            <w:i w:val="0"/>
            <w:iCs w:val="0"/>
            <w:webHidden/>
            <w:rtl/>
          </w:rPr>
          <w:fldChar w:fldCharType="end"/>
        </w:r>
      </w:hyperlink>
    </w:p>
    <w:p w14:paraId="454C3F68" w14:textId="3F597366" w:rsidR="008166C7" w:rsidRPr="008166C7" w:rsidRDefault="000A0201" w:rsidP="00C05E1B">
      <w:pPr>
        <w:pStyle w:val="TOC3"/>
        <w:spacing w:after="0"/>
        <w:rPr>
          <w:rFonts w:asciiTheme="minorHAnsi" w:eastAsiaTheme="minorEastAsia" w:hAnsiTheme="minorHAnsi" w:cstheme="minorHAnsi"/>
          <w:noProof/>
          <w:sz w:val="22"/>
          <w:szCs w:val="22"/>
          <w:rtl/>
        </w:rPr>
      </w:pPr>
      <w:hyperlink w:anchor="_Toc109030402" w:history="1">
        <w:r w:rsidR="008166C7" w:rsidRPr="008166C7">
          <w:rPr>
            <w:rStyle w:val="Hyperlink"/>
            <w:rFonts w:asciiTheme="minorHAnsi" w:hAnsiTheme="minorHAnsi" w:cstheme="minorHAnsi"/>
            <w:b/>
            <w:i/>
            <w:iCs/>
            <w:noProof/>
            <w:sz w:val="22"/>
            <w:szCs w:val="22"/>
            <w:rtl/>
            <w:lang w:val="it-IT" w:bidi="ar-EG"/>
          </w:rPr>
          <w:t>المنتجات الأدبية والفنية</w:t>
        </w:r>
        <w:r w:rsidR="008166C7" w:rsidRPr="008166C7">
          <w:rPr>
            <w:rFonts w:asciiTheme="minorHAnsi" w:hAnsiTheme="minorHAnsi" w:cstheme="minorHAnsi"/>
            <w:noProof/>
            <w:webHidden/>
            <w:sz w:val="22"/>
            <w:szCs w:val="22"/>
            <w:rtl/>
          </w:rPr>
          <w:tab/>
        </w:r>
        <w:r w:rsidR="008166C7" w:rsidRPr="008166C7">
          <w:rPr>
            <w:rFonts w:asciiTheme="minorHAnsi" w:hAnsiTheme="minorHAnsi" w:cstheme="minorHAnsi"/>
            <w:noProof/>
            <w:webHidden/>
            <w:sz w:val="22"/>
            <w:szCs w:val="22"/>
            <w:rtl/>
          </w:rPr>
          <w:fldChar w:fldCharType="begin"/>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Pr>
          <w:instrText>PAGEREF</w:instrText>
        </w:r>
        <w:r w:rsidR="008166C7" w:rsidRPr="008166C7">
          <w:rPr>
            <w:rFonts w:asciiTheme="minorHAnsi" w:hAnsiTheme="minorHAnsi" w:cstheme="minorHAnsi"/>
            <w:noProof/>
            <w:webHidden/>
            <w:sz w:val="22"/>
            <w:szCs w:val="22"/>
            <w:rtl/>
          </w:rPr>
          <w:instrText xml:space="preserve"> _</w:instrText>
        </w:r>
        <w:r w:rsidR="008166C7" w:rsidRPr="008166C7">
          <w:rPr>
            <w:rFonts w:asciiTheme="minorHAnsi" w:hAnsiTheme="minorHAnsi" w:cstheme="minorHAnsi"/>
            <w:noProof/>
            <w:webHidden/>
            <w:sz w:val="22"/>
            <w:szCs w:val="22"/>
          </w:rPr>
          <w:instrText>Toc109030402 \h</w:instrText>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tl/>
          </w:rPr>
        </w:r>
        <w:r w:rsidR="008166C7" w:rsidRPr="008166C7">
          <w:rPr>
            <w:rFonts w:asciiTheme="minorHAnsi" w:hAnsiTheme="minorHAnsi" w:cstheme="minorHAnsi"/>
            <w:noProof/>
            <w:webHidden/>
            <w:sz w:val="22"/>
            <w:szCs w:val="22"/>
            <w:rtl/>
          </w:rPr>
          <w:fldChar w:fldCharType="separate"/>
        </w:r>
        <w:r w:rsidR="00BE57BB">
          <w:rPr>
            <w:rFonts w:asciiTheme="minorHAnsi" w:hAnsiTheme="minorHAnsi" w:cstheme="minorHAnsi"/>
            <w:noProof/>
            <w:webHidden/>
            <w:sz w:val="22"/>
            <w:szCs w:val="22"/>
            <w:rtl/>
          </w:rPr>
          <w:t>15</w:t>
        </w:r>
        <w:r w:rsidR="008166C7" w:rsidRPr="008166C7">
          <w:rPr>
            <w:rFonts w:asciiTheme="minorHAnsi" w:hAnsiTheme="minorHAnsi" w:cstheme="minorHAnsi"/>
            <w:noProof/>
            <w:webHidden/>
            <w:sz w:val="22"/>
            <w:szCs w:val="22"/>
            <w:rtl/>
          </w:rPr>
          <w:fldChar w:fldCharType="end"/>
        </w:r>
      </w:hyperlink>
    </w:p>
    <w:p w14:paraId="19295D0A" w14:textId="6038301A" w:rsidR="008166C7" w:rsidRPr="008166C7" w:rsidRDefault="000A0201" w:rsidP="00C05E1B">
      <w:pPr>
        <w:pStyle w:val="TOC3"/>
        <w:spacing w:after="0"/>
        <w:rPr>
          <w:rFonts w:asciiTheme="minorHAnsi" w:eastAsiaTheme="minorEastAsia" w:hAnsiTheme="minorHAnsi" w:cstheme="minorHAnsi"/>
          <w:noProof/>
          <w:sz w:val="22"/>
          <w:szCs w:val="22"/>
          <w:rtl/>
        </w:rPr>
      </w:pPr>
      <w:hyperlink w:anchor="_Toc109030403" w:history="1">
        <w:r w:rsidR="008166C7" w:rsidRPr="008166C7">
          <w:rPr>
            <w:rStyle w:val="Hyperlink"/>
            <w:rFonts w:asciiTheme="minorHAnsi" w:hAnsiTheme="minorHAnsi" w:cstheme="minorHAnsi"/>
            <w:b/>
            <w:i/>
            <w:iCs/>
            <w:noProof/>
            <w:sz w:val="22"/>
            <w:szCs w:val="22"/>
            <w:rtl/>
            <w:lang w:val="it-IT"/>
          </w:rPr>
          <w:t>أداء أشكال التعبير الثقافي التقليدي</w:t>
        </w:r>
        <w:r w:rsidR="008166C7" w:rsidRPr="008166C7">
          <w:rPr>
            <w:rFonts w:asciiTheme="minorHAnsi" w:hAnsiTheme="minorHAnsi" w:cstheme="minorHAnsi"/>
            <w:noProof/>
            <w:webHidden/>
            <w:sz w:val="22"/>
            <w:szCs w:val="22"/>
            <w:rtl/>
          </w:rPr>
          <w:tab/>
        </w:r>
        <w:r w:rsidR="008166C7" w:rsidRPr="008166C7">
          <w:rPr>
            <w:rFonts w:asciiTheme="minorHAnsi" w:hAnsiTheme="minorHAnsi" w:cstheme="minorHAnsi"/>
            <w:noProof/>
            <w:webHidden/>
            <w:sz w:val="22"/>
            <w:szCs w:val="22"/>
            <w:rtl/>
          </w:rPr>
          <w:fldChar w:fldCharType="begin"/>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Pr>
          <w:instrText>PAGEREF</w:instrText>
        </w:r>
        <w:r w:rsidR="008166C7" w:rsidRPr="008166C7">
          <w:rPr>
            <w:rFonts w:asciiTheme="minorHAnsi" w:hAnsiTheme="minorHAnsi" w:cstheme="minorHAnsi"/>
            <w:noProof/>
            <w:webHidden/>
            <w:sz w:val="22"/>
            <w:szCs w:val="22"/>
            <w:rtl/>
          </w:rPr>
          <w:instrText xml:space="preserve"> _</w:instrText>
        </w:r>
        <w:r w:rsidR="008166C7" w:rsidRPr="008166C7">
          <w:rPr>
            <w:rFonts w:asciiTheme="minorHAnsi" w:hAnsiTheme="minorHAnsi" w:cstheme="minorHAnsi"/>
            <w:noProof/>
            <w:webHidden/>
            <w:sz w:val="22"/>
            <w:szCs w:val="22"/>
          </w:rPr>
          <w:instrText>Toc109030403 \h</w:instrText>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tl/>
          </w:rPr>
        </w:r>
        <w:r w:rsidR="008166C7" w:rsidRPr="008166C7">
          <w:rPr>
            <w:rFonts w:asciiTheme="minorHAnsi" w:hAnsiTheme="minorHAnsi" w:cstheme="minorHAnsi"/>
            <w:noProof/>
            <w:webHidden/>
            <w:sz w:val="22"/>
            <w:szCs w:val="22"/>
            <w:rtl/>
          </w:rPr>
          <w:fldChar w:fldCharType="separate"/>
        </w:r>
        <w:r w:rsidR="00BE57BB">
          <w:rPr>
            <w:rFonts w:asciiTheme="minorHAnsi" w:hAnsiTheme="minorHAnsi" w:cstheme="minorHAnsi"/>
            <w:noProof/>
            <w:webHidden/>
            <w:sz w:val="22"/>
            <w:szCs w:val="22"/>
            <w:rtl/>
          </w:rPr>
          <w:t>17</w:t>
        </w:r>
        <w:r w:rsidR="008166C7" w:rsidRPr="008166C7">
          <w:rPr>
            <w:rFonts w:asciiTheme="minorHAnsi" w:hAnsiTheme="minorHAnsi" w:cstheme="minorHAnsi"/>
            <w:noProof/>
            <w:webHidden/>
            <w:sz w:val="22"/>
            <w:szCs w:val="22"/>
            <w:rtl/>
          </w:rPr>
          <w:fldChar w:fldCharType="end"/>
        </w:r>
      </w:hyperlink>
    </w:p>
    <w:p w14:paraId="62E308EB" w14:textId="2A8F7059" w:rsidR="008166C7" w:rsidRPr="008166C7" w:rsidRDefault="000A0201" w:rsidP="00C05E1B">
      <w:pPr>
        <w:pStyle w:val="TOC3"/>
        <w:spacing w:after="0"/>
        <w:rPr>
          <w:rFonts w:asciiTheme="minorHAnsi" w:eastAsiaTheme="minorEastAsia" w:hAnsiTheme="minorHAnsi" w:cstheme="minorHAnsi"/>
          <w:noProof/>
          <w:sz w:val="22"/>
          <w:szCs w:val="22"/>
          <w:rtl/>
        </w:rPr>
      </w:pPr>
      <w:hyperlink w:anchor="_Toc109030404" w:history="1">
        <w:r w:rsidR="008166C7" w:rsidRPr="008166C7">
          <w:rPr>
            <w:rStyle w:val="Hyperlink"/>
            <w:rFonts w:asciiTheme="minorHAnsi" w:hAnsiTheme="minorHAnsi" w:cstheme="minorHAnsi"/>
            <w:b/>
            <w:i/>
            <w:iCs/>
            <w:noProof/>
            <w:sz w:val="22"/>
            <w:szCs w:val="22"/>
            <w:rtl/>
            <w:lang w:val="it-IT" w:bidi="ar-EG"/>
          </w:rPr>
          <w:t>التصاميم</w:t>
        </w:r>
        <w:r w:rsidR="008166C7" w:rsidRPr="008166C7">
          <w:rPr>
            <w:rFonts w:asciiTheme="minorHAnsi" w:hAnsiTheme="minorHAnsi" w:cstheme="minorHAnsi"/>
            <w:noProof/>
            <w:webHidden/>
            <w:sz w:val="22"/>
            <w:szCs w:val="22"/>
            <w:rtl/>
          </w:rPr>
          <w:tab/>
        </w:r>
        <w:r w:rsidR="008166C7" w:rsidRPr="008166C7">
          <w:rPr>
            <w:rFonts w:asciiTheme="minorHAnsi" w:hAnsiTheme="minorHAnsi" w:cstheme="minorHAnsi"/>
            <w:noProof/>
            <w:webHidden/>
            <w:sz w:val="22"/>
            <w:szCs w:val="22"/>
            <w:rtl/>
          </w:rPr>
          <w:fldChar w:fldCharType="begin"/>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Pr>
          <w:instrText>PAGEREF</w:instrText>
        </w:r>
        <w:r w:rsidR="008166C7" w:rsidRPr="008166C7">
          <w:rPr>
            <w:rFonts w:asciiTheme="minorHAnsi" w:hAnsiTheme="minorHAnsi" w:cstheme="minorHAnsi"/>
            <w:noProof/>
            <w:webHidden/>
            <w:sz w:val="22"/>
            <w:szCs w:val="22"/>
            <w:rtl/>
          </w:rPr>
          <w:instrText xml:space="preserve"> _</w:instrText>
        </w:r>
        <w:r w:rsidR="008166C7" w:rsidRPr="008166C7">
          <w:rPr>
            <w:rFonts w:asciiTheme="minorHAnsi" w:hAnsiTheme="minorHAnsi" w:cstheme="minorHAnsi"/>
            <w:noProof/>
            <w:webHidden/>
            <w:sz w:val="22"/>
            <w:szCs w:val="22"/>
          </w:rPr>
          <w:instrText>Toc109030404 \h</w:instrText>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tl/>
          </w:rPr>
        </w:r>
        <w:r w:rsidR="008166C7" w:rsidRPr="008166C7">
          <w:rPr>
            <w:rFonts w:asciiTheme="minorHAnsi" w:hAnsiTheme="minorHAnsi" w:cstheme="minorHAnsi"/>
            <w:noProof/>
            <w:webHidden/>
            <w:sz w:val="22"/>
            <w:szCs w:val="22"/>
            <w:rtl/>
          </w:rPr>
          <w:fldChar w:fldCharType="separate"/>
        </w:r>
        <w:r w:rsidR="00BE57BB">
          <w:rPr>
            <w:rFonts w:asciiTheme="minorHAnsi" w:hAnsiTheme="minorHAnsi" w:cstheme="minorHAnsi"/>
            <w:noProof/>
            <w:webHidden/>
            <w:sz w:val="22"/>
            <w:szCs w:val="22"/>
            <w:rtl/>
          </w:rPr>
          <w:t>17</w:t>
        </w:r>
        <w:r w:rsidR="008166C7" w:rsidRPr="008166C7">
          <w:rPr>
            <w:rFonts w:asciiTheme="minorHAnsi" w:hAnsiTheme="minorHAnsi" w:cstheme="minorHAnsi"/>
            <w:noProof/>
            <w:webHidden/>
            <w:sz w:val="22"/>
            <w:szCs w:val="22"/>
            <w:rtl/>
          </w:rPr>
          <w:fldChar w:fldCharType="end"/>
        </w:r>
      </w:hyperlink>
    </w:p>
    <w:p w14:paraId="3ADA19BB" w14:textId="29A02512" w:rsidR="008166C7" w:rsidRPr="008166C7" w:rsidRDefault="000A0201" w:rsidP="00C05E1B">
      <w:pPr>
        <w:pStyle w:val="TOC3"/>
        <w:spacing w:after="0"/>
        <w:rPr>
          <w:rFonts w:asciiTheme="minorHAnsi" w:eastAsiaTheme="minorEastAsia" w:hAnsiTheme="minorHAnsi" w:cstheme="minorHAnsi"/>
          <w:noProof/>
          <w:sz w:val="22"/>
          <w:szCs w:val="22"/>
          <w:rtl/>
        </w:rPr>
      </w:pPr>
      <w:hyperlink w:anchor="_Toc109030405" w:history="1">
        <w:r w:rsidR="008166C7" w:rsidRPr="008166C7">
          <w:rPr>
            <w:rStyle w:val="Hyperlink"/>
            <w:rFonts w:asciiTheme="minorHAnsi" w:hAnsiTheme="minorHAnsi" w:cstheme="minorHAnsi"/>
            <w:b/>
            <w:i/>
            <w:iCs/>
            <w:noProof/>
            <w:sz w:val="22"/>
            <w:szCs w:val="22"/>
            <w:rtl/>
            <w:lang w:val="it-IT"/>
          </w:rPr>
          <w:t>أشكال التعبير الثقافي التقليدي السرية</w:t>
        </w:r>
        <w:r w:rsidR="008166C7" w:rsidRPr="008166C7">
          <w:rPr>
            <w:rFonts w:asciiTheme="minorHAnsi" w:hAnsiTheme="minorHAnsi" w:cstheme="minorHAnsi"/>
            <w:noProof/>
            <w:webHidden/>
            <w:sz w:val="22"/>
            <w:szCs w:val="22"/>
            <w:rtl/>
          </w:rPr>
          <w:tab/>
        </w:r>
        <w:r w:rsidR="008166C7" w:rsidRPr="008166C7">
          <w:rPr>
            <w:rFonts w:asciiTheme="minorHAnsi" w:hAnsiTheme="minorHAnsi" w:cstheme="minorHAnsi"/>
            <w:noProof/>
            <w:webHidden/>
            <w:sz w:val="22"/>
            <w:szCs w:val="22"/>
            <w:rtl/>
          </w:rPr>
          <w:fldChar w:fldCharType="begin"/>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Pr>
          <w:instrText>PAGEREF</w:instrText>
        </w:r>
        <w:r w:rsidR="008166C7" w:rsidRPr="008166C7">
          <w:rPr>
            <w:rFonts w:asciiTheme="minorHAnsi" w:hAnsiTheme="minorHAnsi" w:cstheme="minorHAnsi"/>
            <w:noProof/>
            <w:webHidden/>
            <w:sz w:val="22"/>
            <w:szCs w:val="22"/>
            <w:rtl/>
          </w:rPr>
          <w:instrText xml:space="preserve"> _</w:instrText>
        </w:r>
        <w:r w:rsidR="008166C7" w:rsidRPr="008166C7">
          <w:rPr>
            <w:rFonts w:asciiTheme="minorHAnsi" w:hAnsiTheme="minorHAnsi" w:cstheme="minorHAnsi"/>
            <w:noProof/>
            <w:webHidden/>
            <w:sz w:val="22"/>
            <w:szCs w:val="22"/>
          </w:rPr>
          <w:instrText>Toc109030405 \h</w:instrText>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tl/>
          </w:rPr>
        </w:r>
        <w:r w:rsidR="008166C7" w:rsidRPr="008166C7">
          <w:rPr>
            <w:rFonts w:asciiTheme="minorHAnsi" w:hAnsiTheme="minorHAnsi" w:cstheme="minorHAnsi"/>
            <w:noProof/>
            <w:webHidden/>
            <w:sz w:val="22"/>
            <w:szCs w:val="22"/>
            <w:rtl/>
          </w:rPr>
          <w:fldChar w:fldCharType="separate"/>
        </w:r>
        <w:r w:rsidR="00BE57BB">
          <w:rPr>
            <w:rFonts w:asciiTheme="minorHAnsi" w:hAnsiTheme="minorHAnsi" w:cstheme="minorHAnsi"/>
            <w:noProof/>
            <w:webHidden/>
            <w:sz w:val="22"/>
            <w:szCs w:val="22"/>
            <w:rtl/>
          </w:rPr>
          <w:t>17</w:t>
        </w:r>
        <w:r w:rsidR="008166C7" w:rsidRPr="008166C7">
          <w:rPr>
            <w:rFonts w:asciiTheme="minorHAnsi" w:hAnsiTheme="minorHAnsi" w:cstheme="minorHAnsi"/>
            <w:noProof/>
            <w:webHidden/>
            <w:sz w:val="22"/>
            <w:szCs w:val="22"/>
            <w:rtl/>
          </w:rPr>
          <w:fldChar w:fldCharType="end"/>
        </w:r>
      </w:hyperlink>
    </w:p>
    <w:p w14:paraId="5C19E629" w14:textId="7DCD0E56" w:rsidR="008166C7" w:rsidRPr="008166C7" w:rsidRDefault="000A0201" w:rsidP="00C05E1B">
      <w:pPr>
        <w:pStyle w:val="TOC3"/>
        <w:spacing w:after="0"/>
        <w:rPr>
          <w:rFonts w:asciiTheme="minorHAnsi" w:eastAsiaTheme="minorEastAsia" w:hAnsiTheme="minorHAnsi" w:cstheme="minorHAnsi"/>
          <w:noProof/>
          <w:sz w:val="22"/>
          <w:szCs w:val="22"/>
          <w:rtl/>
        </w:rPr>
      </w:pPr>
      <w:hyperlink w:anchor="_Toc109030406" w:history="1">
        <w:r w:rsidR="008166C7" w:rsidRPr="008166C7">
          <w:rPr>
            <w:rStyle w:val="Hyperlink"/>
            <w:rFonts w:asciiTheme="minorHAnsi" w:hAnsiTheme="minorHAnsi" w:cstheme="minorHAnsi"/>
            <w:b/>
            <w:i/>
            <w:iCs/>
            <w:noProof/>
            <w:sz w:val="22"/>
            <w:szCs w:val="22"/>
            <w:rtl/>
            <w:lang w:val="it-IT"/>
          </w:rPr>
          <w:t>الأسماء والكلمات والرموز الأصلية والتقليدية</w:t>
        </w:r>
        <w:r w:rsidR="008166C7" w:rsidRPr="008166C7">
          <w:rPr>
            <w:rFonts w:asciiTheme="minorHAnsi" w:hAnsiTheme="minorHAnsi" w:cstheme="minorHAnsi"/>
            <w:noProof/>
            <w:webHidden/>
            <w:sz w:val="22"/>
            <w:szCs w:val="22"/>
            <w:rtl/>
          </w:rPr>
          <w:tab/>
        </w:r>
        <w:r w:rsidR="008166C7" w:rsidRPr="008166C7">
          <w:rPr>
            <w:rFonts w:asciiTheme="minorHAnsi" w:hAnsiTheme="minorHAnsi" w:cstheme="minorHAnsi"/>
            <w:noProof/>
            <w:webHidden/>
            <w:sz w:val="22"/>
            <w:szCs w:val="22"/>
            <w:rtl/>
          </w:rPr>
          <w:fldChar w:fldCharType="begin"/>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Pr>
          <w:instrText>PAGEREF</w:instrText>
        </w:r>
        <w:r w:rsidR="008166C7" w:rsidRPr="008166C7">
          <w:rPr>
            <w:rFonts w:asciiTheme="minorHAnsi" w:hAnsiTheme="minorHAnsi" w:cstheme="minorHAnsi"/>
            <w:noProof/>
            <w:webHidden/>
            <w:sz w:val="22"/>
            <w:szCs w:val="22"/>
            <w:rtl/>
          </w:rPr>
          <w:instrText xml:space="preserve"> _</w:instrText>
        </w:r>
        <w:r w:rsidR="008166C7" w:rsidRPr="008166C7">
          <w:rPr>
            <w:rFonts w:asciiTheme="minorHAnsi" w:hAnsiTheme="minorHAnsi" w:cstheme="minorHAnsi"/>
            <w:noProof/>
            <w:webHidden/>
            <w:sz w:val="22"/>
            <w:szCs w:val="22"/>
          </w:rPr>
          <w:instrText>Toc109030406 \h</w:instrText>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tl/>
          </w:rPr>
        </w:r>
        <w:r w:rsidR="008166C7" w:rsidRPr="008166C7">
          <w:rPr>
            <w:rFonts w:asciiTheme="minorHAnsi" w:hAnsiTheme="minorHAnsi" w:cstheme="minorHAnsi"/>
            <w:noProof/>
            <w:webHidden/>
            <w:sz w:val="22"/>
            <w:szCs w:val="22"/>
            <w:rtl/>
          </w:rPr>
          <w:fldChar w:fldCharType="separate"/>
        </w:r>
        <w:r w:rsidR="00BE57BB">
          <w:rPr>
            <w:rFonts w:asciiTheme="minorHAnsi" w:hAnsiTheme="minorHAnsi" w:cstheme="minorHAnsi"/>
            <w:noProof/>
            <w:webHidden/>
            <w:sz w:val="22"/>
            <w:szCs w:val="22"/>
            <w:rtl/>
          </w:rPr>
          <w:t>18</w:t>
        </w:r>
        <w:r w:rsidR="008166C7" w:rsidRPr="008166C7">
          <w:rPr>
            <w:rFonts w:asciiTheme="minorHAnsi" w:hAnsiTheme="minorHAnsi" w:cstheme="minorHAnsi"/>
            <w:noProof/>
            <w:webHidden/>
            <w:sz w:val="22"/>
            <w:szCs w:val="22"/>
            <w:rtl/>
          </w:rPr>
          <w:fldChar w:fldCharType="end"/>
        </w:r>
      </w:hyperlink>
    </w:p>
    <w:p w14:paraId="689F9AD1" w14:textId="13707455" w:rsidR="008166C7" w:rsidRPr="008166C7" w:rsidRDefault="000A0201" w:rsidP="00C05E1B">
      <w:pPr>
        <w:pStyle w:val="TOC2"/>
        <w:rPr>
          <w:rFonts w:eastAsiaTheme="minorEastAsia"/>
          <w:rtl/>
          <w:lang w:bidi="ar-SA"/>
        </w:rPr>
      </w:pPr>
      <w:hyperlink w:anchor="_Toc109030407" w:history="1">
        <w:r w:rsidR="008166C7" w:rsidRPr="008166C7">
          <w:rPr>
            <w:rStyle w:val="Hyperlink"/>
            <w:rtl/>
            <w:lang w:val="it-IT"/>
          </w:rPr>
          <w:t>جيم.</w:t>
        </w:r>
        <w:r w:rsidR="0057376C">
          <w:rPr>
            <w:rFonts w:eastAsiaTheme="minorEastAsia" w:hint="cs"/>
            <w:rtl/>
            <w:lang w:bidi="ar-SA"/>
          </w:rPr>
          <w:t xml:space="preserve">           </w:t>
        </w:r>
        <w:r w:rsidR="008166C7" w:rsidRPr="008166C7">
          <w:rPr>
            <w:rStyle w:val="Hyperlink"/>
            <w:rtl/>
            <w:lang w:val="it-IT"/>
          </w:rPr>
          <w:t>ا</w:t>
        </w:r>
        <w:r w:rsidR="008166C7" w:rsidRPr="008166C7">
          <w:rPr>
            <w:rStyle w:val="Hyperlink"/>
            <w:rtl/>
            <w:lang w:val="it-IT" w:bidi="ar-EG"/>
          </w:rPr>
          <w:t>عتبارات مفيدة للبت في الحاجة إلى معالجة تلك الثغرات من عدمها</w:t>
        </w:r>
        <w:r w:rsidR="008166C7" w:rsidRPr="008166C7">
          <w:rPr>
            <w:webHidden/>
            <w:rtl/>
          </w:rPr>
          <w:tab/>
        </w:r>
        <w:r w:rsidR="008166C7" w:rsidRPr="00157FB3">
          <w:rPr>
            <w:i w:val="0"/>
            <w:iCs w:val="0"/>
            <w:webHidden/>
            <w:rtl/>
          </w:rPr>
          <w:fldChar w:fldCharType="begin"/>
        </w:r>
        <w:r w:rsidR="008166C7" w:rsidRPr="00157FB3">
          <w:rPr>
            <w:i w:val="0"/>
            <w:iCs w:val="0"/>
            <w:webHidden/>
            <w:rtl/>
          </w:rPr>
          <w:instrText xml:space="preserve"> </w:instrText>
        </w:r>
        <w:r w:rsidR="008166C7" w:rsidRPr="00157FB3">
          <w:rPr>
            <w:i w:val="0"/>
            <w:iCs w:val="0"/>
            <w:webHidden/>
          </w:rPr>
          <w:instrText>PAGEREF</w:instrText>
        </w:r>
        <w:r w:rsidR="008166C7" w:rsidRPr="00157FB3">
          <w:rPr>
            <w:i w:val="0"/>
            <w:iCs w:val="0"/>
            <w:webHidden/>
            <w:rtl/>
          </w:rPr>
          <w:instrText xml:space="preserve"> _</w:instrText>
        </w:r>
        <w:r w:rsidR="008166C7" w:rsidRPr="00157FB3">
          <w:rPr>
            <w:i w:val="0"/>
            <w:iCs w:val="0"/>
            <w:webHidden/>
          </w:rPr>
          <w:instrText>Toc109030407 \h</w:instrText>
        </w:r>
        <w:r w:rsidR="008166C7" w:rsidRPr="00157FB3">
          <w:rPr>
            <w:i w:val="0"/>
            <w:iCs w:val="0"/>
            <w:webHidden/>
            <w:rtl/>
          </w:rPr>
          <w:instrText xml:space="preserve"> </w:instrText>
        </w:r>
        <w:r w:rsidR="008166C7" w:rsidRPr="00157FB3">
          <w:rPr>
            <w:i w:val="0"/>
            <w:iCs w:val="0"/>
            <w:webHidden/>
            <w:rtl/>
          </w:rPr>
        </w:r>
        <w:r w:rsidR="008166C7" w:rsidRPr="00157FB3">
          <w:rPr>
            <w:i w:val="0"/>
            <w:iCs w:val="0"/>
            <w:webHidden/>
            <w:rtl/>
          </w:rPr>
          <w:fldChar w:fldCharType="separate"/>
        </w:r>
        <w:r w:rsidR="00BE57BB">
          <w:rPr>
            <w:i w:val="0"/>
            <w:iCs w:val="0"/>
            <w:webHidden/>
            <w:rtl/>
          </w:rPr>
          <w:t>18</w:t>
        </w:r>
        <w:r w:rsidR="008166C7" w:rsidRPr="00157FB3">
          <w:rPr>
            <w:i w:val="0"/>
            <w:iCs w:val="0"/>
            <w:webHidden/>
            <w:rtl/>
          </w:rPr>
          <w:fldChar w:fldCharType="end"/>
        </w:r>
      </w:hyperlink>
    </w:p>
    <w:p w14:paraId="4E0341A8" w14:textId="5553190B" w:rsidR="008166C7" w:rsidRPr="008166C7" w:rsidRDefault="000A0201" w:rsidP="00C05E1B">
      <w:pPr>
        <w:pStyle w:val="TOC3"/>
        <w:spacing w:after="0"/>
        <w:rPr>
          <w:rFonts w:asciiTheme="minorHAnsi" w:eastAsiaTheme="minorEastAsia" w:hAnsiTheme="minorHAnsi" w:cstheme="minorHAnsi"/>
          <w:noProof/>
          <w:sz w:val="22"/>
          <w:szCs w:val="22"/>
          <w:rtl/>
        </w:rPr>
      </w:pPr>
      <w:hyperlink w:anchor="_Toc109030408" w:history="1">
        <w:r w:rsidR="008166C7" w:rsidRPr="008166C7">
          <w:rPr>
            <w:rStyle w:val="Hyperlink"/>
            <w:rFonts w:asciiTheme="minorHAnsi" w:hAnsiTheme="minorHAnsi" w:cstheme="minorHAnsi"/>
            <w:b/>
            <w:i/>
            <w:iCs/>
            <w:noProof/>
            <w:sz w:val="22"/>
            <w:szCs w:val="22"/>
            <w:rtl/>
            <w:lang w:val="it-IT"/>
          </w:rPr>
          <w:t xml:space="preserve">معالجة الثغرات </w:t>
        </w:r>
        <w:r w:rsidR="008166C7" w:rsidRPr="008166C7">
          <w:rPr>
            <w:rStyle w:val="Hyperlink"/>
            <w:rFonts w:asciiTheme="minorHAnsi" w:hAnsiTheme="minorHAnsi" w:cstheme="minorHAnsi"/>
            <w:b/>
            <w:i/>
            <w:iCs/>
            <w:noProof/>
            <w:sz w:val="22"/>
            <w:szCs w:val="22"/>
            <w:rtl/>
            <w:lang w:val="it-IT" w:bidi="ar-EG"/>
          </w:rPr>
          <w:t>على المستوى الدولي أو الإقليمي أو الوطني</w:t>
        </w:r>
        <w:r w:rsidR="008166C7" w:rsidRPr="008166C7">
          <w:rPr>
            <w:rFonts w:asciiTheme="minorHAnsi" w:hAnsiTheme="minorHAnsi" w:cstheme="minorHAnsi"/>
            <w:noProof/>
            <w:webHidden/>
            <w:sz w:val="22"/>
            <w:szCs w:val="22"/>
            <w:rtl/>
          </w:rPr>
          <w:tab/>
        </w:r>
        <w:r w:rsidR="008166C7" w:rsidRPr="008166C7">
          <w:rPr>
            <w:rFonts w:asciiTheme="minorHAnsi" w:hAnsiTheme="minorHAnsi" w:cstheme="minorHAnsi"/>
            <w:noProof/>
            <w:webHidden/>
            <w:sz w:val="22"/>
            <w:szCs w:val="22"/>
            <w:rtl/>
          </w:rPr>
          <w:fldChar w:fldCharType="begin"/>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Pr>
          <w:instrText>PAGEREF</w:instrText>
        </w:r>
        <w:r w:rsidR="008166C7" w:rsidRPr="008166C7">
          <w:rPr>
            <w:rFonts w:asciiTheme="minorHAnsi" w:hAnsiTheme="minorHAnsi" w:cstheme="minorHAnsi"/>
            <w:noProof/>
            <w:webHidden/>
            <w:sz w:val="22"/>
            <w:szCs w:val="22"/>
            <w:rtl/>
          </w:rPr>
          <w:instrText xml:space="preserve"> _</w:instrText>
        </w:r>
        <w:r w:rsidR="008166C7" w:rsidRPr="008166C7">
          <w:rPr>
            <w:rFonts w:asciiTheme="minorHAnsi" w:hAnsiTheme="minorHAnsi" w:cstheme="minorHAnsi"/>
            <w:noProof/>
            <w:webHidden/>
            <w:sz w:val="22"/>
            <w:szCs w:val="22"/>
          </w:rPr>
          <w:instrText>Toc109030408 \h</w:instrText>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tl/>
          </w:rPr>
        </w:r>
        <w:r w:rsidR="008166C7" w:rsidRPr="008166C7">
          <w:rPr>
            <w:rFonts w:asciiTheme="minorHAnsi" w:hAnsiTheme="minorHAnsi" w:cstheme="minorHAnsi"/>
            <w:noProof/>
            <w:webHidden/>
            <w:sz w:val="22"/>
            <w:szCs w:val="22"/>
            <w:rtl/>
          </w:rPr>
          <w:fldChar w:fldCharType="separate"/>
        </w:r>
        <w:r w:rsidR="00BE57BB">
          <w:rPr>
            <w:rFonts w:asciiTheme="minorHAnsi" w:hAnsiTheme="minorHAnsi" w:cstheme="minorHAnsi"/>
            <w:noProof/>
            <w:webHidden/>
            <w:sz w:val="22"/>
            <w:szCs w:val="22"/>
            <w:rtl/>
          </w:rPr>
          <w:t>18</w:t>
        </w:r>
        <w:r w:rsidR="008166C7" w:rsidRPr="008166C7">
          <w:rPr>
            <w:rFonts w:asciiTheme="minorHAnsi" w:hAnsiTheme="minorHAnsi" w:cstheme="minorHAnsi"/>
            <w:noProof/>
            <w:webHidden/>
            <w:sz w:val="22"/>
            <w:szCs w:val="22"/>
            <w:rtl/>
          </w:rPr>
          <w:fldChar w:fldCharType="end"/>
        </w:r>
      </w:hyperlink>
    </w:p>
    <w:p w14:paraId="6DFA9BED" w14:textId="390DB288" w:rsidR="008166C7" w:rsidRPr="008166C7" w:rsidRDefault="000A0201" w:rsidP="00C05E1B">
      <w:pPr>
        <w:pStyle w:val="TOC3"/>
        <w:spacing w:after="0"/>
        <w:rPr>
          <w:rFonts w:asciiTheme="minorHAnsi" w:eastAsiaTheme="minorEastAsia" w:hAnsiTheme="minorHAnsi" w:cstheme="minorHAnsi"/>
          <w:noProof/>
          <w:sz w:val="22"/>
          <w:szCs w:val="22"/>
          <w:rtl/>
        </w:rPr>
      </w:pPr>
      <w:hyperlink w:anchor="_Toc109030409" w:history="1">
        <w:r w:rsidR="008166C7" w:rsidRPr="008166C7">
          <w:rPr>
            <w:rStyle w:val="Hyperlink"/>
            <w:rFonts w:asciiTheme="minorHAnsi" w:hAnsiTheme="minorHAnsi" w:cstheme="minorHAnsi"/>
            <w:b/>
            <w:i/>
            <w:iCs/>
            <w:noProof/>
            <w:sz w:val="22"/>
            <w:szCs w:val="22"/>
            <w:rtl/>
            <w:lang w:val="it-IT"/>
          </w:rPr>
          <w:t>التشريعات والممارسات وتكوين الكفاءات</w:t>
        </w:r>
        <w:r w:rsidR="008166C7" w:rsidRPr="008166C7">
          <w:rPr>
            <w:rFonts w:asciiTheme="minorHAnsi" w:hAnsiTheme="minorHAnsi" w:cstheme="minorHAnsi"/>
            <w:noProof/>
            <w:webHidden/>
            <w:sz w:val="22"/>
            <w:szCs w:val="22"/>
            <w:rtl/>
          </w:rPr>
          <w:tab/>
        </w:r>
        <w:r w:rsidR="008166C7" w:rsidRPr="008166C7">
          <w:rPr>
            <w:rFonts w:asciiTheme="minorHAnsi" w:hAnsiTheme="minorHAnsi" w:cstheme="minorHAnsi"/>
            <w:noProof/>
            <w:webHidden/>
            <w:sz w:val="22"/>
            <w:szCs w:val="22"/>
            <w:rtl/>
          </w:rPr>
          <w:fldChar w:fldCharType="begin"/>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Pr>
          <w:instrText>PAGEREF</w:instrText>
        </w:r>
        <w:r w:rsidR="008166C7" w:rsidRPr="008166C7">
          <w:rPr>
            <w:rFonts w:asciiTheme="minorHAnsi" w:hAnsiTheme="minorHAnsi" w:cstheme="minorHAnsi"/>
            <w:noProof/>
            <w:webHidden/>
            <w:sz w:val="22"/>
            <w:szCs w:val="22"/>
            <w:rtl/>
          </w:rPr>
          <w:instrText xml:space="preserve"> _</w:instrText>
        </w:r>
        <w:r w:rsidR="008166C7" w:rsidRPr="008166C7">
          <w:rPr>
            <w:rFonts w:asciiTheme="minorHAnsi" w:hAnsiTheme="minorHAnsi" w:cstheme="minorHAnsi"/>
            <w:noProof/>
            <w:webHidden/>
            <w:sz w:val="22"/>
            <w:szCs w:val="22"/>
          </w:rPr>
          <w:instrText>Toc109030409 \h</w:instrText>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tl/>
          </w:rPr>
        </w:r>
        <w:r w:rsidR="008166C7" w:rsidRPr="008166C7">
          <w:rPr>
            <w:rFonts w:asciiTheme="minorHAnsi" w:hAnsiTheme="minorHAnsi" w:cstheme="minorHAnsi"/>
            <w:noProof/>
            <w:webHidden/>
            <w:sz w:val="22"/>
            <w:szCs w:val="22"/>
            <w:rtl/>
          </w:rPr>
          <w:fldChar w:fldCharType="separate"/>
        </w:r>
        <w:r w:rsidR="00BE57BB">
          <w:rPr>
            <w:rFonts w:asciiTheme="minorHAnsi" w:hAnsiTheme="minorHAnsi" w:cstheme="minorHAnsi"/>
            <w:noProof/>
            <w:webHidden/>
            <w:sz w:val="22"/>
            <w:szCs w:val="22"/>
            <w:rtl/>
          </w:rPr>
          <w:t>18</w:t>
        </w:r>
        <w:r w:rsidR="008166C7" w:rsidRPr="008166C7">
          <w:rPr>
            <w:rFonts w:asciiTheme="minorHAnsi" w:hAnsiTheme="minorHAnsi" w:cstheme="minorHAnsi"/>
            <w:noProof/>
            <w:webHidden/>
            <w:sz w:val="22"/>
            <w:szCs w:val="22"/>
            <w:rtl/>
          </w:rPr>
          <w:fldChar w:fldCharType="end"/>
        </w:r>
      </w:hyperlink>
    </w:p>
    <w:p w14:paraId="423CC164" w14:textId="38AB8ADB" w:rsidR="008166C7" w:rsidRPr="008166C7" w:rsidRDefault="000A0201" w:rsidP="00C05E1B">
      <w:pPr>
        <w:pStyle w:val="TOC3"/>
        <w:spacing w:after="0"/>
        <w:rPr>
          <w:rFonts w:asciiTheme="minorHAnsi" w:eastAsiaTheme="minorEastAsia" w:hAnsiTheme="minorHAnsi" w:cstheme="minorHAnsi"/>
          <w:noProof/>
          <w:sz w:val="22"/>
          <w:szCs w:val="22"/>
          <w:rtl/>
        </w:rPr>
      </w:pPr>
      <w:hyperlink w:anchor="_Toc109030410" w:history="1">
        <w:r w:rsidR="008166C7" w:rsidRPr="008166C7">
          <w:rPr>
            <w:rStyle w:val="Hyperlink"/>
            <w:rFonts w:asciiTheme="minorHAnsi" w:hAnsiTheme="minorHAnsi" w:cstheme="minorHAnsi"/>
            <w:b/>
            <w:i/>
            <w:iCs/>
            <w:noProof/>
            <w:sz w:val="22"/>
            <w:szCs w:val="22"/>
            <w:rtl/>
            <w:lang w:val="it-IT"/>
          </w:rPr>
          <w:t>البيئة القانونية والسياسة العامة</w:t>
        </w:r>
        <w:r w:rsidR="008166C7" w:rsidRPr="008166C7">
          <w:rPr>
            <w:rFonts w:asciiTheme="minorHAnsi" w:hAnsiTheme="minorHAnsi" w:cstheme="minorHAnsi"/>
            <w:noProof/>
            <w:webHidden/>
            <w:sz w:val="22"/>
            <w:szCs w:val="22"/>
            <w:rtl/>
          </w:rPr>
          <w:tab/>
        </w:r>
        <w:r w:rsidR="008166C7" w:rsidRPr="008166C7">
          <w:rPr>
            <w:rFonts w:asciiTheme="minorHAnsi" w:hAnsiTheme="minorHAnsi" w:cstheme="minorHAnsi"/>
            <w:noProof/>
            <w:webHidden/>
            <w:sz w:val="22"/>
            <w:szCs w:val="22"/>
            <w:rtl/>
          </w:rPr>
          <w:fldChar w:fldCharType="begin"/>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Pr>
          <w:instrText>PAGEREF</w:instrText>
        </w:r>
        <w:r w:rsidR="008166C7" w:rsidRPr="008166C7">
          <w:rPr>
            <w:rFonts w:asciiTheme="minorHAnsi" w:hAnsiTheme="minorHAnsi" w:cstheme="minorHAnsi"/>
            <w:noProof/>
            <w:webHidden/>
            <w:sz w:val="22"/>
            <w:szCs w:val="22"/>
            <w:rtl/>
          </w:rPr>
          <w:instrText xml:space="preserve"> _</w:instrText>
        </w:r>
        <w:r w:rsidR="008166C7" w:rsidRPr="008166C7">
          <w:rPr>
            <w:rFonts w:asciiTheme="minorHAnsi" w:hAnsiTheme="minorHAnsi" w:cstheme="minorHAnsi"/>
            <w:noProof/>
            <w:webHidden/>
            <w:sz w:val="22"/>
            <w:szCs w:val="22"/>
          </w:rPr>
          <w:instrText>Toc109030410 \h</w:instrText>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tl/>
          </w:rPr>
        </w:r>
        <w:r w:rsidR="008166C7" w:rsidRPr="008166C7">
          <w:rPr>
            <w:rFonts w:asciiTheme="minorHAnsi" w:hAnsiTheme="minorHAnsi" w:cstheme="minorHAnsi"/>
            <w:noProof/>
            <w:webHidden/>
            <w:sz w:val="22"/>
            <w:szCs w:val="22"/>
            <w:rtl/>
          </w:rPr>
          <w:fldChar w:fldCharType="separate"/>
        </w:r>
        <w:r w:rsidR="00BE57BB">
          <w:rPr>
            <w:rFonts w:asciiTheme="minorHAnsi" w:hAnsiTheme="minorHAnsi" w:cstheme="minorHAnsi"/>
            <w:noProof/>
            <w:webHidden/>
            <w:sz w:val="22"/>
            <w:szCs w:val="22"/>
            <w:rtl/>
          </w:rPr>
          <w:t>19</w:t>
        </w:r>
        <w:r w:rsidR="008166C7" w:rsidRPr="008166C7">
          <w:rPr>
            <w:rFonts w:asciiTheme="minorHAnsi" w:hAnsiTheme="minorHAnsi" w:cstheme="minorHAnsi"/>
            <w:noProof/>
            <w:webHidden/>
            <w:sz w:val="22"/>
            <w:szCs w:val="22"/>
            <w:rtl/>
          </w:rPr>
          <w:fldChar w:fldCharType="end"/>
        </w:r>
      </w:hyperlink>
    </w:p>
    <w:p w14:paraId="2FD4018E" w14:textId="523A717B" w:rsidR="008166C7" w:rsidRPr="008166C7" w:rsidRDefault="000A0201" w:rsidP="00C05E1B">
      <w:pPr>
        <w:pStyle w:val="TOC3"/>
        <w:spacing w:after="0"/>
        <w:rPr>
          <w:rFonts w:asciiTheme="minorHAnsi" w:eastAsiaTheme="minorEastAsia" w:hAnsiTheme="minorHAnsi" w:cstheme="minorHAnsi"/>
          <w:noProof/>
          <w:sz w:val="22"/>
          <w:szCs w:val="22"/>
          <w:rtl/>
        </w:rPr>
      </w:pPr>
      <w:hyperlink w:anchor="_Toc109030411" w:history="1">
        <w:r w:rsidR="008166C7" w:rsidRPr="008166C7">
          <w:rPr>
            <w:rStyle w:val="Hyperlink"/>
            <w:rFonts w:asciiTheme="minorHAnsi" w:hAnsiTheme="minorHAnsi" w:cstheme="minorHAnsi"/>
            <w:b/>
            <w:i/>
            <w:iCs/>
            <w:noProof/>
            <w:sz w:val="22"/>
            <w:szCs w:val="22"/>
            <w:rtl/>
            <w:lang w:val="it-IT"/>
          </w:rPr>
          <w:t>قضايا السياسة العامة</w:t>
        </w:r>
        <w:r w:rsidR="008166C7" w:rsidRPr="008166C7">
          <w:rPr>
            <w:rFonts w:asciiTheme="minorHAnsi" w:hAnsiTheme="minorHAnsi" w:cstheme="minorHAnsi"/>
            <w:noProof/>
            <w:webHidden/>
            <w:sz w:val="22"/>
            <w:szCs w:val="22"/>
            <w:rtl/>
          </w:rPr>
          <w:tab/>
        </w:r>
        <w:r w:rsidR="008166C7" w:rsidRPr="008166C7">
          <w:rPr>
            <w:rFonts w:asciiTheme="minorHAnsi" w:hAnsiTheme="minorHAnsi" w:cstheme="minorHAnsi"/>
            <w:noProof/>
            <w:webHidden/>
            <w:sz w:val="22"/>
            <w:szCs w:val="22"/>
            <w:rtl/>
          </w:rPr>
          <w:fldChar w:fldCharType="begin"/>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Pr>
          <w:instrText>PAGEREF</w:instrText>
        </w:r>
        <w:r w:rsidR="008166C7" w:rsidRPr="008166C7">
          <w:rPr>
            <w:rFonts w:asciiTheme="minorHAnsi" w:hAnsiTheme="minorHAnsi" w:cstheme="minorHAnsi"/>
            <w:noProof/>
            <w:webHidden/>
            <w:sz w:val="22"/>
            <w:szCs w:val="22"/>
            <w:rtl/>
          </w:rPr>
          <w:instrText xml:space="preserve"> _</w:instrText>
        </w:r>
        <w:r w:rsidR="008166C7" w:rsidRPr="008166C7">
          <w:rPr>
            <w:rFonts w:asciiTheme="minorHAnsi" w:hAnsiTheme="minorHAnsi" w:cstheme="minorHAnsi"/>
            <w:noProof/>
            <w:webHidden/>
            <w:sz w:val="22"/>
            <w:szCs w:val="22"/>
          </w:rPr>
          <w:instrText>Toc109030411 \h</w:instrText>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tl/>
          </w:rPr>
        </w:r>
        <w:r w:rsidR="008166C7" w:rsidRPr="008166C7">
          <w:rPr>
            <w:rFonts w:asciiTheme="minorHAnsi" w:hAnsiTheme="minorHAnsi" w:cstheme="minorHAnsi"/>
            <w:noProof/>
            <w:webHidden/>
            <w:sz w:val="22"/>
            <w:szCs w:val="22"/>
            <w:rtl/>
          </w:rPr>
          <w:fldChar w:fldCharType="separate"/>
        </w:r>
        <w:r w:rsidR="00BE57BB">
          <w:rPr>
            <w:rFonts w:asciiTheme="minorHAnsi" w:hAnsiTheme="minorHAnsi" w:cstheme="minorHAnsi"/>
            <w:noProof/>
            <w:webHidden/>
            <w:sz w:val="22"/>
            <w:szCs w:val="22"/>
            <w:rtl/>
          </w:rPr>
          <w:t>19</w:t>
        </w:r>
        <w:r w:rsidR="008166C7" w:rsidRPr="008166C7">
          <w:rPr>
            <w:rFonts w:asciiTheme="minorHAnsi" w:hAnsiTheme="minorHAnsi" w:cstheme="minorHAnsi"/>
            <w:noProof/>
            <w:webHidden/>
            <w:sz w:val="22"/>
            <w:szCs w:val="22"/>
            <w:rtl/>
          </w:rPr>
          <w:fldChar w:fldCharType="end"/>
        </w:r>
      </w:hyperlink>
    </w:p>
    <w:p w14:paraId="734C7176" w14:textId="34DC73B2" w:rsidR="008166C7" w:rsidRPr="008166C7" w:rsidRDefault="000A0201" w:rsidP="00C05E1B">
      <w:pPr>
        <w:pStyle w:val="TOC3"/>
        <w:spacing w:after="0"/>
        <w:rPr>
          <w:rFonts w:asciiTheme="minorHAnsi" w:eastAsiaTheme="minorEastAsia" w:hAnsiTheme="minorHAnsi" w:cstheme="minorHAnsi"/>
          <w:noProof/>
          <w:sz w:val="22"/>
          <w:szCs w:val="22"/>
          <w:rtl/>
        </w:rPr>
      </w:pPr>
      <w:hyperlink w:anchor="_Toc109030412" w:history="1">
        <w:r w:rsidR="008166C7" w:rsidRPr="008166C7">
          <w:rPr>
            <w:rStyle w:val="Hyperlink"/>
            <w:rFonts w:asciiTheme="minorHAnsi" w:hAnsiTheme="minorHAnsi" w:cstheme="minorHAnsi"/>
            <w:b/>
            <w:i/>
            <w:iCs/>
            <w:noProof/>
            <w:sz w:val="22"/>
            <w:szCs w:val="22"/>
            <w:rtl/>
            <w:lang w:val="it-IT"/>
          </w:rPr>
          <w:t>الأهداف الاقتصادية والثقافية والاجتماعية</w:t>
        </w:r>
        <w:r w:rsidR="008166C7" w:rsidRPr="008166C7">
          <w:rPr>
            <w:rFonts w:asciiTheme="minorHAnsi" w:hAnsiTheme="minorHAnsi" w:cstheme="minorHAnsi"/>
            <w:noProof/>
            <w:webHidden/>
            <w:sz w:val="22"/>
            <w:szCs w:val="22"/>
            <w:rtl/>
          </w:rPr>
          <w:tab/>
        </w:r>
        <w:r w:rsidR="008166C7" w:rsidRPr="008166C7">
          <w:rPr>
            <w:rFonts w:asciiTheme="minorHAnsi" w:hAnsiTheme="minorHAnsi" w:cstheme="minorHAnsi"/>
            <w:noProof/>
            <w:webHidden/>
            <w:sz w:val="22"/>
            <w:szCs w:val="22"/>
            <w:rtl/>
          </w:rPr>
          <w:fldChar w:fldCharType="begin"/>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Pr>
          <w:instrText>PAGEREF</w:instrText>
        </w:r>
        <w:r w:rsidR="008166C7" w:rsidRPr="008166C7">
          <w:rPr>
            <w:rFonts w:asciiTheme="minorHAnsi" w:hAnsiTheme="minorHAnsi" w:cstheme="minorHAnsi"/>
            <w:noProof/>
            <w:webHidden/>
            <w:sz w:val="22"/>
            <w:szCs w:val="22"/>
            <w:rtl/>
          </w:rPr>
          <w:instrText xml:space="preserve"> _</w:instrText>
        </w:r>
        <w:r w:rsidR="008166C7" w:rsidRPr="008166C7">
          <w:rPr>
            <w:rFonts w:asciiTheme="minorHAnsi" w:hAnsiTheme="minorHAnsi" w:cstheme="minorHAnsi"/>
            <w:noProof/>
            <w:webHidden/>
            <w:sz w:val="22"/>
            <w:szCs w:val="22"/>
          </w:rPr>
          <w:instrText>Toc109030412 \h</w:instrText>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tl/>
          </w:rPr>
        </w:r>
        <w:r w:rsidR="008166C7" w:rsidRPr="008166C7">
          <w:rPr>
            <w:rFonts w:asciiTheme="minorHAnsi" w:hAnsiTheme="minorHAnsi" w:cstheme="minorHAnsi"/>
            <w:noProof/>
            <w:webHidden/>
            <w:sz w:val="22"/>
            <w:szCs w:val="22"/>
            <w:rtl/>
          </w:rPr>
          <w:fldChar w:fldCharType="separate"/>
        </w:r>
        <w:r w:rsidR="00BE57BB">
          <w:rPr>
            <w:rFonts w:asciiTheme="minorHAnsi" w:hAnsiTheme="minorHAnsi" w:cstheme="minorHAnsi"/>
            <w:noProof/>
            <w:webHidden/>
            <w:sz w:val="22"/>
            <w:szCs w:val="22"/>
            <w:rtl/>
          </w:rPr>
          <w:t>19</w:t>
        </w:r>
        <w:r w:rsidR="008166C7" w:rsidRPr="008166C7">
          <w:rPr>
            <w:rFonts w:asciiTheme="minorHAnsi" w:hAnsiTheme="minorHAnsi" w:cstheme="minorHAnsi"/>
            <w:noProof/>
            <w:webHidden/>
            <w:sz w:val="22"/>
            <w:szCs w:val="22"/>
            <w:rtl/>
          </w:rPr>
          <w:fldChar w:fldCharType="end"/>
        </w:r>
      </w:hyperlink>
    </w:p>
    <w:p w14:paraId="56A9A3A4" w14:textId="408FA429" w:rsidR="008166C7" w:rsidRPr="008166C7" w:rsidRDefault="000A0201" w:rsidP="00C05E1B">
      <w:pPr>
        <w:pStyle w:val="TOC3"/>
        <w:spacing w:after="0"/>
        <w:rPr>
          <w:rFonts w:asciiTheme="minorHAnsi" w:eastAsiaTheme="minorEastAsia" w:hAnsiTheme="minorHAnsi" w:cstheme="minorHAnsi"/>
          <w:noProof/>
          <w:sz w:val="22"/>
          <w:szCs w:val="22"/>
          <w:rtl/>
        </w:rPr>
      </w:pPr>
      <w:hyperlink w:anchor="_Toc109030413" w:history="1">
        <w:r w:rsidR="008166C7" w:rsidRPr="008166C7">
          <w:rPr>
            <w:rStyle w:val="Hyperlink"/>
            <w:rFonts w:asciiTheme="minorHAnsi" w:hAnsiTheme="minorHAnsi" w:cstheme="minorHAnsi"/>
            <w:b/>
            <w:i/>
            <w:iCs/>
            <w:noProof/>
            <w:sz w:val="22"/>
            <w:szCs w:val="22"/>
            <w:rtl/>
            <w:lang w:val="it-IT"/>
          </w:rPr>
          <w:t>قضايا تقنية وقانونية معينة</w:t>
        </w:r>
        <w:r w:rsidR="008166C7" w:rsidRPr="008166C7">
          <w:rPr>
            <w:rFonts w:asciiTheme="minorHAnsi" w:hAnsiTheme="minorHAnsi" w:cstheme="minorHAnsi"/>
            <w:noProof/>
            <w:webHidden/>
            <w:sz w:val="22"/>
            <w:szCs w:val="22"/>
            <w:rtl/>
          </w:rPr>
          <w:tab/>
        </w:r>
        <w:r w:rsidR="008166C7" w:rsidRPr="008166C7">
          <w:rPr>
            <w:rFonts w:asciiTheme="minorHAnsi" w:hAnsiTheme="minorHAnsi" w:cstheme="minorHAnsi"/>
            <w:noProof/>
            <w:webHidden/>
            <w:sz w:val="22"/>
            <w:szCs w:val="22"/>
            <w:rtl/>
          </w:rPr>
          <w:fldChar w:fldCharType="begin"/>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Pr>
          <w:instrText>PAGEREF</w:instrText>
        </w:r>
        <w:r w:rsidR="008166C7" w:rsidRPr="008166C7">
          <w:rPr>
            <w:rFonts w:asciiTheme="minorHAnsi" w:hAnsiTheme="minorHAnsi" w:cstheme="minorHAnsi"/>
            <w:noProof/>
            <w:webHidden/>
            <w:sz w:val="22"/>
            <w:szCs w:val="22"/>
            <w:rtl/>
          </w:rPr>
          <w:instrText xml:space="preserve"> _</w:instrText>
        </w:r>
        <w:r w:rsidR="008166C7" w:rsidRPr="008166C7">
          <w:rPr>
            <w:rFonts w:asciiTheme="minorHAnsi" w:hAnsiTheme="minorHAnsi" w:cstheme="minorHAnsi"/>
            <w:noProof/>
            <w:webHidden/>
            <w:sz w:val="22"/>
            <w:szCs w:val="22"/>
          </w:rPr>
          <w:instrText>Toc109030413 \h</w:instrText>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tl/>
          </w:rPr>
        </w:r>
        <w:r w:rsidR="008166C7" w:rsidRPr="008166C7">
          <w:rPr>
            <w:rFonts w:asciiTheme="minorHAnsi" w:hAnsiTheme="minorHAnsi" w:cstheme="minorHAnsi"/>
            <w:noProof/>
            <w:webHidden/>
            <w:sz w:val="22"/>
            <w:szCs w:val="22"/>
            <w:rtl/>
          </w:rPr>
          <w:fldChar w:fldCharType="separate"/>
        </w:r>
        <w:r w:rsidR="00BE57BB">
          <w:rPr>
            <w:rFonts w:asciiTheme="minorHAnsi" w:hAnsiTheme="minorHAnsi" w:cstheme="minorHAnsi"/>
            <w:noProof/>
            <w:webHidden/>
            <w:sz w:val="22"/>
            <w:szCs w:val="22"/>
            <w:rtl/>
          </w:rPr>
          <w:t>20</w:t>
        </w:r>
        <w:r w:rsidR="008166C7" w:rsidRPr="008166C7">
          <w:rPr>
            <w:rFonts w:asciiTheme="minorHAnsi" w:hAnsiTheme="minorHAnsi" w:cstheme="minorHAnsi"/>
            <w:noProof/>
            <w:webHidden/>
            <w:sz w:val="22"/>
            <w:szCs w:val="22"/>
            <w:rtl/>
          </w:rPr>
          <w:fldChar w:fldCharType="end"/>
        </w:r>
      </w:hyperlink>
    </w:p>
    <w:p w14:paraId="44F7BA72" w14:textId="3A5F716E" w:rsidR="008166C7" w:rsidRPr="008166C7" w:rsidRDefault="000A0201" w:rsidP="00C05E1B">
      <w:pPr>
        <w:pStyle w:val="TOC3"/>
        <w:spacing w:after="0"/>
        <w:rPr>
          <w:rFonts w:asciiTheme="minorHAnsi" w:eastAsiaTheme="minorEastAsia" w:hAnsiTheme="minorHAnsi" w:cstheme="minorHAnsi"/>
          <w:noProof/>
          <w:sz w:val="22"/>
          <w:szCs w:val="22"/>
          <w:rtl/>
        </w:rPr>
      </w:pPr>
      <w:hyperlink w:anchor="_Toc109030414" w:history="1">
        <w:r w:rsidR="008166C7" w:rsidRPr="008166C7">
          <w:rPr>
            <w:rStyle w:val="Hyperlink"/>
            <w:rFonts w:asciiTheme="minorHAnsi" w:hAnsiTheme="minorHAnsi" w:cstheme="minorHAnsi"/>
            <w:b/>
            <w:i/>
            <w:iCs/>
            <w:noProof/>
            <w:sz w:val="22"/>
            <w:szCs w:val="22"/>
            <w:rtl/>
            <w:lang w:val="it-IT"/>
          </w:rPr>
          <w:t>القضايا العملية: إدارة الحقوق والتقيد بها</w:t>
        </w:r>
        <w:r w:rsidR="008166C7" w:rsidRPr="008166C7">
          <w:rPr>
            <w:rFonts w:asciiTheme="minorHAnsi" w:hAnsiTheme="minorHAnsi" w:cstheme="minorHAnsi"/>
            <w:noProof/>
            <w:webHidden/>
            <w:sz w:val="22"/>
            <w:szCs w:val="22"/>
            <w:rtl/>
          </w:rPr>
          <w:tab/>
        </w:r>
        <w:r w:rsidR="008166C7" w:rsidRPr="008166C7">
          <w:rPr>
            <w:rFonts w:asciiTheme="minorHAnsi" w:hAnsiTheme="minorHAnsi" w:cstheme="minorHAnsi"/>
            <w:noProof/>
            <w:webHidden/>
            <w:sz w:val="22"/>
            <w:szCs w:val="22"/>
            <w:rtl/>
          </w:rPr>
          <w:fldChar w:fldCharType="begin"/>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Pr>
          <w:instrText>PAGEREF</w:instrText>
        </w:r>
        <w:r w:rsidR="008166C7" w:rsidRPr="008166C7">
          <w:rPr>
            <w:rFonts w:asciiTheme="minorHAnsi" w:hAnsiTheme="minorHAnsi" w:cstheme="minorHAnsi"/>
            <w:noProof/>
            <w:webHidden/>
            <w:sz w:val="22"/>
            <w:szCs w:val="22"/>
            <w:rtl/>
          </w:rPr>
          <w:instrText xml:space="preserve"> _</w:instrText>
        </w:r>
        <w:r w:rsidR="008166C7" w:rsidRPr="008166C7">
          <w:rPr>
            <w:rFonts w:asciiTheme="minorHAnsi" w:hAnsiTheme="minorHAnsi" w:cstheme="minorHAnsi"/>
            <w:noProof/>
            <w:webHidden/>
            <w:sz w:val="22"/>
            <w:szCs w:val="22"/>
          </w:rPr>
          <w:instrText>Toc109030414 \h</w:instrText>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tl/>
          </w:rPr>
        </w:r>
        <w:r w:rsidR="008166C7" w:rsidRPr="008166C7">
          <w:rPr>
            <w:rFonts w:asciiTheme="minorHAnsi" w:hAnsiTheme="minorHAnsi" w:cstheme="minorHAnsi"/>
            <w:noProof/>
            <w:webHidden/>
            <w:sz w:val="22"/>
            <w:szCs w:val="22"/>
            <w:rtl/>
          </w:rPr>
          <w:fldChar w:fldCharType="separate"/>
        </w:r>
        <w:r w:rsidR="00BE57BB">
          <w:rPr>
            <w:rFonts w:asciiTheme="minorHAnsi" w:hAnsiTheme="minorHAnsi" w:cstheme="minorHAnsi"/>
            <w:noProof/>
            <w:webHidden/>
            <w:sz w:val="22"/>
            <w:szCs w:val="22"/>
            <w:rtl/>
          </w:rPr>
          <w:t>20</w:t>
        </w:r>
        <w:r w:rsidR="008166C7" w:rsidRPr="008166C7">
          <w:rPr>
            <w:rFonts w:asciiTheme="minorHAnsi" w:hAnsiTheme="minorHAnsi" w:cstheme="minorHAnsi"/>
            <w:noProof/>
            <w:webHidden/>
            <w:sz w:val="22"/>
            <w:szCs w:val="22"/>
            <w:rtl/>
          </w:rPr>
          <w:fldChar w:fldCharType="end"/>
        </w:r>
      </w:hyperlink>
    </w:p>
    <w:p w14:paraId="6EB88885" w14:textId="22285A8E" w:rsidR="008166C7" w:rsidRPr="008166C7" w:rsidRDefault="000A0201" w:rsidP="00C05E1B">
      <w:pPr>
        <w:pStyle w:val="TOC2"/>
        <w:rPr>
          <w:rFonts w:eastAsiaTheme="minorEastAsia"/>
          <w:rtl/>
          <w:lang w:bidi="ar-SA"/>
        </w:rPr>
      </w:pPr>
      <w:hyperlink w:anchor="_Toc109030415" w:history="1">
        <w:r w:rsidR="008166C7" w:rsidRPr="008166C7">
          <w:rPr>
            <w:rStyle w:val="Hyperlink"/>
            <w:rtl/>
            <w:lang w:val="it-IT"/>
          </w:rPr>
          <w:t>دال.</w:t>
        </w:r>
        <w:r w:rsidR="0057376C">
          <w:rPr>
            <w:rFonts w:eastAsiaTheme="minorEastAsia" w:hint="cs"/>
            <w:rtl/>
            <w:lang w:bidi="ar-SA"/>
          </w:rPr>
          <w:t xml:space="preserve">           </w:t>
        </w:r>
        <w:r w:rsidR="008166C7" w:rsidRPr="008166C7">
          <w:rPr>
            <w:rStyle w:val="Hyperlink"/>
            <w:rtl/>
            <w:lang w:val="it-IT" w:bidi="ar-EG"/>
          </w:rPr>
          <w:t>الخيارات الحالية أو التي يمكن وضعها لمعالجة أية ثغرات محددة، بما فيها الخيارات القانونية وغيرها، سواء على المستوى الدولي أو الإقليمي أو الوطني</w:t>
        </w:r>
        <w:r w:rsidR="008166C7" w:rsidRPr="008166C7">
          <w:rPr>
            <w:webHidden/>
            <w:rtl/>
          </w:rPr>
          <w:tab/>
        </w:r>
        <w:r w:rsidR="008166C7" w:rsidRPr="008166C7">
          <w:rPr>
            <w:webHidden/>
            <w:rtl/>
          </w:rPr>
          <w:fldChar w:fldCharType="begin"/>
        </w:r>
        <w:r w:rsidR="008166C7" w:rsidRPr="008166C7">
          <w:rPr>
            <w:webHidden/>
            <w:rtl/>
          </w:rPr>
          <w:instrText xml:space="preserve"> </w:instrText>
        </w:r>
        <w:r w:rsidR="008166C7" w:rsidRPr="008166C7">
          <w:rPr>
            <w:webHidden/>
          </w:rPr>
          <w:instrText>PAGEREF</w:instrText>
        </w:r>
        <w:r w:rsidR="008166C7" w:rsidRPr="008166C7">
          <w:rPr>
            <w:webHidden/>
            <w:rtl/>
          </w:rPr>
          <w:instrText xml:space="preserve"> _</w:instrText>
        </w:r>
        <w:r w:rsidR="008166C7" w:rsidRPr="008166C7">
          <w:rPr>
            <w:webHidden/>
          </w:rPr>
          <w:instrText>Toc109030415 \h</w:instrText>
        </w:r>
        <w:r w:rsidR="008166C7" w:rsidRPr="008166C7">
          <w:rPr>
            <w:webHidden/>
            <w:rtl/>
          </w:rPr>
          <w:instrText xml:space="preserve"> </w:instrText>
        </w:r>
        <w:r w:rsidR="008166C7" w:rsidRPr="008166C7">
          <w:rPr>
            <w:webHidden/>
            <w:rtl/>
          </w:rPr>
        </w:r>
        <w:r w:rsidR="008166C7" w:rsidRPr="008166C7">
          <w:rPr>
            <w:webHidden/>
            <w:rtl/>
          </w:rPr>
          <w:fldChar w:fldCharType="separate"/>
        </w:r>
        <w:r w:rsidR="00BE57BB">
          <w:rPr>
            <w:webHidden/>
            <w:rtl/>
          </w:rPr>
          <w:t>20</w:t>
        </w:r>
        <w:r w:rsidR="008166C7" w:rsidRPr="008166C7">
          <w:rPr>
            <w:webHidden/>
            <w:rtl/>
          </w:rPr>
          <w:fldChar w:fldCharType="end"/>
        </w:r>
      </w:hyperlink>
    </w:p>
    <w:p w14:paraId="385A3FBE" w14:textId="58D1F3E3" w:rsidR="008166C7" w:rsidRPr="008166C7" w:rsidRDefault="000A0201" w:rsidP="00C05E1B">
      <w:pPr>
        <w:pStyle w:val="TOC3"/>
        <w:spacing w:after="0"/>
        <w:rPr>
          <w:rFonts w:asciiTheme="minorHAnsi" w:eastAsiaTheme="minorEastAsia" w:hAnsiTheme="minorHAnsi" w:cstheme="minorHAnsi"/>
          <w:noProof/>
          <w:sz w:val="22"/>
          <w:szCs w:val="22"/>
          <w:rtl/>
        </w:rPr>
      </w:pPr>
      <w:hyperlink w:anchor="_Toc109030416" w:history="1">
        <w:r w:rsidR="008166C7" w:rsidRPr="008166C7">
          <w:rPr>
            <w:rStyle w:val="Hyperlink"/>
            <w:rFonts w:asciiTheme="minorHAnsi" w:hAnsiTheme="minorHAnsi" w:cstheme="minorHAnsi"/>
            <w:b/>
            <w:i/>
            <w:iCs/>
            <w:noProof/>
            <w:sz w:val="22"/>
            <w:szCs w:val="22"/>
            <w:rtl/>
            <w:lang w:val="it-IT"/>
          </w:rPr>
          <w:t>المنتجات الأدبية والفنية</w:t>
        </w:r>
        <w:r w:rsidR="008166C7" w:rsidRPr="008166C7">
          <w:rPr>
            <w:rFonts w:asciiTheme="minorHAnsi" w:hAnsiTheme="minorHAnsi" w:cstheme="minorHAnsi"/>
            <w:noProof/>
            <w:webHidden/>
            <w:sz w:val="22"/>
            <w:szCs w:val="22"/>
            <w:rtl/>
          </w:rPr>
          <w:tab/>
        </w:r>
        <w:r w:rsidR="008166C7" w:rsidRPr="008166C7">
          <w:rPr>
            <w:rFonts w:asciiTheme="minorHAnsi" w:hAnsiTheme="minorHAnsi" w:cstheme="minorHAnsi"/>
            <w:noProof/>
            <w:webHidden/>
            <w:sz w:val="22"/>
            <w:szCs w:val="22"/>
            <w:rtl/>
          </w:rPr>
          <w:fldChar w:fldCharType="begin"/>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Pr>
          <w:instrText>PAGEREF</w:instrText>
        </w:r>
        <w:r w:rsidR="008166C7" w:rsidRPr="008166C7">
          <w:rPr>
            <w:rFonts w:asciiTheme="minorHAnsi" w:hAnsiTheme="minorHAnsi" w:cstheme="minorHAnsi"/>
            <w:noProof/>
            <w:webHidden/>
            <w:sz w:val="22"/>
            <w:szCs w:val="22"/>
            <w:rtl/>
          </w:rPr>
          <w:instrText xml:space="preserve"> _</w:instrText>
        </w:r>
        <w:r w:rsidR="008166C7" w:rsidRPr="008166C7">
          <w:rPr>
            <w:rFonts w:asciiTheme="minorHAnsi" w:hAnsiTheme="minorHAnsi" w:cstheme="minorHAnsi"/>
            <w:noProof/>
            <w:webHidden/>
            <w:sz w:val="22"/>
            <w:szCs w:val="22"/>
          </w:rPr>
          <w:instrText>Toc109030416 \h</w:instrText>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tl/>
          </w:rPr>
        </w:r>
        <w:r w:rsidR="008166C7" w:rsidRPr="008166C7">
          <w:rPr>
            <w:rFonts w:asciiTheme="minorHAnsi" w:hAnsiTheme="minorHAnsi" w:cstheme="minorHAnsi"/>
            <w:noProof/>
            <w:webHidden/>
            <w:sz w:val="22"/>
            <w:szCs w:val="22"/>
            <w:rtl/>
          </w:rPr>
          <w:fldChar w:fldCharType="separate"/>
        </w:r>
        <w:r w:rsidR="00BE57BB">
          <w:rPr>
            <w:rFonts w:asciiTheme="minorHAnsi" w:hAnsiTheme="minorHAnsi" w:cstheme="minorHAnsi"/>
            <w:noProof/>
            <w:webHidden/>
            <w:sz w:val="22"/>
            <w:szCs w:val="22"/>
            <w:rtl/>
          </w:rPr>
          <w:t>21</w:t>
        </w:r>
        <w:r w:rsidR="008166C7" w:rsidRPr="008166C7">
          <w:rPr>
            <w:rFonts w:asciiTheme="minorHAnsi" w:hAnsiTheme="minorHAnsi" w:cstheme="minorHAnsi"/>
            <w:noProof/>
            <w:webHidden/>
            <w:sz w:val="22"/>
            <w:szCs w:val="22"/>
            <w:rtl/>
          </w:rPr>
          <w:fldChar w:fldCharType="end"/>
        </w:r>
      </w:hyperlink>
    </w:p>
    <w:p w14:paraId="794C2560" w14:textId="4C71CC86" w:rsidR="008166C7" w:rsidRPr="008166C7" w:rsidRDefault="000A0201" w:rsidP="00C05E1B">
      <w:pPr>
        <w:pStyle w:val="TOC4"/>
        <w:spacing w:after="0"/>
        <w:rPr>
          <w:rFonts w:asciiTheme="minorHAnsi" w:eastAsiaTheme="minorEastAsia" w:hAnsiTheme="minorHAnsi" w:cstheme="minorHAnsi"/>
          <w:noProof/>
          <w:sz w:val="22"/>
          <w:szCs w:val="22"/>
          <w:rtl/>
        </w:rPr>
      </w:pPr>
      <w:hyperlink w:anchor="_Toc109030417" w:history="1">
        <w:r w:rsidR="008166C7" w:rsidRPr="008166C7">
          <w:rPr>
            <w:rStyle w:val="Hyperlink"/>
            <w:rFonts w:asciiTheme="minorHAnsi" w:hAnsiTheme="minorHAnsi" w:cstheme="minorHAnsi"/>
            <w:b/>
            <w:iCs/>
            <w:noProof/>
            <w:sz w:val="22"/>
            <w:szCs w:val="22"/>
            <w:rtl/>
            <w:lang w:val="it-IT"/>
          </w:rPr>
          <w:t>الاعتراف بحقوق المجتمعات المحلية ومصالحها</w:t>
        </w:r>
        <w:r w:rsidR="008166C7" w:rsidRPr="008166C7">
          <w:rPr>
            <w:rFonts w:asciiTheme="minorHAnsi" w:hAnsiTheme="minorHAnsi" w:cstheme="minorHAnsi"/>
            <w:noProof/>
            <w:webHidden/>
            <w:sz w:val="22"/>
            <w:szCs w:val="22"/>
            <w:rtl/>
          </w:rPr>
          <w:tab/>
        </w:r>
        <w:r w:rsidR="008166C7" w:rsidRPr="008166C7">
          <w:rPr>
            <w:rFonts w:asciiTheme="minorHAnsi" w:hAnsiTheme="minorHAnsi" w:cstheme="minorHAnsi"/>
            <w:noProof/>
            <w:webHidden/>
            <w:sz w:val="22"/>
            <w:szCs w:val="22"/>
            <w:rtl/>
          </w:rPr>
          <w:fldChar w:fldCharType="begin"/>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Pr>
          <w:instrText>PAGEREF</w:instrText>
        </w:r>
        <w:r w:rsidR="008166C7" w:rsidRPr="008166C7">
          <w:rPr>
            <w:rFonts w:asciiTheme="minorHAnsi" w:hAnsiTheme="minorHAnsi" w:cstheme="minorHAnsi"/>
            <w:noProof/>
            <w:webHidden/>
            <w:sz w:val="22"/>
            <w:szCs w:val="22"/>
            <w:rtl/>
          </w:rPr>
          <w:instrText xml:space="preserve"> _</w:instrText>
        </w:r>
        <w:r w:rsidR="008166C7" w:rsidRPr="008166C7">
          <w:rPr>
            <w:rFonts w:asciiTheme="minorHAnsi" w:hAnsiTheme="minorHAnsi" w:cstheme="minorHAnsi"/>
            <w:noProof/>
            <w:webHidden/>
            <w:sz w:val="22"/>
            <w:szCs w:val="22"/>
          </w:rPr>
          <w:instrText>Toc109030417 \h</w:instrText>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tl/>
          </w:rPr>
        </w:r>
        <w:r w:rsidR="008166C7" w:rsidRPr="008166C7">
          <w:rPr>
            <w:rFonts w:asciiTheme="minorHAnsi" w:hAnsiTheme="minorHAnsi" w:cstheme="minorHAnsi"/>
            <w:noProof/>
            <w:webHidden/>
            <w:sz w:val="22"/>
            <w:szCs w:val="22"/>
            <w:rtl/>
          </w:rPr>
          <w:fldChar w:fldCharType="separate"/>
        </w:r>
        <w:r w:rsidR="00BE57BB">
          <w:rPr>
            <w:rFonts w:asciiTheme="minorHAnsi" w:hAnsiTheme="minorHAnsi" w:cstheme="minorHAnsi"/>
            <w:noProof/>
            <w:webHidden/>
            <w:sz w:val="22"/>
            <w:szCs w:val="22"/>
            <w:rtl/>
          </w:rPr>
          <w:t>21</w:t>
        </w:r>
        <w:r w:rsidR="008166C7" w:rsidRPr="008166C7">
          <w:rPr>
            <w:rFonts w:asciiTheme="minorHAnsi" w:hAnsiTheme="minorHAnsi" w:cstheme="minorHAnsi"/>
            <w:noProof/>
            <w:webHidden/>
            <w:sz w:val="22"/>
            <w:szCs w:val="22"/>
            <w:rtl/>
          </w:rPr>
          <w:fldChar w:fldCharType="end"/>
        </w:r>
      </w:hyperlink>
    </w:p>
    <w:p w14:paraId="7942CD68" w14:textId="2A032A2E" w:rsidR="008166C7" w:rsidRPr="008166C7" w:rsidRDefault="000A0201" w:rsidP="00C05E1B">
      <w:pPr>
        <w:pStyle w:val="TOC4"/>
        <w:spacing w:after="0"/>
        <w:rPr>
          <w:rFonts w:asciiTheme="minorHAnsi" w:eastAsiaTheme="minorEastAsia" w:hAnsiTheme="minorHAnsi" w:cstheme="minorHAnsi"/>
          <w:noProof/>
          <w:sz w:val="22"/>
          <w:szCs w:val="22"/>
          <w:rtl/>
        </w:rPr>
      </w:pPr>
      <w:hyperlink w:anchor="_Toc109030418" w:history="1">
        <w:r w:rsidR="008166C7" w:rsidRPr="008166C7">
          <w:rPr>
            <w:rStyle w:val="Hyperlink"/>
            <w:rFonts w:asciiTheme="minorHAnsi" w:hAnsiTheme="minorHAnsi" w:cstheme="minorHAnsi"/>
            <w:b/>
            <w:iCs/>
            <w:noProof/>
            <w:sz w:val="22"/>
            <w:szCs w:val="22"/>
            <w:rtl/>
            <w:lang w:val="it-IT"/>
          </w:rPr>
          <w:t>الحقوق المعنوية الجماعية للمجتمعات المحلية</w:t>
        </w:r>
        <w:r w:rsidR="008166C7" w:rsidRPr="008166C7">
          <w:rPr>
            <w:rFonts w:asciiTheme="minorHAnsi" w:hAnsiTheme="minorHAnsi" w:cstheme="minorHAnsi"/>
            <w:noProof/>
            <w:webHidden/>
            <w:sz w:val="22"/>
            <w:szCs w:val="22"/>
            <w:rtl/>
          </w:rPr>
          <w:tab/>
        </w:r>
        <w:r w:rsidR="008166C7" w:rsidRPr="008166C7">
          <w:rPr>
            <w:rFonts w:asciiTheme="minorHAnsi" w:hAnsiTheme="minorHAnsi" w:cstheme="minorHAnsi"/>
            <w:noProof/>
            <w:webHidden/>
            <w:sz w:val="22"/>
            <w:szCs w:val="22"/>
            <w:rtl/>
          </w:rPr>
          <w:fldChar w:fldCharType="begin"/>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Pr>
          <w:instrText>PAGEREF</w:instrText>
        </w:r>
        <w:r w:rsidR="008166C7" w:rsidRPr="008166C7">
          <w:rPr>
            <w:rFonts w:asciiTheme="minorHAnsi" w:hAnsiTheme="minorHAnsi" w:cstheme="minorHAnsi"/>
            <w:noProof/>
            <w:webHidden/>
            <w:sz w:val="22"/>
            <w:szCs w:val="22"/>
            <w:rtl/>
          </w:rPr>
          <w:instrText xml:space="preserve"> _</w:instrText>
        </w:r>
        <w:r w:rsidR="008166C7" w:rsidRPr="008166C7">
          <w:rPr>
            <w:rFonts w:asciiTheme="minorHAnsi" w:hAnsiTheme="minorHAnsi" w:cstheme="minorHAnsi"/>
            <w:noProof/>
            <w:webHidden/>
            <w:sz w:val="22"/>
            <w:szCs w:val="22"/>
          </w:rPr>
          <w:instrText>Toc109030418 \h</w:instrText>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tl/>
          </w:rPr>
        </w:r>
        <w:r w:rsidR="008166C7" w:rsidRPr="008166C7">
          <w:rPr>
            <w:rFonts w:asciiTheme="minorHAnsi" w:hAnsiTheme="minorHAnsi" w:cstheme="minorHAnsi"/>
            <w:noProof/>
            <w:webHidden/>
            <w:sz w:val="22"/>
            <w:szCs w:val="22"/>
            <w:rtl/>
          </w:rPr>
          <w:fldChar w:fldCharType="separate"/>
        </w:r>
        <w:r w:rsidR="00BE57BB">
          <w:rPr>
            <w:rFonts w:asciiTheme="minorHAnsi" w:hAnsiTheme="minorHAnsi" w:cstheme="minorHAnsi"/>
            <w:noProof/>
            <w:webHidden/>
            <w:sz w:val="22"/>
            <w:szCs w:val="22"/>
            <w:rtl/>
          </w:rPr>
          <w:t>21</w:t>
        </w:r>
        <w:r w:rsidR="008166C7" w:rsidRPr="008166C7">
          <w:rPr>
            <w:rFonts w:asciiTheme="minorHAnsi" w:hAnsiTheme="minorHAnsi" w:cstheme="minorHAnsi"/>
            <w:noProof/>
            <w:webHidden/>
            <w:sz w:val="22"/>
            <w:szCs w:val="22"/>
            <w:rtl/>
          </w:rPr>
          <w:fldChar w:fldCharType="end"/>
        </w:r>
      </w:hyperlink>
    </w:p>
    <w:p w14:paraId="12CF009A" w14:textId="4CA400E5" w:rsidR="008166C7" w:rsidRPr="008166C7" w:rsidRDefault="000A0201" w:rsidP="00C05E1B">
      <w:pPr>
        <w:pStyle w:val="TOC4"/>
        <w:spacing w:after="0"/>
        <w:rPr>
          <w:rFonts w:asciiTheme="minorHAnsi" w:eastAsiaTheme="minorEastAsia" w:hAnsiTheme="minorHAnsi" w:cstheme="minorHAnsi"/>
          <w:noProof/>
          <w:sz w:val="22"/>
          <w:szCs w:val="22"/>
          <w:rtl/>
        </w:rPr>
      </w:pPr>
      <w:hyperlink w:anchor="_Toc109030419" w:history="1">
        <w:r w:rsidR="008166C7" w:rsidRPr="008166C7">
          <w:rPr>
            <w:rStyle w:val="Hyperlink"/>
            <w:rFonts w:asciiTheme="minorHAnsi" w:hAnsiTheme="minorHAnsi" w:cstheme="minorHAnsi"/>
            <w:b/>
            <w:iCs/>
            <w:noProof/>
            <w:sz w:val="22"/>
            <w:szCs w:val="22"/>
            <w:rtl/>
            <w:lang w:val="it-IT"/>
          </w:rPr>
          <w:t>توضيح نطاق المادة 15(4) من اتفاقية برن</w:t>
        </w:r>
        <w:r w:rsidR="008166C7" w:rsidRPr="008166C7">
          <w:rPr>
            <w:rFonts w:asciiTheme="minorHAnsi" w:hAnsiTheme="minorHAnsi" w:cstheme="minorHAnsi"/>
            <w:noProof/>
            <w:webHidden/>
            <w:sz w:val="22"/>
            <w:szCs w:val="22"/>
            <w:rtl/>
          </w:rPr>
          <w:tab/>
        </w:r>
        <w:r w:rsidR="008166C7" w:rsidRPr="008166C7">
          <w:rPr>
            <w:rFonts w:asciiTheme="minorHAnsi" w:hAnsiTheme="minorHAnsi" w:cstheme="minorHAnsi"/>
            <w:noProof/>
            <w:webHidden/>
            <w:sz w:val="22"/>
            <w:szCs w:val="22"/>
            <w:rtl/>
          </w:rPr>
          <w:fldChar w:fldCharType="begin"/>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Pr>
          <w:instrText>PAGEREF</w:instrText>
        </w:r>
        <w:r w:rsidR="008166C7" w:rsidRPr="008166C7">
          <w:rPr>
            <w:rFonts w:asciiTheme="minorHAnsi" w:hAnsiTheme="minorHAnsi" w:cstheme="minorHAnsi"/>
            <w:noProof/>
            <w:webHidden/>
            <w:sz w:val="22"/>
            <w:szCs w:val="22"/>
            <w:rtl/>
          </w:rPr>
          <w:instrText xml:space="preserve"> _</w:instrText>
        </w:r>
        <w:r w:rsidR="008166C7" w:rsidRPr="008166C7">
          <w:rPr>
            <w:rFonts w:asciiTheme="minorHAnsi" w:hAnsiTheme="minorHAnsi" w:cstheme="minorHAnsi"/>
            <w:noProof/>
            <w:webHidden/>
            <w:sz w:val="22"/>
            <w:szCs w:val="22"/>
          </w:rPr>
          <w:instrText>Toc109030419 \h</w:instrText>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tl/>
          </w:rPr>
        </w:r>
        <w:r w:rsidR="008166C7" w:rsidRPr="008166C7">
          <w:rPr>
            <w:rFonts w:asciiTheme="minorHAnsi" w:hAnsiTheme="minorHAnsi" w:cstheme="minorHAnsi"/>
            <w:noProof/>
            <w:webHidden/>
            <w:sz w:val="22"/>
            <w:szCs w:val="22"/>
            <w:rtl/>
          </w:rPr>
          <w:fldChar w:fldCharType="separate"/>
        </w:r>
        <w:r w:rsidR="00BE57BB">
          <w:rPr>
            <w:rFonts w:asciiTheme="minorHAnsi" w:hAnsiTheme="minorHAnsi" w:cstheme="minorHAnsi"/>
            <w:noProof/>
            <w:webHidden/>
            <w:sz w:val="22"/>
            <w:szCs w:val="22"/>
            <w:rtl/>
          </w:rPr>
          <w:t>21</w:t>
        </w:r>
        <w:r w:rsidR="008166C7" w:rsidRPr="008166C7">
          <w:rPr>
            <w:rFonts w:asciiTheme="minorHAnsi" w:hAnsiTheme="minorHAnsi" w:cstheme="minorHAnsi"/>
            <w:noProof/>
            <w:webHidden/>
            <w:sz w:val="22"/>
            <w:szCs w:val="22"/>
            <w:rtl/>
          </w:rPr>
          <w:fldChar w:fldCharType="end"/>
        </w:r>
      </w:hyperlink>
    </w:p>
    <w:p w14:paraId="2A56C420" w14:textId="4B40DEBF" w:rsidR="008166C7" w:rsidRPr="008166C7" w:rsidRDefault="000A0201" w:rsidP="00C05E1B">
      <w:pPr>
        <w:pStyle w:val="TOC4"/>
        <w:spacing w:after="0"/>
        <w:rPr>
          <w:rFonts w:asciiTheme="minorHAnsi" w:eastAsiaTheme="minorEastAsia" w:hAnsiTheme="minorHAnsi" w:cstheme="minorHAnsi"/>
          <w:noProof/>
          <w:sz w:val="22"/>
          <w:szCs w:val="22"/>
          <w:rtl/>
        </w:rPr>
      </w:pPr>
      <w:hyperlink w:anchor="_Toc109030420" w:history="1">
        <w:r w:rsidR="008166C7" w:rsidRPr="008166C7">
          <w:rPr>
            <w:rStyle w:val="Hyperlink"/>
            <w:rFonts w:asciiTheme="minorHAnsi" w:hAnsiTheme="minorHAnsi" w:cstheme="minorHAnsi"/>
            <w:b/>
            <w:iCs/>
            <w:noProof/>
            <w:sz w:val="22"/>
            <w:szCs w:val="22"/>
            <w:rtl/>
            <w:lang w:val="it-IT"/>
          </w:rPr>
          <w:t>الملك العام بعوض</w:t>
        </w:r>
        <w:r w:rsidR="008166C7" w:rsidRPr="008166C7">
          <w:rPr>
            <w:rFonts w:asciiTheme="minorHAnsi" w:hAnsiTheme="minorHAnsi" w:cstheme="minorHAnsi"/>
            <w:noProof/>
            <w:webHidden/>
            <w:sz w:val="22"/>
            <w:szCs w:val="22"/>
            <w:rtl/>
          </w:rPr>
          <w:tab/>
        </w:r>
        <w:r w:rsidR="008166C7" w:rsidRPr="008166C7">
          <w:rPr>
            <w:rFonts w:asciiTheme="minorHAnsi" w:hAnsiTheme="minorHAnsi" w:cstheme="minorHAnsi"/>
            <w:noProof/>
            <w:webHidden/>
            <w:sz w:val="22"/>
            <w:szCs w:val="22"/>
            <w:rtl/>
          </w:rPr>
          <w:fldChar w:fldCharType="begin"/>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Pr>
          <w:instrText>PAGEREF</w:instrText>
        </w:r>
        <w:r w:rsidR="008166C7" w:rsidRPr="008166C7">
          <w:rPr>
            <w:rFonts w:asciiTheme="minorHAnsi" w:hAnsiTheme="minorHAnsi" w:cstheme="minorHAnsi"/>
            <w:noProof/>
            <w:webHidden/>
            <w:sz w:val="22"/>
            <w:szCs w:val="22"/>
            <w:rtl/>
          </w:rPr>
          <w:instrText xml:space="preserve"> _</w:instrText>
        </w:r>
        <w:r w:rsidR="008166C7" w:rsidRPr="008166C7">
          <w:rPr>
            <w:rFonts w:asciiTheme="minorHAnsi" w:hAnsiTheme="minorHAnsi" w:cstheme="minorHAnsi"/>
            <w:noProof/>
            <w:webHidden/>
            <w:sz w:val="22"/>
            <w:szCs w:val="22"/>
          </w:rPr>
          <w:instrText>Toc109030420 \h</w:instrText>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tl/>
          </w:rPr>
        </w:r>
        <w:r w:rsidR="008166C7" w:rsidRPr="008166C7">
          <w:rPr>
            <w:rFonts w:asciiTheme="minorHAnsi" w:hAnsiTheme="minorHAnsi" w:cstheme="minorHAnsi"/>
            <w:noProof/>
            <w:webHidden/>
            <w:sz w:val="22"/>
            <w:szCs w:val="22"/>
            <w:rtl/>
          </w:rPr>
          <w:fldChar w:fldCharType="separate"/>
        </w:r>
        <w:r w:rsidR="00BE57BB">
          <w:rPr>
            <w:rFonts w:asciiTheme="minorHAnsi" w:hAnsiTheme="minorHAnsi" w:cstheme="minorHAnsi"/>
            <w:noProof/>
            <w:webHidden/>
            <w:sz w:val="22"/>
            <w:szCs w:val="22"/>
            <w:rtl/>
          </w:rPr>
          <w:t>22</w:t>
        </w:r>
        <w:r w:rsidR="008166C7" w:rsidRPr="008166C7">
          <w:rPr>
            <w:rFonts w:asciiTheme="minorHAnsi" w:hAnsiTheme="minorHAnsi" w:cstheme="minorHAnsi"/>
            <w:noProof/>
            <w:webHidden/>
            <w:sz w:val="22"/>
            <w:szCs w:val="22"/>
            <w:rtl/>
          </w:rPr>
          <w:fldChar w:fldCharType="end"/>
        </w:r>
      </w:hyperlink>
    </w:p>
    <w:p w14:paraId="5DAED198" w14:textId="4E4DB157" w:rsidR="008166C7" w:rsidRPr="008166C7" w:rsidRDefault="000A0201" w:rsidP="00C05E1B">
      <w:pPr>
        <w:pStyle w:val="TOC4"/>
        <w:spacing w:after="0"/>
        <w:rPr>
          <w:rFonts w:asciiTheme="minorHAnsi" w:eastAsiaTheme="minorEastAsia" w:hAnsiTheme="minorHAnsi" w:cstheme="minorHAnsi"/>
          <w:noProof/>
          <w:sz w:val="22"/>
          <w:szCs w:val="22"/>
          <w:rtl/>
        </w:rPr>
      </w:pPr>
      <w:hyperlink w:anchor="_Toc109030421" w:history="1">
        <w:r w:rsidR="008166C7" w:rsidRPr="008166C7">
          <w:rPr>
            <w:rStyle w:val="Hyperlink"/>
            <w:rFonts w:asciiTheme="minorHAnsi" w:hAnsiTheme="minorHAnsi" w:cstheme="minorHAnsi"/>
            <w:b/>
            <w:iCs/>
            <w:noProof/>
            <w:sz w:val="22"/>
            <w:szCs w:val="22"/>
            <w:rtl/>
            <w:lang w:val="it-IT"/>
          </w:rPr>
          <w:t>المصنفات اليتيمة</w:t>
        </w:r>
        <w:r w:rsidR="008166C7" w:rsidRPr="008166C7">
          <w:rPr>
            <w:rFonts w:asciiTheme="minorHAnsi" w:hAnsiTheme="minorHAnsi" w:cstheme="minorHAnsi"/>
            <w:noProof/>
            <w:webHidden/>
            <w:sz w:val="22"/>
            <w:szCs w:val="22"/>
            <w:rtl/>
          </w:rPr>
          <w:tab/>
        </w:r>
        <w:r w:rsidR="008166C7" w:rsidRPr="008166C7">
          <w:rPr>
            <w:rFonts w:asciiTheme="minorHAnsi" w:hAnsiTheme="minorHAnsi" w:cstheme="minorHAnsi"/>
            <w:noProof/>
            <w:webHidden/>
            <w:sz w:val="22"/>
            <w:szCs w:val="22"/>
            <w:rtl/>
          </w:rPr>
          <w:fldChar w:fldCharType="begin"/>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Pr>
          <w:instrText>PAGEREF</w:instrText>
        </w:r>
        <w:r w:rsidR="008166C7" w:rsidRPr="008166C7">
          <w:rPr>
            <w:rFonts w:asciiTheme="minorHAnsi" w:hAnsiTheme="minorHAnsi" w:cstheme="minorHAnsi"/>
            <w:noProof/>
            <w:webHidden/>
            <w:sz w:val="22"/>
            <w:szCs w:val="22"/>
            <w:rtl/>
          </w:rPr>
          <w:instrText xml:space="preserve"> _</w:instrText>
        </w:r>
        <w:r w:rsidR="008166C7" w:rsidRPr="008166C7">
          <w:rPr>
            <w:rFonts w:asciiTheme="minorHAnsi" w:hAnsiTheme="minorHAnsi" w:cstheme="minorHAnsi"/>
            <w:noProof/>
            <w:webHidden/>
            <w:sz w:val="22"/>
            <w:szCs w:val="22"/>
          </w:rPr>
          <w:instrText>Toc109030421 \h</w:instrText>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tl/>
          </w:rPr>
        </w:r>
        <w:r w:rsidR="008166C7" w:rsidRPr="008166C7">
          <w:rPr>
            <w:rFonts w:asciiTheme="minorHAnsi" w:hAnsiTheme="minorHAnsi" w:cstheme="minorHAnsi"/>
            <w:noProof/>
            <w:webHidden/>
            <w:sz w:val="22"/>
            <w:szCs w:val="22"/>
            <w:rtl/>
          </w:rPr>
          <w:fldChar w:fldCharType="separate"/>
        </w:r>
        <w:r w:rsidR="00BE57BB">
          <w:rPr>
            <w:rFonts w:asciiTheme="minorHAnsi" w:hAnsiTheme="minorHAnsi" w:cstheme="minorHAnsi"/>
            <w:noProof/>
            <w:webHidden/>
            <w:sz w:val="22"/>
            <w:szCs w:val="22"/>
            <w:rtl/>
          </w:rPr>
          <w:t>22</w:t>
        </w:r>
        <w:r w:rsidR="008166C7" w:rsidRPr="008166C7">
          <w:rPr>
            <w:rFonts w:asciiTheme="minorHAnsi" w:hAnsiTheme="minorHAnsi" w:cstheme="minorHAnsi"/>
            <w:noProof/>
            <w:webHidden/>
            <w:sz w:val="22"/>
            <w:szCs w:val="22"/>
            <w:rtl/>
          </w:rPr>
          <w:fldChar w:fldCharType="end"/>
        </w:r>
      </w:hyperlink>
    </w:p>
    <w:p w14:paraId="16ABA97C" w14:textId="0DA1E0F3" w:rsidR="008166C7" w:rsidRPr="008166C7" w:rsidRDefault="000A0201" w:rsidP="00C05E1B">
      <w:pPr>
        <w:pStyle w:val="TOC4"/>
        <w:spacing w:after="0"/>
        <w:rPr>
          <w:rFonts w:asciiTheme="minorHAnsi" w:eastAsiaTheme="minorEastAsia" w:hAnsiTheme="minorHAnsi" w:cstheme="minorHAnsi"/>
          <w:noProof/>
          <w:sz w:val="22"/>
          <w:szCs w:val="22"/>
          <w:rtl/>
        </w:rPr>
      </w:pPr>
      <w:hyperlink w:anchor="_Toc109030422" w:history="1">
        <w:r w:rsidR="008166C7" w:rsidRPr="008166C7">
          <w:rPr>
            <w:rStyle w:val="Hyperlink"/>
            <w:rFonts w:asciiTheme="minorHAnsi" w:hAnsiTheme="minorHAnsi" w:cstheme="minorHAnsi"/>
            <w:b/>
            <w:iCs/>
            <w:noProof/>
            <w:sz w:val="22"/>
            <w:szCs w:val="22"/>
            <w:rtl/>
            <w:lang w:val="it-IT"/>
          </w:rPr>
          <w:t>حق إعادة البيع</w:t>
        </w:r>
        <w:r w:rsidR="008166C7" w:rsidRPr="008166C7">
          <w:rPr>
            <w:rFonts w:asciiTheme="minorHAnsi" w:hAnsiTheme="minorHAnsi" w:cstheme="minorHAnsi"/>
            <w:noProof/>
            <w:webHidden/>
            <w:sz w:val="22"/>
            <w:szCs w:val="22"/>
            <w:rtl/>
          </w:rPr>
          <w:tab/>
        </w:r>
        <w:r w:rsidR="008166C7" w:rsidRPr="008166C7">
          <w:rPr>
            <w:rFonts w:asciiTheme="minorHAnsi" w:hAnsiTheme="minorHAnsi" w:cstheme="minorHAnsi"/>
            <w:noProof/>
            <w:webHidden/>
            <w:sz w:val="22"/>
            <w:szCs w:val="22"/>
            <w:rtl/>
          </w:rPr>
          <w:fldChar w:fldCharType="begin"/>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Pr>
          <w:instrText>PAGEREF</w:instrText>
        </w:r>
        <w:r w:rsidR="008166C7" w:rsidRPr="008166C7">
          <w:rPr>
            <w:rFonts w:asciiTheme="minorHAnsi" w:hAnsiTheme="minorHAnsi" w:cstheme="minorHAnsi"/>
            <w:noProof/>
            <w:webHidden/>
            <w:sz w:val="22"/>
            <w:szCs w:val="22"/>
            <w:rtl/>
          </w:rPr>
          <w:instrText xml:space="preserve"> _</w:instrText>
        </w:r>
        <w:r w:rsidR="008166C7" w:rsidRPr="008166C7">
          <w:rPr>
            <w:rFonts w:asciiTheme="minorHAnsi" w:hAnsiTheme="minorHAnsi" w:cstheme="minorHAnsi"/>
            <w:noProof/>
            <w:webHidden/>
            <w:sz w:val="22"/>
            <w:szCs w:val="22"/>
          </w:rPr>
          <w:instrText>Toc109030422 \h</w:instrText>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tl/>
          </w:rPr>
        </w:r>
        <w:r w:rsidR="008166C7" w:rsidRPr="008166C7">
          <w:rPr>
            <w:rFonts w:asciiTheme="minorHAnsi" w:hAnsiTheme="minorHAnsi" w:cstheme="minorHAnsi"/>
            <w:noProof/>
            <w:webHidden/>
            <w:sz w:val="22"/>
            <w:szCs w:val="22"/>
            <w:rtl/>
          </w:rPr>
          <w:fldChar w:fldCharType="separate"/>
        </w:r>
        <w:r w:rsidR="00BE57BB">
          <w:rPr>
            <w:rFonts w:asciiTheme="minorHAnsi" w:hAnsiTheme="minorHAnsi" w:cstheme="minorHAnsi"/>
            <w:noProof/>
            <w:webHidden/>
            <w:sz w:val="22"/>
            <w:szCs w:val="22"/>
            <w:rtl/>
          </w:rPr>
          <w:t>22</w:t>
        </w:r>
        <w:r w:rsidR="008166C7" w:rsidRPr="008166C7">
          <w:rPr>
            <w:rFonts w:asciiTheme="minorHAnsi" w:hAnsiTheme="minorHAnsi" w:cstheme="minorHAnsi"/>
            <w:noProof/>
            <w:webHidden/>
            <w:sz w:val="22"/>
            <w:szCs w:val="22"/>
            <w:rtl/>
          </w:rPr>
          <w:fldChar w:fldCharType="end"/>
        </w:r>
      </w:hyperlink>
    </w:p>
    <w:p w14:paraId="5291B7C9" w14:textId="76674C2E" w:rsidR="008166C7" w:rsidRPr="008166C7" w:rsidRDefault="000A0201" w:rsidP="00C05E1B">
      <w:pPr>
        <w:pStyle w:val="TOC4"/>
        <w:spacing w:after="0"/>
        <w:rPr>
          <w:rFonts w:asciiTheme="minorHAnsi" w:eastAsiaTheme="minorEastAsia" w:hAnsiTheme="minorHAnsi" w:cstheme="minorHAnsi"/>
          <w:noProof/>
          <w:sz w:val="22"/>
          <w:szCs w:val="22"/>
          <w:rtl/>
        </w:rPr>
      </w:pPr>
      <w:hyperlink w:anchor="_Toc109030423" w:history="1">
        <w:r w:rsidR="008166C7" w:rsidRPr="008166C7">
          <w:rPr>
            <w:rStyle w:val="Hyperlink"/>
            <w:rFonts w:asciiTheme="minorHAnsi" w:hAnsiTheme="minorHAnsi" w:cstheme="minorHAnsi"/>
            <w:b/>
            <w:iCs/>
            <w:noProof/>
            <w:sz w:val="22"/>
            <w:szCs w:val="22"/>
            <w:rtl/>
            <w:lang w:val="it-IT"/>
          </w:rPr>
          <w:t>استخدام العلامات المميزة ومبادئ المنافسة غير المشروعة لمكافحة التملك غير المشروع للسمعة المرتبطة بأشكال التعبير الثقافي التقليدي ("النمط")</w:t>
        </w:r>
        <w:r w:rsidR="008166C7" w:rsidRPr="008166C7">
          <w:rPr>
            <w:rFonts w:asciiTheme="minorHAnsi" w:hAnsiTheme="minorHAnsi" w:cstheme="minorHAnsi"/>
            <w:noProof/>
            <w:webHidden/>
            <w:sz w:val="22"/>
            <w:szCs w:val="22"/>
            <w:rtl/>
          </w:rPr>
          <w:tab/>
        </w:r>
        <w:r w:rsidR="008166C7" w:rsidRPr="008166C7">
          <w:rPr>
            <w:rFonts w:asciiTheme="minorHAnsi" w:hAnsiTheme="minorHAnsi" w:cstheme="minorHAnsi"/>
            <w:noProof/>
            <w:webHidden/>
            <w:sz w:val="22"/>
            <w:szCs w:val="22"/>
            <w:rtl/>
          </w:rPr>
          <w:fldChar w:fldCharType="begin"/>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Pr>
          <w:instrText>PAGEREF</w:instrText>
        </w:r>
        <w:r w:rsidR="008166C7" w:rsidRPr="008166C7">
          <w:rPr>
            <w:rFonts w:asciiTheme="minorHAnsi" w:hAnsiTheme="minorHAnsi" w:cstheme="minorHAnsi"/>
            <w:noProof/>
            <w:webHidden/>
            <w:sz w:val="22"/>
            <w:szCs w:val="22"/>
            <w:rtl/>
          </w:rPr>
          <w:instrText xml:space="preserve"> _</w:instrText>
        </w:r>
        <w:r w:rsidR="008166C7" w:rsidRPr="008166C7">
          <w:rPr>
            <w:rFonts w:asciiTheme="minorHAnsi" w:hAnsiTheme="minorHAnsi" w:cstheme="minorHAnsi"/>
            <w:noProof/>
            <w:webHidden/>
            <w:sz w:val="22"/>
            <w:szCs w:val="22"/>
          </w:rPr>
          <w:instrText>Toc109030423 \h</w:instrText>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tl/>
          </w:rPr>
        </w:r>
        <w:r w:rsidR="008166C7" w:rsidRPr="008166C7">
          <w:rPr>
            <w:rFonts w:asciiTheme="minorHAnsi" w:hAnsiTheme="minorHAnsi" w:cstheme="minorHAnsi"/>
            <w:noProof/>
            <w:webHidden/>
            <w:sz w:val="22"/>
            <w:szCs w:val="22"/>
            <w:rtl/>
          </w:rPr>
          <w:fldChar w:fldCharType="separate"/>
        </w:r>
        <w:r w:rsidR="00BE57BB">
          <w:rPr>
            <w:rFonts w:asciiTheme="minorHAnsi" w:hAnsiTheme="minorHAnsi" w:cstheme="minorHAnsi"/>
            <w:noProof/>
            <w:webHidden/>
            <w:sz w:val="22"/>
            <w:szCs w:val="22"/>
            <w:rtl/>
          </w:rPr>
          <w:t>23</w:t>
        </w:r>
        <w:r w:rsidR="008166C7" w:rsidRPr="008166C7">
          <w:rPr>
            <w:rFonts w:asciiTheme="minorHAnsi" w:hAnsiTheme="minorHAnsi" w:cstheme="minorHAnsi"/>
            <w:noProof/>
            <w:webHidden/>
            <w:sz w:val="22"/>
            <w:szCs w:val="22"/>
            <w:rtl/>
          </w:rPr>
          <w:fldChar w:fldCharType="end"/>
        </w:r>
      </w:hyperlink>
    </w:p>
    <w:p w14:paraId="3B448DA2" w14:textId="62945651" w:rsidR="008166C7" w:rsidRPr="008166C7" w:rsidRDefault="000A0201" w:rsidP="00C05E1B">
      <w:pPr>
        <w:pStyle w:val="TOC4"/>
        <w:spacing w:after="0"/>
        <w:rPr>
          <w:rFonts w:asciiTheme="minorHAnsi" w:eastAsiaTheme="minorEastAsia" w:hAnsiTheme="minorHAnsi" w:cstheme="minorHAnsi"/>
          <w:noProof/>
          <w:sz w:val="22"/>
          <w:szCs w:val="22"/>
          <w:rtl/>
        </w:rPr>
      </w:pPr>
      <w:hyperlink w:anchor="_Toc109030424" w:history="1">
        <w:r w:rsidR="008166C7" w:rsidRPr="008166C7">
          <w:rPr>
            <w:rStyle w:val="Hyperlink"/>
            <w:rFonts w:asciiTheme="minorHAnsi" w:hAnsiTheme="minorHAnsi" w:cstheme="minorHAnsi"/>
            <w:b/>
            <w:iCs/>
            <w:noProof/>
            <w:sz w:val="22"/>
            <w:szCs w:val="22"/>
            <w:rtl/>
            <w:lang w:val="it-IT"/>
          </w:rPr>
          <w:t>المصنفات المشتقة والحماية الدفاعية للمنتجات الأدبية والفنية</w:t>
        </w:r>
        <w:r w:rsidR="008166C7" w:rsidRPr="008166C7">
          <w:rPr>
            <w:rFonts w:asciiTheme="minorHAnsi" w:hAnsiTheme="minorHAnsi" w:cstheme="minorHAnsi"/>
            <w:noProof/>
            <w:webHidden/>
            <w:sz w:val="22"/>
            <w:szCs w:val="22"/>
            <w:rtl/>
          </w:rPr>
          <w:tab/>
        </w:r>
        <w:r w:rsidR="008166C7" w:rsidRPr="008166C7">
          <w:rPr>
            <w:rFonts w:asciiTheme="minorHAnsi" w:hAnsiTheme="minorHAnsi" w:cstheme="minorHAnsi"/>
            <w:noProof/>
            <w:webHidden/>
            <w:sz w:val="22"/>
            <w:szCs w:val="22"/>
            <w:rtl/>
          </w:rPr>
          <w:fldChar w:fldCharType="begin"/>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Pr>
          <w:instrText>PAGEREF</w:instrText>
        </w:r>
        <w:r w:rsidR="008166C7" w:rsidRPr="008166C7">
          <w:rPr>
            <w:rFonts w:asciiTheme="minorHAnsi" w:hAnsiTheme="minorHAnsi" w:cstheme="minorHAnsi"/>
            <w:noProof/>
            <w:webHidden/>
            <w:sz w:val="22"/>
            <w:szCs w:val="22"/>
            <w:rtl/>
          </w:rPr>
          <w:instrText xml:space="preserve"> _</w:instrText>
        </w:r>
        <w:r w:rsidR="008166C7" w:rsidRPr="008166C7">
          <w:rPr>
            <w:rFonts w:asciiTheme="minorHAnsi" w:hAnsiTheme="minorHAnsi" w:cstheme="minorHAnsi"/>
            <w:noProof/>
            <w:webHidden/>
            <w:sz w:val="22"/>
            <w:szCs w:val="22"/>
          </w:rPr>
          <w:instrText>Toc109030424 \h</w:instrText>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tl/>
          </w:rPr>
        </w:r>
        <w:r w:rsidR="008166C7" w:rsidRPr="008166C7">
          <w:rPr>
            <w:rFonts w:asciiTheme="minorHAnsi" w:hAnsiTheme="minorHAnsi" w:cstheme="minorHAnsi"/>
            <w:noProof/>
            <w:webHidden/>
            <w:sz w:val="22"/>
            <w:szCs w:val="22"/>
            <w:rtl/>
          </w:rPr>
          <w:fldChar w:fldCharType="separate"/>
        </w:r>
        <w:r w:rsidR="00BE57BB">
          <w:rPr>
            <w:rFonts w:asciiTheme="minorHAnsi" w:hAnsiTheme="minorHAnsi" w:cstheme="minorHAnsi"/>
            <w:noProof/>
            <w:webHidden/>
            <w:sz w:val="22"/>
            <w:szCs w:val="22"/>
            <w:rtl/>
          </w:rPr>
          <w:t>23</w:t>
        </w:r>
        <w:r w:rsidR="008166C7" w:rsidRPr="008166C7">
          <w:rPr>
            <w:rFonts w:asciiTheme="minorHAnsi" w:hAnsiTheme="minorHAnsi" w:cstheme="minorHAnsi"/>
            <w:noProof/>
            <w:webHidden/>
            <w:sz w:val="22"/>
            <w:szCs w:val="22"/>
            <w:rtl/>
          </w:rPr>
          <w:fldChar w:fldCharType="end"/>
        </w:r>
      </w:hyperlink>
    </w:p>
    <w:p w14:paraId="4FFA641B" w14:textId="3A3BEB0D" w:rsidR="008166C7" w:rsidRPr="008166C7" w:rsidRDefault="000A0201" w:rsidP="00C05E1B">
      <w:pPr>
        <w:pStyle w:val="TOC4"/>
        <w:spacing w:after="0"/>
        <w:rPr>
          <w:rFonts w:asciiTheme="minorHAnsi" w:eastAsiaTheme="minorEastAsia" w:hAnsiTheme="minorHAnsi" w:cstheme="minorHAnsi"/>
          <w:noProof/>
          <w:sz w:val="22"/>
          <w:szCs w:val="22"/>
          <w:rtl/>
        </w:rPr>
      </w:pPr>
      <w:hyperlink w:anchor="_Toc109030425" w:history="1">
        <w:r w:rsidR="008166C7" w:rsidRPr="008166C7">
          <w:rPr>
            <w:rStyle w:val="Hyperlink"/>
            <w:rFonts w:asciiTheme="minorHAnsi" w:hAnsiTheme="minorHAnsi" w:cstheme="minorHAnsi"/>
            <w:b/>
            <w:iCs/>
            <w:noProof/>
            <w:sz w:val="22"/>
            <w:szCs w:val="22"/>
            <w:rtl/>
            <w:lang w:val="it-IT"/>
          </w:rPr>
          <w:t>المواثيق وقواعد السلوك والعقود وغيرها من الأدوات العملية</w:t>
        </w:r>
        <w:r w:rsidR="008166C7" w:rsidRPr="008166C7">
          <w:rPr>
            <w:rFonts w:asciiTheme="minorHAnsi" w:hAnsiTheme="minorHAnsi" w:cstheme="minorHAnsi"/>
            <w:noProof/>
            <w:webHidden/>
            <w:sz w:val="22"/>
            <w:szCs w:val="22"/>
            <w:rtl/>
          </w:rPr>
          <w:tab/>
        </w:r>
        <w:r w:rsidR="008166C7" w:rsidRPr="008166C7">
          <w:rPr>
            <w:rFonts w:asciiTheme="minorHAnsi" w:hAnsiTheme="minorHAnsi" w:cstheme="minorHAnsi"/>
            <w:noProof/>
            <w:webHidden/>
            <w:sz w:val="22"/>
            <w:szCs w:val="22"/>
            <w:rtl/>
          </w:rPr>
          <w:fldChar w:fldCharType="begin"/>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Pr>
          <w:instrText>PAGEREF</w:instrText>
        </w:r>
        <w:r w:rsidR="008166C7" w:rsidRPr="008166C7">
          <w:rPr>
            <w:rFonts w:asciiTheme="minorHAnsi" w:hAnsiTheme="minorHAnsi" w:cstheme="minorHAnsi"/>
            <w:noProof/>
            <w:webHidden/>
            <w:sz w:val="22"/>
            <w:szCs w:val="22"/>
            <w:rtl/>
          </w:rPr>
          <w:instrText xml:space="preserve"> _</w:instrText>
        </w:r>
        <w:r w:rsidR="008166C7" w:rsidRPr="008166C7">
          <w:rPr>
            <w:rFonts w:asciiTheme="minorHAnsi" w:hAnsiTheme="minorHAnsi" w:cstheme="minorHAnsi"/>
            <w:noProof/>
            <w:webHidden/>
            <w:sz w:val="22"/>
            <w:szCs w:val="22"/>
          </w:rPr>
          <w:instrText>Toc109030425 \h</w:instrText>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tl/>
          </w:rPr>
        </w:r>
        <w:r w:rsidR="008166C7" w:rsidRPr="008166C7">
          <w:rPr>
            <w:rFonts w:asciiTheme="minorHAnsi" w:hAnsiTheme="minorHAnsi" w:cstheme="minorHAnsi"/>
            <w:noProof/>
            <w:webHidden/>
            <w:sz w:val="22"/>
            <w:szCs w:val="22"/>
            <w:rtl/>
          </w:rPr>
          <w:fldChar w:fldCharType="separate"/>
        </w:r>
        <w:r w:rsidR="00BE57BB">
          <w:rPr>
            <w:rFonts w:asciiTheme="minorHAnsi" w:hAnsiTheme="minorHAnsi" w:cstheme="minorHAnsi"/>
            <w:noProof/>
            <w:webHidden/>
            <w:sz w:val="22"/>
            <w:szCs w:val="22"/>
            <w:rtl/>
          </w:rPr>
          <w:t>24</w:t>
        </w:r>
        <w:r w:rsidR="008166C7" w:rsidRPr="008166C7">
          <w:rPr>
            <w:rFonts w:asciiTheme="minorHAnsi" w:hAnsiTheme="minorHAnsi" w:cstheme="minorHAnsi"/>
            <w:noProof/>
            <w:webHidden/>
            <w:sz w:val="22"/>
            <w:szCs w:val="22"/>
            <w:rtl/>
          </w:rPr>
          <w:fldChar w:fldCharType="end"/>
        </w:r>
      </w:hyperlink>
    </w:p>
    <w:p w14:paraId="53DF3AFF" w14:textId="30E20439" w:rsidR="008166C7" w:rsidRPr="008166C7" w:rsidRDefault="000A0201" w:rsidP="00C05E1B">
      <w:pPr>
        <w:pStyle w:val="TOC4"/>
        <w:spacing w:after="0"/>
        <w:rPr>
          <w:rFonts w:asciiTheme="minorHAnsi" w:eastAsiaTheme="minorEastAsia" w:hAnsiTheme="minorHAnsi" w:cstheme="minorHAnsi"/>
          <w:noProof/>
          <w:sz w:val="22"/>
          <w:szCs w:val="22"/>
          <w:rtl/>
        </w:rPr>
      </w:pPr>
      <w:hyperlink w:anchor="_Toc109030426" w:history="1">
        <w:r w:rsidR="008166C7" w:rsidRPr="008166C7">
          <w:rPr>
            <w:rStyle w:val="Hyperlink"/>
            <w:rFonts w:asciiTheme="minorHAnsi" w:hAnsiTheme="minorHAnsi" w:cstheme="minorHAnsi"/>
            <w:b/>
            <w:iCs/>
            <w:noProof/>
            <w:sz w:val="22"/>
            <w:szCs w:val="22"/>
            <w:rtl/>
            <w:lang w:val="it-IT"/>
          </w:rPr>
          <w:t>السجلات وقواعد البيانات</w:t>
        </w:r>
        <w:r w:rsidR="008166C7" w:rsidRPr="008166C7">
          <w:rPr>
            <w:rFonts w:asciiTheme="minorHAnsi" w:hAnsiTheme="minorHAnsi" w:cstheme="minorHAnsi"/>
            <w:noProof/>
            <w:webHidden/>
            <w:sz w:val="22"/>
            <w:szCs w:val="22"/>
            <w:rtl/>
          </w:rPr>
          <w:tab/>
        </w:r>
        <w:r w:rsidR="008166C7" w:rsidRPr="008166C7">
          <w:rPr>
            <w:rFonts w:asciiTheme="minorHAnsi" w:hAnsiTheme="minorHAnsi" w:cstheme="minorHAnsi"/>
            <w:noProof/>
            <w:webHidden/>
            <w:sz w:val="22"/>
            <w:szCs w:val="22"/>
            <w:rtl/>
          </w:rPr>
          <w:fldChar w:fldCharType="begin"/>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Pr>
          <w:instrText>PAGEREF</w:instrText>
        </w:r>
        <w:r w:rsidR="008166C7" w:rsidRPr="008166C7">
          <w:rPr>
            <w:rFonts w:asciiTheme="minorHAnsi" w:hAnsiTheme="minorHAnsi" w:cstheme="minorHAnsi"/>
            <w:noProof/>
            <w:webHidden/>
            <w:sz w:val="22"/>
            <w:szCs w:val="22"/>
            <w:rtl/>
          </w:rPr>
          <w:instrText xml:space="preserve"> _</w:instrText>
        </w:r>
        <w:r w:rsidR="008166C7" w:rsidRPr="008166C7">
          <w:rPr>
            <w:rFonts w:asciiTheme="minorHAnsi" w:hAnsiTheme="minorHAnsi" w:cstheme="minorHAnsi"/>
            <w:noProof/>
            <w:webHidden/>
            <w:sz w:val="22"/>
            <w:szCs w:val="22"/>
          </w:rPr>
          <w:instrText>Toc109030426 \h</w:instrText>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tl/>
          </w:rPr>
        </w:r>
        <w:r w:rsidR="008166C7" w:rsidRPr="008166C7">
          <w:rPr>
            <w:rFonts w:asciiTheme="minorHAnsi" w:hAnsiTheme="minorHAnsi" w:cstheme="minorHAnsi"/>
            <w:noProof/>
            <w:webHidden/>
            <w:sz w:val="22"/>
            <w:szCs w:val="22"/>
            <w:rtl/>
          </w:rPr>
          <w:fldChar w:fldCharType="separate"/>
        </w:r>
        <w:r w:rsidR="00BE57BB">
          <w:rPr>
            <w:rFonts w:asciiTheme="minorHAnsi" w:hAnsiTheme="minorHAnsi" w:cstheme="minorHAnsi"/>
            <w:noProof/>
            <w:webHidden/>
            <w:sz w:val="22"/>
            <w:szCs w:val="22"/>
            <w:rtl/>
          </w:rPr>
          <w:t>24</w:t>
        </w:r>
        <w:r w:rsidR="008166C7" w:rsidRPr="008166C7">
          <w:rPr>
            <w:rFonts w:asciiTheme="minorHAnsi" w:hAnsiTheme="minorHAnsi" w:cstheme="minorHAnsi"/>
            <w:noProof/>
            <w:webHidden/>
            <w:sz w:val="22"/>
            <w:szCs w:val="22"/>
            <w:rtl/>
          </w:rPr>
          <w:fldChar w:fldCharType="end"/>
        </w:r>
      </w:hyperlink>
    </w:p>
    <w:p w14:paraId="35E724A6" w14:textId="67BBEA38" w:rsidR="008166C7" w:rsidRPr="008166C7" w:rsidRDefault="000A0201" w:rsidP="00C05E1B">
      <w:pPr>
        <w:pStyle w:val="TOC4"/>
        <w:spacing w:after="0"/>
        <w:rPr>
          <w:rFonts w:asciiTheme="minorHAnsi" w:eastAsiaTheme="minorEastAsia" w:hAnsiTheme="minorHAnsi" w:cstheme="minorHAnsi"/>
          <w:noProof/>
          <w:sz w:val="22"/>
          <w:szCs w:val="22"/>
          <w:rtl/>
        </w:rPr>
      </w:pPr>
      <w:hyperlink w:anchor="_Toc109030427" w:history="1">
        <w:r w:rsidR="008166C7" w:rsidRPr="008166C7">
          <w:rPr>
            <w:rStyle w:val="Hyperlink"/>
            <w:rFonts w:asciiTheme="minorHAnsi" w:hAnsiTheme="minorHAnsi" w:cstheme="minorHAnsi"/>
            <w:b/>
            <w:iCs/>
            <w:noProof/>
            <w:sz w:val="22"/>
            <w:szCs w:val="22"/>
            <w:rtl/>
            <w:lang w:val="it-IT"/>
          </w:rPr>
          <w:t>الإدارة الجماعية</w:t>
        </w:r>
        <w:r w:rsidR="008166C7" w:rsidRPr="008166C7">
          <w:rPr>
            <w:rFonts w:asciiTheme="minorHAnsi" w:hAnsiTheme="minorHAnsi" w:cstheme="minorHAnsi"/>
            <w:noProof/>
            <w:webHidden/>
            <w:sz w:val="22"/>
            <w:szCs w:val="22"/>
            <w:rtl/>
          </w:rPr>
          <w:tab/>
        </w:r>
        <w:r w:rsidR="008166C7" w:rsidRPr="008166C7">
          <w:rPr>
            <w:rFonts w:asciiTheme="minorHAnsi" w:hAnsiTheme="minorHAnsi" w:cstheme="minorHAnsi"/>
            <w:noProof/>
            <w:webHidden/>
            <w:sz w:val="22"/>
            <w:szCs w:val="22"/>
            <w:rtl/>
          </w:rPr>
          <w:fldChar w:fldCharType="begin"/>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Pr>
          <w:instrText>PAGEREF</w:instrText>
        </w:r>
        <w:r w:rsidR="008166C7" w:rsidRPr="008166C7">
          <w:rPr>
            <w:rFonts w:asciiTheme="minorHAnsi" w:hAnsiTheme="minorHAnsi" w:cstheme="minorHAnsi"/>
            <w:noProof/>
            <w:webHidden/>
            <w:sz w:val="22"/>
            <w:szCs w:val="22"/>
            <w:rtl/>
          </w:rPr>
          <w:instrText xml:space="preserve"> _</w:instrText>
        </w:r>
        <w:r w:rsidR="008166C7" w:rsidRPr="008166C7">
          <w:rPr>
            <w:rFonts w:asciiTheme="minorHAnsi" w:hAnsiTheme="minorHAnsi" w:cstheme="minorHAnsi"/>
            <w:noProof/>
            <w:webHidden/>
            <w:sz w:val="22"/>
            <w:szCs w:val="22"/>
          </w:rPr>
          <w:instrText>Toc109030427 \h</w:instrText>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tl/>
          </w:rPr>
        </w:r>
        <w:r w:rsidR="008166C7" w:rsidRPr="008166C7">
          <w:rPr>
            <w:rFonts w:asciiTheme="minorHAnsi" w:hAnsiTheme="minorHAnsi" w:cstheme="minorHAnsi"/>
            <w:noProof/>
            <w:webHidden/>
            <w:sz w:val="22"/>
            <w:szCs w:val="22"/>
            <w:rtl/>
          </w:rPr>
          <w:fldChar w:fldCharType="separate"/>
        </w:r>
        <w:r w:rsidR="00BE57BB">
          <w:rPr>
            <w:rFonts w:asciiTheme="minorHAnsi" w:hAnsiTheme="minorHAnsi" w:cstheme="minorHAnsi"/>
            <w:noProof/>
            <w:webHidden/>
            <w:sz w:val="22"/>
            <w:szCs w:val="22"/>
            <w:rtl/>
          </w:rPr>
          <w:t>25</w:t>
        </w:r>
        <w:r w:rsidR="008166C7" w:rsidRPr="008166C7">
          <w:rPr>
            <w:rFonts w:asciiTheme="minorHAnsi" w:hAnsiTheme="minorHAnsi" w:cstheme="minorHAnsi"/>
            <w:noProof/>
            <w:webHidden/>
            <w:sz w:val="22"/>
            <w:szCs w:val="22"/>
            <w:rtl/>
          </w:rPr>
          <w:fldChar w:fldCharType="end"/>
        </w:r>
      </w:hyperlink>
    </w:p>
    <w:p w14:paraId="7F75D03D" w14:textId="650E90ED" w:rsidR="008166C7" w:rsidRPr="008166C7" w:rsidRDefault="000A0201" w:rsidP="00C05E1B">
      <w:pPr>
        <w:pStyle w:val="TOC3"/>
        <w:spacing w:after="0"/>
        <w:rPr>
          <w:rFonts w:asciiTheme="minorHAnsi" w:eastAsiaTheme="minorEastAsia" w:hAnsiTheme="minorHAnsi" w:cstheme="minorHAnsi"/>
          <w:noProof/>
          <w:sz w:val="22"/>
          <w:szCs w:val="22"/>
          <w:rtl/>
        </w:rPr>
      </w:pPr>
      <w:hyperlink w:anchor="_Toc109030428" w:history="1">
        <w:r w:rsidR="008166C7" w:rsidRPr="008166C7">
          <w:rPr>
            <w:rStyle w:val="Hyperlink"/>
            <w:rFonts w:asciiTheme="minorHAnsi" w:hAnsiTheme="minorHAnsi" w:cstheme="minorHAnsi"/>
            <w:b/>
            <w:i/>
            <w:iCs/>
            <w:noProof/>
            <w:sz w:val="22"/>
            <w:szCs w:val="22"/>
            <w:rtl/>
            <w:lang w:val="it-IT"/>
          </w:rPr>
          <w:t>أداء أشكال التعبير الثقافي التقليدي</w:t>
        </w:r>
        <w:r w:rsidR="008166C7" w:rsidRPr="008166C7">
          <w:rPr>
            <w:rFonts w:asciiTheme="minorHAnsi" w:hAnsiTheme="minorHAnsi" w:cstheme="minorHAnsi"/>
            <w:noProof/>
            <w:webHidden/>
            <w:sz w:val="22"/>
            <w:szCs w:val="22"/>
            <w:rtl/>
          </w:rPr>
          <w:tab/>
        </w:r>
        <w:r w:rsidR="008166C7" w:rsidRPr="008166C7">
          <w:rPr>
            <w:rFonts w:asciiTheme="minorHAnsi" w:hAnsiTheme="minorHAnsi" w:cstheme="minorHAnsi"/>
            <w:noProof/>
            <w:webHidden/>
            <w:sz w:val="22"/>
            <w:szCs w:val="22"/>
            <w:rtl/>
          </w:rPr>
          <w:fldChar w:fldCharType="begin"/>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Pr>
          <w:instrText>PAGEREF</w:instrText>
        </w:r>
        <w:r w:rsidR="008166C7" w:rsidRPr="008166C7">
          <w:rPr>
            <w:rFonts w:asciiTheme="minorHAnsi" w:hAnsiTheme="minorHAnsi" w:cstheme="minorHAnsi"/>
            <w:noProof/>
            <w:webHidden/>
            <w:sz w:val="22"/>
            <w:szCs w:val="22"/>
            <w:rtl/>
          </w:rPr>
          <w:instrText xml:space="preserve"> _</w:instrText>
        </w:r>
        <w:r w:rsidR="008166C7" w:rsidRPr="008166C7">
          <w:rPr>
            <w:rFonts w:asciiTheme="minorHAnsi" w:hAnsiTheme="minorHAnsi" w:cstheme="minorHAnsi"/>
            <w:noProof/>
            <w:webHidden/>
            <w:sz w:val="22"/>
            <w:szCs w:val="22"/>
          </w:rPr>
          <w:instrText>Toc109030428 \h</w:instrText>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tl/>
          </w:rPr>
        </w:r>
        <w:r w:rsidR="008166C7" w:rsidRPr="008166C7">
          <w:rPr>
            <w:rFonts w:asciiTheme="minorHAnsi" w:hAnsiTheme="minorHAnsi" w:cstheme="minorHAnsi"/>
            <w:noProof/>
            <w:webHidden/>
            <w:sz w:val="22"/>
            <w:szCs w:val="22"/>
            <w:rtl/>
          </w:rPr>
          <w:fldChar w:fldCharType="separate"/>
        </w:r>
        <w:r w:rsidR="00BE57BB">
          <w:rPr>
            <w:rFonts w:asciiTheme="minorHAnsi" w:hAnsiTheme="minorHAnsi" w:cstheme="minorHAnsi"/>
            <w:noProof/>
            <w:webHidden/>
            <w:sz w:val="22"/>
            <w:szCs w:val="22"/>
            <w:rtl/>
          </w:rPr>
          <w:t>25</w:t>
        </w:r>
        <w:r w:rsidR="008166C7" w:rsidRPr="008166C7">
          <w:rPr>
            <w:rFonts w:asciiTheme="minorHAnsi" w:hAnsiTheme="minorHAnsi" w:cstheme="minorHAnsi"/>
            <w:noProof/>
            <w:webHidden/>
            <w:sz w:val="22"/>
            <w:szCs w:val="22"/>
            <w:rtl/>
          </w:rPr>
          <w:fldChar w:fldCharType="end"/>
        </w:r>
      </w:hyperlink>
    </w:p>
    <w:p w14:paraId="65C2AF7D" w14:textId="532A3DF9" w:rsidR="008166C7" w:rsidRPr="008166C7" w:rsidRDefault="000A0201" w:rsidP="00C05E1B">
      <w:pPr>
        <w:pStyle w:val="TOC3"/>
        <w:spacing w:after="0"/>
        <w:rPr>
          <w:rFonts w:asciiTheme="minorHAnsi" w:eastAsiaTheme="minorEastAsia" w:hAnsiTheme="minorHAnsi" w:cstheme="minorHAnsi"/>
          <w:noProof/>
          <w:sz w:val="22"/>
          <w:szCs w:val="22"/>
          <w:rtl/>
        </w:rPr>
      </w:pPr>
      <w:hyperlink w:anchor="_Toc109030429" w:history="1">
        <w:r w:rsidR="008166C7" w:rsidRPr="008166C7">
          <w:rPr>
            <w:rStyle w:val="Hyperlink"/>
            <w:rFonts w:asciiTheme="minorHAnsi" w:hAnsiTheme="minorHAnsi" w:cstheme="minorHAnsi"/>
            <w:b/>
            <w:i/>
            <w:iCs/>
            <w:noProof/>
            <w:sz w:val="22"/>
            <w:szCs w:val="22"/>
            <w:rtl/>
            <w:lang w:val="it-IT"/>
          </w:rPr>
          <w:t>التصاميم</w:t>
        </w:r>
        <w:r w:rsidR="008166C7" w:rsidRPr="008166C7">
          <w:rPr>
            <w:rFonts w:asciiTheme="minorHAnsi" w:hAnsiTheme="minorHAnsi" w:cstheme="minorHAnsi"/>
            <w:noProof/>
            <w:webHidden/>
            <w:sz w:val="22"/>
            <w:szCs w:val="22"/>
            <w:rtl/>
          </w:rPr>
          <w:tab/>
        </w:r>
        <w:r w:rsidR="008166C7" w:rsidRPr="008166C7">
          <w:rPr>
            <w:rFonts w:asciiTheme="minorHAnsi" w:hAnsiTheme="minorHAnsi" w:cstheme="minorHAnsi"/>
            <w:noProof/>
            <w:webHidden/>
            <w:sz w:val="22"/>
            <w:szCs w:val="22"/>
            <w:rtl/>
          </w:rPr>
          <w:fldChar w:fldCharType="begin"/>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Pr>
          <w:instrText>PAGEREF</w:instrText>
        </w:r>
        <w:r w:rsidR="008166C7" w:rsidRPr="008166C7">
          <w:rPr>
            <w:rFonts w:asciiTheme="minorHAnsi" w:hAnsiTheme="minorHAnsi" w:cstheme="minorHAnsi"/>
            <w:noProof/>
            <w:webHidden/>
            <w:sz w:val="22"/>
            <w:szCs w:val="22"/>
            <w:rtl/>
          </w:rPr>
          <w:instrText xml:space="preserve"> _</w:instrText>
        </w:r>
        <w:r w:rsidR="008166C7" w:rsidRPr="008166C7">
          <w:rPr>
            <w:rFonts w:asciiTheme="minorHAnsi" w:hAnsiTheme="minorHAnsi" w:cstheme="minorHAnsi"/>
            <w:noProof/>
            <w:webHidden/>
            <w:sz w:val="22"/>
            <w:szCs w:val="22"/>
          </w:rPr>
          <w:instrText>Toc109030429 \h</w:instrText>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tl/>
          </w:rPr>
        </w:r>
        <w:r w:rsidR="008166C7" w:rsidRPr="008166C7">
          <w:rPr>
            <w:rFonts w:asciiTheme="minorHAnsi" w:hAnsiTheme="minorHAnsi" w:cstheme="minorHAnsi"/>
            <w:noProof/>
            <w:webHidden/>
            <w:sz w:val="22"/>
            <w:szCs w:val="22"/>
            <w:rtl/>
          </w:rPr>
          <w:fldChar w:fldCharType="separate"/>
        </w:r>
        <w:r w:rsidR="00BE57BB">
          <w:rPr>
            <w:rFonts w:asciiTheme="minorHAnsi" w:hAnsiTheme="minorHAnsi" w:cstheme="minorHAnsi"/>
            <w:noProof/>
            <w:webHidden/>
            <w:sz w:val="22"/>
            <w:szCs w:val="22"/>
            <w:rtl/>
          </w:rPr>
          <w:t>25</w:t>
        </w:r>
        <w:r w:rsidR="008166C7" w:rsidRPr="008166C7">
          <w:rPr>
            <w:rFonts w:asciiTheme="minorHAnsi" w:hAnsiTheme="minorHAnsi" w:cstheme="minorHAnsi"/>
            <w:noProof/>
            <w:webHidden/>
            <w:sz w:val="22"/>
            <w:szCs w:val="22"/>
            <w:rtl/>
          </w:rPr>
          <w:fldChar w:fldCharType="end"/>
        </w:r>
      </w:hyperlink>
    </w:p>
    <w:p w14:paraId="78D34E03" w14:textId="74F7D8CA" w:rsidR="008166C7" w:rsidRPr="008166C7" w:rsidRDefault="000A0201" w:rsidP="00C05E1B">
      <w:pPr>
        <w:pStyle w:val="TOC3"/>
        <w:spacing w:after="0"/>
        <w:rPr>
          <w:rFonts w:asciiTheme="minorHAnsi" w:eastAsiaTheme="minorEastAsia" w:hAnsiTheme="minorHAnsi" w:cstheme="minorHAnsi"/>
          <w:noProof/>
          <w:sz w:val="22"/>
          <w:szCs w:val="22"/>
          <w:rtl/>
        </w:rPr>
      </w:pPr>
      <w:hyperlink w:anchor="_Toc109030430" w:history="1">
        <w:r w:rsidR="008166C7" w:rsidRPr="008166C7">
          <w:rPr>
            <w:rStyle w:val="Hyperlink"/>
            <w:rFonts w:asciiTheme="minorHAnsi" w:hAnsiTheme="minorHAnsi" w:cstheme="minorHAnsi"/>
            <w:b/>
            <w:i/>
            <w:iCs/>
            <w:noProof/>
            <w:sz w:val="22"/>
            <w:szCs w:val="22"/>
            <w:rtl/>
            <w:lang w:val="it-IT"/>
          </w:rPr>
          <w:t>أشكال التعبير الثقافي التقليدي السرية</w:t>
        </w:r>
        <w:r w:rsidR="008166C7" w:rsidRPr="008166C7">
          <w:rPr>
            <w:rFonts w:asciiTheme="minorHAnsi" w:hAnsiTheme="minorHAnsi" w:cstheme="minorHAnsi"/>
            <w:noProof/>
            <w:webHidden/>
            <w:sz w:val="22"/>
            <w:szCs w:val="22"/>
            <w:rtl/>
          </w:rPr>
          <w:tab/>
        </w:r>
        <w:r w:rsidR="008166C7" w:rsidRPr="008166C7">
          <w:rPr>
            <w:rFonts w:asciiTheme="minorHAnsi" w:hAnsiTheme="minorHAnsi" w:cstheme="minorHAnsi"/>
            <w:noProof/>
            <w:webHidden/>
            <w:sz w:val="22"/>
            <w:szCs w:val="22"/>
            <w:rtl/>
          </w:rPr>
          <w:fldChar w:fldCharType="begin"/>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Pr>
          <w:instrText>PAGEREF</w:instrText>
        </w:r>
        <w:r w:rsidR="008166C7" w:rsidRPr="008166C7">
          <w:rPr>
            <w:rFonts w:asciiTheme="minorHAnsi" w:hAnsiTheme="minorHAnsi" w:cstheme="minorHAnsi"/>
            <w:noProof/>
            <w:webHidden/>
            <w:sz w:val="22"/>
            <w:szCs w:val="22"/>
            <w:rtl/>
          </w:rPr>
          <w:instrText xml:space="preserve"> _</w:instrText>
        </w:r>
        <w:r w:rsidR="008166C7" w:rsidRPr="008166C7">
          <w:rPr>
            <w:rFonts w:asciiTheme="minorHAnsi" w:hAnsiTheme="minorHAnsi" w:cstheme="minorHAnsi"/>
            <w:noProof/>
            <w:webHidden/>
            <w:sz w:val="22"/>
            <w:szCs w:val="22"/>
          </w:rPr>
          <w:instrText>Toc109030430 \h</w:instrText>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tl/>
          </w:rPr>
        </w:r>
        <w:r w:rsidR="008166C7" w:rsidRPr="008166C7">
          <w:rPr>
            <w:rFonts w:asciiTheme="minorHAnsi" w:hAnsiTheme="minorHAnsi" w:cstheme="minorHAnsi"/>
            <w:noProof/>
            <w:webHidden/>
            <w:sz w:val="22"/>
            <w:szCs w:val="22"/>
            <w:rtl/>
          </w:rPr>
          <w:fldChar w:fldCharType="separate"/>
        </w:r>
        <w:r w:rsidR="00BE57BB">
          <w:rPr>
            <w:rFonts w:asciiTheme="minorHAnsi" w:hAnsiTheme="minorHAnsi" w:cstheme="minorHAnsi"/>
            <w:noProof/>
            <w:webHidden/>
            <w:sz w:val="22"/>
            <w:szCs w:val="22"/>
            <w:rtl/>
          </w:rPr>
          <w:t>25</w:t>
        </w:r>
        <w:r w:rsidR="008166C7" w:rsidRPr="008166C7">
          <w:rPr>
            <w:rFonts w:asciiTheme="minorHAnsi" w:hAnsiTheme="minorHAnsi" w:cstheme="minorHAnsi"/>
            <w:noProof/>
            <w:webHidden/>
            <w:sz w:val="22"/>
            <w:szCs w:val="22"/>
            <w:rtl/>
          </w:rPr>
          <w:fldChar w:fldCharType="end"/>
        </w:r>
      </w:hyperlink>
    </w:p>
    <w:p w14:paraId="5D64AFBD" w14:textId="70467EA0" w:rsidR="008166C7" w:rsidRDefault="000A0201" w:rsidP="00C05E1B">
      <w:pPr>
        <w:pStyle w:val="TOC3"/>
        <w:spacing w:after="0"/>
        <w:ind w:left="562"/>
        <w:rPr>
          <w:rFonts w:asciiTheme="minorHAnsi" w:eastAsiaTheme="minorEastAsia" w:hAnsiTheme="minorHAnsi" w:cstheme="minorBidi"/>
          <w:noProof/>
          <w:sz w:val="22"/>
          <w:szCs w:val="22"/>
          <w:rtl/>
        </w:rPr>
      </w:pPr>
      <w:hyperlink w:anchor="_Toc109030431" w:history="1">
        <w:r w:rsidR="008166C7" w:rsidRPr="008166C7">
          <w:rPr>
            <w:rStyle w:val="Hyperlink"/>
            <w:rFonts w:asciiTheme="minorHAnsi" w:hAnsiTheme="minorHAnsi" w:cstheme="minorHAnsi"/>
            <w:b/>
            <w:i/>
            <w:iCs/>
            <w:noProof/>
            <w:sz w:val="22"/>
            <w:szCs w:val="22"/>
            <w:rtl/>
            <w:lang w:val="it-IT"/>
          </w:rPr>
          <w:t>الأسماء والكلمات والرموز الأصلية والتقليدية</w:t>
        </w:r>
        <w:r w:rsidR="008166C7" w:rsidRPr="008166C7">
          <w:rPr>
            <w:rFonts w:asciiTheme="minorHAnsi" w:hAnsiTheme="minorHAnsi" w:cstheme="minorHAnsi"/>
            <w:noProof/>
            <w:webHidden/>
            <w:sz w:val="22"/>
            <w:szCs w:val="22"/>
            <w:rtl/>
          </w:rPr>
          <w:tab/>
        </w:r>
        <w:r w:rsidR="008166C7" w:rsidRPr="008166C7">
          <w:rPr>
            <w:rFonts w:asciiTheme="minorHAnsi" w:hAnsiTheme="minorHAnsi" w:cstheme="minorHAnsi"/>
            <w:noProof/>
            <w:webHidden/>
            <w:sz w:val="22"/>
            <w:szCs w:val="22"/>
            <w:rtl/>
          </w:rPr>
          <w:fldChar w:fldCharType="begin"/>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Pr>
          <w:instrText>PAGEREF</w:instrText>
        </w:r>
        <w:r w:rsidR="008166C7" w:rsidRPr="008166C7">
          <w:rPr>
            <w:rFonts w:asciiTheme="minorHAnsi" w:hAnsiTheme="minorHAnsi" w:cstheme="minorHAnsi"/>
            <w:noProof/>
            <w:webHidden/>
            <w:sz w:val="22"/>
            <w:szCs w:val="22"/>
            <w:rtl/>
          </w:rPr>
          <w:instrText xml:space="preserve"> _</w:instrText>
        </w:r>
        <w:r w:rsidR="008166C7" w:rsidRPr="008166C7">
          <w:rPr>
            <w:rFonts w:asciiTheme="minorHAnsi" w:hAnsiTheme="minorHAnsi" w:cstheme="minorHAnsi"/>
            <w:noProof/>
            <w:webHidden/>
            <w:sz w:val="22"/>
            <w:szCs w:val="22"/>
          </w:rPr>
          <w:instrText>Toc109030431 \h</w:instrText>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tl/>
          </w:rPr>
        </w:r>
        <w:r w:rsidR="008166C7" w:rsidRPr="008166C7">
          <w:rPr>
            <w:rFonts w:asciiTheme="minorHAnsi" w:hAnsiTheme="minorHAnsi" w:cstheme="minorHAnsi"/>
            <w:noProof/>
            <w:webHidden/>
            <w:sz w:val="22"/>
            <w:szCs w:val="22"/>
            <w:rtl/>
          </w:rPr>
          <w:fldChar w:fldCharType="separate"/>
        </w:r>
        <w:r w:rsidR="00BE57BB">
          <w:rPr>
            <w:rFonts w:asciiTheme="minorHAnsi" w:hAnsiTheme="minorHAnsi" w:cstheme="minorHAnsi"/>
            <w:noProof/>
            <w:webHidden/>
            <w:sz w:val="22"/>
            <w:szCs w:val="22"/>
            <w:rtl/>
          </w:rPr>
          <w:t>25</w:t>
        </w:r>
        <w:r w:rsidR="008166C7" w:rsidRPr="008166C7">
          <w:rPr>
            <w:rFonts w:asciiTheme="minorHAnsi" w:hAnsiTheme="minorHAnsi" w:cstheme="minorHAnsi"/>
            <w:noProof/>
            <w:webHidden/>
            <w:sz w:val="22"/>
            <w:szCs w:val="22"/>
            <w:rtl/>
          </w:rPr>
          <w:fldChar w:fldCharType="end"/>
        </w:r>
      </w:hyperlink>
    </w:p>
    <w:p w14:paraId="2C5470B1" w14:textId="77777777" w:rsidR="007E34E6" w:rsidRPr="007E34E6" w:rsidRDefault="0095258F" w:rsidP="00C05E1B">
      <w:pPr>
        <w:pStyle w:val="Heading1"/>
        <w:spacing w:after="0"/>
        <w:rPr>
          <w:lang w:bidi="ar-EG"/>
        </w:rPr>
      </w:pPr>
      <w:r w:rsidRPr="0095258F">
        <w:rPr>
          <w:lang w:bidi="ar-EG"/>
        </w:rPr>
        <w:fldChar w:fldCharType="end"/>
      </w:r>
      <w:r w:rsidRPr="0095258F">
        <w:rPr>
          <w:lang w:val="it-IT" w:bidi="ar-EG"/>
        </w:rPr>
        <w:br w:type="page"/>
      </w:r>
      <w:bookmarkStart w:id="18" w:name="_Toc520405356"/>
      <w:bookmarkStart w:id="19" w:name="_Toc109030378"/>
      <w:r w:rsidR="007E34E6" w:rsidRPr="00563313">
        <w:rPr>
          <w:rFonts w:hint="cs"/>
          <w:sz w:val="24"/>
          <w:szCs w:val="24"/>
          <w:rtl/>
          <w:lang w:val="it-IT"/>
        </w:rPr>
        <w:lastRenderedPageBreak/>
        <w:t>أولا.</w:t>
      </w:r>
      <w:r w:rsidR="007E34E6" w:rsidRPr="00563313">
        <w:rPr>
          <w:sz w:val="24"/>
          <w:szCs w:val="24"/>
          <w:lang w:bidi="ar-EG"/>
        </w:rPr>
        <w:tab/>
      </w:r>
      <w:r w:rsidR="007E34E6" w:rsidRPr="00563313">
        <w:rPr>
          <w:rFonts w:hint="cs"/>
          <w:sz w:val="24"/>
          <w:szCs w:val="24"/>
          <w:rtl/>
          <w:lang w:val="it-IT"/>
        </w:rPr>
        <w:t>المراجع والمواد الأخرى المستخدمة من أجل إعداد هذا التحليل</w:t>
      </w:r>
      <w:bookmarkEnd w:id="18"/>
      <w:bookmarkEnd w:id="19"/>
    </w:p>
    <w:p w14:paraId="3E73FCE2" w14:textId="5B74BD2E" w:rsidR="007E34E6" w:rsidRPr="009B4A92" w:rsidRDefault="007E34E6" w:rsidP="001A7DDC">
      <w:pPr>
        <w:pStyle w:val="ONUMA"/>
        <w:numPr>
          <w:ilvl w:val="0"/>
          <w:numId w:val="0"/>
        </w:numPr>
        <w:rPr>
          <w:rtl/>
          <w:lang w:val="it-IT" w:bidi="ar-EG"/>
        </w:rPr>
      </w:pPr>
      <w:r w:rsidRPr="009B4A92">
        <w:rPr>
          <w:rFonts w:hint="cs"/>
          <w:rtl/>
          <w:lang w:val="it-IT" w:bidi="ar-EG"/>
        </w:rPr>
        <w:t xml:space="preserve">لقد استُقيت معظم المعلومات التي تتضمنها هذه الوثيقة من وثائق سابقة للجنة </w:t>
      </w:r>
      <w:r w:rsidRPr="009F15B7">
        <w:rPr>
          <w:rFonts w:hint="cs"/>
          <w:rtl/>
          <w:lang w:val="it-IT" w:bidi="ar-EG"/>
        </w:rPr>
        <w:t>الحكومية الدولية</w:t>
      </w:r>
      <w:r w:rsidRPr="009F15B7">
        <w:rPr>
          <w:vertAlign w:val="superscript"/>
          <w:rtl/>
          <w:lang w:val="it-IT" w:bidi="ar-EG"/>
        </w:rPr>
        <w:footnoteReference w:id="5"/>
      </w:r>
      <w:r w:rsidR="009B4A92" w:rsidRPr="009F15B7">
        <w:rPr>
          <w:rFonts w:cs="Times New Roman" w:hint="cs"/>
          <w:rtl/>
          <w:lang w:val="it-IT" w:bidi="ar-EG"/>
        </w:rPr>
        <w:t xml:space="preserve">، </w:t>
      </w:r>
      <w:r w:rsidRPr="009F15B7">
        <w:rPr>
          <w:rFonts w:hint="cs"/>
          <w:rtl/>
          <w:lang w:val="it-IT" w:bidi="ar-EG"/>
        </w:rPr>
        <w:t>وغيرها من</w:t>
      </w:r>
      <w:r w:rsidRPr="009B4A92">
        <w:rPr>
          <w:rFonts w:hint="cs"/>
          <w:rtl/>
          <w:lang w:val="it-IT" w:bidi="ar-EG"/>
        </w:rPr>
        <w:t xml:space="preserve"> المنشورات والمواد التي كُتبت سابقا لأغراض عمل اللجنة الحكومية الدولية</w:t>
      </w:r>
      <w:r w:rsidRPr="007E34E6">
        <w:rPr>
          <w:vertAlign w:val="superscript"/>
          <w:rtl/>
          <w:lang w:val="it-IT" w:bidi="ar-EG"/>
        </w:rPr>
        <w:footnoteReference w:id="6"/>
      </w:r>
      <w:r w:rsidRPr="009B4A92">
        <w:rPr>
          <w:rFonts w:hint="cs"/>
          <w:rtl/>
          <w:lang w:val="it-IT" w:bidi="ar-EG"/>
        </w:rPr>
        <w:t xml:space="preserve">. ويُسترعى الانتباه بوجه خاص إلى الوثيقة </w:t>
      </w:r>
      <w:r w:rsidRPr="007E34E6">
        <w:rPr>
          <w:lang w:bidi="ar-EG"/>
        </w:rPr>
        <w:t>WIPO/GRTKF/IC/6/3</w:t>
      </w:r>
      <w:r w:rsidRPr="009B4A92">
        <w:rPr>
          <w:rFonts w:hint="cs"/>
          <w:rtl/>
          <w:lang w:val="it-IT" w:bidi="ar-EG"/>
        </w:rPr>
        <w:t>. وهذه الوثائق والمواد جميعها متاحة على موقع الويبو على الإنترنت</w:t>
      </w:r>
      <w:r w:rsidR="001A7DDC">
        <w:rPr>
          <w:rFonts w:hint="cs"/>
          <w:rtl/>
          <w:lang w:val="it-IT" w:bidi="ar-EG"/>
        </w:rPr>
        <w:t xml:space="preserve"> </w:t>
      </w:r>
      <w:hyperlink r:id="rId13" w:history="1">
        <w:r w:rsidR="001A7DDC" w:rsidRPr="002531C5">
          <w:rPr>
            <w:rStyle w:val="Hyperlink"/>
            <w:lang w:bidi="ar-EG"/>
          </w:rPr>
          <w:t>https://www.wipo.int/tk/en/folklore/</w:t>
        </w:r>
      </w:hyperlink>
      <w:r w:rsidRPr="009B4A92">
        <w:rPr>
          <w:rFonts w:hint="cs"/>
          <w:rtl/>
          <w:lang w:val="it-IT" w:bidi="ar-EG"/>
        </w:rPr>
        <w:t>. واستعين أيضا بالعديد من المنشورات والوثائق والمقالات الأخرى.</w:t>
      </w:r>
      <w:r w:rsidRPr="007E34E6">
        <w:rPr>
          <w:vertAlign w:val="superscript"/>
          <w:rtl/>
          <w:lang w:val="it-IT" w:bidi="ar-EG"/>
        </w:rPr>
        <w:footnoteReference w:id="7"/>
      </w:r>
    </w:p>
    <w:p w14:paraId="02B947FE" w14:textId="77777777" w:rsidR="007E34E6" w:rsidRPr="00563313" w:rsidRDefault="007E34E6" w:rsidP="00563313">
      <w:pPr>
        <w:pStyle w:val="Heading1"/>
        <w:spacing w:after="220"/>
        <w:rPr>
          <w:sz w:val="24"/>
          <w:szCs w:val="24"/>
          <w:rtl/>
          <w:lang w:val="it-IT" w:bidi="ar-EG"/>
        </w:rPr>
      </w:pPr>
      <w:bookmarkStart w:id="21" w:name="_Toc520405357"/>
      <w:bookmarkStart w:id="22" w:name="_Toc109030379"/>
      <w:r w:rsidRPr="00563313">
        <w:rPr>
          <w:rFonts w:hint="cs"/>
          <w:sz w:val="24"/>
          <w:szCs w:val="24"/>
          <w:rtl/>
          <w:lang w:val="it-IT" w:bidi="ar-EG"/>
        </w:rPr>
        <w:t>ثانيا.</w:t>
      </w:r>
      <w:r w:rsidRPr="00563313">
        <w:rPr>
          <w:sz w:val="24"/>
          <w:szCs w:val="24"/>
          <w:lang w:bidi="ar-EG"/>
        </w:rPr>
        <w:tab/>
      </w:r>
      <w:r w:rsidRPr="00563313">
        <w:rPr>
          <w:sz w:val="24"/>
          <w:szCs w:val="24"/>
          <w:rtl/>
          <w:lang w:val="it-IT" w:bidi="ar-EG"/>
        </w:rPr>
        <w:t xml:space="preserve">التعاريف العملية </w:t>
      </w:r>
      <w:r w:rsidRPr="00563313">
        <w:rPr>
          <w:rFonts w:hint="cs"/>
          <w:sz w:val="24"/>
          <w:szCs w:val="24"/>
          <w:rtl/>
          <w:lang w:val="it-IT" w:bidi="ar-EG"/>
        </w:rPr>
        <w:t>وغيرها</w:t>
      </w:r>
      <w:r w:rsidRPr="00563313">
        <w:rPr>
          <w:sz w:val="24"/>
          <w:szCs w:val="24"/>
          <w:rtl/>
          <w:lang w:val="it-IT" w:bidi="ar-EG"/>
        </w:rPr>
        <w:t xml:space="preserve"> من الأسس المعتمد عليها في عملية التحليل</w:t>
      </w:r>
      <w:bookmarkEnd w:id="21"/>
      <w:bookmarkEnd w:id="22"/>
    </w:p>
    <w:p w14:paraId="190B7F3E" w14:textId="77777777" w:rsidR="007E34E6" w:rsidRPr="00563313" w:rsidRDefault="007E34E6" w:rsidP="00563313">
      <w:pPr>
        <w:pStyle w:val="Heading2"/>
        <w:spacing w:before="220"/>
        <w:rPr>
          <w:b/>
          <w:bCs w:val="0"/>
          <w:sz w:val="22"/>
          <w:szCs w:val="22"/>
          <w:u w:val="single"/>
          <w:rtl/>
          <w:lang w:val="it-IT" w:bidi="ar-EG"/>
        </w:rPr>
      </w:pPr>
      <w:bookmarkStart w:id="23" w:name="_Toc520405358"/>
      <w:bookmarkStart w:id="24" w:name="_Toc109030380"/>
      <w:r w:rsidRPr="00563313">
        <w:rPr>
          <w:rFonts w:hint="cs"/>
          <w:b/>
          <w:bCs w:val="0"/>
          <w:sz w:val="22"/>
          <w:szCs w:val="22"/>
          <w:u w:val="single"/>
          <w:rtl/>
          <w:lang w:val="it-IT" w:bidi="ar-EG"/>
        </w:rPr>
        <w:t>أشكال التعبير الثقافي التقليدي</w:t>
      </w:r>
      <w:bookmarkEnd w:id="23"/>
      <w:bookmarkEnd w:id="24"/>
    </w:p>
    <w:p w14:paraId="691D2831" w14:textId="77777777" w:rsidR="007E34E6" w:rsidRPr="007E34E6" w:rsidRDefault="007E34E6" w:rsidP="00563313">
      <w:pPr>
        <w:pStyle w:val="ONUMA"/>
        <w:rPr>
          <w:rtl/>
          <w:lang w:val="it-IT" w:bidi="ar-EG"/>
        </w:rPr>
      </w:pPr>
      <w:r w:rsidRPr="007E34E6">
        <w:rPr>
          <w:rFonts w:hint="cs"/>
          <w:rtl/>
          <w:lang w:val="it-IT" w:bidi="ar-EG"/>
        </w:rPr>
        <w:t>ليس هناك من تعريف محدد أو مقبول دوليا لمصطلح "التعبير الثقافي التقليدي" أو "التعبير الفولكلوري" (سيُستخدم المصطلحان مترادفين في هذه الوثيقة). ومع ذلك تكثر التعاريف في القوانين الوطنية والإقليمية والصكوك الدولية.</w:t>
      </w:r>
      <w:r w:rsidRPr="007E34E6">
        <w:rPr>
          <w:vertAlign w:val="superscript"/>
          <w:rtl/>
          <w:lang w:val="it-IT" w:bidi="ar-EG"/>
        </w:rPr>
        <w:footnoteReference w:id="8"/>
      </w:r>
    </w:p>
    <w:p w14:paraId="1E9BD943" w14:textId="77777777" w:rsidR="007E34E6" w:rsidRPr="007E34E6" w:rsidRDefault="007E34E6" w:rsidP="00563313">
      <w:pPr>
        <w:pStyle w:val="ONUMA"/>
        <w:rPr>
          <w:rtl/>
          <w:lang w:val="it-IT" w:bidi="ar-EG"/>
        </w:rPr>
      </w:pPr>
      <w:r w:rsidRPr="007E34E6">
        <w:rPr>
          <w:rFonts w:hint="cs"/>
          <w:rtl/>
          <w:lang w:val="it-IT" w:bidi="ar-EG"/>
        </w:rPr>
        <w:t>ولطالما كان تعريف موضوع الحماية واحدا من التحديات الأهم المتصلة بحماية أشكال التعبير الثقافي التقليدي. ويمكن للطريقة التي تُعرَّف بها هذه الأشكال من التعبير أن تحدد إلى أي مدى وبأية طريقة يمكن حمايتها بالملكية الفكرية. وإذا كان مشروع التحليل هذا لا يسعى إلى اقتراح تعريف محدد لأشكال التعبير الثقافي التقليدي، فإن بعض الفهم لما يعنيه هذا المصطلح ضروري لإعداد التحليل.</w:t>
      </w:r>
    </w:p>
    <w:p w14:paraId="5BEAA3AC" w14:textId="77777777" w:rsidR="007E34E6" w:rsidRPr="007E34E6" w:rsidRDefault="007E34E6" w:rsidP="00563313">
      <w:pPr>
        <w:pStyle w:val="ONUMA"/>
        <w:rPr>
          <w:rtl/>
          <w:lang w:val="it-IT" w:bidi="ar-EG"/>
        </w:rPr>
      </w:pPr>
      <w:r w:rsidRPr="007E34E6">
        <w:rPr>
          <w:rFonts w:hint="cs"/>
          <w:rtl/>
          <w:lang w:val="it-IT" w:bidi="ar-EG"/>
        </w:rPr>
        <w:t>وبالتالي فإن الهدف من هذه الوثيقة ليس هو اقتراح تعريف واحد أو حتى اقتراح أن وجود تعريف ضروري على المستوى الدولي، وهو الأمر الذي تختلف فيه آراء المشاركين في اللجنة الحكومية الدولية. لكن، لأغراض هذا التحليل فقط، من المفيد حصر ما يُقصد بمصطلح "التعبير الثقافي التقليدي".</w:t>
      </w:r>
    </w:p>
    <w:p w14:paraId="5395F080" w14:textId="77777777" w:rsidR="007E34E6" w:rsidRPr="00563313" w:rsidRDefault="007E34E6" w:rsidP="00563313">
      <w:pPr>
        <w:pStyle w:val="Heading3"/>
        <w:spacing w:after="220"/>
        <w:rPr>
          <w:b/>
          <w:bCs w:val="0"/>
          <w:i/>
          <w:iCs/>
          <w:sz w:val="22"/>
          <w:szCs w:val="22"/>
          <w:u w:val="none"/>
          <w:rtl/>
          <w:lang w:val="it-IT" w:bidi="ar-EG"/>
        </w:rPr>
      </w:pPr>
      <w:bookmarkStart w:id="25" w:name="_Toc520405359"/>
      <w:bookmarkStart w:id="26" w:name="_Toc109030381"/>
      <w:r w:rsidRPr="00563313">
        <w:rPr>
          <w:rFonts w:hint="cs"/>
          <w:b/>
          <w:bCs w:val="0"/>
          <w:i/>
          <w:iCs/>
          <w:sz w:val="22"/>
          <w:szCs w:val="22"/>
          <w:u w:val="none"/>
          <w:rtl/>
          <w:lang w:val="it-IT" w:bidi="ar-EG"/>
        </w:rPr>
        <w:t>سمات أشكال التعبير الثقافي التقليدي</w:t>
      </w:r>
      <w:bookmarkEnd w:id="25"/>
      <w:bookmarkEnd w:id="26"/>
    </w:p>
    <w:p w14:paraId="3A38315F" w14:textId="77777777" w:rsidR="007E34E6" w:rsidRPr="007E34E6" w:rsidRDefault="007E34E6" w:rsidP="0083549D">
      <w:pPr>
        <w:pStyle w:val="ONUMA"/>
        <w:rPr>
          <w:rtl/>
          <w:lang w:val="it-IT" w:bidi="ar-EG"/>
        </w:rPr>
      </w:pPr>
      <w:r w:rsidRPr="007E34E6">
        <w:rPr>
          <w:rFonts w:hint="cs"/>
          <w:rtl/>
          <w:lang w:val="it-IT" w:bidi="ar-EG"/>
        </w:rPr>
        <w:t>لقد نوقشت سمات أشكال التعبير الثقافي التقليدي مناقشة مستفيضة في وثائق ومواد سابقة.</w:t>
      </w:r>
      <w:r w:rsidRPr="007E34E6">
        <w:rPr>
          <w:vertAlign w:val="superscript"/>
          <w:rtl/>
          <w:lang w:val="it-IT" w:bidi="ar-EG"/>
        </w:rPr>
        <w:footnoteReference w:id="9"/>
      </w:r>
    </w:p>
    <w:p w14:paraId="18CADF4F" w14:textId="77777777" w:rsidR="007E34E6" w:rsidRPr="007E34E6" w:rsidRDefault="007E34E6" w:rsidP="0083549D">
      <w:pPr>
        <w:pStyle w:val="ONUMA"/>
        <w:rPr>
          <w:rtl/>
          <w:lang w:val="it-IT" w:bidi="ar-EG"/>
        </w:rPr>
      </w:pPr>
      <w:r w:rsidRPr="007E34E6">
        <w:rPr>
          <w:rFonts w:hint="cs"/>
          <w:rtl/>
          <w:lang w:val="it-IT" w:bidi="ar-EG"/>
        </w:rPr>
        <w:t xml:space="preserve">ولأغراض هذا التحليل، يمكن التذكير بنقطتين. أولا، يمكن أن تشمل أشكال التعبير الثقافي التقليدي مواد موجودة من قبل ترجع إلى الماضي البعيد ومن صنع "مؤلفين مجهولين" </w:t>
      </w:r>
      <w:r w:rsidRPr="007E34E6">
        <w:rPr>
          <w:rFonts w:hint="cs"/>
          <w:rtl/>
          <w:lang w:val="it-IT"/>
        </w:rPr>
        <w:t>و</w:t>
      </w:r>
      <w:r w:rsidRPr="007E34E6">
        <w:rPr>
          <w:rFonts w:hint="cs"/>
          <w:rtl/>
          <w:lang w:val="it-IT" w:bidi="ar-EG"/>
        </w:rPr>
        <w:t xml:space="preserve">تصل إلى أحدث أشكال التعبير عن الثقافات التقليدية وأكثرها معاصرة، مرورا بعدد لا يحصى من عمليات تدريجية وتطورية من التحوير والتقليد والتنشيط والإحياء وإعادة الإبداع. وتخضع أشكال التعبير الثقافي التقليدي، التي تشكل جزءا من التراث الحي، لإعادة الإبداع بشكل متواصل على يد المجتمعات المحلية والمجموعات تجاوبا مع بيئتها وتفاعلها مع الطبيعة وتاريخها، وتمنح هذه المجتمعات والمجموعات إحساسا بالهوية والاستمرار. وبالتالي يمكن التفريق بين أشكال التعبير الثقافي التقليدي الموجودة من قبل والأشكال المعاصرة لأدائها وتحويرها. </w:t>
      </w:r>
    </w:p>
    <w:p w14:paraId="39E58C5A" w14:textId="77777777" w:rsidR="007E34E6" w:rsidRPr="007E34E6" w:rsidRDefault="007E34E6" w:rsidP="0083549D">
      <w:pPr>
        <w:pStyle w:val="ONUMA"/>
        <w:rPr>
          <w:rtl/>
          <w:lang w:val="it-IT" w:bidi="ar-EG"/>
        </w:rPr>
      </w:pPr>
      <w:r w:rsidRPr="007E34E6">
        <w:rPr>
          <w:rFonts w:hint="cs"/>
          <w:rtl/>
          <w:lang w:val="it-IT" w:bidi="ar-EG"/>
        </w:rPr>
        <w:t>ثانيا، إذا كان الإبداع التقليدي تفاعلا حيويا بين الإبداع الجماعي والفردي، فإن السمة المميزة للأعمال الإبداعية "التقليدية" هي أنها تعرِّفنا على تقليد حي ومجتمع محلي ما زال يحافظ عليه ويمارسه. وحتى عندما ينجز فرد إبداعا قائما على التقاليد داخل سياقه العرفي، فإن هذا الإبداع لا يكون</w:t>
      </w:r>
      <w:r w:rsidRPr="007E34E6">
        <w:rPr>
          <w:lang w:bidi="ar-EG"/>
        </w:rPr>
        <w:t xml:space="preserve"> </w:t>
      </w:r>
      <w:r w:rsidRPr="007E34E6">
        <w:rPr>
          <w:rFonts w:hint="cs"/>
          <w:rtl/>
          <w:lang w:val="it-IT" w:bidi="ar-EG"/>
        </w:rPr>
        <w:t>"ملكا" له بل يدخل في إطار مفهوم مشترك للمسؤولية والهوية والائتمان على صعيد المجتمع. وهذا هو ما يسم إبداعا كهذا بالطابع "التقليدي".</w:t>
      </w:r>
    </w:p>
    <w:p w14:paraId="36462A71" w14:textId="77777777" w:rsidR="007E34E6" w:rsidRPr="007E34E6" w:rsidRDefault="007E34E6" w:rsidP="0083549D">
      <w:pPr>
        <w:pStyle w:val="ONUMA"/>
        <w:rPr>
          <w:rtl/>
          <w:lang w:val="it-IT" w:bidi="ar-EG"/>
        </w:rPr>
      </w:pPr>
      <w:r w:rsidRPr="007E34E6">
        <w:rPr>
          <w:rFonts w:hint="cs"/>
          <w:rtl/>
          <w:lang w:val="it-IT" w:bidi="ar-EG"/>
        </w:rPr>
        <w:t>وبإيجاز، فإن أشكال التعبير الثقافي التقليدي عموما:</w:t>
      </w:r>
    </w:p>
    <w:p w14:paraId="3CD71169" w14:textId="2D62AFEA" w:rsidR="007E34E6" w:rsidRPr="007E34E6" w:rsidRDefault="0083549D" w:rsidP="00CA24DF">
      <w:pPr>
        <w:pStyle w:val="BodyText"/>
        <w:spacing w:after="120"/>
        <w:ind w:left="1134"/>
        <w:rPr>
          <w:rtl/>
          <w:lang w:val="it-IT" w:bidi="ar-EG"/>
        </w:rPr>
      </w:pPr>
      <w:r>
        <w:rPr>
          <w:rFonts w:hint="cs"/>
          <w:rtl/>
          <w:lang w:val="it-IT" w:bidi="ar-EG"/>
        </w:rPr>
        <w:lastRenderedPageBreak/>
        <w:t>(</w:t>
      </w:r>
      <w:r w:rsidR="00E973B2">
        <w:rPr>
          <w:rFonts w:hint="cs"/>
          <w:rtl/>
          <w:lang w:val="it-IT" w:bidi="ar-EG"/>
        </w:rPr>
        <w:t>أ</w:t>
      </w:r>
      <w:r>
        <w:rPr>
          <w:rFonts w:hint="cs"/>
          <w:rtl/>
          <w:lang w:val="it-IT" w:bidi="ar-EG"/>
        </w:rPr>
        <w:t>)</w:t>
      </w:r>
      <w:r>
        <w:rPr>
          <w:rFonts w:hint="cs"/>
          <w:rtl/>
          <w:lang w:val="it-IT" w:bidi="ar-EG"/>
        </w:rPr>
        <w:tab/>
      </w:r>
      <w:r w:rsidR="007E34E6" w:rsidRPr="007E34E6">
        <w:rPr>
          <w:rFonts w:hint="cs"/>
          <w:rtl/>
          <w:lang w:val="it-IT" w:bidi="ar-EG"/>
        </w:rPr>
        <w:t>هي ثمار نشاط فكري إبداعي،</w:t>
      </w:r>
    </w:p>
    <w:p w14:paraId="21C3B340" w14:textId="05EB565D" w:rsidR="007E34E6" w:rsidRPr="007E34E6" w:rsidRDefault="0083549D" w:rsidP="00CA24DF">
      <w:pPr>
        <w:pStyle w:val="BodyText"/>
        <w:spacing w:after="120"/>
        <w:ind w:left="1134"/>
        <w:rPr>
          <w:rtl/>
          <w:lang w:val="it-IT" w:bidi="ar-EG"/>
        </w:rPr>
      </w:pPr>
      <w:r>
        <w:rPr>
          <w:rFonts w:hint="cs"/>
          <w:rtl/>
          <w:lang w:val="it-IT" w:bidi="ar-EG"/>
        </w:rPr>
        <w:t>(ب)</w:t>
      </w:r>
      <w:r>
        <w:rPr>
          <w:rFonts w:hint="cs"/>
          <w:rtl/>
          <w:lang w:val="it-IT" w:bidi="ar-EG"/>
        </w:rPr>
        <w:tab/>
      </w:r>
      <w:r w:rsidR="007E34E6" w:rsidRPr="007E34E6">
        <w:rPr>
          <w:rFonts w:hint="cs"/>
          <w:rtl/>
          <w:lang w:val="it-IT" w:bidi="ar-EG"/>
        </w:rPr>
        <w:t>وينقلها جيل إلى آخر إما شفويا أو عن طريق التقليد،</w:t>
      </w:r>
    </w:p>
    <w:p w14:paraId="6BC06A60" w14:textId="1B7FEDAA" w:rsidR="007E34E6" w:rsidRPr="007E34E6" w:rsidRDefault="0083549D" w:rsidP="00CA24DF">
      <w:pPr>
        <w:pStyle w:val="BodyText"/>
        <w:spacing w:after="120"/>
        <w:ind w:left="1134"/>
        <w:rPr>
          <w:rtl/>
          <w:lang w:val="it-IT" w:bidi="ar-EG"/>
        </w:rPr>
      </w:pPr>
      <w:r>
        <w:rPr>
          <w:rFonts w:hint="cs"/>
          <w:rtl/>
          <w:lang w:val="it-IT" w:bidi="ar-EG"/>
        </w:rPr>
        <w:t>(ج)</w:t>
      </w:r>
      <w:r>
        <w:rPr>
          <w:rFonts w:hint="cs"/>
          <w:rtl/>
          <w:lang w:val="it-IT" w:bidi="ar-EG"/>
        </w:rPr>
        <w:tab/>
      </w:r>
      <w:r w:rsidR="007E34E6" w:rsidRPr="007E34E6">
        <w:rPr>
          <w:rFonts w:hint="cs"/>
          <w:rtl/>
          <w:lang w:val="it-IT" w:bidi="ar-EG"/>
        </w:rPr>
        <w:t>وتعبر عن الهوية الثقافية والاجتماعية لأحد المجتمعات المحلية،</w:t>
      </w:r>
    </w:p>
    <w:p w14:paraId="4FBDD3B1" w14:textId="658004C5" w:rsidR="007E34E6" w:rsidRPr="007E34E6" w:rsidRDefault="00E973B2" w:rsidP="00CA24DF">
      <w:pPr>
        <w:pStyle w:val="BodyText"/>
        <w:spacing w:after="120"/>
        <w:ind w:left="1134"/>
        <w:rPr>
          <w:rtl/>
          <w:lang w:val="it-IT" w:bidi="ar-EG"/>
        </w:rPr>
      </w:pPr>
      <w:r>
        <w:rPr>
          <w:rFonts w:hint="cs"/>
          <w:rtl/>
          <w:lang w:val="it-IT" w:bidi="ar-EG"/>
        </w:rPr>
        <w:t>(د)</w:t>
      </w:r>
      <w:r>
        <w:rPr>
          <w:rFonts w:hint="cs"/>
          <w:rtl/>
          <w:lang w:val="it-IT" w:bidi="ar-EG"/>
        </w:rPr>
        <w:tab/>
      </w:r>
      <w:r w:rsidR="007E34E6" w:rsidRPr="007E34E6">
        <w:rPr>
          <w:rFonts w:hint="cs"/>
          <w:rtl/>
          <w:lang w:val="it-IT" w:bidi="ar-EG"/>
        </w:rPr>
        <w:t xml:space="preserve">وتتكون من عناصر مميزة لتراث أحد المجتمعات المحلية، </w:t>
      </w:r>
      <w:r w:rsidR="007E34E6" w:rsidRPr="007E34E6">
        <w:rPr>
          <w:rFonts w:hint="cs"/>
          <w:rtl/>
          <w:lang w:val="it-IT" w:bidi="ar-EG"/>
        </w:rPr>
        <w:tab/>
        <w:t xml:space="preserve"> </w:t>
      </w:r>
    </w:p>
    <w:p w14:paraId="406F2004" w14:textId="4493BB8D" w:rsidR="007E34E6" w:rsidRPr="007E34E6" w:rsidRDefault="00E973B2" w:rsidP="00CA24DF">
      <w:pPr>
        <w:pStyle w:val="BodyText"/>
        <w:spacing w:after="120"/>
        <w:ind w:left="1689" w:hanging="555"/>
        <w:rPr>
          <w:rtl/>
          <w:lang w:val="it-IT" w:bidi="ar-EG"/>
        </w:rPr>
      </w:pPr>
      <w:r>
        <w:rPr>
          <w:rFonts w:hint="cs"/>
          <w:rtl/>
          <w:lang w:val="it-IT" w:bidi="ar-EG"/>
        </w:rPr>
        <w:t>(ه)</w:t>
      </w:r>
      <w:r>
        <w:rPr>
          <w:rFonts w:hint="cs"/>
          <w:rtl/>
          <w:lang w:val="it-IT" w:bidi="ar-EG"/>
        </w:rPr>
        <w:tab/>
      </w:r>
      <w:r w:rsidR="007E34E6" w:rsidRPr="007E34E6">
        <w:rPr>
          <w:rFonts w:hint="cs"/>
          <w:rtl/>
          <w:lang w:val="it-IT" w:bidi="ar-EG"/>
        </w:rPr>
        <w:t>وهي غالبا من صنع مؤلفين ليسوا معروفين أو ليس من الممكن تحديد أماكنهم و/أو من صنع مجتمعات محلية،</w:t>
      </w:r>
    </w:p>
    <w:p w14:paraId="022C16D1" w14:textId="3C11DC46" w:rsidR="007E34E6" w:rsidRPr="007E34E6" w:rsidRDefault="00E973B2" w:rsidP="00CA24DF">
      <w:pPr>
        <w:pStyle w:val="BodyText"/>
        <w:spacing w:after="120"/>
        <w:ind w:left="1134"/>
        <w:rPr>
          <w:rtl/>
          <w:lang w:val="it-IT" w:bidi="ar-EG"/>
        </w:rPr>
      </w:pPr>
      <w:r>
        <w:rPr>
          <w:rFonts w:hint="cs"/>
          <w:rtl/>
          <w:lang w:val="it-IT" w:bidi="ar-EG"/>
        </w:rPr>
        <w:t>(و)</w:t>
      </w:r>
      <w:r>
        <w:rPr>
          <w:rFonts w:hint="cs"/>
          <w:rtl/>
          <w:lang w:val="it-IT" w:bidi="ar-EG"/>
        </w:rPr>
        <w:tab/>
      </w:r>
      <w:r w:rsidR="007E34E6" w:rsidRPr="007E34E6">
        <w:rPr>
          <w:rFonts w:hint="cs"/>
          <w:rtl/>
          <w:lang w:val="it-IT" w:bidi="ar-EG"/>
        </w:rPr>
        <w:t>وكثيرا ما تُبتدع في البداية لأغراض روحية ودينية،</w:t>
      </w:r>
    </w:p>
    <w:p w14:paraId="70740FD6" w14:textId="793BE356" w:rsidR="007E34E6" w:rsidRPr="007E34E6" w:rsidRDefault="00E973B2" w:rsidP="00CA24DF">
      <w:pPr>
        <w:pStyle w:val="BodyText"/>
        <w:spacing w:after="120"/>
        <w:ind w:left="1134"/>
        <w:rPr>
          <w:rtl/>
          <w:lang w:val="it-IT" w:bidi="ar-EG"/>
        </w:rPr>
      </w:pPr>
      <w:r>
        <w:rPr>
          <w:rFonts w:hint="cs"/>
          <w:rtl/>
          <w:lang w:val="it-IT" w:bidi="ar-EG"/>
        </w:rPr>
        <w:t>(ز)</w:t>
      </w:r>
      <w:r>
        <w:rPr>
          <w:rFonts w:hint="cs"/>
          <w:rtl/>
          <w:lang w:val="it-IT" w:bidi="ar-EG"/>
        </w:rPr>
        <w:tab/>
      </w:r>
      <w:r w:rsidR="007E34E6" w:rsidRPr="007E34E6">
        <w:rPr>
          <w:rFonts w:hint="cs"/>
          <w:rtl/>
          <w:lang w:val="it-IT" w:bidi="ar-EG"/>
        </w:rPr>
        <w:t>وكثيرا ما تستخدم الموارد الطبيعية في ابتداعها ونسخها،</w:t>
      </w:r>
    </w:p>
    <w:p w14:paraId="2F9082A0" w14:textId="048FE77A" w:rsidR="007E34E6" w:rsidRPr="007E34E6" w:rsidRDefault="00E973B2" w:rsidP="0083549D">
      <w:pPr>
        <w:pStyle w:val="BodyText"/>
        <w:ind w:left="1134"/>
        <w:rPr>
          <w:rtl/>
          <w:lang w:val="it-IT" w:bidi="ar-EG"/>
        </w:rPr>
      </w:pPr>
      <w:r>
        <w:rPr>
          <w:rFonts w:hint="cs"/>
          <w:rtl/>
          <w:lang w:val="it-IT" w:bidi="ar-EG"/>
        </w:rPr>
        <w:t>(ح)</w:t>
      </w:r>
      <w:r>
        <w:rPr>
          <w:rFonts w:hint="cs"/>
          <w:rtl/>
          <w:lang w:val="it-IT" w:bidi="ar-EG"/>
        </w:rPr>
        <w:tab/>
      </w:r>
      <w:r w:rsidR="007E34E6" w:rsidRPr="007E34E6">
        <w:rPr>
          <w:rFonts w:hint="cs"/>
          <w:rtl/>
          <w:lang w:val="it-IT" w:bidi="ar-EG"/>
        </w:rPr>
        <w:t>وهي تنمو وتتطور ويعاد إبداعها باستمرار داخل المجتمع المحلي.</w:t>
      </w:r>
    </w:p>
    <w:p w14:paraId="55F004AC" w14:textId="77777777" w:rsidR="007E34E6" w:rsidRPr="007E34E6" w:rsidRDefault="007E34E6" w:rsidP="0083549D">
      <w:pPr>
        <w:pStyle w:val="ONUMA"/>
        <w:rPr>
          <w:rtl/>
          <w:lang w:val="it-IT" w:bidi="ar-EG"/>
        </w:rPr>
      </w:pPr>
      <w:r w:rsidRPr="007E34E6">
        <w:rPr>
          <w:rFonts w:hint="cs"/>
          <w:rtl/>
          <w:lang w:val="it-IT" w:bidi="ar-EG"/>
        </w:rPr>
        <w:t>ويستخدم مصطلح "المجتمع المحلي" في مشروع التحليل هذا، وفقا لما سبق به العمل في الوثائق التي أُعدت للجنة الحكومية الدولية، ليحيل عامة إلى الشعوب الأصلية والمجتمعات التقليدية والمحلية وغيرها من المجتمعات الثقافية. وليس الهدف من استخدام هذه المصطلحات هو الإشارة إلى أي توافق في الآراء بين أعضاء اللجنة بشأن المستفيدين من حماية أشكال التعبير الثقافي التقليدي أو إلى صلاحية أو ملاءمة هذه المصطلحات أو تلك. وإن استخدام هذه المصطلحات لأغراض هذا التحليل لا يؤثر في استخدام مصطلحات أخرى أو يحصره في القوانين والإجراءات الوطنية أو الإقليمية.</w:t>
      </w:r>
    </w:p>
    <w:p w14:paraId="73F01E70" w14:textId="77777777" w:rsidR="007E34E6" w:rsidRPr="00E973B2" w:rsidRDefault="007E34E6" w:rsidP="00E973B2">
      <w:pPr>
        <w:pStyle w:val="Heading3"/>
        <w:spacing w:before="220" w:after="220"/>
        <w:rPr>
          <w:b/>
          <w:bCs w:val="0"/>
          <w:i/>
          <w:iCs/>
          <w:sz w:val="22"/>
          <w:szCs w:val="22"/>
          <w:u w:val="none"/>
          <w:rtl/>
          <w:lang w:val="it-IT" w:bidi="ar-EG"/>
        </w:rPr>
      </w:pPr>
      <w:bookmarkStart w:id="27" w:name="_Toc520405360"/>
      <w:bookmarkStart w:id="28" w:name="_Toc109030382"/>
      <w:r w:rsidRPr="00E973B2">
        <w:rPr>
          <w:rFonts w:hint="cs"/>
          <w:b/>
          <w:bCs w:val="0"/>
          <w:i/>
          <w:iCs/>
          <w:sz w:val="22"/>
          <w:szCs w:val="22"/>
          <w:u w:val="none"/>
          <w:rtl/>
          <w:lang w:val="it-IT" w:bidi="ar-EG"/>
        </w:rPr>
        <w:t>أشكال التعبير الثقافي التقليدي</w:t>
      </w:r>
      <w:bookmarkEnd w:id="27"/>
      <w:bookmarkEnd w:id="28"/>
    </w:p>
    <w:p w14:paraId="5DCC945D" w14:textId="77777777" w:rsidR="007E34E6" w:rsidRPr="007E34E6" w:rsidRDefault="007E34E6" w:rsidP="00E973B2">
      <w:pPr>
        <w:pStyle w:val="ONUMA"/>
        <w:rPr>
          <w:rtl/>
          <w:lang w:val="it-IT" w:bidi="ar-EG"/>
        </w:rPr>
      </w:pPr>
      <w:r w:rsidRPr="007E34E6">
        <w:rPr>
          <w:rFonts w:hint="cs"/>
          <w:rtl/>
          <w:lang w:val="it-IT" w:bidi="ar-EG"/>
        </w:rPr>
        <w:t>للتعبير الثقافي التقليدي مجموعة واسعة من الأشكال المختلطة الملموسة وغير الملموسة من التعبير الإبداعي.</w:t>
      </w:r>
      <w:r w:rsidRPr="007E34E6">
        <w:rPr>
          <w:vertAlign w:val="superscript"/>
          <w:rtl/>
          <w:lang w:val="it-IT" w:bidi="ar-EG"/>
        </w:rPr>
        <w:footnoteReference w:id="10"/>
      </w:r>
      <w:r w:rsidRPr="007E34E6">
        <w:rPr>
          <w:rFonts w:hint="cs"/>
          <w:rtl/>
          <w:lang w:val="it-IT" w:bidi="ar-EG"/>
        </w:rPr>
        <w:t xml:space="preserve"> </w:t>
      </w:r>
    </w:p>
    <w:p w14:paraId="0C64A05C" w14:textId="77777777" w:rsidR="007E34E6" w:rsidRPr="007E34E6" w:rsidRDefault="007E34E6" w:rsidP="00E973B2">
      <w:pPr>
        <w:pStyle w:val="ONUMA"/>
        <w:rPr>
          <w:rtl/>
          <w:lang w:val="it-IT" w:bidi="ar-EG"/>
        </w:rPr>
      </w:pPr>
      <w:r w:rsidRPr="007E34E6">
        <w:rPr>
          <w:rFonts w:hint="cs"/>
          <w:rtl/>
          <w:lang w:val="it-IT" w:bidi="ar-EG"/>
        </w:rPr>
        <w:t>لكن من المقترح أن يكون هذا التحليل مركَّزا وملموسا قدر الإمكان من خلال معالجة بعض أشكال التعبير الثقافي التقليدي المحددة التي تبدو أنها الأكثر تعرضا للاستغلال عن طريق الملكية الفكرية. وقد عرّفت وناقشت وثائق سابقة أمثلة فعلية للتملك والتملك المشروع وغير المشروع لأشكال التعبير الثقافي التقليدي.</w:t>
      </w:r>
      <w:r w:rsidRPr="007E34E6">
        <w:rPr>
          <w:vertAlign w:val="superscript"/>
          <w:rtl/>
          <w:lang w:val="it-IT" w:bidi="ar-EG"/>
        </w:rPr>
        <w:footnoteReference w:id="11"/>
      </w:r>
      <w:r w:rsidRPr="007E34E6">
        <w:rPr>
          <w:rFonts w:hint="cs"/>
          <w:vertAlign w:val="superscript"/>
          <w:rtl/>
          <w:lang w:val="it-IT" w:bidi="ar-EG"/>
        </w:rPr>
        <w:t xml:space="preserve"> </w:t>
      </w:r>
      <w:r w:rsidRPr="007E34E6">
        <w:rPr>
          <w:rFonts w:hint="cs"/>
          <w:rtl/>
          <w:lang w:val="it-IT" w:bidi="ar-EG"/>
        </w:rPr>
        <w:t>وأشارت هذه الأمثلة إلى استغلال الموسيقى والأغاني التقليدية، والفن البصري (لا سيما الرسم)، والآلات الموسيقية التقليدية، والمنتجات الحرفية (بما فيها التصاميم أو "الأنماط" المجسدة فيها)، وأداء أشكال التعبير الثقافي التقليدي، وأشكال التعبير الثقافي التقليدي المقدسة والسرية، والتسجيلات والوثائق الخاصة بأشكال التعبير الثقافي التقليدي، والكلمات والأسماء والرموز الأصلية.</w:t>
      </w:r>
    </w:p>
    <w:p w14:paraId="0B68A478" w14:textId="77777777" w:rsidR="007E34E6" w:rsidRPr="007E34E6" w:rsidRDefault="007E34E6" w:rsidP="00E973B2">
      <w:pPr>
        <w:pStyle w:val="ONUMA"/>
        <w:rPr>
          <w:rtl/>
          <w:lang w:val="it-IT" w:bidi="ar-EG"/>
        </w:rPr>
      </w:pPr>
      <w:r w:rsidRPr="007E34E6">
        <w:rPr>
          <w:rFonts w:hint="cs"/>
          <w:rtl/>
          <w:lang w:val="it-IT" w:bidi="ar-EG"/>
        </w:rPr>
        <w:t>وتبين هذه الأمثلة أن حماية أشكال التعبير الثقافي التقليدي قد تحيل إلى حماية "1" أشكال التعبير الإبداعي والمميز نفسها؛ "2" أو السمعة أو الطابع المميز المتصل بها؛ و/أو "3" أو طريقة صنعها (مثلما هو الحال بالنسبة للمنتجات الحرفية والآلات الموسيقية والمنسوجات على سبيل المثال).</w:t>
      </w:r>
    </w:p>
    <w:p w14:paraId="487A482A" w14:textId="77777777" w:rsidR="007E34E6" w:rsidRPr="007E34E6" w:rsidRDefault="007E34E6" w:rsidP="00E973B2">
      <w:pPr>
        <w:pStyle w:val="ONUMA"/>
        <w:rPr>
          <w:rtl/>
          <w:lang w:val="it-IT" w:bidi="ar-EG"/>
        </w:rPr>
      </w:pPr>
      <w:r w:rsidRPr="007E34E6">
        <w:rPr>
          <w:rFonts w:hint="cs"/>
          <w:rtl/>
          <w:lang w:val="it-IT" w:bidi="ar-EG"/>
        </w:rPr>
        <w:t xml:space="preserve">وأما الفئة الثالثة المتصلة بطريقة صنع أشكال التعبير الثقافي التقليدي مثل المنتجات الحرفية والآلات الموسيقية والمنسوجات فتحيل بشكل أكبر إلى ما تعالجه اللجنة في عملها بوصفه "معارف تقليدية" بالمعنى الضيق. ويُعالَج موضوع المعارف التقليدية على نحو منسق ومتكامل في الوثيقة </w:t>
      </w:r>
      <w:r w:rsidRPr="007E34E6">
        <w:rPr>
          <w:lang w:bidi="ar-EG"/>
        </w:rPr>
        <w:t>WIPO/GRTKF/IC/37/6</w:t>
      </w:r>
      <w:r w:rsidRPr="007E34E6">
        <w:rPr>
          <w:rFonts w:hint="cs"/>
          <w:rtl/>
          <w:lang w:val="it-IT" w:bidi="ar-EG"/>
        </w:rPr>
        <w:t>.</w:t>
      </w:r>
      <w:r w:rsidRPr="007E34E6">
        <w:rPr>
          <w:rFonts w:hint="cs"/>
          <w:rtl/>
          <w:lang w:val="it-IT" w:bidi="ar-MA"/>
        </w:rPr>
        <w:t xml:space="preserve"> [</w:t>
      </w:r>
      <w:r w:rsidRPr="007E34E6">
        <w:rPr>
          <w:rtl/>
          <w:lang w:val="it-IT" w:bidi="ar-MA"/>
        </w:rPr>
        <w:t>ملاحظة من الأمانة: هذ</w:t>
      </w:r>
      <w:r w:rsidRPr="007E34E6">
        <w:rPr>
          <w:rFonts w:hint="cs"/>
          <w:rtl/>
          <w:lang w:val="it-IT" w:bidi="ar-MA"/>
        </w:rPr>
        <w:t>ه الوثيقة</w:t>
      </w:r>
      <w:r w:rsidRPr="007E34E6">
        <w:rPr>
          <w:rtl/>
          <w:lang w:val="it-IT" w:bidi="ar-MA"/>
        </w:rPr>
        <w:t xml:space="preserve"> أيضاً نسخة محدّثة من تحليل </w:t>
      </w:r>
      <w:r w:rsidRPr="007E34E6">
        <w:rPr>
          <w:rFonts w:hint="cs"/>
          <w:rtl/>
          <w:lang w:val="it-IT" w:bidi="ar-MA"/>
        </w:rPr>
        <w:t>ثغرات</w:t>
      </w:r>
      <w:r w:rsidRPr="007E34E6">
        <w:rPr>
          <w:rtl/>
          <w:lang w:val="it-IT" w:bidi="ar-MA"/>
        </w:rPr>
        <w:t xml:space="preserve"> المعارف التقليدية</w:t>
      </w:r>
      <w:r w:rsidRPr="007E34E6">
        <w:rPr>
          <w:rFonts w:hint="cs"/>
          <w:rtl/>
          <w:lang w:val="it-IT" w:bidi="ar-MA"/>
        </w:rPr>
        <w:t xml:space="preserve"> الذي</w:t>
      </w:r>
      <w:r w:rsidRPr="007E34E6">
        <w:rPr>
          <w:rtl/>
          <w:lang w:val="it-IT" w:bidi="ar-MA"/>
        </w:rPr>
        <w:t xml:space="preserve"> أ</w:t>
      </w:r>
      <w:r w:rsidRPr="007E34E6">
        <w:rPr>
          <w:rFonts w:hint="cs"/>
          <w:rtl/>
          <w:lang w:val="it-IT" w:bidi="ar-MA"/>
        </w:rPr>
        <w:t>ُ</w:t>
      </w:r>
      <w:r w:rsidRPr="007E34E6">
        <w:rPr>
          <w:rtl/>
          <w:lang w:val="it-IT" w:bidi="ar-MA"/>
        </w:rPr>
        <w:t>عد</w:t>
      </w:r>
      <w:r w:rsidRPr="007E34E6">
        <w:rPr>
          <w:rFonts w:hint="cs"/>
          <w:rtl/>
          <w:lang w:val="it-IT" w:bidi="ar-MA"/>
        </w:rPr>
        <w:t>ّ</w:t>
      </w:r>
      <w:r w:rsidRPr="007E34E6">
        <w:rPr>
          <w:rtl/>
          <w:lang w:val="it-IT" w:bidi="ar-MA"/>
        </w:rPr>
        <w:t xml:space="preserve"> عام 2008، كما هو موضح أعلاه</w:t>
      </w:r>
      <w:r w:rsidRPr="007E34E6">
        <w:rPr>
          <w:rFonts w:hint="cs"/>
          <w:rtl/>
          <w:lang w:val="it-IT" w:bidi="ar-MA"/>
        </w:rPr>
        <w:t>]</w:t>
      </w:r>
    </w:p>
    <w:p w14:paraId="162F526B" w14:textId="77777777" w:rsidR="007E34E6" w:rsidRPr="007E34E6" w:rsidRDefault="007E34E6" w:rsidP="00E973B2">
      <w:pPr>
        <w:pStyle w:val="ONUMA"/>
        <w:rPr>
          <w:rtl/>
          <w:lang w:val="it-IT" w:bidi="ar-EG"/>
        </w:rPr>
      </w:pPr>
      <w:r w:rsidRPr="007E34E6">
        <w:rPr>
          <w:rFonts w:hint="cs"/>
          <w:rtl/>
          <w:lang w:val="it-IT" w:bidi="ar-EG"/>
        </w:rPr>
        <w:t>وفي ظل هذه المعلومات الأساسية، من المقترح أن يركز هذا التحليل على أمثلة ملموسة تدخل في إطار الفئتين الأوليين المذكورتين، على النحو التالي:</w:t>
      </w:r>
    </w:p>
    <w:p w14:paraId="3079A093" w14:textId="753BDC91" w:rsidR="007E34E6" w:rsidRPr="007E34E6" w:rsidRDefault="00E973B2" w:rsidP="00C05E1B">
      <w:pPr>
        <w:pStyle w:val="BodyText"/>
        <w:spacing w:after="120"/>
        <w:ind w:left="1138"/>
        <w:rPr>
          <w:rtl/>
          <w:lang w:val="it-IT" w:bidi="ar-EG"/>
        </w:rPr>
      </w:pPr>
      <w:r>
        <w:rPr>
          <w:rFonts w:hint="cs"/>
          <w:rtl/>
          <w:lang w:val="it-IT" w:bidi="ar-EG"/>
        </w:rPr>
        <w:t>(أ)</w:t>
      </w:r>
      <w:r>
        <w:rPr>
          <w:rFonts w:hint="cs"/>
          <w:rtl/>
          <w:lang w:val="it-IT" w:bidi="ar-EG"/>
        </w:rPr>
        <w:tab/>
      </w:r>
      <w:r w:rsidR="007E34E6" w:rsidRPr="007E34E6">
        <w:rPr>
          <w:rFonts w:hint="cs"/>
          <w:rtl/>
          <w:lang w:val="it-IT" w:bidi="ar-EG"/>
        </w:rPr>
        <w:t>المنتجات الأدبية والفنية،</w:t>
      </w:r>
      <w:r w:rsidR="007E34E6" w:rsidRPr="007E34E6">
        <w:rPr>
          <w:vertAlign w:val="superscript"/>
          <w:rtl/>
          <w:lang w:val="it-IT" w:bidi="ar-EG"/>
        </w:rPr>
        <w:footnoteReference w:id="12"/>
      </w:r>
      <w:r w:rsidR="007E34E6" w:rsidRPr="007E34E6">
        <w:rPr>
          <w:rFonts w:hint="cs"/>
          <w:rtl/>
          <w:lang w:val="it-IT" w:bidi="ar-EG"/>
        </w:rPr>
        <w:t xml:space="preserve"> مثل الموسيقى والفن البصري؛</w:t>
      </w:r>
    </w:p>
    <w:p w14:paraId="4511E8BD" w14:textId="7B5D203E" w:rsidR="007E34E6" w:rsidRPr="007E34E6" w:rsidRDefault="00E973B2" w:rsidP="00C05E1B">
      <w:pPr>
        <w:pStyle w:val="BodyText"/>
        <w:spacing w:after="120"/>
        <w:ind w:left="1138"/>
        <w:rPr>
          <w:rtl/>
          <w:lang w:val="it-IT" w:bidi="ar-EG"/>
        </w:rPr>
      </w:pPr>
      <w:r>
        <w:rPr>
          <w:rFonts w:hint="cs"/>
          <w:rtl/>
          <w:lang w:val="it-IT" w:bidi="ar-EG"/>
        </w:rPr>
        <w:lastRenderedPageBreak/>
        <w:t>(ب)</w:t>
      </w:r>
      <w:r>
        <w:rPr>
          <w:rFonts w:hint="cs"/>
          <w:rtl/>
          <w:lang w:val="it-IT" w:bidi="ar-EG"/>
        </w:rPr>
        <w:tab/>
      </w:r>
      <w:r w:rsidR="007E34E6" w:rsidRPr="007E34E6">
        <w:rPr>
          <w:rFonts w:hint="cs"/>
          <w:rtl/>
          <w:lang w:val="it-IT" w:bidi="ar-EG"/>
        </w:rPr>
        <w:t>وأداء أشكال التعبير الثقافي التقليدي؛</w:t>
      </w:r>
    </w:p>
    <w:p w14:paraId="5B1A837C" w14:textId="21ED5957" w:rsidR="007E34E6" w:rsidRPr="007E34E6" w:rsidRDefault="00E973B2" w:rsidP="00C05E1B">
      <w:pPr>
        <w:pStyle w:val="BodyText"/>
        <w:spacing w:after="120"/>
        <w:ind w:left="1138"/>
        <w:rPr>
          <w:rtl/>
          <w:lang w:val="it-IT" w:bidi="ar-EG"/>
        </w:rPr>
      </w:pPr>
      <w:r>
        <w:rPr>
          <w:rFonts w:hint="cs"/>
          <w:rtl/>
          <w:lang w:val="it-IT" w:bidi="ar-EG"/>
        </w:rPr>
        <w:t>(ج)</w:t>
      </w:r>
      <w:r>
        <w:rPr>
          <w:rFonts w:hint="cs"/>
          <w:rtl/>
          <w:lang w:val="it-IT" w:bidi="ar-EG"/>
        </w:rPr>
        <w:tab/>
      </w:r>
      <w:r w:rsidR="007E34E6" w:rsidRPr="007E34E6">
        <w:rPr>
          <w:rFonts w:hint="cs"/>
          <w:rtl/>
          <w:lang w:val="it-IT" w:bidi="ar-EG"/>
        </w:rPr>
        <w:t>والتصاميم المجسدة في المنتجات الحرفية وغيرها من الفنون الإبداعية؛</w:t>
      </w:r>
    </w:p>
    <w:p w14:paraId="23330A4F" w14:textId="11944FF3" w:rsidR="007E34E6" w:rsidRPr="007E34E6" w:rsidRDefault="00E973B2" w:rsidP="00C05E1B">
      <w:pPr>
        <w:pStyle w:val="BodyText"/>
        <w:spacing w:after="120"/>
        <w:ind w:left="1138"/>
        <w:rPr>
          <w:rtl/>
          <w:lang w:val="it-IT" w:bidi="ar-EG"/>
        </w:rPr>
      </w:pPr>
      <w:r>
        <w:rPr>
          <w:rFonts w:hint="cs"/>
          <w:rtl/>
          <w:lang w:val="it-IT" w:bidi="ar-EG"/>
        </w:rPr>
        <w:t>(د)</w:t>
      </w:r>
      <w:r>
        <w:rPr>
          <w:rFonts w:hint="cs"/>
          <w:rtl/>
          <w:lang w:val="it-IT" w:bidi="ar-EG"/>
        </w:rPr>
        <w:tab/>
      </w:r>
      <w:r w:rsidR="007E34E6" w:rsidRPr="007E34E6">
        <w:rPr>
          <w:rFonts w:hint="cs"/>
          <w:rtl/>
          <w:lang w:val="it-IT" w:bidi="ar-EG"/>
        </w:rPr>
        <w:t>وأشكال التعبير الثقافي التقليدي السرية؛</w:t>
      </w:r>
    </w:p>
    <w:p w14:paraId="781F3F81" w14:textId="05A37A9E" w:rsidR="007E34E6" w:rsidRPr="007E34E6" w:rsidRDefault="00E973B2" w:rsidP="00E973B2">
      <w:pPr>
        <w:pStyle w:val="BodyText"/>
        <w:ind w:left="1134"/>
        <w:rPr>
          <w:rtl/>
          <w:lang w:val="it-IT" w:bidi="ar-EG"/>
        </w:rPr>
      </w:pPr>
      <w:r>
        <w:rPr>
          <w:rFonts w:hint="cs"/>
          <w:rtl/>
          <w:lang w:val="it-IT" w:bidi="ar-EG"/>
        </w:rPr>
        <w:t>(ه)</w:t>
      </w:r>
      <w:r>
        <w:rPr>
          <w:rtl/>
          <w:lang w:val="it-IT" w:bidi="ar-EG"/>
        </w:rPr>
        <w:tab/>
      </w:r>
      <w:r w:rsidR="007E34E6" w:rsidRPr="007E34E6">
        <w:rPr>
          <w:rFonts w:hint="cs"/>
          <w:rtl/>
          <w:lang w:val="it-IT" w:bidi="ar-EG"/>
        </w:rPr>
        <w:t>والأسماء والكلمات والرموز الأصلية والتقليدية.</w:t>
      </w:r>
    </w:p>
    <w:p w14:paraId="61D42AA7" w14:textId="77777777" w:rsidR="007E34E6" w:rsidRPr="007E34E6" w:rsidRDefault="007E34E6" w:rsidP="00941E56">
      <w:pPr>
        <w:pStyle w:val="ONUMA"/>
        <w:rPr>
          <w:rtl/>
          <w:lang w:val="it-IT" w:bidi="ar-EG"/>
        </w:rPr>
      </w:pPr>
      <w:r w:rsidRPr="007E34E6">
        <w:rPr>
          <w:rFonts w:hint="cs"/>
          <w:rtl/>
          <w:lang w:val="it-IT" w:bidi="ar-EG"/>
        </w:rPr>
        <w:t xml:space="preserve">والهدف من هذا التركيز هو جعل هذا التحليل واضحا ومحددا قدر الإمكان. لكن هذا لا يعني انتفاء أشكال أخرى من التعبير الثقافي التقليدي وعناصر أخرى من التراث الثقافي غير الملموس، تتسم هي أيضا بالأهمية وبالحاجة إلى الحماية. </w:t>
      </w:r>
    </w:p>
    <w:p w14:paraId="23752D00" w14:textId="77777777" w:rsidR="007E34E6" w:rsidRPr="00941E56" w:rsidRDefault="007E34E6" w:rsidP="00941E56">
      <w:pPr>
        <w:pStyle w:val="Heading2"/>
        <w:spacing w:before="220" w:after="220"/>
        <w:rPr>
          <w:b/>
          <w:bCs w:val="0"/>
          <w:sz w:val="22"/>
          <w:szCs w:val="22"/>
          <w:u w:val="single"/>
          <w:rtl/>
          <w:lang w:val="it-IT" w:bidi="ar-EG"/>
        </w:rPr>
      </w:pPr>
      <w:bookmarkStart w:id="29" w:name="_Toc520405361"/>
      <w:bookmarkStart w:id="30" w:name="_Toc109030383"/>
      <w:r w:rsidRPr="00941E56">
        <w:rPr>
          <w:rFonts w:hint="cs"/>
          <w:b/>
          <w:bCs w:val="0"/>
          <w:sz w:val="22"/>
          <w:szCs w:val="22"/>
          <w:u w:val="single"/>
          <w:rtl/>
          <w:lang w:val="it-IT" w:bidi="ar-EG"/>
        </w:rPr>
        <w:t>معنى "الحماية"</w:t>
      </w:r>
      <w:bookmarkEnd w:id="29"/>
      <w:bookmarkEnd w:id="30"/>
    </w:p>
    <w:p w14:paraId="614C14CB" w14:textId="77777777" w:rsidR="007E34E6" w:rsidRPr="00941E56" w:rsidRDefault="007E34E6" w:rsidP="00941E56">
      <w:pPr>
        <w:pStyle w:val="Heading3"/>
        <w:spacing w:before="220" w:after="220"/>
        <w:rPr>
          <w:b/>
          <w:bCs w:val="0"/>
          <w:i/>
          <w:iCs/>
          <w:sz w:val="22"/>
          <w:szCs w:val="22"/>
          <w:u w:val="none"/>
          <w:rtl/>
          <w:lang w:val="it-IT" w:bidi="ar-EG"/>
        </w:rPr>
      </w:pPr>
      <w:bookmarkStart w:id="31" w:name="_Toc520405362"/>
      <w:bookmarkStart w:id="32" w:name="_Toc109030384"/>
      <w:r w:rsidRPr="00941E56">
        <w:rPr>
          <w:rFonts w:hint="cs"/>
          <w:b/>
          <w:bCs w:val="0"/>
          <w:i/>
          <w:iCs/>
          <w:sz w:val="22"/>
          <w:szCs w:val="22"/>
          <w:u w:val="none"/>
          <w:rtl/>
          <w:lang w:val="it-IT" w:bidi="ar-EG"/>
        </w:rPr>
        <w:t>الخصائص العامة لحماية الملكية الفكرية</w:t>
      </w:r>
      <w:bookmarkEnd w:id="31"/>
      <w:bookmarkEnd w:id="32"/>
    </w:p>
    <w:p w14:paraId="3EC687A3" w14:textId="77777777" w:rsidR="007E34E6" w:rsidRPr="007E34E6" w:rsidRDefault="007E34E6" w:rsidP="00941E56">
      <w:pPr>
        <w:pStyle w:val="ONUMA"/>
        <w:rPr>
          <w:rtl/>
          <w:lang w:val="it-IT" w:bidi="ar-EG"/>
        </w:rPr>
      </w:pPr>
      <w:r w:rsidRPr="007E34E6">
        <w:rPr>
          <w:rFonts w:hint="cs"/>
          <w:rtl/>
          <w:lang w:val="it-IT" w:bidi="ar-EG"/>
        </w:rPr>
        <w:t>تتنوع نظم الملكية الفكرية من حيث طبيعتها والأهداف السياسية التي تسعى إلى تحقيقها. فحق المؤلف، على سبيل المثال، هو حق المؤلف في التحكم في استغلال إبداعاته الفكرية. بيد أن حق المؤلف لا يكفل تحكما كاملا لأنه يخضع لاستثناءات وتقييدات مختلفة صُممت للتوفيق بين الاحتياجات إلى حماية الإبداع ونشر المعلومات. أما حماية العلامات التجارية والبيانات الجغرافية إلى حماية الشهرة والسمعة اللتين يحظى بهما التجار ومنتجاتهم ومنع الانتفاع دون تصريح بهذه العلامات، مما قد يضلل المستهلك.</w:t>
      </w:r>
    </w:p>
    <w:p w14:paraId="614E5486" w14:textId="77777777" w:rsidR="007E34E6" w:rsidRPr="007E34E6" w:rsidRDefault="007E34E6" w:rsidP="00941E56">
      <w:pPr>
        <w:pStyle w:val="ONUMA"/>
        <w:rPr>
          <w:rtl/>
          <w:lang w:val="it-IT" w:bidi="ar-EG"/>
        </w:rPr>
      </w:pPr>
      <w:r w:rsidRPr="007E34E6">
        <w:rPr>
          <w:rFonts w:hint="cs"/>
          <w:rtl/>
          <w:lang w:val="it-IT" w:bidi="ar-EG"/>
        </w:rPr>
        <w:t>ويمكن أن تشمل حماية الملكية الفكرية حقوقا للملكية. وعندما تكون هذه الحقوق، مثل الحقوق المالية المترتبة على حق المؤلف، تمكّن صاحبها من ممارستها بنفسه أو التصريح للغير بفعل ذلك (أي إمكانية الترخيص بالحق) أو منع الغير من فعل ذلك.</w:t>
      </w:r>
    </w:p>
    <w:p w14:paraId="150D907E" w14:textId="77777777" w:rsidR="007E34E6" w:rsidRPr="007E34E6" w:rsidRDefault="007E34E6" w:rsidP="00941E56">
      <w:pPr>
        <w:pStyle w:val="ONUMA"/>
        <w:rPr>
          <w:rtl/>
          <w:lang w:val="it-IT" w:bidi="ar-EG"/>
        </w:rPr>
      </w:pPr>
      <w:r w:rsidRPr="007E34E6">
        <w:rPr>
          <w:rFonts w:hint="cs"/>
          <w:rtl/>
          <w:lang w:val="it-IT" w:bidi="ar-EG"/>
        </w:rPr>
        <w:t>ولا تشمل حماية الملكية الفكرية بالضرورة منح حقوق الملكية- وعلى سبيل المثال، فإن الحقوق المعنوية المترتبة على حق المؤلف تمكّن من التحكم في طريقة الانتفاع بمصنف ما، لا في إمكانية الانتفاع به أم لا، وحتى بعد انقضاء الحقوق المالية في بعض الحالات. وعلى غرار ذلك تسمح التراخيص الإجبارية (غير الطوعية) في إطار حق المؤلف بتنظيم طريقة الانتفاع بمصنف وبدفع "مكافأة عادلة" أو "إتاوة معقولة" (انظر، على سبيل المثال، المادة 11(ثانيا</w:t>
      </w:r>
      <w:proofErr w:type="gramStart"/>
      <w:r w:rsidRPr="007E34E6">
        <w:rPr>
          <w:rFonts w:hint="cs"/>
          <w:rtl/>
          <w:lang w:val="it-IT" w:bidi="ar-EG"/>
        </w:rPr>
        <w:t>)(</w:t>
      </w:r>
      <w:proofErr w:type="gramEnd"/>
      <w:r w:rsidRPr="007E34E6">
        <w:rPr>
          <w:rFonts w:hint="cs"/>
          <w:rtl/>
          <w:lang w:val="it-IT" w:bidi="ar-EG"/>
        </w:rPr>
        <w:t>2) والمادة 13(1) من اتفاقية برن).</w:t>
      </w:r>
    </w:p>
    <w:p w14:paraId="446CF642" w14:textId="77777777" w:rsidR="007E34E6" w:rsidRPr="00941E56" w:rsidRDefault="007E34E6" w:rsidP="00941E56">
      <w:pPr>
        <w:pStyle w:val="Heading3"/>
        <w:spacing w:before="220" w:after="220"/>
        <w:rPr>
          <w:b/>
          <w:bCs w:val="0"/>
          <w:i/>
          <w:iCs/>
          <w:sz w:val="22"/>
          <w:szCs w:val="22"/>
          <w:u w:val="none"/>
          <w:rtl/>
          <w:lang w:val="it-IT" w:bidi="ar-EG"/>
        </w:rPr>
      </w:pPr>
      <w:bookmarkStart w:id="33" w:name="_Toc520405363"/>
      <w:bookmarkStart w:id="34" w:name="_Toc109030385"/>
      <w:r w:rsidRPr="00941E56">
        <w:rPr>
          <w:rFonts w:hint="cs"/>
          <w:b/>
          <w:bCs w:val="0"/>
          <w:i/>
          <w:iCs/>
          <w:sz w:val="22"/>
          <w:szCs w:val="22"/>
          <w:u w:val="none"/>
          <w:rtl/>
          <w:lang w:val="it-IT" w:bidi="ar-EG"/>
        </w:rPr>
        <w:t>أنواع حماية الملكية الفكرية الأنسب لأشكال التعبير الثقافي التقليدي</w:t>
      </w:r>
      <w:bookmarkEnd w:id="33"/>
      <w:bookmarkEnd w:id="34"/>
    </w:p>
    <w:p w14:paraId="23301C91" w14:textId="77777777" w:rsidR="007E34E6" w:rsidRPr="007E34E6" w:rsidRDefault="007E34E6" w:rsidP="00941E56">
      <w:pPr>
        <w:pStyle w:val="ONUMA"/>
        <w:rPr>
          <w:rtl/>
          <w:lang w:val="it-IT" w:bidi="ar-EG"/>
        </w:rPr>
      </w:pPr>
      <w:r w:rsidRPr="007E34E6">
        <w:rPr>
          <w:rFonts w:hint="cs"/>
          <w:rtl/>
          <w:lang w:val="it-IT" w:bidi="ar-EG"/>
        </w:rPr>
        <w:t xml:space="preserve">لمّا كان معظم أشكال التعبير الثقافي التقليدي من المصنفات والأداء الفنية، فإن حق المؤلف والحقوق المجاورة </w:t>
      </w:r>
      <w:r w:rsidRPr="007E34E6">
        <w:rPr>
          <w:rtl/>
          <w:lang w:val="it-IT" w:bidi="ar-EG"/>
        </w:rPr>
        <w:t>لها أهمية خاصة لحماية أشكال التعبير الثقافي التقليدي</w:t>
      </w:r>
      <w:r w:rsidRPr="007E34E6">
        <w:rPr>
          <w:rFonts w:hint="cs"/>
          <w:rtl/>
          <w:lang w:val="it-IT" w:bidi="ar-EG"/>
        </w:rPr>
        <w:t>.</w:t>
      </w:r>
      <w:r w:rsidRPr="007E34E6">
        <w:rPr>
          <w:vertAlign w:val="superscript"/>
          <w:rtl/>
          <w:lang w:val="it-IT" w:bidi="ar-EG"/>
        </w:rPr>
        <w:footnoteReference w:id="13"/>
      </w:r>
      <w:r w:rsidRPr="007E34E6">
        <w:rPr>
          <w:rFonts w:hint="cs"/>
          <w:rtl/>
          <w:lang w:val="it-IT" w:bidi="ar-EG"/>
        </w:rPr>
        <w:t xml:space="preserve"> ويمكن حماية التصاميم التقليدية كرسوم ونماذج صناعية. وفيما يخص الأسماء والعلامات والرموز، فإن ما يناسبها أكثر هو نظم الملكية الفكرية التي تحمي العلامات والبيانات إلى جانب القوانين المتعلقة بالمنافسة غير المشروعة.</w:t>
      </w:r>
    </w:p>
    <w:p w14:paraId="07C4B14F" w14:textId="77777777" w:rsidR="007E34E6" w:rsidRPr="00941E56" w:rsidRDefault="007E34E6" w:rsidP="00941E56">
      <w:pPr>
        <w:pStyle w:val="Heading3"/>
        <w:spacing w:before="220" w:after="220"/>
        <w:rPr>
          <w:b/>
          <w:bCs w:val="0"/>
          <w:i/>
          <w:iCs/>
          <w:sz w:val="22"/>
          <w:szCs w:val="22"/>
          <w:u w:val="none"/>
          <w:rtl/>
          <w:lang w:val="it-IT" w:bidi="ar-EG"/>
        </w:rPr>
      </w:pPr>
      <w:bookmarkStart w:id="35" w:name="_Toc520405364"/>
      <w:bookmarkStart w:id="36" w:name="_Toc109030386"/>
      <w:r w:rsidRPr="00941E56">
        <w:rPr>
          <w:rFonts w:hint="cs"/>
          <w:b/>
          <w:bCs w:val="0"/>
          <w:i/>
          <w:iCs/>
          <w:sz w:val="22"/>
          <w:szCs w:val="22"/>
          <w:u w:val="none"/>
          <w:rtl/>
          <w:lang w:val="it-IT" w:bidi="ar-EG"/>
        </w:rPr>
        <w:t>اتفاقيات ومعاهدات الملكية الفكرية الدولية المناسبة</w:t>
      </w:r>
      <w:bookmarkEnd w:id="35"/>
      <w:bookmarkEnd w:id="36"/>
    </w:p>
    <w:p w14:paraId="1FD2D3E1" w14:textId="77777777" w:rsidR="007E34E6" w:rsidRPr="007E34E6" w:rsidRDefault="007E34E6" w:rsidP="00941E56">
      <w:pPr>
        <w:pStyle w:val="ONUMA"/>
        <w:rPr>
          <w:rtl/>
          <w:lang w:val="it-IT"/>
        </w:rPr>
      </w:pPr>
      <w:r w:rsidRPr="007E34E6">
        <w:rPr>
          <w:rFonts w:hint="cs"/>
          <w:rtl/>
          <w:lang w:val="it-IT" w:bidi="ar-EG"/>
        </w:rPr>
        <w:t>توفر اتفاقيات ومعاهدات حق المؤلف والحقوق المجاورة التي تديرها</w:t>
      </w:r>
      <w:r w:rsidRPr="007E34E6">
        <w:rPr>
          <w:rFonts w:hint="cs"/>
          <w:rtl/>
          <w:lang w:val="it-IT"/>
        </w:rPr>
        <w:t xml:space="preserve"> الويبو إطارا دوليا للمبادئ والمعايير التي تطبقها الدول المصادقة على هذه الاتفاقيات والمعاهدات في القوانين الوطنية. وتنص الاتفاقيات والمعاهدات الدولية على المرونة بشأن مجموعة من القضايا وبالتالي فقد تختلف التشريعات الوطنية اختلافا كبيرا من نظام قانوني إلى آخر. وهكذا فإن حماية الملكية الفكرية في الواقع هي أولا وقبل كل شيء مسألة يبت فيها القانون المحلي. وتسهل المعاهدات الدولية أيضا بصورة مهمة إنفاذ الحقوق في الأنظمة القانونية الأجنبية على أساس</w:t>
      </w:r>
      <w:r w:rsidRPr="007E34E6">
        <w:rPr>
          <w:rtl/>
          <w:lang w:val="it-IT" w:bidi="ar-EG"/>
        </w:rPr>
        <w:t xml:space="preserve"> </w:t>
      </w:r>
      <w:r w:rsidRPr="007E34E6">
        <w:rPr>
          <w:rtl/>
          <w:lang w:val="it-IT"/>
        </w:rPr>
        <w:t>المعاملة الوطنية والمعاملة بالمثل</w:t>
      </w:r>
      <w:r w:rsidRPr="007E34E6">
        <w:rPr>
          <w:rFonts w:hint="cs"/>
          <w:rtl/>
          <w:lang w:val="it-IT"/>
        </w:rPr>
        <w:t>.</w:t>
      </w:r>
    </w:p>
    <w:p w14:paraId="761730B5" w14:textId="77777777" w:rsidR="007E34E6" w:rsidRPr="007E34E6" w:rsidRDefault="007E34E6" w:rsidP="00941E56">
      <w:pPr>
        <w:pStyle w:val="ONUMA"/>
        <w:rPr>
          <w:rtl/>
          <w:lang w:val="it-IT"/>
        </w:rPr>
      </w:pPr>
      <w:r w:rsidRPr="007E34E6">
        <w:rPr>
          <w:rFonts w:hint="cs"/>
          <w:rtl/>
          <w:lang w:val="it-IT"/>
        </w:rPr>
        <w:t>وترد فيما يلي اتفاقيات ومعاهدات الملكية الفكرية الدولية الرئيسية التي سيُحال إليها في هذا التحليل:</w:t>
      </w:r>
    </w:p>
    <w:p w14:paraId="72B48504" w14:textId="5A6F9F19" w:rsidR="007E34E6" w:rsidRPr="007E34E6" w:rsidRDefault="00941E56" w:rsidP="009F15B7">
      <w:pPr>
        <w:pStyle w:val="BodyText"/>
        <w:spacing w:after="120"/>
        <w:ind w:left="1689" w:hanging="555"/>
        <w:rPr>
          <w:rtl/>
          <w:lang w:val="it-IT"/>
        </w:rPr>
      </w:pPr>
      <w:r>
        <w:rPr>
          <w:rFonts w:hint="cs"/>
          <w:rtl/>
          <w:lang w:val="it-IT"/>
        </w:rPr>
        <w:t>(أ)</w:t>
      </w:r>
      <w:r>
        <w:rPr>
          <w:rFonts w:hint="cs"/>
          <w:rtl/>
          <w:lang w:val="it-IT"/>
        </w:rPr>
        <w:tab/>
      </w:r>
      <w:r w:rsidR="007E34E6" w:rsidRPr="007E34E6">
        <w:rPr>
          <w:rtl/>
          <w:lang w:val="it-IT"/>
        </w:rPr>
        <w:t>الاتفاقية الدولية لحماية فناني الأداء</w:t>
      </w:r>
      <w:r w:rsidR="007E34E6" w:rsidRPr="007E34E6">
        <w:rPr>
          <w:rFonts w:hint="cs"/>
          <w:rtl/>
          <w:lang w:val="it-IT"/>
        </w:rPr>
        <w:t xml:space="preserve"> </w:t>
      </w:r>
      <w:r w:rsidR="007E34E6" w:rsidRPr="007E34E6">
        <w:rPr>
          <w:rtl/>
          <w:lang w:val="it-IT"/>
        </w:rPr>
        <w:t>ومنتجي التسجيلات الصوتية</w:t>
      </w:r>
      <w:r w:rsidR="007E34E6" w:rsidRPr="007E34E6">
        <w:rPr>
          <w:rFonts w:hint="cs"/>
          <w:rtl/>
          <w:lang w:val="it-IT"/>
        </w:rPr>
        <w:t xml:space="preserve"> </w:t>
      </w:r>
      <w:r w:rsidR="007E34E6" w:rsidRPr="007E34E6">
        <w:rPr>
          <w:rtl/>
          <w:lang w:val="it-IT"/>
        </w:rPr>
        <w:t>وهيئات الإذاعة</w:t>
      </w:r>
      <w:r w:rsidR="007E34E6" w:rsidRPr="007E34E6">
        <w:rPr>
          <w:rFonts w:hint="cs"/>
          <w:rtl/>
          <w:lang w:val="it-IT"/>
        </w:rPr>
        <w:t xml:space="preserve"> لسنة 1961 ("اتفاقية روما لسنة 1961)؛</w:t>
      </w:r>
    </w:p>
    <w:p w14:paraId="125FCEA3" w14:textId="3C9E5B6B" w:rsidR="007E34E6" w:rsidRPr="007E34E6" w:rsidRDefault="00941E56" w:rsidP="009F15B7">
      <w:pPr>
        <w:pStyle w:val="BodyText"/>
        <w:spacing w:after="120"/>
        <w:ind w:left="1134"/>
        <w:rPr>
          <w:rtl/>
          <w:lang w:val="it-IT"/>
        </w:rPr>
      </w:pPr>
      <w:r>
        <w:rPr>
          <w:rFonts w:hint="cs"/>
          <w:rtl/>
          <w:lang w:val="it-IT"/>
        </w:rPr>
        <w:t>(ب)</w:t>
      </w:r>
      <w:r>
        <w:rPr>
          <w:rtl/>
          <w:lang w:val="it-IT"/>
        </w:rPr>
        <w:tab/>
      </w:r>
      <w:r w:rsidR="007E34E6" w:rsidRPr="007E34E6">
        <w:rPr>
          <w:rFonts w:hint="cs"/>
          <w:rtl/>
          <w:lang w:val="it-IT"/>
        </w:rPr>
        <w:t>واتفاقية باريس لحماية الملكية الصناعية لسنة 1967 ("اتفاقية باريس لسنة 1967")؛</w:t>
      </w:r>
    </w:p>
    <w:p w14:paraId="0086F126" w14:textId="681D0AEA" w:rsidR="007E34E6" w:rsidRPr="007E34E6" w:rsidRDefault="00941E56" w:rsidP="009F15B7">
      <w:pPr>
        <w:pStyle w:val="BodyText"/>
        <w:spacing w:after="120"/>
        <w:ind w:left="1134"/>
        <w:rPr>
          <w:rtl/>
          <w:lang w:val="it-IT"/>
        </w:rPr>
      </w:pPr>
      <w:r>
        <w:rPr>
          <w:rFonts w:hint="cs"/>
          <w:rtl/>
          <w:lang w:val="it-IT"/>
        </w:rPr>
        <w:t>(ج)</w:t>
      </w:r>
      <w:r>
        <w:rPr>
          <w:rtl/>
          <w:lang w:val="it-IT"/>
        </w:rPr>
        <w:tab/>
      </w:r>
      <w:r w:rsidR="007E34E6" w:rsidRPr="007E34E6">
        <w:rPr>
          <w:rFonts w:hint="cs"/>
          <w:rtl/>
          <w:lang w:val="it-IT"/>
        </w:rPr>
        <w:t xml:space="preserve">واتفاقية برن </w:t>
      </w:r>
      <w:r w:rsidR="007E34E6" w:rsidRPr="007E34E6">
        <w:rPr>
          <w:rtl/>
          <w:lang w:val="it-IT"/>
        </w:rPr>
        <w:t>لحماية المصنفات الأدبية والفنية</w:t>
      </w:r>
      <w:r w:rsidR="007E34E6" w:rsidRPr="007E34E6">
        <w:rPr>
          <w:rFonts w:hint="cs"/>
          <w:rtl/>
          <w:lang w:val="it-IT"/>
        </w:rPr>
        <w:t xml:space="preserve"> لسنة 1971 ("اتفاقية برن لسنة 1971")؛</w:t>
      </w:r>
    </w:p>
    <w:p w14:paraId="53DDFF8B" w14:textId="1D83C545" w:rsidR="007E34E6" w:rsidRPr="007E34E6" w:rsidRDefault="00941E56" w:rsidP="009F15B7">
      <w:pPr>
        <w:pStyle w:val="BodyText"/>
        <w:spacing w:after="120"/>
        <w:ind w:left="1689" w:hanging="555"/>
        <w:rPr>
          <w:rtl/>
          <w:lang w:val="it-IT"/>
        </w:rPr>
      </w:pPr>
      <w:r>
        <w:rPr>
          <w:rFonts w:hint="cs"/>
          <w:rtl/>
          <w:lang w:val="it-IT"/>
        </w:rPr>
        <w:t>(د)</w:t>
      </w:r>
      <w:r>
        <w:rPr>
          <w:rtl/>
          <w:lang w:val="it-IT"/>
        </w:rPr>
        <w:tab/>
      </w:r>
      <w:r w:rsidR="007E34E6" w:rsidRPr="007E34E6">
        <w:rPr>
          <w:rFonts w:hint="cs"/>
          <w:rtl/>
          <w:lang w:val="it-IT"/>
        </w:rPr>
        <w:t>و</w:t>
      </w:r>
      <w:r w:rsidR="007E34E6" w:rsidRPr="007E34E6">
        <w:rPr>
          <w:rtl/>
          <w:lang w:val="it-IT"/>
        </w:rPr>
        <w:t xml:space="preserve">اتفاقية </w:t>
      </w:r>
      <w:r w:rsidR="007E34E6" w:rsidRPr="007E34E6">
        <w:rPr>
          <w:rFonts w:hint="cs"/>
          <w:rtl/>
          <w:lang w:val="it-IT"/>
        </w:rPr>
        <w:t>حما</w:t>
      </w:r>
      <w:r w:rsidR="007E34E6" w:rsidRPr="007E34E6">
        <w:rPr>
          <w:rtl/>
          <w:lang w:val="it-IT"/>
        </w:rPr>
        <w:t xml:space="preserve">ية منتجي </w:t>
      </w:r>
      <w:proofErr w:type="spellStart"/>
      <w:r w:rsidR="007E34E6" w:rsidRPr="007E34E6">
        <w:rPr>
          <w:rtl/>
          <w:lang w:val="it-IT"/>
        </w:rPr>
        <w:t>الفونوغرامات</w:t>
      </w:r>
      <w:proofErr w:type="spellEnd"/>
      <w:r w:rsidR="007E34E6" w:rsidRPr="007E34E6">
        <w:rPr>
          <w:rtl/>
          <w:lang w:val="it-IT"/>
        </w:rPr>
        <w:t xml:space="preserve"> من استنساخ </w:t>
      </w:r>
      <w:proofErr w:type="spellStart"/>
      <w:r w:rsidR="007E34E6" w:rsidRPr="007E34E6">
        <w:rPr>
          <w:rtl/>
          <w:lang w:val="it-IT"/>
        </w:rPr>
        <w:t>فونوغراماتهم</w:t>
      </w:r>
      <w:proofErr w:type="spellEnd"/>
      <w:r w:rsidR="007E34E6" w:rsidRPr="007E34E6">
        <w:rPr>
          <w:rtl/>
          <w:lang w:val="it-IT"/>
        </w:rPr>
        <w:t xml:space="preserve"> دون تصريح</w:t>
      </w:r>
      <w:r w:rsidR="007E34E6" w:rsidRPr="007E34E6">
        <w:rPr>
          <w:rFonts w:hint="cs"/>
          <w:rtl/>
          <w:lang w:val="it-IT"/>
        </w:rPr>
        <w:t xml:space="preserve"> لسنة 1971 ("اتفاقية </w:t>
      </w:r>
      <w:proofErr w:type="spellStart"/>
      <w:r w:rsidR="007E34E6" w:rsidRPr="007E34E6">
        <w:rPr>
          <w:rtl/>
          <w:lang w:val="it-IT"/>
        </w:rPr>
        <w:t>الفونوغرامات</w:t>
      </w:r>
      <w:proofErr w:type="spellEnd"/>
      <w:r w:rsidR="007E34E6" w:rsidRPr="007E34E6">
        <w:rPr>
          <w:rFonts w:hint="cs"/>
          <w:rtl/>
          <w:lang w:val="it-IT"/>
        </w:rPr>
        <w:t xml:space="preserve"> لسنة 1971")؛</w:t>
      </w:r>
    </w:p>
    <w:p w14:paraId="06A14EF1" w14:textId="6B0BD68F" w:rsidR="007E34E6" w:rsidRPr="007E34E6" w:rsidRDefault="00941E56" w:rsidP="009F15B7">
      <w:pPr>
        <w:pStyle w:val="BodyText"/>
        <w:spacing w:after="120"/>
        <w:ind w:left="1134"/>
        <w:rPr>
          <w:rtl/>
          <w:lang w:val="it-IT"/>
        </w:rPr>
      </w:pPr>
      <w:r>
        <w:rPr>
          <w:rFonts w:hint="cs"/>
          <w:rtl/>
          <w:lang w:val="it-IT"/>
        </w:rPr>
        <w:lastRenderedPageBreak/>
        <w:t>(ه)</w:t>
      </w:r>
      <w:r>
        <w:rPr>
          <w:rtl/>
          <w:lang w:val="it-IT"/>
        </w:rPr>
        <w:tab/>
      </w:r>
      <w:r w:rsidR="007E34E6" w:rsidRPr="007E34E6">
        <w:rPr>
          <w:rFonts w:hint="cs"/>
          <w:rtl/>
          <w:lang w:val="it-IT"/>
        </w:rPr>
        <w:t xml:space="preserve">واتفاق </w:t>
      </w:r>
      <w:r w:rsidR="007E34E6" w:rsidRPr="007E34E6">
        <w:rPr>
          <w:rtl/>
          <w:lang w:val="it-IT"/>
        </w:rPr>
        <w:t>جوانب حقوق الملكية الفكرية المتصلة بالتجارة</w:t>
      </w:r>
      <w:r w:rsidR="007E34E6" w:rsidRPr="007E34E6">
        <w:rPr>
          <w:rFonts w:hint="cs"/>
          <w:rtl/>
          <w:lang w:val="it-IT"/>
        </w:rPr>
        <w:t xml:space="preserve"> لسنة 1994 ("اتفاق </w:t>
      </w:r>
      <w:proofErr w:type="spellStart"/>
      <w:r w:rsidR="007E34E6" w:rsidRPr="007E34E6">
        <w:rPr>
          <w:rFonts w:hint="cs"/>
          <w:rtl/>
          <w:lang w:val="it-IT"/>
        </w:rPr>
        <w:t>تريبس</w:t>
      </w:r>
      <w:proofErr w:type="spellEnd"/>
      <w:r w:rsidR="007E34E6" w:rsidRPr="007E34E6">
        <w:rPr>
          <w:rFonts w:hint="cs"/>
          <w:rtl/>
          <w:lang w:val="it-IT"/>
        </w:rPr>
        <w:t>")؛</w:t>
      </w:r>
    </w:p>
    <w:p w14:paraId="755E3183" w14:textId="47BEADE5" w:rsidR="007E34E6" w:rsidRPr="007E34E6" w:rsidRDefault="00941E56" w:rsidP="009F15B7">
      <w:pPr>
        <w:pStyle w:val="BodyText"/>
        <w:spacing w:after="120"/>
        <w:ind w:left="1134"/>
        <w:rPr>
          <w:rtl/>
          <w:lang w:val="it-IT"/>
        </w:rPr>
      </w:pPr>
      <w:r>
        <w:rPr>
          <w:rFonts w:hint="cs"/>
          <w:rtl/>
          <w:lang w:val="it-IT"/>
        </w:rPr>
        <w:t>(و)</w:t>
      </w:r>
      <w:r>
        <w:rPr>
          <w:rtl/>
          <w:lang w:val="it-IT"/>
        </w:rPr>
        <w:tab/>
      </w:r>
      <w:r w:rsidR="007E34E6" w:rsidRPr="007E34E6">
        <w:rPr>
          <w:rFonts w:hint="cs"/>
          <w:rtl/>
          <w:lang w:val="it-IT"/>
        </w:rPr>
        <w:t>و</w:t>
      </w:r>
      <w:r w:rsidR="007E34E6" w:rsidRPr="007E34E6">
        <w:rPr>
          <w:rtl/>
          <w:lang w:val="it-IT"/>
        </w:rPr>
        <w:t>معاهدة الويبو</w:t>
      </w:r>
      <w:r w:rsidR="007E34E6" w:rsidRPr="007E34E6">
        <w:rPr>
          <w:rFonts w:hint="cs"/>
          <w:rtl/>
          <w:lang w:val="it-IT"/>
        </w:rPr>
        <w:t xml:space="preserve"> </w:t>
      </w:r>
      <w:r w:rsidR="007E34E6" w:rsidRPr="007E34E6">
        <w:rPr>
          <w:rtl/>
          <w:lang w:val="it-IT"/>
        </w:rPr>
        <w:t>بشأن حق المؤلف</w:t>
      </w:r>
      <w:r w:rsidR="007E34E6" w:rsidRPr="007E34E6">
        <w:rPr>
          <w:rFonts w:hint="cs"/>
          <w:rtl/>
          <w:lang w:val="it-IT"/>
        </w:rPr>
        <w:t xml:space="preserve"> لسنة 1996؛</w:t>
      </w:r>
    </w:p>
    <w:p w14:paraId="399E771C" w14:textId="149D5883" w:rsidR="007E34E6" w:rsidRPr="007E34E6" w:rsidRDefault="00941E56" w:rsidP="00941E56">
      <w:pPr>
        <w:pStyle w:val="BodyText"/>
        <w:ind w:left="1134"/>
        <w:rPr>
          <w:lang w:bidi="ar-EG"/>
        </w:rPr>
      </w:pPr>
      <w:r>
        <w:rPr>
          <w:rFonts w:hint="cs"/>
          <w:rtl/>
          <w:lang w:val="it-IT"/>
        </w:rPr>
        <w:t>(ز)</w:t>
      </w:r>
      <w:r>
        <w:rPr>
          <w:rtl/>
          <w:lang w:val="it-IT"/>
        </w:rPr>
        <w:tab/>
      </w:r>
      <w:r w:rsidR="007E34E6" w:rsidRPr="007E34E6">
        <w:rPr>
          <w:rFonts w:hint="cs"/>
          <w:rtl/>
          <w:lang w:val="it-IT"/>
        </w:rPr>
        <w:t>و</w:t>
      </w:r>
      <w:r w:rsidR="007E34E6" w:rsidRPr="007E34E6">
        <w:rPr>
          <w:rtl/>
          <w:lang w:val="it-IT"/>
        </w:rPr>
        <w:t>معاهدة الويبو</w:t>
      </w:r>
      <w:r w:rsidR="007E34E6" w:rsidRPr="007E34E6">
        <w:rPr>
          <w:rFonts w:hint="cs"/>
          <w:rtl/>
          <w:lang w:val="it-IT"/>
        </w:rPr>
        <w:t xml:space="preserve"> </w:t>
      </w:r>
      <w:r w:rsidR="007E34E6" w:rsidRPr="007E34E6">
        <w:rPr>
          <w:rtl/>
          <w:lang w:val="it-IT"/>
        </w:rPr>
        <w:t>بشأن الأداء والتسجيل الصوتي</w:t>
      </w:r>
      <w:r w:rsidR="007E34E6" w:rsidRPr="007E34E6">
        <w:rPr>
          <w:rFonts w:hint="cs"/>
          <w:rtl/>
          <w:lang w:val="it-IT"/>
        </w:rPr>
        <w:t xml:space="preserve"> لسنة 1996.</w:t>
      </w:r>
      <w:r w:rsidR="007E34E6" w:rsidRPr="007E34E6">
        <w:rPr>
          <w:vertAlign w:val="superscript"/>
          <w:rtl/>
          <w:lang w:val="it-IT"/>
        </w:rPr>
        <w:footnoteReference w:id="14"/>
      </w:r>
    </w:p>
    <w:p w14:paraId="0F4C4537" w14:textId="77777777" w:rsidR="007E34E6" w:rsidRPr="00941E56" w:rsidRDefault="007E34E6" w:rsidP="00941E56">
      <w:pPr>
        <w:pStyle w:val="Heading3"/>
        <w:spacing w:before="220" w:after="220"/>
        <w:rPr>
          <w:b/>
          <w:bCs w:val="0"/>
          <w:i/>
          <w:iCs/>
          <w:sz w:val="22"/>
          <w:szCs w:val="22"/>
          <w:u w:val="none"/>
          <w:rtl/>
          <w:lang w:val="it-IT"/>
        </w:rPr>
      </w:pPr>
      <w:bookmarkStart w:id="37" w:name="_Toc520405365"/>
      <w:bookmarkStart w:id="38" w:name="_Toc109030387"/>
      <w:r w:rsidRPr="00941E56">
        <w:rPr>
          <w:rFonts w:hint="cs"/>
          <w:b/>
          <w:bCs w:val="0"/>
          <w:i/>
          <w:iCs/>
          <w:sz w:val="22"/>
          <w:szCs w:val="22"/>
          <w:u w:val="none"/>
          <w:rtl/>
          <w:lang w:val="it-IT"/>
        </w:rPr>
        <w:t>"الحماية" وليس "الصون" أو "الحفاظ" أو "النهوض"</w:t>
      </w:r>
      <w:bookmarkEnd w:id="37"/>
      <w:bookmarkEnd w:id="38"/>
    </w:p>
    <w:p w14:paraId="7C0812DD" w14:textId="77777777" w:rsidR="007E34E6" w:rsidRPr="007E34E6" w:rsidRDefault="007E34E6" w:rsidP="00941E56">
      <w:pPr>
        <w:pStyle w:val="ONUMA"/>
        <w:rPr>
          <w:rtl/>
          <w:lang w:val="it-IT" w:bidi="ar-EG"/>
        </w:rPr>
      </w:pPr>
      <w:r w:rsidRPr="007E34E6">
        <w:rPr>
          <w:rFonts w:hint="cs"/>
          <w:rtl/>
          <w:lang w:val="it-IT"/>
        </w:rPr>
        <w:t xml:space="preserve">وفقا للمناقشات التي جرت سابقا داخل اللجنة، يُفهم من كلمة "الحماية" في قرار اللجنة الذي اتخذته في دورتها الثانية عشرة في فبراير 2008، أنها تعني الحماية بمفهوم الملكية الفكرية (ويحال إليها أحيانا بعبارة "الحماية القانونية")، أي حماية الإبداع الفكري للإنسان وابتكاراته من </w:t>
      </w:r>
      <w:r w:rsidRPr="007E34E6">
        <w:rPr>
          <w:rFonts w:hint="cs"/>
          <w:rtl/>
          <w:lang w:val="it-IT" w:bidi="ar-EG"/>
        </w:rPr>
        <w:t>الانتفاع بها دون تصريح.</w:t>
      </w:r>
    </w:p>
    <w:p w14:paraId="5CC897DA" w14:textId="77777777" w:rsidR="007E34E6" w:rsidRPr="007E34E6" w:rsidRDefault="007E34E6" w:rsidP="00941E56">
      <w:pPr>
        <w:pStyle w:val="ONUMA"/>
        <w:rPr>
          <w:rtl/>
          <w:lang w:val="it-IT" w:bidi="ar-EG"/>
        </w:rPr>
      </w:pPr>
      <w:r w:rsidRPr="007E34E6">
        <w:rPr>
          <w:rFonts w:hint="cs"/>
          <w:rtl/>
          <w:lang w:val="it-IT"/>
        </w:rPr>
        <w:t>ويمكن</w:t>
      </w:r>
      <w:r w:rsidRPr="007E34E6">
        <w:rPr>
          <w:rFonts w:hint="cs"/>
          <w:rtl/>
          <w:lang w:val="it-IT" w:bidi="ar-EG"/>
        </w:rPr>
        <w:t xml:space="preserve"> تمييز "حماية" الملكية الفكرية في هذا السياق عن "صون" التراث الثقافي أو "الحفاظ عليه" أو "النهوض به"، فهذه عبارات تحيل عموما إلى تحديد التراث الثقافي الملموس وغير الملموس وتوثيقه ونقله وتنشيطه من أجل ضمان بقائه أو استدامته. وفي حين أن الأدوات والبرامج الرامية إلى الحفاظ على أشكال التعبير الثقافي التقليدي والنهوض بها مهمة ومكملة لحماية هذه الأشكال من التعبير، فإن هذا التحليل يركز على الحماية القانونية لأشكال التعبير الثقافي التقليدي، وذلك وفقا للقرار الذي اتخذته اللجنة في فبراير 2008. ويمكن أن تلعب القوانين والبرامج التي لا تتصل بالملكية الفكرية وتتعلق بصون التراث الحي والنهوض به، دورا مفيدا في استكمال القوانين المتعلقة بحماية الملكية الفكرية. ويمكن الاستجابة للعديد من التطلعات التي أشارت إليها المجتمعات المحلية المتصلة بأشكال التعبير الثقافي التقليدي، ليس من خلال تدابير بشأن الملكية الفكرية بل من خلال تدابير وبرامج خاصة بصون التراث الثقافي والحفاظ عليه والنهوض به. وإلى جانب هذا، تستخدم المجتمعات المحلية أدوات أخرى مثل تلك المستحدثة في إطار قوانينها العرفية، لمنع استخدام أشكال تعبيرها الثقافي التقليدي استخداما غير مرغوب فيه. وقد سبقت إشارة إلى أن الاستخدام الصحيح للأسماء والكلمات والرموز التقليدية وغيرها من أشكال التعبير الثقافي التقليدي قد يساعد في الحفاظ على الثقافات الأصلية والنهوض بها.</w:t>
      </w:r>
    </w:p>
    <w:p w14:paraId="167671DF" w14:textId="77777777" w:rsidR="007E34E6" w:rsidRPr="00941E56" w:rsidRDefault="007E34E6" w:rsidP="00941E56">
      <w:pPr>
        <w:pStyle w:val="Heading3"/>
        <w:spacing w:before="220" w:after="220"/>
        <w:rPr>
          <w:b/>
          <w:bCs w:val="0"/>
          <w:i/>
          <w:iCs/>
          <w:sz w:val="22"/>
          <w:szCs w:val="22"/>
          <w:u w:val="none"/>
          <w:rtl/>
          <w:lang w:val="it-IT"/>
        </w:rPr>
      </w:pPr>
      <w:bookmarkStart w:id="39" w:name="_Toc520405366"/>
      <w:bookmarkStart w:id="40" w:name="_Toc109030388"/>
      <w:r w:rsidRPr="00941E56">
        <w:rPr>
          <w:rFonts w:hint="cs"/>
          <w:b/>
          <w:bCs w:val="0"/>
          <w:i/>
          <w:iCs/>
          <w:sz w:val="22"/>
          <w:szCs w:val="22"/>
          <w:u w:val="none"/>
          <w:rtl/>
          <w:lang w:val="it-IT"/>
        </w:rPr>
        <w:t xml:space="preserve">أهداف متصلة بحماية </w:t>
      </w:r>
      <w:r w:rsidRPr="00941E56">
        <w:rPr>
          <w:rFonts w:hint="cs"/>
          <w:b/>
          <w:bCs w:val="0"/>
          <w:i/>
          <w:iCs/>
          <w:sz w:val="22"/>
          <w:szCs w:val="22"/>
          <w:u w:val="none"/>
          <w:rtl/>
          <w:lang w:val="it-IT" w:bidi="ar-EG"/>
        </w:rPr>
        <w:t>أشكال التعبير الثقافي التقليدي</w:t>
      </w:r>
      <w:bookmarkEnd w:id="39"/>
      <w:bookmarkEnd w:id="40"/>
    </w:p>
    <w:p w14:paraId="58FB2C29" w14:textId="77777777" w:rsidR="007E34E6" w:rsidRPr="007E34E6" w:rsidRDefault="007E34E6" w:rsidP="00941E56">
      <w:pPr>
        <w:pStyle w:val="ONUMA"/>
        <w:rPr>
          <w:rtl/>
          <w:lang w:val="it-IT" w:bidi="ar-EG"/>
        </w:rPr>
      </w:pPr>
      <w:r w:rsidRPr="007E34E6">
        <w:rPr>
          <w:rFonts w:hint="cs"/>
          <w:rtl/>
          <w:lang w:val="it-IT"/>
        </w:rPr>
        <w:t xml:space="preserve">ذكرت وثائق سابقة مجموعة متنوعة من الأهداف التي حددتها الدول والمجتمعات المحلية فيما يخص </w:t>
      </w:r>
      <w:r w:rsidRPr="007E34E6">
        <w:rPr>
          <w:rFonts w:hint="cs"/>
          <w:rtl/>
          <w:lang w:val="it-IT" w:bidi="ar-EG"/>
        </w:rPr>
        <w:t>أشكال التعبير الثقافي التقليدي.</w:t>
      </w:r>
      <w:r w:rsidRPr="007E34E6">
        <w:rPr>
          <w:vertAlign w:val="superscript"/>
          <w:rtl/>
          <w:lang w:val="it-IT" w:bidi="ar-EG"/>
        </w:rPr>
        <w:footnoteReference w:id="15"/>
      </w:r>
      <w:r w:rsidRPr="007E34E6">
        <w:rPr>
          <w:rFonts w:hint="cs"/>
          <w:rtl/>
          <w:lang w:val="it-IT" w:bidi="ar-EG"/>
        </w:rPr>
        <w:t xml:space="preserve"> والبعض منها أهداف عامة في حين يتصل بعضها بشكل مباشر أكثر بالملكية الفكرية وحماية أشكال التعبير الثقافي التقليدي. وقد استُشهد أيضا بإعلان الأمم المتحدة </w:t>
      </w:r>
      <w:r w:rsidRPr="007E34E6">
        <w:rPr>
          <w:rtl/>
          <w:lang w:val="it-IT" w:bidi="ar-EG"/>
        </w:rPr>
        <w:t>بشأن حقوق الشعوب الأصلية</w:t>
      </w:r>
      <w:r w:rsidRPr="007E34E6">
        <w:rPr>
          <w:rFonts w:hint="cs"/>
          <w:rtl/>
          <w:lang w:val="it-IT" w:bidi="ar-EG"/>
        </w:rPr>
        <w:t xml:space="preserve"> كمصدر يعبر عن تطلعات الشعوب الأصلية.</w:t>
      </w:r>
    </w:p>
    <w:p w14:paraId="36DA0AEB" w14:textId="77777777" w:rsidR="007E34E6" w:rsidRPr="007E34E6" w:rsidRDefault="007E34E6" w:rsidP="00941E56">
      <w:pPr>
        <w:pStyle w:val="ONUMA"/>
        <w:rPr>
          <w:rtl/>
          <w:lang w:val="it-IT"/>
        </w:rPr>
      </w:pPr>
      <w:r w:rsidRPr="007E34E6">
        <w:rPr>
          <w:rFonts w:hint="cs"/>
          <w:rtl/>
          <w:lang w:val="it-IT"/>
        </w:rPr>
        <w:t>ولتركيز هذا التحليل تركيزا محددا سليما، وتماشيا مع المناقشات السابقة والقرار الذي اتخذته اللجنة في فبراير 2008، يُقترح أن يركز التحليل تركيزا مباشرا عل الأهداف المتصلة تحديدا بحماية أشكال التعبير الثقافي التقليدي بموجب الملكية الفكرية.</w:t>
      </w:r>
    </w:p>
    <w:p w14:paraId="65E1B408" w14:textId="77777777" w:rsidR="007E34E6" w:rsidRPr="007E34E6" w:rsidRDefault="007E34E6" w:rsidP="00941E56">
      <w:pPr>
        <w:pStyle w:val="ONUMA"/>
        <w:rPr>
          <w:rtl/>
          <w:lang w:val="it-IT"/>
        </w:rPr>
      </w:pPr>
      <w:r w:rsidRPr="007E34E6">
        <w:rPr>
          <w:rFonts w:hint="cs"/>
          <w:rtl/>
          <w:lang w:val="it-IT"/>
        </w:rPr>
        <w:t>ويجدر التذكير، مع مراعاة أن هناك أيضا خيارات غير متصلة بالملكية الفكرية، بأن المشاركين في اللجنة الحكومية الدولية قد أشاروا إلى أهداف شتى مالية وغير مالية متصلة بالملكية الفكرية، لأغراض بأشكال التعبير الثقافي التقليدي، منها مثلا:</w:t>
      </w:r>
    </w:p>
    <w:p w14:paraId="1EC48EDE" w14:textId="0F47F8F2" w:rsidR="007E34E6" w:rsidRPr="007E34E6" w:rsidRDefault="00941E56" w:rsidP="00941E56">
      <w:pPr>
        <w:pStyle w:val="BodyText"/>
        <w:ind w:left="1689" w:hanging="555"/>
        <w:rPr>
          <w:rtl/>
          <w:lang w:val="it-IT"/>
        </w:rPr>
      </w:pPr>
      <w:r>
        <w:rPr>
          <w:rFonts w:hint="cs"/>
          <w:rtl/>
          <w:lang w:val="it-IT"/>
        </w:rPr>
        <w:t>(أ)</w:t>
      </w:r>
      <w:r>
        <w:rPr>
          <w:rtl/>
          <w:lang w:val="it-IT"/>
        </w:rPr>
        <w:tab/>
      </w:r>
      <w:r w:rsidR="007E34E6" w:rsidRPr="007E34E6">
        <w:rPr>
          <w:rFonts w:hint="cs"/>
          <w:rtl/>
          <w:lang w:val="it-IT"/>
        </w:rPr>
        <w:t>حماية الملكية الفكرية لدعم التنمية الاقتصادية: ترغب بعض المجتمعات المحلية في المطالبة بالملكية الفكرية وممارستها فيما يخص أشكال التعبير الثقافي التقليدي لتتمكن من استغلالها تجاريا كإسهام في تنميتها الاقتصادية؛</w:t>
      </w:r>
    </w:p>
    <w:p w14:paraId="75A9AD11" w14:textId="072E2FD8" w:rsidR="007E34E6" w:rsidRPr="007E34E6" w:rsidRDefault="00941E56" w:rsidP="00941E56">
      <w:pPr>
        <w:pStyle w:val="BodyText"/>
        <w:ind w:left="1689" w:hanging="555"/>
        <w:rPr>
          <w:rtl/>
          <w:lang w:val="it-IT"/>
        </w:rPr>
      </w:pPr>
      <w:r>
        <w:rPr>
          <w:rFonts w:hint="cs"/>
          <w:rtl/>
          <w:lang w:val="it-IT"/>
        </w:rPr>
        <w:t>(ب)</w:t>
      </w:r>
      <w:r>
        <w:rPr>
          <w:rtl/>
          <w:lang w:val="it-IT"/>
        </w:rPr>
        <w:tab/>
      </w:r>
      <w:r w:rsidR="007E34E6" w:rsidRPr="007E34E6">
        <w:rPr>
          <w:rFonts w:hint="cs"/>
          <w:rtl/>
          <w:lang w:val="it-IT"/>
        </w:rPr>
        <w:t>وحماية الملكية الفكرية لمنع الغير من استخدامها بشكل غير المرغوب فيه: قد ترغب بعض المجتمعات المحلية في ممارسة حقوق الملكية الفكرية فيما يخص أشكال التعبير الثقافي التقليدي لمنع الغير من استخدام أشكال تعبيرها الثقافي التقليدي أو تسويقها، بما في ذلك الاستخدام المضر أو المذل من الناحية الثقافية، والاستخدام الذي يمثل ثقافاتها تمثيلا غير دقيق؛</w:t>
      </w:r>
    </w:p>
    <w:p w14:paraId="09615DE4" w14:textId="0966DFF9" w:rsidR="007E34E6" w:rsidRPr="007E34E6" w:rsidRDefault="00941E56" w:rsidP="00941E56">
      <w:pPr>
        <w:pStyle w:val="BodyText"/>
        <w:ind w:left="1689" w:hanging="555"/>
        <w:rPr>
          <w:rtl/>
          <w:lang w:val="it-IT"/>
        </w:rPr>
      </w:pPr>
      <w:r>
        <w:rPr>
          <w:rFonts w:hint="cs"/>
          <w:rtl/>
          <w:lang w:val="it-IT"/>
        </w:rPr>
        <w:t>(ج)</w:t>
      </w:r>
      <w:r>
        <w:rPr>
          <w:rtl/>
          <w:lang w:val="it-IT"/>
        </w:rPr>
        <w:tab/>
      </w:r>
      <w:r w:rsidR="007E34E6" w:rsidRPr="007E34E6">
        <w:rPr>
          <w:rFonts w:hint="cs"/>
          <w:rtl/>
          <w:lang w:val="it-IT"/>
        </w:rPr>
        <w:t>والحماية من الملكية الفكرية: ينصب اهتمام المجتمعات المحلية أيضا على منع الغير من اكتساب الملكية الفكرية أو الاحتفاظ بها فيما يخص أشكال التعبير الثقافي التقليدي والأعمال المشتقة منها أو المحوّرة لها. ويستتبع هذا استخدام آليات دفاعية لمنع أو تفادي حصول الغير على حقوق الملكية الفكرية التي تعتبر مؤذية لمصالح المجتمع المحلي، أو التي اكتُسبت دون موافقة المجتمع المحلي ("حماية دفاعية").</w:t>
      </w:r>
    </w:p>
    <w:p w14:paraId="775B98EA" w14:textId="77777777" w:rsidR="007E34E6" w:rsidRPr="00941E56" w:rsidRDefault="007E34E6" w:rsidP="00941E56">
      <w:pPr>
        <w:pStyle w:val="Heading3"/>
        <w:spacing w:before="220" w:after="220"/>
        <w:rPr>
          <w:b/>
          <w:bCs w:val="0"/>
          <w:i/>
          <w:iCs/>
          <w:sz w:val="22"/>
          <w:szCs w:val="22"/>
          <w:u w:val="none"/>
          <w:rtl/>
          <w:lang w:val="it-IT"/>
        </w:rPr>
      </w:pPr>
      <w:bookmarkStart w:id="41" w:name="_Toc520405367"/>
      <w:bookmarkStart w:id="42" w:name="_Toc109030389"/>
      <w:r w:rsidRPr="00941E56">
        <w:rPr>
          <w:rFonts w:hint="cs"/>
          <w:b/>
          <w:bCs w:val="0"/>
          <w:i/>
          <w:iCs/>
          <w:sz w:val="22"/>
          <w:szCs w:val="22"/>
          <w:u w:val="none"/>
          <w:rtl/>
          <w:lang w:val="it-IT"/>
        </w:rPr>
        <w:lastRenderedPageBreak/>
        <w:t>أشكال محددة من الحماية المرغوب فيها لأشكال التعبير الثقافي التقليدي</w:t>
      </w:r>
      <w:bookmarkEnd w:id="41"/>
      <w:bookmarkEnd w:id="42"/>
    </w:p>
    <w:p w14:paraId="100645D7" w14:textId="77777777" w:rsidR="007E34E6" w:rsidRPr="007E34E6" w:rsidRDefault="007E34E6" w:rsidP="00941E56">
      <w:pPr>
        <w:pStyle w:val="ONUMA"/>
        <w:rPr>
          <w:rtl/>
          <w:lang w:val="it-IT" w:bidi="ar-EG"/>
        </w:rPr>
      </w:pPr>
      <w:r w:rsidRPr="007E34E6">
        <w:rPr>
          <w:rFonts w:hint="cs"/>
          <w:rtl/>
          <w:lang w:val="it-IT" w:bidi="ar-EG"/>
        </w:rPr>
        <w:t>تتنوع طرق الانتفاع بأشكال مختلفة من أشكال التعبير الثقافي التقليدي في مختلف أنحاء العالم. وتستعرض وثائق سابقة للجنة أمثلة على أنواع تملّك أشكال التعبير الثقافي، التي وجهت المجتمعات الأصلية الانتباه إليها.</w:t>
      </w:r>
      <w:r w:rsidRPr="007E34E6">
        <w:rPr>
          <w:vertAlign w:val="superscript"/>
          <w:rtl/>
          <w:lang w:val="it-IT" w:bidi="ar-EG"/>
        </w:rPr>
        <w:footnoteReference w:id="16"/>
      </w:r>
    </w:p>
    <w:p w14:paraId="5BB21442" w14:textId="77777777" w:rsidR="007E34E6" w:rsidRPr="007E34E6" w:rsidRDefault="007E34E6" w:rsidP="00941E56">
      <w:pPr>
        <w:pStyle w:val="ONUMA"/>
        <w:rPr>
          <w:rtl/>
          <w:lang w:val="it-IT" w:bidi="ar-EG"/>
        </w:rPr>
      </w:pPr>
      <w:r w:rsidRPr="007E34E6">
        <w:rPr>
          <w:rFonts w:hint="cs"/>
          <w:rtl/>
          <w:lang w:val="it-IT" w:bidi="ar-EG"/>
        </w:rPr>
        <w:t>وتبين هذه الأمثلة الواقعية أن المجتمعات المحلية وغيرها من أصحاب المصالح يدعون إلى ما يلي:</w:t>
      </w:r>
    </w:p>
    <w:p w14:paraId="59C008EF" w14:textId="359A8A22" w:rsidR="007E34E6" w:rsidRPr="007E34E6" w:rsidRDefault="00941E56" w:rsidP="009F15B7">
      <w:pPr>
        <w:pStyle w:val="BodyText"/>
        <w:spacing w:after="120"/>
        <w:ind w:left="1689" w:hanging="555"/>
        <w:rPr>
          <w:lang w:bidi="ar-EG"/>
        </w:rPr>
      </w:pPr>
      <w:r>
        <w:rPr>
          <w:rFonts w:hint="cs"/>
          <w:rtl/>
          <w:lang w:val="it-IT"/>
        </w:rPr>
        <w:t>(أ)</w:t>
      </w:r>
      <w:r w:rsidRPr="007E34E6">
        <w:rPr>
          <w:rFonts w:hint="cs"/>
          <w:rtl/>
          <w:lang w:val="it-IT" w:bidi="ar-EG"/>
        </w:rPr>
        <w:t xml:space="preserve"> </w:t>
      </w:r>
      <w:r>
        <w:rPr>
          <w:rtl/>
          <w:lang w:val="it-IT" w:bidi="ar-EG"/>
        </w:rPr>
        <w:tab/>
      </w:r>
      <w:r w:rsidR="007E34E6" w:rsidRPr="007E34E6">
        <w:rPr>
          <w:rFonts w:hint="cs"/>
          <w:rtl/>
          <w:lang w:val="it-IT" w:bidi="ar-EG"/>
        </w:rPr>
        <w:t>(</w:t>
      </w:r>
      <w:r w:rsidR="007E34E6" w:rsidRPr="007E34E6">
        <w:rPr>
          <w:rFonts w:hint="cs"/>
          <w:rtl/>
          <w:lang w:val="it-IT"/>
        </w:rPr>
        <w:t>حماية أشكال التعبير الثقافي التقليدي من الانتفاع دون تصريح، مثل النسخ والتحوير والتوزيع والأداء وغيرها من الأفعال، لا سيما الانتفاع التجاري؛</w:t>
      </w:r>
    </w:p>
    <w:p w14:paraId="37239450" w14:textId="5E089F44" w:rsidR="007E34E6" w:rsidRPr="007E34E6" w:rsidRDefault="00941E56" w:rsidP="009F15B7">
      <w:pPr>
        <w:pStyle w:val="BodyText"/>
        <w:spacing w:after="120"/>
        <w:ind w:left="1134"/>
        <w:rPr>
          <w:rtl/>
          <w:lang w:val="it-IT"/>
        </w:rPr>
      </w:pPr>
      <w:r>
        <w:rPr>
          <w:rFonts w:hint="cs"/>
          <w:rtl/>
          <w:lang w:val="it-IT"/>
        </w:rPr>
        <w:t>(ب)</w:t>
      </w:r>
      <w:r>
        <w:rPr>
          <w:rtl/>
          <w:lang w:val="it-IT"/>
        </w:rPr>
        <w:tab/>
      </w:r>
      <w:r w:rsidR="007E34E6" w:rsidRPr="007E34E6">
        <w:rPr>
          <w:rFonts w:hint="cs"/>
          <w:rtl/>
          <w:lang w:val="it-IT"/>
        </w:rPr>
        <w:t>ومنع استخدام أشكال التعبير الثقافي التقليدي استخداما مهينا أوضارا أو مؤذيا من الناحية الثقافية والروحية؛</w:t>
      </w:r>
    </w:p>
    <w:p w14:paraId="6AFD9295" w14:textId="2F0AAC94" w:rsidR="007E34E6" w:rsidRPr="007E34E6" w:rsidRDefault="00941E56" w:rsidP="009F15B7">
      <w:pPr>
        <w:pStyle w:val="BodyText"/>
        <w:spacing w:after="120"/>
        <w:ind w:left="1689" w:hanging="555"/>
        <w:rPr>
          <w:lang w:bidi="ar-EG"/>
        </w:rPr>
      </w:pPr>
      <w:r>
        <w:rPr>
          <w:rFonts w:hint="cs"/>
          <w:rtl/>
          <w:lang w:val="it-IT"/>
        </w:rPr>
        <w:t>(ج)</w:t>
      </w:r>
      <w:r>
        <w:rPr>
          <w:rtl/>
          <w:lang w:val="it-IT"/>
        </w:rPr>
        <w:tab/>
      </w:r>
      <w:r w:rsidR="007E34E6" w:rsidRPr="007E34E6">
        <w:rPr>
          <w:rFonts w:hint="cs"/>
          <w:rtl/>
          <w:lang w:val="it-IT"/>
        </w:rPr>
        <w:t>ومنع تملّك سمعة أشكال التعبير الثقافي التقليدي أو الطابع المميز لها بطرق تلمح إلى منتج تقليدي عريق من خلال استخدام بيانات مضللة أو كاذبة فيما يتعلق بالأصالة أو العراقة، أو تبني "نمط" هذه الأشكال من التعبير.</w:t>
      </w:r>
    </w:p>
    <w:p w14:paraId="1CED4FF3" w14:textId="64DF583D" w:rsidR="007E34E6" w:rsidRPr="007E34E6" w:rsidRDefault="00941E56" w:rsidP="009F15B7">
      <w:pPr>
        <w:pStyle w:val="BodyText"/>
        <w:spacing w:after="120"/>
        <w:ind w:left="1134"/>
        <w:rPr>
          <w:lang w:bidi="ar-EG"/>
        </w:rPr>
      </w:pPr>
      <w:r>
        <w:rPr>
          <w:rFonts w:hint="cs"/>
          <w:rtl/>
          <w:lang w:val="it-IT"/>
        </w:rPr>
        <w:t>(د)</w:t>
      </w:r>
      <w:r>
        <w:rPr>
          <w:rtl/>
          <w:lang w:val="it-IT"/>
        </w:rPr>
        <w:tab/>
      </w:r>
      <w:r w:rsidR="007E34E6" w:rsidRPr="007E34E6">
        <w:rPr>
          <w:rFonts w:hint="cs"/>
          <w:rtl/>
          <w:lang w:val="it-IT"/>
        </w:rPr>
        <w:t xml:space="preserve">ومنع إهمال ذكر المصدر عند الانتفاع بأشكال التعبير الثقافي التقليدي؛ </w:t>
      </w:r>
    </w:p>
    <w:p w14:paraId="5720CD75" w14:textId="7D132156" w:rsidR="007E34E6" w:rsidRPr="007E34E6" w:rsidRDefault="00941E56" w:rsidP="009F15B7">
      <w:pPr>
        <w:pStyle w:val="BodyText"/>
        <w:spacing w:after="120"/>
        <w:ind w:left="1689" w:hanging="555"/>
        <w:rPr>
          <w:lang w:bidi="ar-EG"/>
        </w:rPr>
      </w:pPr>
      <w:r>
        <w:rPr>
          <w:rFonts w:hint="cs"/>
          <w:rtl/>
          <w:lang w:val="it-IT"/>
        </w:rPr>
        <w:t>(ه)</w:t>
      </w:r>
      <w:r>
        <w:rPr>
          <w:rtl/>
          <w:lang w:val="it-IT"/>
        </w:rPr>
        <w:tab/>
      </w:r>
      <w:r w:rsidR="007E34E6" w:rsidRPr="007E34E6">
        <w:rPr>
          <w:rFonts w:hint="cs"/>
          <w:rtl/>
          <w:lang w:val="it-IT"/>
        </w:rPr>
        <w:t>والحماية الدفاعية لأشكال التعبير الثقافي التقليدي (ومعناها حماية أشكال التعبير هذه من حصول الغير على حقوق الملكية الفكرية فيها أو من تحويرها)؛</w:t>
      </w:r>
    </w:p>
    <w:p w14:paraId="2076D37A" w14:textId="51275D4F" w:rsidR="007E34E6" w:rsidRPr="007E34E6" w:rsidRDefault="00941E56" w:rsidP="00941E56">
      <w:pPr>
        <w:pStyle w:val="BodyText"/>
        <w:ind w:left="1134"/>
        <w:rPr>
          <w:lang w:bidi="ar-EG"/>
        </w:rPr>
      </w:pPr>
      <w:r>
        <w:rPr>
          <w:rFonts w:hint="cs"/>
          <w:rtl/>
          <w:lang w:val="it-IT"/>
        </w:rPr>
        <w:t>(و)</w:t>
      </w:r>
      <w:r>
        <w:rPr>
          <w:rtl/>
          <w:lang w:val="it-IT"/>
        </w:rPr>
        <w:tab/>
      </w:r>
      <w:r w:rsidR="007E34E6" w:rsidRPr="007E34E6">
        <w:rPr>
          <w:rFonts w:hint="cs"/>
          <w:rtl/>
          <w:lang w:val="it-IT"/>
        </w:rPr>
        <w:t>ومنع الكشف [دون تصريح] عن أشكال التعبير الثقافي التقليدي المكتومة أو السرية.</w:t>
      </w:r>
    </w:p>
    <w:p w14:paraId="099BBE39" w14:textId="77777777" w:rsidR="007E34E6" w:rsidRPr="007E34E6" w:rsidRDefault="007E34E6" w:rsidP="00941E56">
      <w:pPr>
        <w:pStyle w:val="ONUMA"/>
        <w:rPr>
          <w:rtl/>
          <w:lang w:val="it-IT" w:bidi="ar-EG"/>
        </w:rPr>
      </w:pPr>
      <w:r w:rsidRPr="007E34E6">
        <w:rPr>
          <w:rFonts w:hint="cs"/>
          <w:rtl/>
          <w:lang w:val="it-IT" w:bidi="ar-EG"/>
        </w:rPr>
        <w:t xml:space="preserve">ولتوضيح الخيارات وجعل هذا التحليل موضوع تركيز عملي وتطبيقي، يُقترح أن يركز على هذه الأشكال الرئيسية الستة من الحماية كما جاء تعريفها ومناقشتها في وثائق سابقة. </w:t>
      </w:r>
    </w:p>
    <w:p w14:paraId="36DD4E73" w14:textId="77777777" w:rsidR="007E34E6" w:rsidRPr="007E34E6" w:rsidRDefault="007E34E6" w:rsidP="00941E56">
      <w:pPr>
        <w:pStyle w:val="ONUMA"/>
        <w:rPr>
          <w:rtl/>
          <w:lang w:val="it-IT" w:bidi="ar-EG"/>
        </w:rPr>
      </w:pPr>
      <w:r w:rsidRPr="007E34E6">
        <w:rPr>
          <w:rFonts w:hint="cs"/>
          <w:rtl/>
          <w:lang w:val="it-IT" w:bidi="ar-EG"/>
        </w:rPr>
        <w:t>وفيما يخص الحماية الدفاعية لأشكال التعبير الثقافي التقليدي، يُقترح التركيز بالتحديد على الدعوات إلى الحماية من القيام دون تصريح "1" ممارسة حق المؤلف وال</w:t>
      </w:r>
      <w:r w:rsidRPr="007E34E6">
        <w:rPr>
          <w:rtl/>
          <w:lang w:val="it-IT" w:bidi="ar-EG"/>
        </w:rPr>
        <w:t xml:space="preserve">حقوق </w:t>
      </w:r>
      <w:r w:rsidRPr="007E34E6">
        <w:rPr>
          <w:rFonts w:hint="cs"/>
          <w:rtl/>
          <w:lang w:val="it-IT" w:bidi="ar-EG"/>
        </w:rPr>
        <w:t>في التصاميم على المصنفات المشتقة من أشكال التعبير الثقافي التقليدي، بما فيها المنتجات الحرفية، و"2" واكتساب حماية العلامة التجارية فيما يخص الأسماء والكلمات والرموز الأصلية والتقليدية، دون تصريح.</w:t>
      </w:r>
    </w:p>
    <w:p w14:paraId="63175F07" w14:textId="77777777" w:rsidR="007E34E6" w:rsidRPr="00941E56" w:rsidRDefault="007E34E6" w:rsidP="00941E56">
      <w:pPr>
        <w:pStyle w:val="Heading2"/>
        <w:spacing w:before="220" w:after="220"/>
        <w:rPr>
          <w:b/>
          <w:bCs w:val="0"/>
          <w:sz w:val="22"/>
          <w:szCs w:val="22"/>
          <w:u w:val="single"/>
          <w:lang w:bidi="ar-EG"/>
        </w:rPr>
      </w:pPr>
      <w:bookmarkStart w:id="43" w:name="_Toc520405368"/>
      <w:bookmarkStart w:id="44" w:name="_Toc109030390"/>
      <w:r w:rsidRPr="00941E56">
        <w:rPr>
          <w:rFonts w:hint="cs"/>
          <w:b/>
          <w:bCs w:val="0"/>
          <w:sz w:val="22"/>
          <w:szCs w:val="22"/>
          <w:u w:val="single"/>
          <w:rtl/>
          <w:lang w:val="it-IT"/>
        </w:rPr>
        <w:t>معنى</w:t>
      </w:r>
      <w:r w:rsidRPr="00941E56">
        <w:rPr>
          <w:rFonts w:hint="cs"/>
          <w:b/>
          <w:bCs w:val="0"/>
          <w:sz w:val="22"/>
          <w:szCs w:val="22"/>
          <w:u w:val="single"/>
          <w:rtl/>
          <w:lang w:val="it-IT" w:bidi="ar-EG"/>
        </w:rPr>
        <w:t xml:space="preserve"> "الثغرات"</w:t>
      </w:r>
      <w:bookmarkEnd w:id="43"/>
      <w:bookmarkEnd w:id="44"/>
      <w:r w:rsidRPr="00941E56">
        <w:rPr>
          <w:rFonts w:hint="cs"/>
          <w:b/>
          <w:bCs w:val="0"/>
          <w:sz w:val="22"/>
          <w:szCs w:val="22"/>
          <w:u w:val="single"/>
          <w:rtl/>
          <w:lang w:val="it-IT" w:bidi="ar-EG"/>
        </w:rPr>
        <w:t xml:space="preserve"> </w:t>
      </w:r>
    </w:p>
    <w:p w14:paraId="12A573CD" w14:textId="77777777" w:rsidR="007E34E6" w:rsidRPr="007E34E6" w:rsidRDefault="007E34E6" w:rsidP="00941E56">
      <w:pPr>
        <w:pStyle w:val="ONUMA"/>
        <w:rPr>
          <w:rtl/>
          <w:lang w:val="it-IT" w:bidi="ar-EG"/>
        </w:rPr>
      </w:pPr>
      <w:r w:rsidRPr="007E34E6">
        <w:rPr>
          <w:rFonts w:hint="cs"/>
          <w:rtl/>
          <w:lang w:val="it-IT" w:bidi="ar-EG"/>
        </w:rPr>
        <w:t xml:space="preserve">يقتضي القرار الذي اتخذته اللجنة الحكومية الدولية في دورتها الثانية عشرة إجراء تحليل بشأن "الثغرات" فيما يخص "الالتزامات والأحكام والإمكانيات القائمة على المستوى الدولي </w:t>
      </w:r>
      <w:r w:rsidRPr="007E34E6">
        <w:rPr>
          <w:rtl/>
          <w:lang w:val="it-IT" w:bidi="ar-EG"/>
        </w:rPr>
        <w:t>من أجل تأمين</w:t>
      </w:r>
      <w:r w:rsidRPr="007E34E6">
        <w:rPr>
          <w:rFonts w:hint="cs"/>
          <w:rtl/>
          <w:lang w:val="it-IT" w:bidi="ar-EG"/>
        </w:rPr>
        <w:t xml:space="preserve"> الحماية لأشكال التعبير الثقافي التقليدي/أشكال التعبير الفولكلوري".</w:t>
      </w:r>
    </w:p>
    <w:p w14:paraId="7058344B" w14:textId="77777777" w:rsidR="007E34E6" w:rsidRPr="007E34E6" w:rsidRDefault="007E34E6" w:rsidP="00941E56">
      <w:pPr>
        <w:pStyle w:val="ONUMA"/>
        <w:rPr>
          <w:rtl/>
          <w:lang w:val="it-IT" w:bidi="ar-EG"/>
        </w:rPr>
      </w:pPr>
      <w:r w:rsidRPr="007E34E6">
        <w:rPr>
          <w:rFonts w:hint="cs"/>
          <w:rtl/>
          <w:lang w:val="it-IT" w:bidi="ar-EG"/>
        </w:rPr>
        <w:t>ويعني مفهوم "ثغرة" المستخدم في قرار اللجنة احتياجا اقتصاديا أو ثقافيا أو اجتماعيا لم يلب. وإن تحديد هذه الاحتياجات الاقتصادية أو الثقافية أو الاجتماعية وتقييم ما "لُبي" أم لا هو إجراء ينقصه اليقين بما أن اللجنة الحكومية الدولية لم تتفق بعد على هذه القضايا. ويندرج تعريف احتياج لم يلب بوصفه "ثغرة" بل البت في ضرورة سده أم لا، في إطار القضايا التي تقررها الدول الأعضاء.</w:t>
      </w:r>
    </w:p>
    <w:p w14:paraId="02DB23A0" w14:textId="77777777" w:rsidR="007E34E6" w:rsidRPr="007E34E6" w:rsidRDefault="007E34E6" w:rsidP="00941E56">
      <w:pPr>
        <w:pStyle w:val="ONUMA"/>
        <w:rPr>
          <w:rtl/>
          <w:lang w:val="it-IT" w:bidi="ar-EG"/>
        </w:rPr>
      </w:pPr>
      <w:r w:rsidRPr="007E34E6">
        <w:rPr>
          <w:rFonts w:hint="cs"/>
          <w:rtl/>
          <w:lang w:val="it-IT" w:bidi="ar-EG"/>
        </w:rPr>
        <w:t>وللعمل بشكل فعلي، رغم ذلك، من أجل الاستجابة لقرار اللجنة، يمكن تحديد الثغرات فيما يخص:</w:t>
      </w:r>
    </w:p>
    <w:p w14:paraId="2BF266B3" w14:textId="4DF9F590" w:rsidR="007E34E6" w:rsidRPr="007E34E6" w:rsidRDefault="00941E56" w:rsidP="009F15B7">
      <w:pPr>
        <w:pStyle w:val="BodyText"/>
        <w:spacing w:after="120"/>
        <w:ind w:firstLine="562"/>
        <w:rPr>
          <w:lang w:bidi="ar-EG"/>
        </w:rPr>
      </w:pPr>
      <w:r>
        <w:rPr>
          <w:rFonts w:hint="cs"/>
          <w:rtl/>
          <w:lang w:val="it-IT"/>
        </w:rPr>
        <w:t>(أ)</w:t>
      </w:r>
      <w:r>
        <w:rPr>
          <w:rtl/>
          <w:lang w:val="it-IT"/>
        </w:rPr>
        <w:tab/>
      </w:r>
      <w:r w:rsidR="007E34E6" w:rsidRPr="007E34E6">
        <w:rPr>
          <w:rFonts w:hint="cs"/>
          <w:rtl/>
          <w:lang w:val="it-IT"/>
        </w:rPr>
        <w:t>أشكال الحماية التي ترغب فيها الدول والمجتمعات المحلية (المشار إليها أعلاه)؛</w:t>
      </w:r>
    </w:p>
    <w:p w14:paraId="0D5AB600" w14:textId="06425AE6" w:rsidR="007E34E6" w:rsidRPr="007E34E6" w:rsidRDefault="00941E56" w:rsidP="00941E56">
      <w:pPr>
        <w:pStyle w:val="BodyText"/>
        <w:ind w:left="1134" w:hanging="567"/>
        <w:rPr>
          <w:lang w:bidi="ar-EG"/>
        </w:rPr>
      </w:pPr>
      <w:r>
        <w:rPr>
          <w:rFonts w:hint="cs"/>
          <w:rtl/>
          <w:lang w:val="it-IT"/>
        </w:rPr>
        <w:t>(ب)</w:t>
      </w:r>
      <w:r>
        <w:rPr>
          <w:rFonts w:hint="cs"/>
          <w:rtl/>
          <w:lang w:val="it-IT"/>
        </w:rPr>
        <w:tab/>
      </w:r>
      <w:r w:rsidR="007E34E6" w:rsidRPr="007E34E6">
        <w:rPr>
          <w:rFonts w:hint="cs"/>
          <w:rtl/>
          <w:lang w:val="it-IT"/>
        </w:rPr>
        <w:t>والنواقص التقنية المحددة والملحوظة في نظام الملكية الفكرية القائم، التي تتصل بأشكال التعبير الثقافي التقليدي. وقد أشارت الردود على استبيانات وغيرها من الوثائق والمواد السابقة التي أُعدت للجنة إلى هذه العيوب وناقشتها مناقشة مستفيضة.</w:t>
      </w:r>
      <w:r w:rsidR="007E34E6" w:rsidRPr="007E34E6">
        <w:rPr>
          <w:vertAlign w:val="superscript"/>
          <w:rtl/>
          <w:lang w:val="it-IT"/>
        </w:rPr>
        <w:footnoteReference w:id="17"/>
      </w:r>
    </w:p>
    <w:p w14:paraId="6C04E7BA" w14:textId="77777777" w:rsidR="007E34E6" w:rsidRPr="007E34E6" w:rsidRDefault="007E34E6" w:rsidP="00941E56">
      <w:pPr>
        <w:pStyle w:val="ONUMA"/>
        <w:rPr>
          <w:rtl/>
          <w:lang w:val="it-IT" w:bidi="ar-EG"/>
        </w:rPr>
      </w:pPr>
      <w:r w:rsidRPr="007E34E6">
        <w:rPr>
          <w:rFonts w:hint="cs"/>
          <w:rtl/>
          <w:lang w:val="it-IT" w:bidi="ar-EG"/>
        </w:rPr>
        <w:t>وقد حددنا أشكال الحماية المرغوب فيها أعلاه. واقترحنا العناصر التالية كقيود تقنية ومحددة تنطوي عليها نظم الملكية الفكرية الأكثر اتصالا بأشكال التعبير الثقافي التقليدي:</w:t>
      </w:r>
    </w:p>
    <w:p w14:paraId="133AC096" w14:textId="279E8580" w:rsidR="007E34E6" w:rsidRPr="007E34E6" w:rsidRDefault="007F2EB9" w:rsidP="007F2EB9">
      <w:pPr>
        <w:pStyle w:val="BodyText"/>
        <w:ind w:left="1134" w:hanging="567"/>
        <w:rPr>
          <w:lang w:bidi="ar-EG"/>
        </w:rPr>
      </w:pPr>
      <w:r>
        <w:rPr>
          <w:rFonts w:hint="cs"/>
          <w:rtl/>
          <w:lang w:val="it-IT"/>
        </w:rPr>
        <w:t>(أ)</w:t>
      </w:r>
      <w:r>
        <w:rPr>
          <w:rtl/>
          <w:lang w:val="it-IT"/>
        </w:rPr>
        <w:tab/>
      </w:r>
      <w:r w:rsidR="007E34E6" w:rsidRPr="007E34E6">
        <w:rPr>
          <w:rFonts w:hint="cs"/>
          <w:rtl/>
          <w:lang w:val="it-IT"/>
        </w:rPr>
        <w:t xml:space="preserve">شرط </w:t>
      </w:r>
      <w:r w:rsidR="007E34E6" w:rsidRPr="007F2EB9">
        <w:rPr>
          <w:rFonts w:hint="cs"/>
          <w:i/>
          <w:iCs/>
          <w:rtl/>
          <w:lang w:val="it-IT"/>
        </w:rPr>
        <w:t>"الأصالة"</w:t>
      </w:r>
      <w:r w:rsidR="007E34E6" w:rsidRPr="007E34E6">
        <w:rPr>
          <w:rFonts w:hint="cs"/>
          <w:rtl/>
          <w:lang w:val="it-IT"/>
        </w:rPr>
        <w:t xml:space="preserve">: لا يحمي حق المؤلف سوى المصنفات "الأصلية"، علما بأن العديد من المنتجات الأدبية والفنية ليست "أصلية" بهذا المعنى. وقيل أيضا إن التصاميم التقليدية ليست "جديدة" أو "أصلية" لتحظى بحماية الرسوم </w:t>
      </w:r>
      <w:r w:rsidR="007E34E6" w:rsidRPr="007E34E6">
        <w:rPr>
          <w:rFonts w:hint="cs"/>
          <w:rtl/>
          <w:lang w:val="it-IT"/>
        </w:rPr>
        <w:lastRenderedPageBreak/>
        <w:t>والنماذج الصناعية. وأما المصنفات القائمة على تحوير أشكال التعبير الثقافي التقليدي فيمكن حمايتها بوصفها مصنفات وتصاميم "أصلية"، ومنها الدعوات إلى "حماية دفاعية" (انظر أدناه)؛</w:t>
      </w:r>
    </w:p>
    <w:p w14:paraId="4FFAF144" w14:textId="3CDD1AFF" w:rsidR="007E34E6" w:rsidRPr="007E34E6" w:rsidRDefault="007F2EB9" w:rsidP="007F2EB9">
      <w:pPr>
        <w:pStyle w:val="BodyText"/>
        <w:ind w:left="1134" w:hanging="567"/>
        <w:rPr>
          <w:lang w:bidi="ar-EG"/>
        </w:rPr>
      </w:pPr>
      <w:r>
        <w:rPr>
          <w:rFonts w:hint="cs"/>
          <w:rtl/>
          <w:lang w:val="it-IT"/>
        </w:rPr>
        <w:t>(ب)</w:t>
      </w:r>
      <w:r>
        <w:rPr>
          <w:rtl/>
          <w:lang w:val="it-IT"/>
        </w:rPr>
        <w:tab/>
      </w:r>
      <w:r w:rsidR="007E34E6" w:rsidRPr="007F2EB9">
        <w:rPr>
          <w:rFonts w:hint="cs"/>
          <w:i/>
          <w:iCs/>
          <w:rtl/>
          <w:lang w:val="it-IT"/>
        </w:rPr>
        <w:t>"الملكية"</w:t>
      </w:r>
      <w:r w:rsidR="007E34E6" w:rsidRPr="007E34E6">
        <w:rPr>
          <w:rFonts w:hint="cs"/>
          <w:rtl/>
          <w:lang w:val="it-IT"/>
        </w:rPr>
        <w:t xml:space="preserve">: غالبا ما تتطلب عملية حماية حق المؤلف والرسوم والنماذج الصناعية أن يكون المبدع الواحد أو أكثر معروفا من أجل تحديد أصحاب الحقوق ومن يمكنه الاستفادة من هذه الحقوق. لكن من الصعب، إن لم يكن من المستحيل، معرفة مبدعي أشكال التعبير الثقافي التقليدي، وبالتالي من هم أصحاب الحقوق والمستفيدون، ذلك لأن هذه الأشكال في التعبير تُبتدع وتمتلك بشكل جماعي أو لمجرد أننا نعرف مبدعيها أو مكانهم. وقد يكون أيضا مفهوم "الملكية" في سياق الملكية الفكرية غريبا عن العديد من الشعوب الأصلية (انظر أدناه في إطار "الفجوة </w:t>
      </w:r>
      <w:proofErr w:type="spellStart"/>
      <w:r w:rsidR="007E34E6" w:rsidRPr="007E34E6">
        <w:rPr>
          <w:rFonts w:hint="cs"/>
          <w:rtl/>
          <w:lang w:val="it-IT"/>
        </w:rPr>
        <w:t>المفاهيمية</w:t>
      </w:r>
      <w:proofErr w:type="spellEnd"/>
      <w:r w:rsidR="007E34E6" w:rsidRPr="007E34E6">
        <w:rPr>
          <w:rFonts w:hint="cs"/>
          <w:rtl/>
          <w:lang w:val="it-IT"/>
        </w:rPr>
        <w:t>")؛</w:t>
      </w:r>
    </w:p>
    <w:p w14:paraId="69068F13" w14:textId="05ACECAD" w:rsidR="007E34E6" w:rsidRPr="007E34E6" w:rsidRDefault="007F2EB9" w:rsidP="007F2EB9">
      <w:pPr>
        <w:pStyle w:val="BodyText"/>
        <w:ind w:left="1134" w:hanging="567"/>
        <w:rPr>
          <w:lang w:bidi="ar-EG"/>
        </w:rPr>
      </w:pPr>
      <w:r>
        <w:rPr>
          <w:rFonts w:hint="cs"/>
          <w:rtl/>
          <w:lang w:val="it-IT"/>
        </w:rPr>
        <w:t>(ج)</w:t>
      </w:r>
      <w:r>
        <w:rPr>
          <w:rtl/>
          <w:lang w:val="it-IT"/>
        </w:rPr>
        <w:tab/>
      </w:r>
      <w:r w:rsidR="007E34E6" w:rsidRPr="007F2EB9">
        <w:rPr>
          <w:i/>
          <w:iCs/>
          <w:rtl/>
          <w:lang w:val="it-IT"/>
        </w:rPr>
        <w:t>التثبيت</w:t>
      </w:r>
      <w:r w:rsidR="007E34E6" w:rsidRPr="007E34E6">
        <w:rPr>
          <w:rFonts w:hint="cs"/>
          <w:rtl/>
          <w:lang w:val="it-IT"/>
        </w:rPr>
        <w:t xml:space="preserve">: يمنع شرط التثبيت في العديد من القوانين الوطنية المتعلقة بحق المؤلف أشكال التعبير الثقافي غير الملموسة والشفوية، مثل الحكايات أو الرقصات أو الأغاني، من الحصول على الحماية إذا لم تكن مثبتة في شكل أو دعامة. بل لا تستوفي بعض أشكال التعبير "المثبتة" شرط التثبيت، مثل الرسم على الوجه والرسم على الجسد والمنحوتات الرملية. ومن جهة أخرى، تُمنح الحقوق في أشكال التعبير الثقافي التقليدي المسجلة أو الموثقة للشخص القائم على أعمال التثبيت هذه، مثل الباحثين في مجال الموسيقى </w:t>
      </w:r>
      <w:proofErr w:type="spellStart"/>
      <w:r w:rsidR="007E34E6" w:rsidRPr="007E34E6">
        <w:rPr>
          <w:rFonts w:hint="cs"/>
          <w:rtl/>
          <w:lang w:val="it-IT"/>
        </w:rPr>
        <w:t>الإثنية</w:t>
      </w:r>
      <w:proofErr w:type="spellEnd"/>
      <w:r w:rsidR="007E34E6" w:rsidRPr="007E34E6">
        <w:rPr>
          <w:rFonts w:hint="cs"/>
          <w:rtl/>
          <w:lang w:val="it-IT"/>
        </w:rPr>
        <w:t xml:space="preserve"> والفولكلور وغيرهم من الباحثين، وليس لحاملي أشكال التعبير الثقافي التقليدي.</w:t>
      </w:r>
    </w:p>
    <w:p w14:paraId="3BABAFC8" w14:textId="5B86902F" w:rsidR="007E34E6" w:rsidRPr="007E34E6" w:rsidRDefault="007F2EB9" w:rsidP="007F2EB9">
      <w:pPr>
        <w:pStyle w:val="BodyText"/>
        <w:ind w:left="1134" w:hanging="567"/>
        <w:rPr>
          <w:rtl/>
          <w:lang w:val="it-IT"/>
        </w:rPr>
      </w:pPr>
      <w:r>
        <w:rPr>
          <w:rFonts w:hint="cs"/>
          <w:rtl/>
          <w:lang w:val="it-IT"/>
        </w:rPr>
        <w:t>(د)</w:t>
      </w:r>
      <w:r>
        <w:rPr>
          <w:rtl/>
          <w:lang w:val="it-IT"/>
        </w:rPr>
        <w:tab/>
      </w:r>
      <w:r w:rsidR="007E34E6" w:rsidRPr="007F2EB9">
        <w:rPr>
          <w:rFonts w:hint="cs"/>
          <w:i/>
          <w:iCs/>
          <w:rtl/>
          <w:lang w:val="it-IT"/>
        </w:rPr>
        <w:t>مدة الحماية</w:t>
      </w:r>
      <w:r w:rsidR="007E34E6" w:rsidRPr="007E34E6">
        <w:rPr>
          <w:rFonts w:hint="cs"/>
          <w:rtl/>
          <w:lang w:val="it-IT"/>
        </w:rPr>
        <w:t>: يحتج البعض على أن المدة المحددة لحماية حق المؤلف والحقوق المجاورة والرسوم والنماذج الصناعية لا تتناسب مع أشكال التعبير الثقافي التقليدي. فهي بادئ ذي البدء لا تلبي الاحتياج إلى حماية أشكال التعبير الثقافي التقليدي باستمرار أو على الأقل طوال المدة التي يكون فيها المجتمع المحلي قائما. وتستلزم المدة المحددة للحماية أيضا التأكد من تاريخ ابتداع المصنف أو إصداره لأول مرة، وهو الأمر الذي كثيرا ما يكون مجهولا في حالة أشكال التعبير الثقافي التقليدي؛</w:t>
      </w:r>
    </w:p>
    <w:p w14:paraId="44836A5E" w14:textId="6AB4E769" w:rsidR="007E34E6" w:rsidRPr="007E34E6" w:rsidRDefault="007F2EB9" w:rsidP="007F2EB9">
      <w:pPr>
        <w:pStyle w:val="BodyText"/>
        <w:ind w:left="1134" w:hanging="567"/>
        <w:rPr>
          <w:lang w:bidi="ar-EG"/>
        </w:rPr>
      </w:pPr>
      <w:r>
        <w:rPr>
          <w:rFonts w:hint="cs"/>
          <w:rtl/>
          <w:lang w:val="it-IT"/>
        </w:rPr>
        <w:t>(ه)</w:t>
      </w:r>
      <w:r>
        <w:rPr>
          <w:rtl/>
          <w:lang w:val="it-IT"/>
        </w:rPr>
        <w:tab/>
      </w:r>
      <w:r w:rsidR="007E34E6" w:rsidRPr="007F2EB9">
        <w:rPr>
          <w:rFonts w:hint="cs"/>
          <w:i/>
          <w:iCs/>
          <w:rtl/>
          <w:lang w:val="it-IT"/>
        </w:rPr>
        <w:t>الشروط الشكلية</w:t>
      </w:r>
      <w:r w:rsidR="007E34E6" w:rsidRPr="007E34E6">
        <w:rPr>
          <w:rFonts w:hint="cs"/>
          <w:rtl/>
          <w:lang w:val="it-IT"/>
        </w:rPr>
        <w:t>: مع أن حق المؤلف والحقوق ا</w:t>
      </w:r>
      <w:r w:rsidR="00FB4407">
        <w:rPr>
          <w:rFonts w:hint="cs"/>
          <w:rtl/>
          <w:lang w:val="it-IT"/>
        </w:rPr>
        <w:t>لمجاورة لا يقتضي أية شروط شكلية</w:t>
      </w:r>
      <w:r w:rsidR="00FB4407">
        <w:rPr>
          <w:rFonts w:cstheme="minorBidi" w:hint="cs"/>
          <w:rtl/>
          <w:lang w:val="it-IT" w:bidi="ar-EG"/>
        </w:rPr>
        <w:t>،</w:t>
      </w:r>
      <w:r w:rsidR="007E34E6" w:rsidRPr="007E34E6">
        <w:rPr>
          <w:rFonts w:hint="cs"/>
          <w:rtl/>
          <w:lang w:val="it-IT"/>
        </w:rPr>
        <w:t xml:space="preserve"> يبقى شرطا التسجيل والتجديد فيما يخص حماية الرسوم والنماذج الصناعية والعلامات التجارية. وقد قيل إن هذين الشرطين عائقان أمام انتفاع المجتمعات التقليدية والأصلية بنظامي الملكية الفكرية المذكورين؛</w:t>
      </w:r>
    </w:p>
    <w:p w14:paraId="00946268" w14:textId="3CCD55D0" w:rsidR="007E34E6" w:rsidRPr="007E34E6" w:rsidRDefault="007F2EB9" w:rsidP="007F2EB9">
      <w:pPr>
        <w:pStyle w:val="BodyText"/>
        <w:ind w:left="1134" w:hanging="567"/>
        <w:rPr>
          <w:lang w:bidi="ar-EG"/>
        </w:rPr>
      </w:pPr>
      <w:r>
        <w:rPr>
          <w:rFonts w:hint="cs"/>
          <w:rtl/>
          <w:lang w:val="it-IT"/>
        </w:rPr>
        <w:t>(و)</w:t>
      </w:r>
      <w:r>
        <w:rPr>
          <w:rtl/>
          <w:lang w:val="it-IT"/>
        </w:rPr>
        <w:tab/>
      </w:r>
      <w:r w:rsidR="007E34E6" w:rsidRPr="007F2EB9">
        <w:rPr>
          <w:rFonts w:hint="cs"/>
          <w:i/>
          <w:iCs/>
          <w:rtl/>
          <w:lang w:val="it-IT"/>
        </w:rPr>
        <w:t>الاستثناءات والتقييدات</w:t>
      </w:r>
      <w:r w:rsidR="007E34E6" w:rsidRPr="007E34E6">
        <w:rPr>
          <w:rFonts w:hint="cs"/>
          <w:rtl/>
          <w:lang w:val="it-IT"/>
        </w:rPr>
        <w:t xml:space="preserve">: إلى جانب مدة الحماية المحددة بالنسبة لمعظم أشكال الملكية الفكرية، قيل إن قوانين الملكية الفكرية تتضمن عادة استثناءات وتقييدات أخرى لا تتناسب مع أشكال التعبير الثقافي التقليدي. وعلى سبيل المثال، فإن </w:t>
      </w:r>
      <w:r w:rsidR="007E34E6" w:rsidRPr="007E34E6">
        <w:rPr>
          <w:rtl/>
          <w:lang w:val="it-IT"/>
        </w:rPr>
        <w:t>ا</w:t>
      </w:r>
      <w:r w:rsidR="007E34E6" w:rsidRPr="007E34E6">
        <w:rPr>
          <w:rFonts w:hint="cs"/>
          <w:rtl/>
          <w:lang w:val="it-IT"/>
        </w:rPr>
        <w:t>لا</w:t>
      </w:r>
      <w:r w:rsidR="007E34E6" w:rsidRPr="007E34E6">
        <w:rPr>
          <w:rtl/>
          <w:lang w:val="it-IT"/>
        </w:rPr>
        <w:t>ستثناءات</w:t>
      </w:r>
      <w:r w:rsidR="007E34E6" w:rsidRPr="007E34E6">
        <w:rPr>
          <w:rFonts w:hint="cs"/>
          <w:rtl/>
          <w:lang w:val="it-IT"/>
        </w:rPr>
        <w:t xml:space="preserve"> المعهودة </w:t>
      </w:r>
      <w:r w:rsidR="007E34E6" w:rsidRPr="007E34E6">
        <w:rPr>
          <w:rtl/>
          <w:lang w:val="it-IT"/>
        </w:rPr>
        <w:t>في نظام حق المؤلف</w:t>
      </w:r>
      <w:r w:rsidR="007E34E6" w:rsidRPr="007E34E6">
        <w:rPr>
          <w:rFonts w:hint="cs"/>
          <w:rtl/>
          <w:lang w:val="it-IT"/>
        </w:rPr>
        <w:t xml:space="preserve"> التي تسمح بنسخ</w:t>
      </w:r>
      <w:r w:rsidR="007E34E6" w:rsidRPr="007E34E6">
        <w:rPr>
          <w:rtl/>
          <w:lang w:val="it-IT"/>
        </w:rPr>
        <w:t xml:space="preserve"> منحوتات أو مصنفات فنية من الحرف اليدوية</w:t>
      </w:r>
      <w:r w:rsidR="007E34E6" w:rsidRPr="007E34E6">
        <w:rPr>
          <w:rFonts w:hint="cs"/>
          <w:rtl/>
          <w:lang w:val="it-IT"/>
        </w:rPr>
        <w:t xml:space="preserve"> معروضة</w:t>
      </w:r>
      <w:r w:rsidR="007E34E6" w:rsidRPr="007E34E6">
        <w:rPr>
          <w:rtl/>
          <w:lang w:val="it-IT"/>
        </w:rPr>
        <w:t xml:space="preserve"> بشكل دائم في مكان عام</w:t>
      </w:r>
      <w:r w:rsidR="007E34E6" w:rsidRPr="007E34E6">
        <w:rPr>
          <w:rFonts w:hint="cs"/>
          <w:rtl/>
          <w:lang w:val="it-IT"/>
        </w:rPr>
        <w:t xml:space="preserve">، في صور فوتوغرافية أو رسوم وغيرها من الطرق بدون إذن، يمكن أن تخدش مشاعر المجتمعات الأصلية وتقوض الحقوق العرفية. وكذلك، تسمح القوانين الوطنية بشأن حق المؤلف لدور المحفوظات والمكتبات العامة والدوائر المماثلة لها بنسخ المصنفات ووضعها رهن إشارة الجمهور. وكانت بعض هذه الاستثناءات والتقييدات موضوع انتقاد المجتمعات الأصلية والتقليدية، في حين شدد البعض على ضرورة أن تراعي أية استثناءات وتقييدات الصالح العام؛ </w:t>
      </w:r>
    </w:p>
    <w:p w14:paraId="578FE37B" w14:textId="5B3815C6" w:rsidR="007E34E6" w:rsidRPr="007E34E6" w:rsidRDefault="007F2EB9" w:rsidP="007F2EB9">
      <w:pPr>
        <w:pStyle w:val="BodyText"/>
        <w:ind w:left="1134" w:hanging="567"/>
        <w:rPr>
          <w:lang w:bidi="ar-EG"/>
        </w:rPr>
      </w:pPr>
      <w:r>
        <w:rPr>
          <w:rFonts w:hint="cs"/>
          <w:rtl/>
          <w:lang w:val="it-IT"/>
        </w:rPr>
        <w:t>(ز)</w:t>
      </w:r>
      <w:r>
        <w:rPr>
          <w:rtl/>
          <w:lang w:val="it-IT"/>
        </w:rPr>
        <w:tab/>
      </w:r>
      <w:r w:rsidR="007E34E6" w:rsidRPr="007F2EB9">
        <w:rPr>
          <w:rFonts w:hint="cs"/>
          <w:i/>
          <w:iCs/>
          <w:rtl/>
          <w:lang w:val="it-IT"/>
        </w:rPr>
        <w:t>الحماية الدفاعية</w:t>
      </w:r>
      <w:r w:rsidR="007E34E6" w:rsidRPr="007E34E6">
        <w:rPr>
          <w:rFonts w:hint="cs"/>
          <w:rtl/>
          <w:lang w:val="it-IT"/>
        </w:rPr>
        <w:t>: تستهجن الشعوب والمجتمعات الأصلية إقدام الشركات والأفراد من خارجها على تقليد أشكال تعبيرها الثقافي التقليدي أو نقلها واستخدامها كمصدر إلهام واكتساب الحماية بموجب الملكية الفكرية لما يشتقونه من مصنفات أو تصاميم أو علامات تجارية أو غيرها من المنتجات. وقد أعربت المجتمعات المحلية، على سبيل المثال، عن قلها إزاء انتفاع جهات خارجية بكلمات وأسماء وتصاميم ورموز وغيرها من الإشارات المميزة انتفاعا تجاريا وتسجيلها كعلامات تجارية. وعلاوة على ذلك، لا يحمي قانون حق المؤلف أو قانون الرسوم والنماذج الصناعية "أنماط" المصنفات الأدبي</w:t>
      </w:r>
      <w:r w:rsidR="007E34E6" w:rsidRPr="007E34E6">
        <w:rPr>
          <w:rFonts w:hint="cs"/>
          <w:rtl/>
          <w:lang w:val="it-IT" w:bidi="ar-EG"/>
        </w:rPr>
        <w:t>ة والفنية والتصاميم.</w:t>
      </w:r>
    </w:p>
    <w:p w14:paraId="4616CC43" w14:textId="77777777" w:rsidR="007E34E6" w:rsidRPr="007F2EB9" w:rsidRDefault="007E34E6" w:rsidP="007F2EB9">
      <w:pPr>
        <w:pStyle w:val="Heading3"/>
        <w:spacing w:before="220" w:after="220"/>
        <w:rPr>
          <w:b/>
          <w:bCs w:val="0"/>
          <w:i/>
          <w:iCs/>
          <w:sz w:val="22"/>
          <w:szCs w:val="22"/>
          <w:u w:val="none"/>
          <w:lang w:bidi="ar-EG"/>
        </w:rPr>
      </w:pPr>
      <w:bookmarkStart w:id="45" w:name="_Toc520405369"/>
      <w:bookmarkStart w:id="46" w:name="_Toc109030391"/>
      <w:r w:rsidRPr="007F2EB9">
        <w:rPr>
          <w:rFonts w:hint="cs"/>
          <w:b/>
          <w:bCs w:val="0"/>
          <w:i/>
          <w:iCs/>
          <w:sz w:val="22"/>
          <w:szCs w:val="22"/>
          <w:u w:val="none"/>
          <w:rtl/>
          <w:lang w:val="it-IT" w:bidi="ar-EG"/>
        </w:rPr>
        <w:t>الثغرات التي لا يعالجها هذا التحليل بشكل مباشر</w:t>
      </w:r>
      <w:bookmarkEnd w:id="45"/>
      <w:bookmarkEnd w:id="46"/>
    </w:p>
    <w:p w14:paraId="73A6FED4" w14:textId="77777777" w:rsidR="007E34E6" w:rsidRPr="007E34E6" w:rsidRDefault="007E34E6" w:rsidP="007F2EB9">
      <w:pPr>
        <w:pStyle w:val="ONUMA"/>
        <w:rPr>
          <w:rtl/>
          <w:lang w:val="it-IT" w:bidi="ar-EG"/>
        </w:rPr>
      </w:pPr>
      <w:r w:rsidRPr="007E34E6">
        <w:rPr>
          <w:rFonts w:hint="cs"/>
          <w:i/>
          <w:iCs/>
          <w:rtl/>
          <w:lang w:val="it-IT" w:bidi="ar-EG"/>
        </w:rPr>
        <w:t xml:space="preserve">الفجوة </w:t>
      </w:r>
      <w:proofErr w:type="spellStart"/>
      <w:r w:rsidRPr="007E34E6">
        <w:rPr>
          <w:rFonts w:hint="cs"/>
          <w:i/>
          <w:iCs/>
          <w:rtl/>
          <w:lang w:val="it-IT" w:bidi="ar-EG"/>
        </w:rPr>
        <w:t>المفاهيمية</w:t>
      </w:r>
      <w:proofErr w:type="spellEnd"/>
      <w:r w:rsidRPr="007E34E6">
        <w:rPr>
          <w:rFonts w:hint="cs"/>
          <w:rtl/>
          <w:lang w:val="it-IT" w:bidi="ar-EG"/>
        </w:rPr>
        <w:t xml:space="preserve">: إن اقتراح التركيز على هذه العيوب المحددة والتقنية الملحوظة في نظم الملكية الفكرية القائمة لا يرمي إلى حجب الاختلافات </w:t>
      </w:r>
      <w:proofErr w:type="spellStart"/>
      <w:r w:rsidRPr="007E34E6">
        <w:rPr>
          <w:rFonts w:hint="cs"/>
          <w:rtl/>
          <w:lang w:val="it-IT" w:bidi="ar-EG"/>
        </w:rPr>
        <w:t>المفاهيمية</w:t>
      </w:r>
      <w:proofErr w:type="spellEnd"/>
      <w:r w:rsidRPr="007E34E6">
        <w:rPr>
          <w:rFonts w:hint="cs"/>
          <w:rtl/>
          <w:lang w:val="it-IT" w:bidi="ar-EG"/>
        </w:rPr>
        <w:t xml:space="preserve"> العميقة بين تطلعات ورؤى الشعوب الأصلية ونظام الملكية الفكرية التقليدي. وإلى جانب ذلك، يقر الجميع بالروابط القائمة بين الاختلافات </w:t>
      </w:r>
      <w:proofErr w:type="spellStart"/>
      <w:r w:rsidRPr="007E34E6">
        <w:rPr>
          <w:rFonts w:hint="cs"/>
          <w:rtl/>
          <w:lang w:val="it-IT" w:bidi="ar-EG"/>
        </w:rPr>
        <w:t>المفاهيمية</w:t>
      </w:r>
      <w:proofErr w:type="spellEnd"/>
      <w:r w:rsidRPr="007E34E6">
        <w:rPr>
          <w:rFonts w:hint="cs"/>
          <w:rtl/>
          <w:lang w:val="it-IT" w:bidi="ar-EG"/>
        </w:rPr>
        <w:t xml:space="preserve"> والنواقص التقنية. وقد عبر المشاركون من المجتمعات الأصلية في اللجنة وفي هيئات أخرى تعبيرا واضحا عن عدم اقتناعهم بأن نظام الملكية الفكرية التقليدي يستطيع الاستجابة لاحتياجاتهم الأساسية. وعلى سبيل المثال، قيل إن مفهوم "الملكية" الدقيق في نظام الملكية الفكرية التقليدي لا يتماشى مع مفهومي المسؤولية والائتمان في سياق </w:t>
      </w:r>
      <w:r w:rsidRPr="007E34E6">
        <w:rPr>
          <w:rFonts w:hint="cs"/>
          <w:rtl/>
          <w:lang w:val="it-IT" w:bidi="ar-EG"/>
        </w:rPr>
        <w:lastRenderedPageBreak/>
        <w:t>القوانين والنظم العرفية. إذ يمنح حق المؤلف حقوق</w:t>
      </w:r>
      <w:r w:rsidRPr="007E34E6">
        <w:rPr>
          <w:rtl/>
          <w:lang w:val="it-IT" w:bidi="ar-EG"/>
        </w:rPr>
        <w:t xml:space="preserve"> ملكية</w:t>
      </w:r>
      <w:r w:rsidRPr="007E34E6">
        <w:rPr>
          <w:rFonts w:hint="cs"/>
          <w:rtl/>
          <w:lang w:val="it-IT" w:bidi="ar-EG"/>
        </w:rPr>
        <w:t xml:space="preserve"> </w:t>
      </w:r>
      <w:proofErr w:type="spellStart"/>
      <w:r w:rsidRPr="007E34E6">
        <w:rPr>
          <w:rtl/>
          <w:lang w:val="it-IT" w:bidi="ar-EG"/>
        </w:rPr>
        <w:t>استئثارية</w:t>
      </w:r>
      <w:proofErr w:type="spellEnd"/>
      <w:r w:rsidRPr="007E34E6">
        <w:rPr>
          <w:rFonts w:hint="cs"/>
          <w:rtl/>
          <w:lang w:val="it-IT" w:bidi="ar-EG"/>
        </w:rPr>
        <w:t xml:space="preserve"> خاصة على نحو فردي، أما المؤلفون في المجتمعات الأصلية فيخضعون قواعد ولوائح ومسؤوليات معقدة ومتقلبة، أشبه بحقوق الاستخدام أو الإدارة، التي تكون جماعية بطبيعتها.</w:t>
      </w:r>
      <w:r w:rsidRPr="007E34E6">
        <w:rPr>
          <w:vertAlign w:val="superscript"/>
          <w:rtl/>
          <w:lang w:val="it-IT" w:bidi="ar-EG"/>
        </w:rPr>
        <w:footnoteReference w:id="18"/>
      </w:r>
    </w:p>
    <w:p w14:paraId="688AF8B5" w14:textId="77777777" w:rsidR="007E34E6" w:rsidRPr="007E34E6" w:rsidRDefault="007E34E6" w:rsidP="007F2EB9">
      <w:pPr>
        <w:pStyle w:val="ONUMA"/>
        <w:rPr>
          <w:rtl/>
          <w:lang w:val="it-IT" w:bidi="ar-EG"/>
        </w:rPr>
      </w:pPr>
      <w:r w:rsidRPr="007E34E6">
        <w:rPr>
          <w:rFonts w:hint="cs"/>
          <w:rtl/>
          <w:lang w:val="it-IT" w:bidi="ar-EG"/>
        </w:rPr>
        <w:t>ولا يمكن لهذا التحليل معالجة هذه الاختلافات الأساسية معالجة تامة ناهيك عن تقديم حلول لها. وإن الهدف من نظام حق المؤلف بالأساس هو السماح بالاستغلال التجاري للمصنفات الإبداعية على نحو عادل ومتكافئ قدر الإمكان. لكن العديد من أشكال التعبير الثقافي التقليدي تُبتدع في البداية لأغراض روحية ودينية وليس لكي تصل إلى أكبر عدد ممكن من الجمهور. ومثلما نُوقش سابقا داخل اللجنة</w:t>
      </w:r>
      <w:r w:rsidRPr="007E34E6">
        <w:rPr>
          <w:vertAlign w:val="superscript"/>
          <w:rtl/>
          <w:lang w:val="it-IT" w:bidi="ar-EG"/>
        </w:rPr>
        <w:footnoteReference w:id="19"/>
      </w:r>
      <w:r w:rsidRPr="007E34E6">
        <w:rPr>
          <w:rFonts w:hint="cs"/>
          <w:rtl/>
          <w:lang w:val="it-IT" w:bidi="ar-EG"/>
        </w:rPr>
        <w:t>، يمكن تلبية احتياجات المجتمعات الأصلية المتعلقة بأشكال تعبيرها الثقافي التقليدي التي لا يمكن تلبيتها ضمن إطار للملكية الفكرية، من خلال إنشاء نظام خاص للملكية الفكرية أو من خلال استخدام آليات غير آليات الملكية الفكرية أو بتشكيلة من الاثنين، مثل القوانين المتصلة بالتجديف والحقوق الثقافية وغيرها من حقوق الإنسان وبالكرامة والحفاظ على التراث الثقافي والتشهير وحقوق الدعاية وحرمة الأشخاص. وقد استُشهد بإعلان</w:t>
      </w:r>
      <w:r w:rsidRPr="007E34E6">
        <w:rPr>
          <w:rtl/>
          <w:lang w:val="it-IT" w:bidi="ar-EG"/>
        </w:rPr>
        <w:t xml:space="preserve"> الأمم المتحدة بشأن حقوق الشعوب الأصلية</w:t>
      </w:r>
      <w:r w:rsidRPr="007E34E6">
        <w:rPr>
          <w:rFonts w:hint="cs"/>
          <w:rtl/>
          <w:lang w:val="it-IT" w:bidi="ar-EG"/>
        </w:rPr>
        <w:t xml:space="preserve"> كمصدر يعبر عن تطلعات الشعوب الأصلية في هذا الصدد.</w:t>
      </w:r>
    </w:p>
    <w:p w14:paraId="367434F6" w14:textId="77777777" w:rsidR="007E34E6" w:rsidRPr="007E34E6" w:rsidRDefault="007E34E6" w:rsidP="007F2EB9">
      <w:pPr>
        <w:pStyle w:val="ONUMA"/>
        <w:rPr>
          <w:rtl/>
          <w:lang w:val="it-IT" w:bidi="ar-EG"/>
        </w:rPr>
      </w:pPr>
      <w:r w:rsidRPr="007E34E6">
        <w:rPr>
          <w:rFonts w:hint="cs"/>
          <w:i/>
          <w:iCs/>
          <w:rtl/>
          <w:lang w:val="it-IT" w:bidi="ar-EG"/>
        </w:rPr>
        <w:t>الفجوة العملية</w:t>
      </w:r>
      <w:r w:rsidRPr="007E34E6">
        <w:rPr>
          <w:rFonts w:hint="cs"/>
          <w:rtl/>
          <w:lang w:val="it-IT" w:bidi="ar-EG"/>
        </w:rPr>
        <w:t>: ثانيا، أبرز العمل المتعلق بتقصي الحقائق الذي قامت به الويبو في بداية هذا البرنامج في سنتي 1998 و1999</w:t>
      </w:r>
      <w:r w:rsidRPr="007E34E6">
        <w:rPr>
          <w:vertAlign w:val="superscript"/>
          <w:rtl/>
          <w:lang w:val="it-IT" w:bidi="ar-EG"/>
        </w:rPr>
        <w:footnoteReference w:id="20"/>
      </w:r>
      <w:r w:rsidRPr="007E34E6">
        <w:rPr>
          <w:rFonts w:hint="cs"/>
          <w:rtl/>
          <w:lang w:val="it-IT" w:bidi="ar-EG"/>
        </w:rPr>
        <w:t xml:space="preserve"> أن من بين العوائق الماثلة أمام انتفاع المجتمعات الأصلية والمحلية بأدوات الملكية الفكرية انتفاعا فعالا، وربما من أهمها، العوائق العملية، مثل انعدام إمكانية الاستفادة من الاستشارات القانونية والوسائل المالية المناسبة لاكتساب الحقوق وإنفاذها. وتبين الباحثة جانك، في دراسات قامت بها لصالح الويبو، هذه العوائق العملية في الفصل الذي يحمل عنوان "الانتفاع بالعلامات التجارية لحماية أشكال التعبير الثقافي التقليدي" على سبيل المثال. وقد قُدمت اقتراحات عديدة من أجل التصدي لهذه العوائق، منها استخدام سبل بديلة لتسوية المنازعات.</w:t>
      </w:r>
      <w:r w:rsidRPr="007E34E6">
        <w:rPr>
          <w:vertAlign w:val="superscript"/>
          <w:rtl/>
          <w:lang w:val="it-IT" w:bidi="ar-EG"/>
        </w:rPr>
        <w:footnoteReference w:id="21"/>
      </w:r>
      <w:r w:rsidRPr="007E34E6">
        <w:rPr>
          <w:rFonts w:hint="cs"/>
          <w:rtl/>
          <w:lang w:val="it-IT" w:bidi="ar-EG"/>
        </w:rPr>
        <w:t>وليست هذه العوائق العملية موضوع تركيز هذا التحليل.</w:t>
      </w:r>
    </w:p>
    <w:p w14:paraId="232088DA" w14:textId="77777777" w:rsidR="007E34E6" w:rsidRPr="007E34E6" w:rsidRDefault="007E34E6" w:rsidP="007F2EB9">
      <w:pPr>
        <w:pStyle w:val="ONUMA"/>
        <w:rPr>
          <w:rtl/>
          <w:lang w:val="it-IT" w:bidi="ar-EG"/>
        </w:rPr>
      </w:pPr>
      <w:r w:rsidRPr="007E34E6">
        <w:rPr>
          <w:rFonts w:hint="cs"/>
          <w:i/>
          <w:iCs/>
          <w:rtl/>
          <w:lang w:val="it-IT" w:bidi="ar-EG"/>
        </w:rPr>
        <w:t>أشكال التعبير الثقافي التقليدي المشتركة</w:t>
      </w:r>
      <w:r w:rsidRPr="007E34E6">
        <w:rPr>
          <w:rFonts w:hint="cs"/>
          <w:rtl/>
          <w:lang w:val="it-IT" w:bidi="ar-EG"/>
        </w:rPr>
        <w:t>: ثالثا، إن إحدى المشاكل الكبيرة والمتكررة بشأن حماية أشكال التعبير الثقافي التقليدي هي تحديد مالك التعبير الثقافي التقليدي متى كانت مشتركة بين أكثر من مجتمع محلي واحد سواء في الإقليم الوطني نفسه أو في أقاليم مختلفة. وتشمل الخيارات المطروحة لمعالجتها الملكية المشتركة للحقوق والسماح للمجتمعات المحلية بأن تمتلك فرادى حقوقا في أشكال التعبير الثقافي التقليدي التي تكون هي نفسها أو تكون متشابهة. وشدد البعض على جعل القوانين والمواثيق العرفية عنصرا حاسما. وأحد الحلول الأخرى الممكنة لهذه المسألة هي منح الحقوق للدولة أو لهيئة قانونية. ويمكن أن تكون المنظمات والآليات الإقليمية القائمة أيضا جهات فاعلة مهمة في حل مسألة "الفولكلور الإقليمي".</w:t>
      </w:r>
    </w:p>
    <w:p w14:paraId="322ED19D" w14:textId="77777777" w:rsidR="007E34E6" w:rsidRPr="007E34E6" w:rsidRDefault="007E34E6" w:rsidP="007F2EB9">
      <w:pPr>
        <w:pStyle w:val="ONUMA"/>
        <w:rPr>
          <w:rtl/>
          <w:lang w:val="it-IT" w:bidi="ar-EG"/>
        </w:rPr>
      </w:pPr>
      <w:r w:rsidRPr="007E34E6">
        <w:rPr>
          <w:rFonts w:hint="cs"/>
          <w:i/>
          <w:iCs/>
          <w:rtl/>
          <w:lang w:val="it-IT" w:bidi="ar-EG"/>
        </w:rPr>
        <w:t>الثغرات الملازمة لنظم الملكية الفكرية</w:t>
      </w:r>
      <w:r w:rsidRPr="007E34E6">
        <w:rPr>
          <w:rFonts w:hint="cs"/>
          <w:rtl/>
          <w:lang w:val="it-IT" w:bidi="ar-EG"/>
        </w:rPr>
        <w:t>: أخيرا، في التحليل محاولة من أجل إلقاء الضوء على "1" الثغرات المتصلة تحديدا بأشكال التعبير الثقافي التقليدي، "2"والثغرات في الحماية المتاحة لأشكال التعبير الثقافي التقليدي، وهي ثغرات ملازمة لنظام الملكية الفكرية وليست خاصة بأشكال التعبير الثقافي التقليدي (مثل التقييدات والاستثناءات على حق المؤلف). وليس نظام الملكية الفكرية نظام تحكم مطلق في الموضوع المحمي، إذ يفرض نظام حق المؤلف والحقوق المجاورة بالأخص مجموعة كبيرة من الاستثناءات والتقييدات. وكثيرا ما تظهر على حدود نظام الملكية الفكرية، بما فيه من قرارات متعلقة بنطاق الموضوع المحمي، اعتبارات سياسية مهمة من قبيل حرية التعبير وحماية الملك العام. ولمناقشة هذه الاعتبارات السياسية، يمكن الاطلاع أيضا على "القضايا السياسية" أدناه. وقد أشار أحد المعلقين، على سبيل المثال، إلى أن استخدام الثقافات الأخرى مصدرا للإلهام هو جزء من العملية الإبداعية، ولا ينبغي بالضرورة اعتبار استخدام "نمط" تعبير ثقافي تقليدي تملكا غير مشروع، ولا سيما إذا ذُكر مصدر هذا التعبير.</w:t>
      </w:r>
    </w:p>
    <w:p w14:paraId="492C3346" w14:textId="77777777" w:rsidR="007E34E6" w:rsidRPr="007E34E6" w:rsidRDefault="007E34E6" w:rsidP="007F2EB9">
      <w:pPr>
        <w:pStyle w:val="ONUMA"/>
        <w:rPr>
          <w:lang w:bidi="ar-EG"/>
        </w:rPr>
      </w:pPr>
      <w:r w:rsidRPr="007E34E6">
        <w:rPr>
          <w:rFonts w:hint="cs"/>
          <w:rtl/>
          <w:lang w:val="it-IT" w:bidi="ar-EG"/>
        </w:rPr>
        <w:t xml:space="preserve">ولا يعالج مشروع التحليل هذا الثغرات </w:t>
      </w:r>
      <w:proofErr w:type="spellStart"/>
      <w:r w:rsidRPr="007E34E6">
        <w:rPr>
          <w:rFonts w:hint="cs"/>
          <w:rtl/>
          <w:lang w:val="it-IT" w:bidi="ar-EG"/>
        </w:rPr>
        <w:t>المفاهيمية</w:t>
      </w:r>
      <w:proofErr w:type="spellEnd"/>
      <w:r w:rsidRPr="007E34E6">
        <w:rPr>
          <w:rFonts w:hint="cs"/>
          <w:rtl/>
          <w:lang w:val="it-IT" w:bidi="ar-EG"/>
        </w:rPr>
        <w:t xml:space="preserve"> والعملية الأوسع المذكورة معالجة مستفيضة. بيد أنها ذات قدر كبير من الأهمية وقد ناقشتها اللجنة ومن الممكن مناقشتها أكثر.</w:t>
      </w:r>
    </w:p>
    <w:p w14:paraId="3FB7E9F5" w14:textId="77777777" w:rsidR="007E34E6" w:rsidRPr="007F2EB9" w:rsidRDefault="007E34E6" w:rsidP="007F2EB9">
      <w:pPr>
        <w:pStyle w:val="Heading3"/>
        <w:spacing w:after="220"/>
        <w:rPr>
          <w:b/>
          <w:bCs w:val="0"/>
          <w:i/>
          <w:iCs/>
          <w:u w:val="none"/>
          <w:lang w:bidi="ar-EG"/>
        </w:rPr>
      </w:pPr>
      <w:bookmarkStart w:id="47" w:name="_Toc520405370"/>
      <w:bookmarkStart w:id="48" w:name="_Toc109030392"/>
      <w:r w:rsidRPr="007F2EB9">
        <w:rPr>
          <w:b/>
          <w:bCs w:val="0"/>
          <w:i/>
          <w:iCs/>
          <w:sz w:val="22"/>
          <w:szCs w:val="22"/>
          <w:u w:val="none"/>
          <w:rtl/>
          <w:lang w:val="it-IT" w:bidi="ar-EG"/>
        </w:rPr>
        <w:t xml:space="preserve">ثغرات في سياق </w:t>
      </w:r>
      <w:r w:rsidRPr="007F2EB9">
        <w:rPr>
          <w:rFonts w:hint="cs"/>
          <w:b/>
          <w:bCs w:val="0"/>
          <w:i/>
          <w:iCs/>
          <w:sz w:val="22"/>
          <w:szCs w:val="22"/>
          <w:u w:val="none"/>
          <w:rtl/>
          <w:lang w:val="it-IT" w:bidi="ar-EG"/>
        </w:rPr>
        <w:t>ال</w:t>
      </w:r>
      <w:r w:rsidRPr="007F2EB9">
        <w:rPr>
          <w:b/>
          <w:bCs w:val="0"/>
          <w:i/>
          <w:iCs/>
          <w:sz w:val="22"/>
          <w:szCs w:val="22"/>
          <w:u w:val="none"/>
          <w:rtl/>
          <w:lang w:val="it-IT" w:bidi="ar-EG"/>
        </w:rPr>
        <w:t xml:space="preserve">نهج </w:t>
      </w:r>
      <w:r w:rsidRPr="007F2EB9">
        <w:rPr>
          <w:rFonts w:hint="cs"/>
          <w:b/>
          <w:bCs w:val="0"/>
          <w:i/>
          <w:iCs/>
          <w:sz w:val="22"/>
          <w:szCs w:val="22"/>
          <w:u w:val="none"/>
          <w:rtl/>
          <w:lang w:val="it-IT" w:bidi="ar-EG"/>
        </w:rPr>
        <w:t>ال</w:t>
      </w:r>
      <w:r w:rsidRPr="007F2EB9">
        <w:rPr>
          <w:b/>
          <w:bCs w:val="0"/>
          <w:i/>
          <w:iCs/>
          <w:sz w:val="22"/>
          <w:szCs w:val="22"/>
          <w:u w:val="none"/>
          <w:rtl/>
          <w:lang w:val="it-IT" w:bidi="ar-EG"/>
        </w:rPr>
        <w:t>متعدد المستويات إزاء نطاق الحماية</w:t>
      </w:r>
      <w:bookmarkEnd w:id="47"/>
      <w:bookmarkEnd w:id="48"/>
    </w:p>
    <w:p w14:paraId="0D973A91" w14:textId="77777777" w:rsidR="007E34E6" w:rsidRPr="007E34E6" w:rsidRDefault="007E34E6" w:rsidP="007F2EB9">
      <w:pPr>
        <w:pStyle w:val="ONUMA"/>
        <w:rPr>
          <w:lang w:bidi="ar-EG"/>
        </w:rPr>
      </w:pPr>
      <w:r w:rsidRPr="007E34E6">
        <w:rPr>
          <w:rtl/>
          <w:lang w:val="it-IT" w:bidi="ar-EG"/>
        </w:rPr>
        <w:t>طرحت اللجنة للنقاش في دورتها السابعة والعشرين نهجا متعدد المستويات إزاء نطاق الحماية تُتاح بموجبه أنواع أو مستويات مختلفة من الحقوق أو التدابير لأصحاب الحقوق حسب طبيعة الموضوع وخصائصه، ومستوى التحكّم الذي يحتفظ به المستفيدون ودرجة انتشاره.</w:t>
      </w:r>
      <w:r w:rsidRPr="007E34E6">
        <w:rPr>
          <w:rFonts w:hint="cs"/>
          <w:rtl/>
          <w:lang w:val="it-IT" w:bidi="ar-EG"/>
        </w:rPr>
        <w:t xml:space="preserve"> </w:t>
      </w:r>
      <w:r w:rsidRPr="007E34E6">
        <w:rPr>
          <w:rtl/>
          <w:lang w:val="it-IT" w:bidi="ar-EG"/>
        </w:rPr>
        <w:t>ويقترح النهج المتعدد المستويات حماية متباينة حسب نوع أشكال التعبير الثقافي التقليدي، انطلاقا من أشكال التعبير المتاحة للجمهور ووصولا إلى أشكال التعبير السرية أو المقدسة أو غير المعروفة خارج جماعة المستفيدين والتي يتحكّم فيها المستفيدون.</w:t>
      </w:r>
      <w:r w:rsidRPr="007E34E6">
        <w:rPr>
          <w:rFonts w:hint="cs"/>
          <w:rtl/>
          <w:lang w:val="it-IT" w:bidi="ar-EG"/>
        </w:rPr>
        <w:t xml:space="preserve"> </w:t>
      </w:r>
      <w:r w:rsidRPr="007E34E6">
        <w:rPr>
          <w:rtl/>
          <w:lang w:val="it-IT" w:bidi="ar-EG"/>
        </w:rPr>
        <w:t xml:space="preserve">ويشير هذا النهج إلى إمكانية تناسب الحقوق الاقتصادية </w:t>
      </w:r>
      <w:proofErr w:type="spellStart"/>
      <w:r w:rsidRPr="007E34E6">
        <w:rPr>
          <w:rtl/>
          <w:lang w:val="it-IT" w:bidi="ar-EG"/>
        </w:rPr>
        <w:t>الاستئثارية</w:t>
      </w:r>
      <w:proofErr w:type="spellEnd"/>
      <w:r w:rsidRPr="007E34E6">
        <w:rPr>
          <w:rtl/>
          <w:lang w:val="it-IT" w:bidi="ar-EG"/>
        </w:rPr>
        <w:t xml:space="preserve"> مع بعض أشكال التعبير الثقافي التقليدي (مثل أشكال التعبير السرية والمقدسة)، بينما يمكن أن يتناسب النموذج المستند إلى الحقوق المعنوية، مثلا، مع أشكال التعبير المتاحة للجمهور أو المعروفة على نطاق واسع بالرغم من كونها منسوبة إلى شعوب أصلية وجماعات محلية محدّدة.</w:t>
      </w:r>
    </w:p>
    <w:p w14:paraId="7DAE88FD" w14:textId="77777777" w:rsidR="007E34E6" w:rsidRPr="007E34E6" w:rsidRDefault="007E34E6" w:rsidP="007F2EB9">
      <w:pPr>
        <w:pStyle w:val="ONUMA"/>
        <w:rPr>
          <w:rtl/>
          <w:lang w:val="it-IT" w:bidi="ar-EG"/>
        </w:rPr>
      </w:pPr>
      <w:r w:rsidRPr="007E34E6">
        <w:rPr>
          <w:rtl/>
          <w:lang w:val="it-IT" w:bidi="ar-EG"/>
        </w:rPr>
        <w:lastRenderedPageBreak/>
        <w:t xml:space="preserve">وتجدر الإشارة إلى أنه في سياق نهج متعدد المستويات إزاء نطاق الحماية، من المرجح أن تكون الثغرات التي يمكن تحديدها على المستوى الدولي </w:t>
      </w:r>
      <w:r w:rsidRPr="007E34E6">
        <w:rPr>
          <w:rFonts w:hint="cs"/>
          <w:rtl/>
          <w:lang w:val="it-IT" w:bidi="ar-EG"/>
        </w:rPr>
        <w:t>مختلفة،</w:t>
      </w:r>
      <w:r w:rsidRPr="007E34E6">
        <w:rPr>
          <w:rtl/>
          <w:lang w:val="it-IT" w:bidi="ar-EG"/>
        </w:rPr>
        <w:t xml:space="preserve"> تبعاً لتحديد </w:t>
      </w:r>
      <w:r w:rsidRPr="007E34E6">
        <w:rPr>
          <w:rFonts w:hint="cs"/>
          <w:rtl/>
          <w:lang w:val="it-IT" w:bidi="ar-EG"/>
        </w:rPr>
        <w:t>المستويات</w:t>
      </w:r>
      <w:r w:rsidRPr="007E34E6">
        <w:rPr>
          <w:rtl/>
          <w:lang w:val="it-IT" w:bidi="ar-EG"/>
        </w:rPr>
        <w:t xml:space="preserve">، مع مراعاة عناصر مثل الطبيعة </w:t>
      </w:r>
      <w:r w:rsidRPr="007E34E6">
        <w:rPr>
          <w:rFonts w:hint="cs"/>
          <w:rtl/>
          <w:lang w:val="it-IT" w:bidi="ar-EG"/>
        </w:rPr>
        <w:t>وخصائص أشكال</w:t>
      </w:r>
      <w:r w:rsidRPr="007E34E6">
        <w:rPr>
          <w:rtl/>
          <w:lang w:val="it-IT" w:bidi="ar-EG"/>
        </w:rPr>
        <w:t xml:space="preserve"> التعبير الثقافي التقليدي ومستوى التحكّم الذي يحتفظ به المستفيدون ودرجة انتشاره.</w:t>
      </w:r>
    </w:p>
    <w:p w14:paraId="2BCA5A95" w14:textId="77777777" w:rsidR="007E34E6" w:rsidRPr="007F2EB9" w:rsidRDefault="007E34E6" w:rsidP="007F2EB9">
      <w:pPr>
        <w:pStyle w:val="Heading2"/>
        <w:spacing w:before="220" w:after="220"/>
        <w:rPr>
          <w:b/>
          <w:bCs w:val="0"/>
          <w:sz w:val="22"/>
          <w:szCs w:val="22"/>
          <w:u w:val="single"/>
          <w:rtl/>
          <w:lang w:val="it-IT" w:bidi="ar-EG"/>
        </w:rPr>
      </w:pPr>
      <w:bookmarkStart w:id="49" w:name="_Toc520405371"/>
      <w:bookmarkStart w:id="50" w:name="_Toc109030393"/>
      <w:r w:rsidRPr="007F2EB9">
        <w:rPr>
          <w:rFonts w:hint="cs"/>
          <w:b/>
          <w:bCs w:val="0"/>
          <w:sz w:val="22"/>
          <w:szCs w:val="22"/>
          <w:u w:val="single"/>
          <w:rtl/>
          <w:lang w:val="it-IT" w:bidi="ar-EG"/>
        </w:rPr>
        <w:t>ملخص</w:t>
      </w:r>
      <w:bookmarkEnd w:id="49"/>
      <w:bookmarkEnd w:id="50"/>
    </w:p>
    <w:p w14:paraId="1E51551A" w14:textId="6BA7E6D4" w:rsidR="00FB4407" w:rsidRPr="007E34E6" w:rsidRDefault="007E34E6" w:rsidP="00FB4407">
      <w:pPr>
        <w:pStyle w:val="ONUMA"/>
        <w:rPr>
          <w:lang w:bidi="ar-EG"/>
        </w:rPr>
      </w:pPr>
      <w:r w:rsidRPr="007E34E6">
        <w:rPr>
          <w:rFonts w:hint="cs"/>
          <w:rtl/>
          <w:lang w:val="it-IT" w:bidi="ar-EG"/>
        </w:rPr>
        <w:t xml:space="preserve">يلخص الجدول أدناه هيكل هذا التحليل على النحو المقترح أعلاه. واعتمدنا هذه المقاربة المنهجية من أجل تسهيل إعداد التحليل وقراءته. ولكن نادرا ما تثار القضايا في الواقع بشكل مبوب وواضح كهذا. ويمكن النظر أيضا في مدى استفادة المجتمعات المحلية أو مدى إمكانية استفادتها من خيار أو آخر في نظام الملكية الفكرية وإلى جانب ذلك، كثيرا ما تكون أشكال التعبير الثقافي التقليدي مرتبطة ارتباطا وثيقا بأشكال المعارف التقليدية (انظر </w:t>
      </w:r>
      <w:r w:rsidRPr="007E34E6">
        <w:rPr>
          <w:lang w:bidi="ar-EG"/>
        </w:rPr>
        <w:t>WIPO/GRTKF/IC/37/6</w:t>
      </w:r>
      <w:r w:rsidRPr="007E34E6">
        <w:rPr>
          <w:rFonts w:hint="cs"/>
          <w:rtl/>
          <w:lang w:val="it-IT" w:bidi="ar-EG"/>
        </w:rPr>
        <w:t>). وبالتالي، فإن المقاربة المعتمدة هي مقاربة مصطنعة إلى حد ما مقارنة مع ما يحدث أو ما قد يحدث في الواقع. ونرى رغم ذلك أن اعتماد هذه المقاربة المنهجية والمنظمة ييسر مناقشات اللجنة.</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1E0" w:firstRow="1" w:lastRow="1" w:firstColumn="1" w:lastColumn="1" w:noHBand="0" w:noVBand="0"/>
      </w:tblPr>
      <w:tblGrid>
        <w:gridCol w:w="2994"/>
        <w:gridCol w:w="3003"/>
        <w:gridCol w:w="3006"/>
      </w:tblGrid>
      <w:tr w:rsidR="007E34E6" w:rsidRPr="007F2EB9" w14:paraId="1DD0CE48" w14:textId="77777777" w:rsidTr="006A772A">
        <w:tc>
          <w:tcPr>
            <w:tcW w:w="2994" w:type="dxa"/>
            <w:shd w:val="clear" w:color="auto" w:fill="CCCCCC"/>
          </w:tcPr>
          <w:p w14:paraId="18062C4B" w14:textId="77777777" w:rsidR="007E34E6" w:rsidRPr="007F2EB9" w:rsidRDefault="007E34E6" w:rsidP="007E34E6">
            <w:pPr>
              <w:pStyle w:val="BodyText"/>
              <w:rPr>
                <w:b/>
                <w:bCs/>
                <w:rtl/>
                <w:lang w:val="it-IT" w:bidi="ar-EG"/>
              </w:rPr>
            </w:pPr>
            <w:r w:rsidRPr="007F2EB9">
              <w:rPr>
                <w:rFonts w:hint="cs"/>
                <w:b/>
                <w:bCs/>
                <w:rtl/>
                <w:lang w:val="it-IT" w:bidi="ar-EG"/>
              </w:rPr>
              <w:t>مضمون أشكال التعبير الثقافي التقليدي:</w:t>
            </w:r>
          </w:p>
        </w:tc>
        <w:tc>
          <w:tcPr>
            <w:tcW w:w="3003" w:type="dxa"/>
            <w:shd w:val="clear" w:color="auto" w:fill="CCCCCC"/>
          </w:tcPr>
          <w:p w14:paraId="3FDDE514" w14:textId="77777777" w:rsidR="007E34E6" w:rsidRPr="007F2EB9" w:rsidRDefault="007E34E6" w:rsidP="007E34E6">
            <w:pPr>
              <w:pStyle w:val="BodyText"/>
              <w:rPr>
                <w:b/>
                <w:bCs/>
                <w:rtl/>
                <w:lang w:val="it-IT" w:bidi="ar-EG"/>
              </w:rPr>
            </w:pPr>
            <w:r w:rsidRPr="007F2EB9">
              <w:rPr>
                <w:rFonts w:hint="cs"/>
                <w:b/>
                <w:bCs/>
                <w:rtl/>
                <w:lang w:val="it-IT" w:bidi="ar-EG"/>
              </w:rPr>
              <w:t>الحماية المنشودة:</w:t>
            </w:r>
          </w:p>
        </w:tc>
        <w:tc>
          <w:tcPr>
            <w:tcW w:w="3006" w:type="dxa"/>
            <w:shd w:val="clear" w:color="auto" w:fill="CCCCCC"/>
          </w:tcPr>
          <w:p w14:paraId="3EAA1412" w14:textId="77777777" w:rsidR="007E34E6" w:rsidRPr="007F2EB9" w:rsidRDefault="007E34E6" w:rsidP="007E34E6">
            <w:pPr>
              <w:pStyle w:val="BodyText"/>
              <w:rPr>
                <w:b/>
                <w:bCs/>
                <w:rtl/>
                <w:lang w:val="it-IT" w:bidi="ar-EG"/>
              </w:rPr>
            </w:pPr>
            <w:r w:rsidRPr="007F2EB9">
              <w:rPr>
                <w:rFonts w:hint="cs"/>
                <w:b/>
                <w:bCs/>
                <w:rtl/>
                <w:lang w:val="it-IT" w:bidi="ar-EG"/>
              </w:rPr>
              <w:t>النواقص الملحوظة:</w:t>
            </w:r>
          </w:p>
        </w:tc>
      </w:tr>
      <w:tr w:rsidR="007E34E6" w:rsidRPr="007F2EB9" w14:paraId="33AD37B7" w14:textId="77777777" w:rsidTr="006A772A">
        <w:tc>
          <w:tcPr>
            <w:tcW w:w="2994" w:type="dxa"/>
            <w:shd w:val="clear" w:color="auto" w:fill="CCCCCC"/>
          </w:tcPr>
          <w:p w14:paraId="6E866E87" w14:textId="77777777" w:rsidR="007E34E6" w:rsidRPr="007F2EB9" w:rsidRDefault="007E34E6" w:rsidP="00FB4407">
            <w:pPr>
              <w:pStyle w:val="BodyText"/>
              <w:spacing w:after="120"/>
              <w:rPr>
                <w:rtl/>
                <w:lang w:val="it-IT" w:bidi="ar-EG"/>
              </w:rPr>
            </w:pPr>
            <w:r w:rsidRPr="007F2EB9">
              <w:rPr>
                <w:rFonts w:hint="cs"/>
                <w:rtl/>
                <w:lang w:val="it-IT" w:bidi="ar-EG"/>
              </w:rPr>
              <w:t>"1" المنتجات الأدبية والفنية مثل الموسيقى والفنون البصرية التقليدية</w:t>
            </w:r>
          </w:p>
          <w:p w14:paraId="364B3119" w14:textId="77777777" w:rsidR="007E34E6" w:rsidRPr="007F2EB9" w:rsidRDefault="007E34E6" w:rsidP="00FB4407">
            <w:pPr>
              <w:pStyle w:val="BodyText"/>
              <w:spacing w:after="120"/>
              <w:rPr>
                <w:rtl/>
                <w:lang w:val="it-IT" w:bidi="ar-EG"/>
              </w:rPr>
            </w:pPr>
            <w:r w:rsidRPr="007F2EB9">
              <w:rPr>
                <w:rFonts w:hint="cs"/>
                <w:rtl/>
                <w:lang w:val="it-IT" w:bidi="ar-EG"/>
              </w:rPr>
              <w:t>"2" أداء أشكال التعبير الثقافي التقليدي</w:t>
            </w:r>
          </w:p>
          <w:p w14:paraId="7DA74FE4" w14:textId="77777777" w:rsidR="007E34E6" w:rsidRPr="007F2EB9" w:rsidRDefault="007E34E6" w:rsidP="00FB4407">
            <w:pPr>
              <w:pStyle w:val="BodyText"/>
              <w:spacing w:after="120"/>
              <w:rPr>
                <w:rtl/>
                <w:lang w:val="it-IT" w:bidi="ar-EG"/>
              </w:rPr>
            </w:pPr>
            <w:r w:rsidRPr="007F2EB9">
              <w:rPr>
                <w:rFonts w:hint="cs"/>
                <w:rtl/>
                <w:lang w:val="it-IT" w:bidi="ar-EG"/>
              </w:rPr>
              <w:t>"3" التصاميم</w:t>
            </w:r>
          </w:p>
          <w:p w14:paraId="16B0C66E" w14:textId="77777777" w:rsidR="007E34E6" w:rsidRPr="007F2EB9" w:rsidRDefault="007E34E6" w:rsidP="00FB4407">
            <w:pPr>
              <w:pStyle w:val="BodyText"/>
              <w:spacing w:after="120"/>
              <w:rPr>
                <w:rtl/>
                <w:lang w:val="it-IT" w:bidi="ar-EG"/>
              </w:rPr>
            </w:pPr>
            <w:r w:rsidRPr="007F2EB9">
              <w:rPr>
                <w:rFonts w:hint="cs"/>
                <w:rtl/>
                <w:lang w:val="it-IT" w:bidi="ar-EG"/>
              </w:rPr>
              <w:t>"4" أشكال التعبير الثقافي التقليدي السرية</w:t>
            </w:r>
          </w:p>
          <w:p w14:paraId="16B93352" w14:textId="77777777" w:rsidR="007E34E6" w:rsidRPr="007F2EB9" w:rsidRDefault="007E34E6" w:rsidP="00FB4407">
            <w:pPr>
              <w:pStyle w:val="BodyText"/>
              <w:spacing w:after="120"/>
              <w:rPr>
                <w:rtl/>
                <w:lang w:val="it-IT" w:bidi="ar-EG"/>
              </w:rPr>
            </w:pPr>
            <w:r w:rsidRPr="007F2EB9">
              <w:rPr>
                <w:rFonts w:hint="cs"/>
                <w:rtl/>
                <w:lang w:val="it-IT" w:bidi="ar-EG"/>
              </w:rPr>
              <w:t>"5" الأسماء والكلمات والرموز الأصلية والتقليدية</w:t>
            </w:r>
          </w:p>
        </w:tc>
        <w:tc>
          <w:tcPr>
            <w:tcW w:w="3003" w:type="dxa"/>
            <w:shd w:val="clear" w:color="auto" w:fill="CCCCCC"/>
          </w:tcPr>
          <w:p w14:paraId="59F27D98" w14:textId="77777777" w:rsidR="007E34E6" w:rsidRPr="007F2EB9" w:rsidRDefault="007E34E6" w:rsidP="00FB4407">
            <w:pPr>
              <w:pStyle w:val="BodyText"/>
              <w:spacing w:after="120"/>
              <w:rPr>
                <w:rtl/>
                <w:lang w:val="it-IT" w:bidi="ar-EG"/>
              </w:rPr>
            </w:pPr>
            <w:r w:rsidRPr="007F2EB9">
              <w:rPr>
                <w:rFonts w:hint="cs"/>
                <w:rtl/>
                <w:lang w:val="it-IT" w:bidi="ar-EG"/>
              </w:rPr>
              <w:t>"1" حماية أشكال التعبير الثقافي التقليدي من الانتفاع بها دون تصريح</w:t>
            </w:r>
          </w:p>
          <w:p w14:paraId="46C921E3" w14:textId="77777777" w:rsidR="007E34E6" w:rsidRPr="007F2EB9" w:rsidRDefault="007E34E6" w:rsidP="00FB4407">
            <w:pPr>
              <w:pStyle w:val="BodyText"/>
              <w:spacing w:after="120"/>
              <w:rPr>
                <w:rtl/>
                <w:lang w:val="it-IT" w:bidi="ar-EG"/>
              </w:rPr>
            </w:pPr>
            <w:r w:rsidRPr="007F2EB9">
              <w:rPr>
                <w:rFonts w:hint="cs"/>
                <w:rtl/>
                <w:lang w:val="it-IT" w:bidi="ar-EG"/>
              </w:rPr>
              <w:t>"2" منع استخدام أشكال التعبير الثقافي التقليدي استخدامات مهينة وضارة و/أو مؤذية من الناحية الثقافية والروحية</w:t>
            </w:r>
          </w:p>
          <w:p w14:paraId="2D25C9FF" w14:textId="77777777" w:rsidR="007E34E6" w:rsidRPr="007F2EB9" w:rsidRDefault="007E34E6" w:rsidP="00FB4407">
            <w:pPr>
              <w:pStyle w:val="BodyText"/>
              <w:spacing w:after="120"/>
              <w:rPr>
                <w:rtl/>
                <w:lang w:val="it-IT" w:bidi="ar-EG"/>
              </w:rPr>
            </w:pPr>
            <w:r w:rsidRPr="007F2EB9">
              <w:rPr>
                <w:rFonts w:hint="cs"/>
                <w:rtl/>
                <w:lang w:val="it-IT" w:bidi="ar-EG"/>
              </w:rPr>
              <w:t>"3" منع الادعاءات الزائفة أو المضللة بشأن الأصالة في المصدر والمنشأ</w:t>
            </w:r>
          </w:p>
          <w:p w14:paraId="1DC30EE2" w14:textId="77777777" w:rsidR="007E34E6" w:rsidRPr="007F2EB9" w:rsidRDefault="007E34E6" w:rsidP="00FB4407">
            <w:pPr>
              <w:pStyle w:val="BodyText"/>
              <w:spacing w:after="120"/>
              <w:rPr>
                <w:rtl/>
                <w:lang w:val="it-IT" w:bidi="ar-EG"/>
              </w:rPr>
            </w:pPr>
            <w:r w:rsidRPr="007F2EB9">
              <w:rPr>
                <w:rFonts w:hint="cs"/>
                <w:rtl/>
                <w:lang w:val="it-IT" w:bidi="ar-EG"/>
              </w:rPr>
              <w:t xml:space="preserve">"4" عدم ذكر المصدر عند الانتفاع بأشكال التعبير الثقافي التقليدي </w:t>
            </w:r>
          </w:p>
          <w:p w14:paraId="5F1EC65F" w14:textId="77777777" w:rsidR="007E34E6" w:rsidRPr="007F2EB9" w:rsidRDefault="007E34E6" w:rsidP="00FB4407">
            <w:pPr>
              <w:pStyle w:val="BodyText"/>
              <w:spacing w:after="120"/>
              <w:rPr>
                <w:rtl/>
                <w:lang w:val="it-IT" w:bidi="ar-EG"/>
              </w:rPr>
            </w:pPr>
            <w:r w:rsidRPr="007F2EB9">
              <w:rPr>
                <w:rFonts w:hint="cs"/>
                <w:rtl/>
                <w:lang w:val="it-IT" w:bidi="ar-EG"/>
              </w:rPr>
              <w:t>"5" الحماية الدفاعية لأشكال التعبير الثقافي التقليدي</w:t>
            </w:r>
          </w:p>
          <w:p w14:paraId="3AAD1549" w14:textId="77777777" w:rsidR="007E34E6" w:rsidRPr="007F2EB9" w:rsidRDefault="007E34E6" w:rsidP="00FB4407">
            <w:pPr>
              <w:pStyle w:val="BodyText"/>
              <w:spacing w:after="120"/>
              <w:rPr>
                <w:rtl/>
                <w:lang w:val="it-IT" w:bidi="ar-EG"/>
              </w:rPr>
            </w:pPr>
            <w:r w:rsidRPr="007F2EB9">
              <w:rPr>
                <w:rFonts w:hint="cs"/>
                <w:rtl/>
                <w:lang w:val="it-IT" w:bidi="ar-EG"/>
              </w:rPr>
              <w:t>"6" الكشف دون تصريح عن أشكال التعبير الثقافي التقليدي الخصوصية أو السرية</w:t>
            </w:r>
          </w:p>
        </w:tc>
        <w:tc>
          <w:tcPr>
            <w:tcW w:w="3006" w:type="dxa"/>
            <w:shd w:val="clear" w:color="auto" w:fill="CCCCCC"/>
          </w:tcPr>
          <w:p w14:paraId="1D166524" w14:textId="77777777" w:rsidR="007E34E6" w:rsidRPr="007F2EB9" w:rsidRDefault="007E34E6" w:rsidP="00FB4407">
            <w:pPr>
              <w:pStyle w:val="BodyText"/>
              <w:spacing w:after="120"/>
              <w:rPr>
                <w:rtl/>
                <w:lang w:val="it-IT" w:bidi="ar-EG"/>
              </w:rPr>
            </w:pPr>
            <w:r w:rsidRPr="007F2EB9">
              <w:rPr>
                <w:rFonts w:hint="cs"/>
                <w:rtl/>
                <w:lang w:val="it-IT" w:bidi="ar-EG"/>
              </w:rPr>
              <w:t>"1" شرط الأصالة</w:t>
            </w:r>
          </w:p>
          <w:p w14:paraId="7F32E4D3" w14:textId="77777777" w:rsidR="007E34E6" w:rsidRPr="007F2EB9" w:rsidRDefault="007E34E6" w:rsidP="00FB4407">
            <w:pPr>
              <w:pStyle w:val="BodyText"/>
              <w:spacing w:after="120"/>
              <w:rPr>
                <w:rtl/>
                <w:lang w:val="it-IT" w:bidi="ar-EG"/>
              </w:rPr>
            </w:pPr>
            <w:r w:rsidRPr="007F2EB9">
              <w:rPr>
                <w:rFonts w:hint="cs"/>
                <w:rtl/>
                <w:lang w:val="it-IT" w:bidi="ar-EG"/>
              </w:rPr>
              <w:t>"2" الملكية</w:t>
            </w:r>
          </w:p>
          <w:p w14:paraId="5E816F2E" w14:textId="77777777" w:rsidR="007E34E6" w:rsidRPr="007F2EB9" w:rsidRDefault="007E34E6" w:rsidP="00FB4407">
            <w:pPr>
              <w:pStyle w:val="BodyText"/>
              <w:spacing w:after="120"/>
              <w:rPr>
                <w:rtl/>
                <w:lang w:val="it-IT" w:bidi="ar-EG"/>
              </w:rPr>
            </w:pPr>
            <w:r w:rsidRPr="007F2EB9">
              <w:rPr>
                <w:rFonts w:hint="cs"/>
                <w:rtl/>
                <w:lang w:val="it-IT" w:bidi="ar-EG"/>
              </w:rPr>
              <w:t>"3" التثبيت</w:t>
            </w:r>
          </w:p>
          <w:p w14:paraId="269333B8" w14:textId="77777777" w:rsidR="007E34E6" w:rsidRPr="007F2EB9" w:rsidRDefault="007E34E6" w:rsidP="00FB4407">
            <w:pPr>
              <w:pStyle w:val="BodyText"/>
              <w:spacing w:after="120"/>
              <w:rPr>
                <w:rtl/>
                <w:lang w:val="it-IT" w:bidi="ar-EG"/>
              </w:rPr>
            </w:pPr>
            <w:r w:rsidRPr="007F2EB9">
              <w:rPr>
                <w:rFonts w:hint="cs"/>
                <w:rtl/>
                <w:lang w:val="it-IT" w:bidi="ar-EG"/>
              </w:rPr>
              <w:t>"4" المدة</w:t>
            </w:r>
          </w:p>
          <w:p w14:paraId="7833E4EB" w14:textId="77777777" w:rsidR="007E34E6" w:rsidRPr="007F2EB9" w:rsidRDefault="007E34E6" w:rsidP="00FB4407">
            <w:pPr>
              <w:pStyle w:val="BodyText"/>
              <w:spacing w:after="120"/>
              <w:rPr>
                <w:rtl/>
                <w:lang w:val="it-IT" w:bidi="ar-EG"/>
              </w:rPr>
            </w:pPr>
            <w:r w:rsidRPr="007F2EB9">
              <w:rPr>
                <w:rFonts w:hint="cs"/>
                <w:rtl/>
                <w:lang w:val="it-IT" w:bidi="ar-EG"/>
              </w:rPr>
              <w:t xml:space="preserve">"5" الشروط الشكلية </w:t>
            </w:r>
          </w:p>
          <w:p w14:paraId="79E20BB8" w14:textId="77777777" w:rsidR="007E34E6" w:rsidRPr="007F2EB9" w:rsidRDefault="007E34E6" w:rsidP="00FB4407">
            <w:pPr>
              <w:pStyle w:val="BodyText"/>
              <w:spacing w:after="120"/>
              <w:rPr>
                <w:rtl/>
                <w:lang w:val="it-IT" w:bidi="ar-EG"/>
              </w:rPr>
            </w:pPr>
            <w:r w:rsidRPr="007F2EB9">
              <w:rPr>
                <w:rFonts w:hint="cs"/>
                <w:rtl/>
                <w:lang w:val="it-IT" w:bidi="ar-EG"/>
              </w:rPr>
              <w:t>"6" الاستثناءات والتقييدات</w:t>
            </w:r>
          </w:p>
          <w:p w14:paraId="6FE897E3" w14:textId="77777777" w:rsidR="007E34E6" w:rsidRPr="007F2EB9" w:rsidRDefault="007E34E6" w:rsidP="00FB4407">
            <w:pPr>
              <w:pStyle w:val="BodyText"/>
              <w:spacing w:after="120"/>
              <w:rPr>
                <w:rtl/>
                <w:lang w:val="it-IT" w:bidi="ar-EG"/>
              </w:rPr>
            </w:pPr>
            <w:r w:rsidRPr="007F2EB9">
              <w:rPr>
                <w:rFonts w:hint="cs"/>
                <w:rtl/>
                <w:lang w:val="it-IT" w:bidi="ar-EG"/>
              </w:rPr>
              <w:t>"7" الحماية الدفاعية</w:t>
            </w:r>
          </w:p>
          <w:p w14:paraId="4917DE05" w14:textId="77777777" w:rsidR="007E34E6" w:rsidRPr="007F2EB9" w:rsidRDefault="007E34E6" w:rsidP="00FB4407">
            <w:pPr>
              <w:pStyle w:val="BodyText"/>
              <w:spacing w:after="120"/>
              <w:rPr>
                <w:rtl/>
                <w:lang w:val="it-IT" w:bidi="ar-EG"/>
              </w:rPr>
            </w:pPr>
          </w:p>
        </w:tc>
      </w:tr>
    </w:tbl>
    <w:p w14:paraId="2C298464" w14:textId="77777777" w:rsidR="007E34E6" w:rsidRPr="007F2EB9" w:rsidRDefault="007E34E6" w:rsidP="007F2EB9">
      <w:pPr>
        <w:pStyle w:val="Heading1"/>
        <w:spacing w:before="240" w:after="240"/>
        <w:rPr>
          <w:sz w:val="24"/>
          <w:szCs w:val="24"/>
          <w:rtl/>
          <w:lang w:val="it-IT" w:bidi="ar-EG"/>
        </w:rPr>
      </w:pPr>
      <w:bookmarkStart w:id="51" w:name="_Toc520405372"/>
      <w:bookmarkStart w:id="52" w:name="_Toc109030394"/>
      <w:r w:rsidRPr="007F2EB9">
        <w:rPr>
          <w:rFonts w:hint="cs"/>
          <w:sz w:val="24"/>
          <w:szCs w:val="24"/>
          <w:rtl/>
          <w:lang w:val="it-IT" w:bidi="ar-EG"/>
        </w:rPr>
        <w:t>ثالثا.</w:t>
      </w:r>
      <w:r w:rsidRPr="007F2EB9">
        <w:rPr>
          <w:rFonts w:hint="cs"/>
          <w:sz w:val="24"/>
          <w:szCs w:val="24"/>
          <w:rtl/>
          <w:lang w:val="it-IT" w:bidi="ar-EG"/>
        </w:rPr>
        <w:tab/>
        <w:t>التحليل</w:t>
      </w:r>
      <w:bookmarkEnd w:id="51"/>
      <w:bookmarkEnd w:id="52"/>
    </w:p>
    <w:p w14:paraId="4FC8B1E4" w14:textId="77777777" w:rsidR="007E34E6" w:rsidRPr="007F2EB9" w:rsidRDefault="007E34E6" w:rsidP="007F2EB9">
      <w:pPr>
        <w:pStyle w:val="Heading2"/>
        <w:spacing w:before="220"/>
        <w:rPr>
          <w:b/>
          <w:bCs w:val="0"/>
          <w:sz w:val="22"/>
          <w:szCs w:val="22"/>
          <w:u w:val="single"/>
          <w:rtl/>
          <w:lang w:val="it-IT" w:bidi="ar-EG"/>
        </w:rPr>
      </w:pPr>
      <w:bookmarkStart w:id="53" w:name="_Toc520405373"/>
      <w:bookmarkStart w:id="54" w:name="_Toc109030395"/>
      <w:r w:rsidRPr="00B0255F">
        <w:rPr>
          <w:rFonts w:hint="cs"/>
          <w:b/>
          <w:bCs w:val="0"/>
          <w:sz w:val="22"/>
          <w:szCs w:val="22"/>
          <w:rtl/>
          <w:lang w:val="it-IT" w:bidi="ar-EG"/>
        </w:rPr>
        <w:t>ألف</w:t>
      </w:r>
      <w:r w:rsidRPr="00B0255F">
        <w:rPr>
          <w:b/>
          <w:bCs w:val="0"/>
          <w:sz w:val="22"/>
          <w:szCs w:val="22"/>
          <w:lang w:bidi="ar-EG"/>
        </w:rPr>
        <w:t>.</w:t>
      </w:r>
      <w:r w:rsidRPr="00B0255F">
        <w:rPr>
          <w:b/>
          <w:bCs w:val="0"/>
          <w:sz w:val="22"/>
          <w:szCs w:val="22"/>
          <w:lang w:bidi="ar-EG"/>
        </w:rPr>
        <w:tab/>
      </w:r>
      <w:r w:rsidRPr="007F2EB9">
        <w:rPr>
          <w:rFonts w:hint="cs"/>
          <w:b/>
          <w:bCs w:val="0"/>
          <w:sz w:val="22"/>
          <w:szCs w:val="22"/>
          <w:u w:val="single"/>
          <w:rtl/>
          <w:lang w:val="it-IT" w:bidi="ar-EG"/>
        </w:rPr>
        <w:t xml:space="preserve">الالتزامات والأحكام والإمكانيات القائمة على المستوى الدولي </w:t>
      </w:r>
      <w:r w:rsidRPr="007F2EB9">
        <w:rPr>
          <w:b/>
          <w:bCs w:val="0"/>
          <w:sz w:val="22"/>
          <w:szCs w:val="22"/>
          <w:u w:val="single"/>
          <w:rtl/>
          <w:lang w:val="it-IT" w:bidi="ar-EG"/>
        </w:rPr>
        <w:t>من أجل تأمين</w:t>
      </w:r>
      <w:r w:rsidRPr="007F2EB9">
        <w:rPr>
          <w:rFonts w:hint="cs"/>
          <w:b/>
          <w:bCs w:val="0"/>
          <w:sz w:val="22"/>
          <w:szCs w:val="22"/>
          <w:u w:val="single"/>
          <w:rtl/>
          <w:lang w:val="it-IT" w:bidi="ar-EG"/>
        </w:rPr>
        <w:t xml:space="preserve"> الحماية لأشكال التعبير الثقافي التقليدي/ أشكال التعبير الفولكلوري</w:t>
      </w:r>
      <w:bookmarkEnd w:id="53"/>
      <w:bookmarkEnd w:id="54"/>
    </w:p>
    <w:p w14:paraId="615D4F31" w14:textId="77777777" w:rsidR="007E34E6" w:rsidRPr="007F2EB9" w:rsidRDefault="007E34E6" w:rsidP="007F2EB9">
      <w:pPr>
        <w:pStyle w:val="Heading3"/>
        <w:spacing w:before="220" w:after="220"/>
        <w:rPr>
          <w:b/>
          <w:bCs w:val="0"/>
          <w:i/>
          <w:iCs/>
          <w:sz w:val="22"/>
          <w:szCs w:val="22"/>
          <w:u w:val="none"/>
          <w:rtl/>
          <w:lang w:val="it-IT" w:bidi="ar-EG"/>
        </w:rPr>
      </w:pPr>
      <w:bookmarkStart w:id="55" w:name="_Toc520405374"/>
      <w:bookmarkStart w:id="56" w:name="_Toc109030396"/>
      <w:r w:rsidRPr="007F2EB9">
        <w:rPr>
          <w:rFonts w:hint="cs"/>
          <w:b/>
          <w:bCs w:val="0"/>
          <w:i/>
          <w:iCs/>
          <w:sz w:val="22"/>
          <w:szCs w:val="22"/>
          <w:u w:val="none"/>
          <w:rtl/>
          <w:lang w:val="it-IT" w:bidi="ar-EG"/>
        </w:rPr>
        <w:t>المنتجات الأدبية والفنية</w:t>
      </w:r>
      <w:bookmarkEnd w:id="55"/>
      <w:bookmarkEnd w:id="56"/>
    </w:p>
    <w:p w14:paraId="53B4030F" w14:textId="77777777" w:rsidR="007E34E6" w:rsidRPr="007E34E6" w:rsidRDefault="007E34E6" w:rsidP="007F2EB9">
      <w:pPr>
        <w:pStyle w:val="ONUMA"/>
        <w:rPr>
          <w:rtl/>
          <w:lang w:val="it-IT" w:bidi="ar-EG"/>
        </w:rPr>
      </w:pPr>
      <w:r w:rsidRPr="007E34E6">
        <w:rPr>
          <w:rFonts w:hint="cs"/>
          <w:rtl/>
          <w:lang w:val="it-IT" w:bidi="ar-EG"/>
        </w:rPr>
        <w:t xml:space="preserve">تُحمى المنتجات الأدبية والفنية عادة بقانون حق المؤلف، المكرس على المستوى الدولي في اتفاقية برن لسنة 1971، واتفاق </w:t>
      </w:r>
      <w:proofErr w:type="spellStart"/>
      <w:r w:rsidRPr="007E34E6">
        <w:rPr>
          <w:rFonts w:hint="cs"/>
          <w:rtl/>
          <w:lang w:val="it-IT"/>
        </w:rPr>
        <w:t>تريبس</w:t>
      </w:r>
      <w:proofErr w:type="spellEnd"/>
      <w:r w:rsidRPr="007E34E6">
        <w:rPr>
          <w:rFonts w:hint="cs"/>
          <w:rtl/>
          <w:lang w:val="it-IT"/>
        </w:rPr>
        <w:t xml:space="preserve"> لسنة 1994 فيما يتعلق بالمنتجات الأدبية والفنية </w:t>
      </w:r>
      <w:r w:rsidRPr="007E34E6">
        <w:rPr>
          <w:rFonts w:hint="cs"/>
          <w:i/>
          <w:iCs/>
          <w:rtl/>
          <w:lang w:val="it-IT"/>
        </w:rPr>
        <w:t>التقليدية</w:t>
      </w:r>
      <w:r w:rsidRPr="007E34E6">
        <w:rPr>
          <w:rFonts w:hint="cs"/>
          <w:rtl/>
          <w:lang w:val="it-IT"/>
        </w:rPr>
        <w:t>.، و</w:t>
      </w:r>
      <w:r w:rsidRPr="007E34E6">
        <w:rPr>
          <w:rtl/>
          <w:lang w:val="it-IT"/>
        </w:rPr>
        <w:t>معاهدة الويبو</w:t>
      </w:r>
      <w:r w:rsidRPr="007E34E6">
        <w:rPr>
          <w:rFonts w:hint="cs"/>
          <w:rtl/>
          <w:lang w:val="it-IT"/>
        </w:rPr>
        <w:t xml:space="preserve"> </w:t>
      </w:r>
      <w:r w:rsidRPr="007E34E6">
        <w:rPr>
          <w:rtl/>
          <w:lang w:val="it-IT"/>
        </w:rPr>
        <w:t>بشأن حق المؤلف</w:t>
      </w:r>
      <w:r w:rsidRPr="007E34E6">
        <w:rPr>
          <w:rFonts w:hint="cs"/>
          <w:rtl/>
          <w:lang w:val="it-IT"/>
        </w:rPr>
        <w:t xml:space="preserve"> لسنة 1996. ولذا، أشرنا إلى هذه الصكوك الدولية.</w:t>
      </w:r>
    </w:p>
    <w:p w14:paraId="3BE644BF" w14:textId="77777777" w:rsidR="007E34E6" w:rsidRPr="007E34E6" w:rsidRDefault="007E34E6" w:rsidP="007F2EB9">
      <w:pPr>
        <w:pStyle w:val="ONUMA"/>
        <w:rPr>
          <w:rtl/>
          <w:lang w:val="it-IT" w:bidi="ar-EG"/>
        </w:rPr>
      </w:pPr>
      <w:r w:rsidRPr="007E34E6">
        <w:rPr>
          <w:rFonts w:hint="cs"/>
          <w:rtl/>
          <w:lang w:val="it-IT" w:bidi="ar-EG"/>
        </w:rPr>
        <w:t>وتنص هذه الصكوك على الالتزامات والأحكام والإمكانيات التالية لحماية أشكال التعبير الثقافي التقليدي الأدبية والفنية:</w:t>
      </w:r>
    </w:p>
    <w:p w14:paraId="0BE81541" w14:textId="7ADDA811" w:rsidR="007E34E6" w:rsidRPr="007E34E6" w:rsidRDefault="007F2EB9" w:rsidP="007F2EB9">
      <w:pPr>
        <w:pStyle w:val="BodyText"/>
        <w:ind w:left="1134" w:hanging="567"/>
        <w:rPr>
          <w:rtl/>
          <w:lang w:val="it-IT" w:bidi="ar-EG"/>
        </w:rPr>
      </w:pPr>
      <w:r>
        <w:rPr>
          <w:rFonts w:hint="cs"/>
          <w:rtl/>
          <w:lang w:val="it-IT"/>
        </w:rPr>
        <w:t>(أ)</w:t>
      </w:r>
      <w:r>
        <w:rPr>
          <w:rtl/>
          <w:lang w:val="it-IT"/>
        </w:rPr>
        <w:tab/>
      </w:r>
      <w:r w:rsidR="007E34E6" w:rsidRPr="007E34E6">
        <w:rPr>
          <w:rFonts w:hint="cs"/>
          <w:rtl/>
          <w:lang w:val="it-IT" w:bidi="ar-EG"/>
        </w:rPr>
        <w:t xml:space="preserve">يجوز حماية المنتجات الأدبية والفنية التقليدية "الأصلية" بما يكفي والتي يُعرَف مؤلفها أو مؤلفوها، بموجب حق المؤلف. وليس لمفهوم "الأصالة المرفوعة أمامها" تعريف في المعاهدات الدولية المعنية ولا تعريف عام في القوانين الوطنية. فهذه مسألة غالبا ما تبت فيها المحاكم في القضايا. ومع ذلك يمكن القول عموما إن المصنف يكون "أصلا" </w:t>
      </w:r>
      <w:r w:rsidR="007E34E6" w:rsidRPr="007E34E6">
        <w:rPr>
          <w:rFonts w:hint="cs"/>
          <w:rtl/>
          <w:lang w:val="it-IT" w:bidi="ar-EG"/>
        </w:rPr>
        <w:lastRenderedPageBreak/>
        <w:t>إذا كان ينطوي على درجة معينة من الجهد الفكري ولم يكن منسوخا من مصنف لشخص آخر.</w:t>
      </w:r>
      <w:r w:rsidR="007E34E6" w:rsidRPr="007E34E6">
        <w:rPr>
          <w:vertAlign w:val="superscript"/>
          <w:rtl/>
          <w:lang w:val="it-IT" w:bidi="ar-EG"/>
        </w:rPr>
        <w:footnoteReference w:id="22"/>
      </w:r>
      <w:r w:rsidR="007E34E6" w:rsidRPr="007E34E6">
        <w:rPr>
          <w:rFonts w:hint="cs"/>
          <w:rtl/>
          <w:lang w:val="it-IT" w:bidi="ar-EG"/>
        </w:rPr>
        <w:t xml:space="preserve"> </w:t>
      </w:r>
      <w:r w:rsidR="007E34E6" w:rsidRPr="007E34E6">
        <w:rPr>
          <w:rtl/>
          <w:lang w:val="it-IT" w:bidi="ar-EG"/>
        </w:rPr>
        <w:t>ويُشترط قانون حق المؤلف عموما مستوى ضعيفا نسبيا من الإبداع لاعتبار شرط الأصالة مستوفى</w:t>
      </w:r>
      <w:r w:rsidR="007E34E6" w:rsidRPr="007E34E6">
        <w:rPr>
          <w:rFonts w:hint="cs"/>
          <w:rtl/>
          <w:lang w:val="it-IT" w:bidi="ar-EG"/>
        </w:rPr>
        <w:t>. ويستخلص من ذلك أن أشكال التعبير الثقافي التقليدي التي تكون مصنفات أصلية لمجتمع محلي معين، بمعنى أنها ليست نسخا عن مصنفات شخص آخر أو أشخاص آخرين، قد تكون "أصلية" بما فيه الكفاية. وقد أكدت أحكام القضاء في أنظمة قضائية مختلفة، مثل أستراليا</w:t>
      </w:r>
      <w:r w:rsidR="007E34E6" w:rsidRPr="007E34E6">
        <w:rPr>
          <w:vertAlign w:val="superscript"/>
          <w:rtl/>
          <w:lang w:val="it-IT" w:bidi="ar-EG"/>
        </w:rPr>
        <w:footnoteReference w:id="23"/>
      </w:r>
      <w:r w:rsidR="007E34E6" w:rsidRPr="007E34E6">
        <w:rPr>
          <w:rFonts w:hint="cs"/>
          <w:rtl/>
          <w:lang w:val="it-IT" w:bidi="ar-EG"/>
        </w:rPr>
        <w:t xml:space="preserve"> والصين</w:t>
      </w:r>
      <w:r w:rsidR="007E34E6" w:rsidRPr="007E34E6">
        <w:rPr>
          <w:vertAlign w:val="superscript"/>
          <w:rtl/>
          <w:lang w:val="it-IT" w:bidi="ar-EG"/>
        </w:rPr>
        <w:footnoteReference w:id="24"/>
      </w:r>
      <w:r w:rsidR="007E34E6" w:rsidRPr="007E34E6">
        <w:rPr>
          <w:rFonts w:hint="cs"/>
          <w:rtl/>
          <w:lang w:val="it-IT" w:bidi="ar-EG"/>
        </w:rPr>
        <w:t xml:space="preserve"> وغيرها،</w:t>
      </w:r>
      <w:r w:rsidR="007E34E6" w:rsidRPr="007E34E6">
        <w:rPr>
          <w:vertAlign w:val="superscript"/>
          <w:rtl/>
          <w:lang w:val="it-IT" w:bidi="ar-EG"/>
        </w:rPr>
        <w:footnoteReference w:id="25"/>
      </w:r>
      <w:r w:rsidR="007E34E6" w:rsidRPr="007E34E6">
        <w:rPr>
          <w:rFonts w:hint="cs"/>
          <w:rtl/>
          <w:lang w:val="it-IT" w:bidi="ar-EG"/>
        </w:rPr>
        <w:t xml:space="preserve"> أن من الممكن أن تغطي الحماية بموجب حق المؤلف أشكال التعبير المعاصرة عن الثقافات التقليدية، التي تُعتبر أشكالا من التحوير والأداء المستلهمة من المنتجات الأدبية والفنية التقليدية الموجودة من قبل، أو القائمة عليها. وتتاح الحماية المشار إليها هنا لمنتج أدبي وفني معاصر يتضمن عناصر جديدة ويكون مؤلفه (أو مؤلفوه) حيا ويمكن معرفته.</w:t>
      </w:r>
      <w:r w:rsidR="007E34E6" w:rsidRPr="007E34E6">
        <w:rPr>
          <w:vertAlign w:val="superscript"/>
          <w:rtl/>
          <w:lang w:val="it-IT" w:bidi="ar-EG"/>
        </w:rPr>
        <w:footnoteReference w:id="26"/>
      </w:r>
      <w:r w:rsidR="007E34E6" w:rsidRPr="007E34E6">
        <w:rPr>
          <w:rFonts w:hint="cs"/>
          <w:rtl/>
          <w:lang w:val="it-IT" w:bidi="ar-EG"/>
        </w:rPr>
        <w:t xml:space="preserve"> ويمكن الاطلاع أدناه على "الثغرة" القائمة فيما يخص المنتجات الأدبية والفنية المتناقلة - من جيل إلى آخر دون تغيير جوهري </w:t>
      </w:r>
    </w:p>
    <w:p w14:paraId="61840520" w14:textId="07C1337E" w:rsidR="007E34E6" w:rsidRPr="007E34E6" w:rsidRDefault="007F2EB9" w:rsidP="007F2EB9">
      <w:pPr>
        <w:pStyle w:val="BodyText"/>
        <w:ind w:left="1134" w:hanging="567"/>
        <w:rPr>
          <w:rtl/>
          <w:lang w:val="it-IT" w:bidi="ar-EG"/>
        </w:rPr>
      </w:pPr>
      <w:r>
        <w:rPr>
          <w:rFonts w:hint="cs"/>
          <w:rtl/>
          <w:lang w:val="it-IT"/>
        </w:rPr>
        <w:t>(ب)</w:t>
      </w:r>
      <w:r>
        <w:rPr>
          <w:rtl/>
          <w:lang w:val="it-IT"/>
        </w:rPr>
        <w:tab/>
      </w:r>
      <w:r w:rsidR="007E34E6" w:rsidRPr="007E34E6">
        <w:rPr>
          <w:rFonts w:hint="cs"/>
          <w:rtl/>
          <w:lang w:val="it-IT" w:bidi="ar-EG"/>
        </w:rPr>
        <w:t>وتحظى المصنفات التي لم "تُنشر" بعد والتي "لا يُعرف مؤلفوها" ويُفترض أن يكونوا من مواطني أحد البلدان الأعضاء في اتحاد برن، بالحماية بموجب حق المؤلف، عملا بالمادة 15(4) من اتفاقية برن لسنة 1971. وقد أُدرجت هذه المادة في اتفاقية برن في سنة 1967 تحديدا من أجل توفير الحماية لأشكال التعبير الثقافي التقليدي التي لا يمكن تحديد هوية مؤلفها. وينبغي أن تعين التشريعات الوطنية "سلطة مختصة" لتمثيل المؤلف في مثل هذه الحالات، ويمكن إخطار البلدان الأخرى بشأن هذه السلطة عن طريق إعلان خطي يرسل إلى المدير العام للويبو. وحتى الآن لم ترسل إعلانا كهذا إلا دولة واحدة، وهي الهند، علما بأن بعض البلدان الأخرى قد سنت قوانين للحماية أسس وتعميم الإعلان على المادة 15(4). وقد قيل إن تعيين سلطة مختصة المشار إليه وإرسال بيان بشأنه إلى الويبو وبيان بشأنه أيضا إلى البلدان الأعضاء الأخرى هي خطوات نحو التطبيق العملي للمادة المذكورة وليست إجراءات تقيم الحماية المنصوص عليها</w:t>
      </w:r>
      <w:r w:rsidR="007E34E6" w:rsidRPr="007E34E6">
        <w:rPr>
          <w:rtl/>
          <w:lang w:val="it-IT" w:bidi="ar-EG"/>
        </w:rPr>
        <w:footnoteReference w:id="27"/>
      </w:r>
      <w:r w:rsidR="007E34E6" w:rsidRPr="007E34E6">
        <w:rPr>
          <w:rFonts w:hint="cs"/>
          <w:rtl/>
          <w:lang w:val="it-IT" w:bidi="ar-EG"/>
        </w:rPr>
        <w:t xml:space="preserve"> وبتعبير آخر، فإن حماية المصنفات غير المنشورة لمؤلفين غير معروفين مكفولة بموجب الاتفاقية وأما الهدف من تعيين سلطة مختصة وما يلحق به من خطوات فهو تسهيل لتطبيق الحماية وللإنفاذ لا أكثر. وعملا بالمادة 7(3) من اتفاقية برن،</w:t>
      </w:r>
      <w:r w:rsidR="007E34E6" w:rsidRPr="007E34E6">
        <w:rPr>
          <w:rtl/>
          <w:lang w:val="it-IT" w:bidi="ar-EG"/>
        </w:rPr>
        <w:t xml:space="preserve"> تنقضي مدة الحماية بعد 50 سنة من</w:t>
      </w:r>
      <w:r w:rsidR="007E34E6" w:rsidRPr="007E34E6">
        <w:rPr>
          <w:rFonts w:hint="cs"/>
          <w:rtl/>
          <w:lang w:val="it-IT" w:bidi="ar-EG"/>
        </w:rPr>
        <w:t xml:space="preserve"> وضع المصنف "</w:t>
      </w:r>
      <w:r w:rsidR="007E34E6" w:rsidRPr="007E34E6">
        <w:rPr>
          <w:rtl/>
          <w:lang w:val="it-IT" w:bidi="ar-EG"/>
        </w:rPr>
        <w:t xml:space="preserve">في متناول الجمهور </w:t>
      </w:r>
      <w:r w:rsidR="007E34E6" w:rsidRPr="007E34E6">
        <w:rPr>
          <w:rFonts w:hint="cs"/>
          <w:rtl/>
          <w:lang w:val="it-IT" w:bidi="ar-EG"/>
        </w:rPr>
        <w:t>بطريقة</w:t>
      </w:r>
      <w:r w:rsidR="007E34E6" w:rsidRPr="007E34E6">
        <w:rPr>
          <w:rtl/>
          <w:lang w:val="it-IT" w:bidi="ar-EG"/>
        </w:rPr>
        <w:t xml:space="preserve"> مشروع</w:t>
      </w:r>
      <w:r w:rsidR="007E34E6" w:rsidRPr="007E34E6">
        <w:rPr>
          <w:rFonts w:hint="cs"/>
          <w:rtl/>
          <w:lang w:val="it-IT" w:bidi="ar-EG"/>
        </w:rPr>
        <w:t>ة"، على أن هذه المدة المنصوص عليها في الاتفاقية هي المدة الدنيا وللدول الأعضاء أن تنص في قوانينها الوطنية على مدة أطول (المادة 7(6)). وإذن، يمكن للبلد نظريا، أن ينص على مدة مائة سنة أو حتى ألف سنة بالنسبة للمصنفات المشار إليها في المادة 15(4). أما على الصعيد الدولي، فينطبق حكم "مقارنة المدد" الذي تنص عليه المادة 7(8) من الاتفاقية، ما لم تنص التشريعات الوطنية على غير ذلك. وهذا يعني أن "1" م</w:t>
      </w:r>
      <w:r w:rsidR="007E34E6" w:rsidRPr="007E34E6">
        <w:rPr>
          <w:rtl/>
          <w:lang w:val="it-IT" w:bidi="ar-EG"/>
        </w:rPr>
        <w:t xml:space="preserve">دة </w:t>
      </w:r>
      <w:r w:rsidR="007E34E6" w:rsidRPr="007E34E6">
        <w:rPr>
          <w:rFonts w:hint="cs"/>
          <w:rtl/>
          <w:lang w:val="it-IT" w:bidi="ar-EG"/>
        </w:rPr>
        <w:t>الحماية تخضع لحكم المدة المعمول بها في</w:t>
      </w:r>
      <w:r w:rsidR="007E34E6" w:rsidRPr="007E34E6">
        <w:rPr>
          <w:rtl/>
          <w:lang w:val="it-IT" w:bidi="ar-EG"/>
        </w:rPr>
        <w:t xml:space="preserve"> ال</w:t>
      </w:r>
      <w:r w:rsidR="007E34E6" w:rsidRPr="007E34E6">
        <w:rPr>
          <w:rFonts w:hint="cs"/>
          <w:rtl/>
          <w:lang w:val="it-IT" w:bidi="ar-EG"/>
        </w:rPr>
        <w:t>بلد</w:t>
      </w:r>
      <w:r w:rsidR="007E34E6" w:rsidRPr="007E34E6">
        <w:rPr>
          <w:rtl/>
          <w:lang w:val="it-IT" w:bidi="ar-EG"/>
        </w:rPr>
        <w:t xml:space="preserve"> المطلوب توفير الحماية في</w:t>
      </w:r>
      <w:r w:rsidR="007E34E6" w:rsidRPr="007E34E6">
        <w:rPr>
          <w:rFonts w:hint="cs"/>
          <w:rtl/>
          <w:lang w:val="it-IT" w:bidi="ar-EG"/>
        </w:rPr>
        <w:t>ه، ولكن"2" إذا كانت المدة في ذلك البلد أطول من المدة في بلد منشأ المصنف المحمي، فإن المدة الأقصر هي التي تنطبق. وهذا يعني في الواقع العملي، أن مدة أطول من المدة الدنيا قد تنطبق فقط عندما ينص البلدان معا على هذه المدة الأطول- وإلا فإن أقصر المدتين هي التي قد تنطبق. وتسمح المادة 20 من الاتفاقية للأطراف بإبرام اتفاقات خاصة فيما بينها على أن تمنح هذه الاتفاقات المؤلفين حقوقا أوسع من تلك التي تمنحها الاتفاقية، أو تتضمن أحكاما أخرى غير مخالفة للاتفاقية. وتنص المادة 7(3) على أن البلدان غير مطالبة بحماية المصنفات</w:t>
      </w:r>
      <w:r w:rsidR="007E34E6" w:rsidRPr="007E34E6">
        <w:rPr>
          <w:rtl/>
          <w:lang w:val="it-IT" w:bidi="ar-EG"/>
        </w:rPr>
        <w:t xml:space="preserve"> التي لا تحمل اسم مؤلفها إذا </w:t>
      </w:r>
      <w:r w:rsidR="007E34E6" w:rsidRPr="007E34E6">
        <w:rPr>
          <w:rFonts w:hint="cs"/>
          <w:rtl/>
          <w:lang w:val="it-IT" w:bidi="ar-EG"/>
        </w:rPr>
        <w:t>قام</w:t>
      </w:r>
      <w:r w:rsidR="007E34E6" w:rsidRPr="007E34E6">
        <w:rPr>
          <w:rtl/>
          <w:lang w:val="it-IT" w:bidi="ar-EG"/>
        </w:rPr>
        <w:t xml:space="preserve"> سبب معقول لافتراض أن مؤلفها قد توفى </w:t>
      </w:r>
      <w:r w:rsidR="007E34E6" w:rsidRPr="007E34E6">
        <w:rPr>
          <w:rFonts w:hint="cs"/>
          <w:rtl/>
          <w:lang w:val="it-IT" w:bidi="ar-EG"/>
        </w:rPr>
        <w:t>قبل</w:t>
      </w:r>
      <w:r w:rsidR="007E34E6" w:rsidRPr="007E34E6">
        <w:rPr>
          <w:rtl/>
          <w:lang w:val="it-IT" w:bidi="ar-EG"/>
        </w:rPr>
        <w:t xml:space="preserve"> </w:t>
      </w:r>
      <w:r w:rsidR="007E34E6" w:rsidRPr="007E34E6">
        <w:rPr>
          <w:rFonts w:hint="cs"/>
          <w:rtl/>
          <w:lang w:val="it-IT" w:bidi="ar-EG"/>
        </w:rPr>
        <w:t xml:space="preserve">50 </w:t>
      </w:r>
      <w:r w:rsidR="007E34E6" w:rsidRPr="007E34E6">
        <w:rPr>
          <w:rtl/>
          <w:lang w:val="it-IT" w:bidi="ar-EG"/>
        </w:rPr>
        <w:t>سنة.</w:t>
      </w:r>
    </w:p>
    <w:p w14:paraId="20C58467" w14:textId="455FA454" w:rsidR="007E34E6" w:rsidRPr="007E34E6" w:rsidRDefault="007F2EB9" w:rsidP="007F2EB9">
      <w:pPr>
        <w:pStyle w:val="BodyText"/>
        <w:ind w:left="1134" w:hanging="567"/>
        <w:rPr>
          <w:rtl/>
          <w:lang w:val="it-IT" w:bidi="ar-EG"/>
        </w:rPr>
      </w:pPr>
      <w:r>
        <w:rPr>
          <w:rFonts w:hint="cs"/>
          <w:rtl/>
          <w:lang w:val="it-IT"/>
        </w:rPr>
        <w:t>(ب)</w:t>
      </w:r>
      <w:r>
        <w:rPr>
          <w:rtl/>
          <w:lang w:val="it-IT"/>
        </w:rPr>
        <w:tab/>
      </w:r>
      <w:r w:rsidR="007E34E6" w:rsidRPr="007E34E6">
        <w:rPr>
          <w:rFonts w:hint="cs"/>
          <w:rtl/>
          <w:lang w:val="it-IT" w:bidi="ar-EG"/>
        </w:rPr>
        <w:t xml:space="preserve">وقد تحظى المجموعات وقواعد البيانات الخاصة بأشكال التعبير الثقافي التقليدي، سواء الموجودة من قبل أو المعاصرة، بالحماية بموجب حق المؤلف. وينص اتفاق </w:t>
      </w:r>
      <w:proofErr w:type="spellStart"/>
      <w:r w:rsidR="007E34E6" w:rsidRPr="007E34E6">
        <w:rPr>
          <w:rFonts w:hint="cs"/>
          <w:rtl/>
          <w:lang w:val="it-IT" w:bidi="ar-EG"/>
        </w:rPr>
        <w:t>تريبس</w:t>
      </w:r>
      <w:proofErr w:type="spellEnd"/>
      <w:r w:rsidR="007E34E6" w:rsidRPr="007E34E6">
        <w:rPr>
          <w:rFonts w:hint="cs"/>
          <w:rtl/>
          <w:lang w:val="it-IT" w:bidi="ar-EG"/>
        </w:rPr>
        <w:t xml:space="preserve"> و</w:t>
      </w:r>
      <w:r w:rsidR="007E34E6" w:rsidRPr="007E34E6">
        <w:rPr>
          <w:rtl/>
          <w:lang w:val="it-IT" w:bidi="ar-EG"/>
        </w:rPr>
        <w:t>معاهدة الويبو</w:t>
      </w:r>
      <w:r w:rsidR="007E34E6" w:rsidRPr="007E34E6">
        <w:rPr>
          <w:rFonts w:hint="cs"/>
          <w:rtl/>
          <w:lang w:val="it-IT" w:bidi="ar-EG"/>
        </w:rPr>
        <w:t xml:space="preserve"> </w:t>
      </w:r>
      <w:r w:rsidR="007E34E6" w:rsidRPr="007E34E6">
        <w:rPr>
          <w:rtl/>
          <w:lang w:val="it-IT" w:bidi="ar-EG"/>
        </w:rPr>
        <w:t>بشأن حق المؤلف</w:t>
      </w:r>
      <w:r w:rsidR="007E34E6" w:rsidRPr="007E34E6">
        <w:rPr>
          <w:rFonts w:hint="cs"/>
          <w:rtl/>
          <w:lang w:val="it-IT" w:bidi="ar-EG"/>
        </w:rPr>
        <w:t xml:space="preserve"> بوضوح على إمكانية حماية مجموعات المواد التي لا يغطيها حق المؤلف باعتبارها مجموعات وقواعد بيانات. وإلى جانب هذا، تكفل بعض الأنظمة القضائية حماية خاصة مخصصة لقواعد البيانات. ويمكن الاطلاع أيضا على "السجلات وقواعد البيانات" أدناه.</w:t>
      </w:r>
    </w:p>
    <w:p w14:paraId="54752CD9" w14:textId="4CE5D74C" w:rsidR="007E34E6" w:rsidRPr="007E34E6" w:rsidRDefault="007E34E6" w:rsidP="007F2EB9">
      <w:pPr>
        <w:pStyle w:val="ONUMA"/>
        <w:rPr>
          <w:rtl/>
          <w:lang w:val="it-IT"/>
        </w:rPr>
      </w:pPr>
      <w:r w:rsidRPr="007E34E6">
        <w:rPr>
          <w:rFonts w:hint="cs"/>
          <w:rtl/>
          <w:lang w:val="it-IT"/>
        </w:rPr>
        <w:t>وبالنسبة لجميع هذه المصنفات المحمية بموجب ح</w:t>
      </w:r>
      <w:r w:rsidR="00F347F8">
        <w:rPr>
          <w:rFonts w:hint="cs"/>
          <w:rtl/>
          <w:lang w:val="it-IT"/>
        </w:rPr>
        <w:t>ق المؤلف (من (أ</w:t>
      </w:r>
      <w:r w:rsidRPr="007E34E6">
        <w:rPr>
          <w:rFonts w:hint="cs"/>
          <w:rtl/>
          <w:lang w:val="it-IT"/>
        </w:rPr>
        <w:t>) إلى (ج) أعلاه):</w:t>
      </w:r>
    </w:p>
    <w:p w14:paraId="2E465AF9" w14:textId="273441A7" w:rsidR="007E34E6" w:rsidRPr="007E34E6" w:rsidRDefault="00F347F8" w:rsidP="00F347F8">
      <w:pPr>
        <w:pStyle w:val="BodyText"/>
        <w:ind w:left="1134" w:hanging="567"/>
        <w:rPr>
          <w:rtl/>
          <w:lang w:val="it-IT" w:bidi="ar-EG"/>
        </w:rPr>
      </w:pPr>
      <w:r>
        <w:rPr>
          <w:rFonts w:hint="cs"/>
          <w:rtl/>
          <w:lang w:val="it-IT"/>
        </w:rPr>
        <w:t>(أ)</w:t>
      </w:r>
      <w:r>
        <w:rPr>
          <w:rtl/>
          <w:lang w:val="it-IT"/>
        </w:rPr>
        <w:tab/>
      </w:r>
      <w:r w:rsidR="007E34E6" w:rsidRPr="007E34E6">
        <w:rPr>
          <w:rFonts w:hint="cs"/>
          <w:rtl/>
          <w:lang w:val="it-IT" w:bidi="ar-EG"/>
        </w:rPr>
        <w:t>يحصل أصحاب حق المؤلف على حقوق مالية تمكنهم من التصريح بمجموعة الأعمال المرتبطة بحماية حق المؤلف أو منع هذه الأعمال، بما فيها النسخ والتحوير والأداء</w:t>
      </w:r>
      <w:r w:rsidR="007E34E6" w:rsidRPr="007E34E6">
        <w:rPr>
          <w:lang w:bidi="ar-EG"/>
        </w:rPr>
        <w:t xml:space="preserve"> </w:t>
      </w:r>
      <w:r w:rsidR="007E34E6" w:rsidRPr="007E34E6">
        <w:rPr>
          <w:rFonts w:hint="cs"/>
          <w:rtl/>
          <w:lang w:val="it-IT" w:bidi="ar-EG"/>
        </w:rPr>
        <w:t>العلني والتوزيع والنقل إلى الجمهور.</w:t>
      </w:r>
    </w:p>
    <w:p w14:paraId="5C1CC9A3" w14:textId="16605D34" w:rsidR="007E34E6" w:rsidRPr="007E34E6" w:rsidRDefault="00F347F8" w:rsidP="00F347F8">
      <w:pPr>
        <w:pStyle w:val="BodyText"/>
        <w:ind w:left="1134" w:hanging="567"/>
        <w:rPr>
          <w:rtl/>
          <w:lang w:val="it-IT" w:bidi="ar-EG"/>
        </w:rPr>
      </w:pPr>
      <w:r>
        <w:rPr>
          <w:rFonts w:hint="cs"/>
          <w:rtl/>
          <w:lang w:val="it-IT"/>
        </w:rPr>
        <w:lastRenderedPageBreak/>
        <w:t>(ب)</w:t>
      </w:r>
      <w:r>
        <w:rPr>
          <w:rtl/>
          <w:lang w:val="it-IT"/>
        </w:rPr>
        <w:tab/>
      </w:r>
      <w:r w:rsidR="007E34E6" w:rsidRPr="007E34E6">
        <w:rPr>
          <w:rFonts w:hint="cs"/>
          <w:rtl/>
          <w:lang w:val="it-IT" w:bidi="ar-EG"/>
        </w:rPr>
        <w:t xml:space="preserve">ويتمتعون أيضا بالحقوق المعنوية في </w:t>
      </w:r>
      <w:r w:rsidR="007E34E6" w:rsidRPr="007E34E6">
        <w:rPr>
          <w:rtl/>
          <w:lang w:val="it-IT" w:bidi="ar-EG"/>
        </w:rPr>
        <w:t>نسبة المصنف</w:t>
      </w:r>
      <w:r w:rsidR="007E34E6" w:rsidRPr="007E34E6">
        <w:rPr>
          <w:rFonts w:hint="cs"/>
          <w:rtl/>
          <w:lang w:val="it-IT" w:bidi="ar-EG"/>
        </w:rPr>
        <w:t>ات</w:t>
      </w:r>
      <w:r w:rsidR="007E34E6" w:rsidRPr="007E34E6">
        <w:rPr>
          <w:rtl/>
          <w:lang w:val="it-IT" w:bidi="ar-EG"/>
        </w:rPr>
        <w:t xml:space="preserve"> إليه</w:t>
      </w:r>
      <w:r w:rsidR="007E34E6" w:rsidRPr="007E34E6">
        <w:rPr>
          <w:rFonts w:hint="cs"/>
          <w:rtl/>
          <w:lang w:val="it-IT" w:bidi="ar-EG"/>
        </w:rPr>
        <w:t>م</w:t>
      </w:r>
      <w:r w:rsidR="007E34E6" w:rsidRPr="007E34E6">
        <w:rPr>
          <w:rtl/>
          <w:lang w:val="it-IT" w:bidi="ar-EG"/>
        </w:rPr>
        <w:t xml:space="preserve"> </w:t>
      </w:r>
      <w:r w:rsidR="007E34E6" w:rsidRPr="007E34E6">
        <w:rPr>
          <w:rFonts w:hint="cs"/>
          <w:rtl/>
          <w:lang w:val="it-IT" w:bidi="ar-EG"/>
        </w:rPr>
        <w:t>وفي</w:t>
      </w:r>
      <w:r w:rsidR="007E34E6" w:rsidRPr="007E34E6">
        <w:rPr>
          <w:rtl/>
          <w:lang w:val="it-IT" w:bidi="ar-EG"/>
        </w:rPr>
        <w:t xml:space="preserve"> الحصانة </w:t>
      </w:r>
      <w:r w:rsidR="007E34E6" w:rsidRPr="007E34E6">
        <w:rPr>
          <w:rFonts w:hint="cs"/>
          <w:rtl/>
          <w:lang w:val="it-IT" w:bidi="ar-EG"/>
        </w:rPr>
        <w:t xml:space="preserve">(الحق في الاعتراض على تشويه المصنف) </w:t>
      </w:r>
      <w:r w:rsidR="007E34E6" w:rsidRPr="007E34E6">
        <w:rPr>
          <w:rtl/>
          <w:lang w:val="it-IT" w:bidi="ar-EG"/>
        </w:rPr>
        <w:t>و</w:t>
      </w:r>
      <w:r w:rsidR="007E34E6" w:rsidRPr="007E34E6">
        <w:rPr>
          <w:rFonts w:hint="cs"/>
          <w:rtl/>
          <w:lang w:val="it-IT" w:bidi="ar-EG"/>
        </w:rPr>
        <w:t xml:space="preserve">في </w:t>
      </w:r>
      <w:r w:rsidR="007E34E6" w:rsidRPr="007E34E6">
        <w:rPr>
          <w:rtl/>
          <w:lang w:val="it-IT" w:bidi="ar-EG"/>
        </w:rPr>
        <w:t>النشر</w:t>
      </w:r>
      <w:r w:rsidR="007E34E6" w:rsidRPr="007E34E6">
        <w:rPr>
          <w:rFonts w:hint="cs"/>
          <w:rtl/>
          <w:lang w:val="it-IT" w:bidi="ar-EG"/>
        </w:rPr>
        <w:t xml:space="preserve"> (الحق في اتخاذ القرار بشأن زمان ومكان وشكل نشر المصنف أو الكشف عنه). ويرى كثيرون أن الحقوق المعنوية مفيدة بشكل خاص لأشكال التعبير الثقافي التقليدي.</w:t>
      </w:r>
    </w:p>
    <w:p w14:paraId="5770617B" w14:textId="5A34A621" w:rsidR="007E34E6" w:rsidRPr="007E34E6" w:rsidRDefault="00F347F8" w:rsidP="00F347F8">
      <w:pPr>
        <w:pStyle w:val="BodyText"/>
        <w:ind w:left="1134" w:hanging="567"/>
        <w:rPr>
          <w:rtl/>
          <w:lang w:val="it-IT" w:bidi="ar-EG"/>
        </w:rPr>
      </w:pPr>
      <w:r>
        <w:rPr>
          <w:rFonts w:hint="cs"/>
          <w:rtl/>
          <w:lang w:val="it-IT"/>
        </w:rPr>
        <w:t>(ج)</w:t>
      </w:r>
      <w:r>
        <w:rPr>
          <w:rtl/>
          <w:lang w:val="it-IT"/>
        </w:rPr>
        <w:tab/>
      </w:r>
      <w:r w:rsidR="007E34E6" w:rsidRPr="007E34E6">
        <w:rPr>
          <w:rFonts w:hint="cs"/>
          <w:rtl/>
          <w:lang w:val="it-IT" w:bidi="ar-EG"/>
        </w:rPr>
        <w:t>وتدوم الحقوق المالية 50 سنة على الأقل بعد وفاة المؤلف أو آخر مؤلف باق على قيد الحياة في حالات التأليف المشترك. وتتوقف المدة المحددة للحماية على القانون الوطني. وقد تدوم الحقوق المعنوية إلى أجل غير محدد، حسب القانون الوطني أيضا.</w:t>
      </w:r>
    </w:p>
    <w:p w14:paraId="0FB9F936" w14:textId="11719D86" w:rsidR="00F347F8" w:rsidRDefault="00F347F8" w:rsidP="00F347F8">
      <w:pPr>
        <w:pStyle w:val="BodyText"/>
        <w:ind w:left="1134" w:hanging="567"/>
        <w:rPr>
          <w:rtl/>
          <w:lang w:val="it-IT" w:bidi="ar-EG"/>
        </w:rPr>
      </w:pPr>
      <w:r>
        <w:rPr>
          <w:rFonts w:hint="cs"/>
          <w:rtl/>
          <w:lang w:val="it-IT"/>
        </w:rPr>
        <w:t>(د)</w:t>
      </w:r>
      <w:r>
        <w:rPr>
          <w:rtl/>
          <w:lang w:val="it-IT"/>
        </w:rPr>
        <w:tab/>
      </w:r>
      <w:r w:rsidR="007E34E6" w:rsidRPr="007E34E6">
        <w:rPr>
          <w:rFonts w:hint="cs"/>
          <w:rtl/>
          <w:lang w:val="it-IT" w:bidi="ar-EG"/>
        </w:rPr>
        <w:t>وليس "التثبيت" شرطا للحماية بموجب القانون الدولي لحق المؤلف (لهذا، فإن الرسوم "غير المثبتة" وغيرها من الفنون البصرية مثل الرسم على الجسد والمنحوتات الرملية قابلة من حيث المبدأ للحماية بناء على المبادئ الدولية). ويكون عائق "التثبيت" واردا فقط في البلدان (ذات قوانين السوابق بالأساس) التي اختارت أن تشترط التثبيت على المستوى الوطني. وإلى جانب هذا، فإن معظم أشكال التعبير الثقافي المعرضة للاستغلال هي أشكال مثبتة (مثل الفن البصري و</w:t>
      </w:r>
      <w:r w:rsidR="007E34E6" w:rsidRPr="007E34E6">
        <w:rPr>
          <w:rtl/>
          <w:lang w:val="it-IT" w:bidi="ar-EG"/>
        </w:rPr>
        <w:t>منتجات الحرف اليدوية</w:t>
      </w:r>
      <w:r w:rsidR="007E34E6" w:rsidRPr="007E34E6">
        <w:rPr>
          <w:rFonts w:hint="cs"/>
          <w:rtl/>
          <w:lang w:val="it-IT" w:bidi="ar-EG"/>
        </w:rPr>
        <w:t>) وقد يستثني من ذلك الأداء الحي لأشكال التعبير الثقافي التقليدي (وللاطلاع عليها، انظر أدناه في "أداء أشكال التعبير الثقافي التقليدي").</w:t>
      </w:r>
    </w:p>
    <w:p w14:paraId="4C17695D" w14:textId="678BBCAA" w:rsidR="00F347F8" w:rsidRDefault="00F347F8" w:rsidP="00F347F8">
      <w:pPr>
        <w:pStyle w:val="BodyText"/>
        <w:ind w:left="1134" w:hanging="567"/>
        <w:rPr>
          <w:rtl/>
          <w:lang w:val="it-IT" w:bidi="ar-EG"/>
        </w:rPr>
      </w:pPr>
      <w:r>
        <w:rPr>
          <w:rFonts w:hint="cs"/>
          <w:rtl/>
          <w:lang w:val="it-IT"/>
        </w:rPr>
        <w:t>(ه)</w:t>
      </w:r>
      <w:r>
        <w:rPr>
          <w:rtl/>
          <w:lang w:val="it-IT"/>
        </w:rPr>
        <w:tab/>
      </w:r>
      <w:r w:rsidR="007E34E6" w:rsidRPr="007E34E6">
        <w:rPr>
          <w:rFonts w:hint="cs"/>
          <w:rtl/>
          <w:lang w:val="it-IT" w:bidi="ar-EG"/>
        </w:rPr>
        <w:t>وتتاح الحماية بموجب حق المؤلف للمصنفات التي ألفها أكثر من مؤلف واحد، شريطة أن يكون تحديد هوية المؤلفين ممكنا أو في الحالات التي يكون فيها شخص معنوي هو صاحب حق المؤلف في المصنفات.</w:t>
      </w:r>
    </w:p>
    <w:p w14:paraId="510E2FB3" w14:textId="04BD8D57" w:rsidR="00F347F8" w:rsidRDefault="00F347F8" w:rsidP="00F347F8">
      <w:pPr>
        <w:pStyle w:val="BodyText"/>
        <w:ind w:left="1134" w:hanging="567"/>
        <w:rPr>
          <w:rtl/>
          <w:lang w:val="it-IT" w:bidi="ar-EG"/>
        </w:rPr>
      </w:pPr>
      <w:r>
        <w:rPr>
          <w:rFonts w:hint="cs"/>
          <w:rtl/>
          <w:lang w:val="it-IT"/>
        </w:rPr>
        <w:t>(و)</w:t>
      </w:r>
      <w:r>
        <w:rPr>
          <w:rtl/>
          <w:lang w:val="it-IT"/>
        </w:rPr>
        <w:tab/>
      </w:r>
      <w:r w:rsidR="007E34E6" w:rsidRPr="007E34E6">
        <w:rPr>
          <w:rFonts w:hint="cs"/>
          <w:rtl/>
          <w:lang w:val="it-IT" w:bidi="ar-EG"/>
        </w:rPr>
        <w:t>وما في شروط شكلية متصلة بحماية حق المؤلف.</w:t>
      </w:r>
    </w:p>
    <w:p w14:paraId="720CA3A8" w14:textId="1457A6A5" w:rsidR="007E34E6" w:rsidRPr="007E34E6" w:rsidRDefault="00F347F8" w:rsidP="00F347F8">
      <w:pPr>
        <w:pStyle w:val="BodyText"/>
        <w:ind w:left="1134" w:hanging="567"/>
        <w:rPr>
          <w:rtl/>
          <w:lang w:val="it-IT" w:bidi="ar-EG"/>
        </w:rPr>
      </w:pPr>
      <w:r>
        <w:rPr>
          <w:rFonts w:hint="cs"/>
          <w:rtl/>
          <w:lang w:val="it-IT"/>
        </w:rPr>
        <w:t>(ز)</w:t>
      </w:r>
      <w:r>
        <w:rPr>
          <w:rtl/>
          <w:lang w:val="it-IT"/>
        </w:rPr>
        <w:tab/>
      </w:r>
      <w:r w:rsidR="007E34E6" w:rsidRPr="007E34E6">
        <w:rPr>
          <w:rFonts w:hint="cs"/>
          <w:rtl/>
          <w:lang w:val="it-IT" w:bidi="ar-EG"/>
        </w:rPr>
        <w:t xml:space="preserve">وتكون الحماية قابلة للإنفاذ على المستوى الدولي من خلال اتفاقية برن لسنة 1971 واتفاق </w:t>
      </w:r>
      <w:proofErr w:type="spellStart"/>
      <w:r w:rsidR="007E34E6" w:rsidRPr="007E34E6">
        <w:rPr>
          <w:rFonts w:hint="cs"/>
          <w:rtl/>
          <w:lang w:val="it-IT" w:bidi="ar-EG"/>
        </w:rPr>
        <w:t>تريبس</w:t>
      </w:r>
      <w:proofErr w:type="spellEnd"/>
      <w:r w:rsidR="007E34E6" w:rsidRPr="007E34E6">
        <w:rPr>
          <w:rFonts w:hint="cs"/>
          <w:rtl/>
          <w:lang w:val="it-IT" w:bidi="ar-EG"/>
        </w:rPr>
        <w:t xml:space="preserve"> لسنة 1994. ونتيجة لهذا، تحمي أشكال التعبير الثقافي</w:t>
      </w:r>
      <w:r w:rsidR="007E34E6" w:rsidRPr="007E34E6">
        <w:rPr>
          <w:rFonts w:hint="cs"/>
          <w:rtl/>
          <w:lang w:val="it-IT"/>
        </w:rPr>
        <w:t xml:space="preserve"> القابلة للحماية كمنصفات مشمولة بحق المؤلف في البلدان الأجنبية الأطراف في هذين الصكين على أساس "المعاملة الوطنية".</w:t>
      </w:r>
    </w:p>
    <w:p w14:paraId="69EF6535" w14:textId="77777777" w:rsidR="007E34E6" w:rsidRPr="007E34E6" w:rsidRDefault="007E34E6" w:rsidP="00F347F8">
      <w:pPr>
        <w:pStyle w:val="ONUMA"/>
        <w:rPr>
          <w:rtl/>
          <w:lang w:val="it-IT"/>
        </w:rPr>
      </w:pPr>
      <w:r w:rsidRPr="007E34E6">
        <w:rPr>
          <w:rtl/>
          <w:lang w:val="it-IT"/>
        </w:rPr>
        <w:t xml:space="preserve">وتجدر الإشارة إلى أن تسجيلات أشكال التعبير الثقافي التقليدي مثل الموسيقى محمية في العديد من الولايات القضائية بموجب قانون "الحقوق </w:t>
      </w:r>
      <w:r w:rsidRPr="007E34E6">
        <w:rPr>
          <w:rFonts w:hint="cs"/>
          <w:rtl/>
          <w:lang w:val="it-IT"/>
        </w:rPr>
        <w:t>المجاورة</w:t>
      </w:r>
      <w:r w:rsidRPr="007E34E6">
        <w:rPr>
          <w:rtl/>
          <w:lang w:val="it-IT"/>
        </w:rPr>
        <w:t xml:space="preserve">". فيما يتعلق بمثل هذه </w:t>
      </w:r>
      <w:r w:rsidRPr="007E34E6">
        <w:rPr>
          <w:rFonts w:hint="cs"/>
          <w:rtl/>
          <w:lang w:val="it-IT"/>
        </w:rPr>
        <w:t>المصنفات:</w:t>
      </w:r>
    </w:p>
    <w:p w14:paraId="200A81CA" w14:textId="6E0938D2" w:rsidR="007E34E6" w:rsidRPr="007E34E6" w:rsidRDefault="00F347F8" w:rsidP="00F347F8">
      <w:pPr>
        <w:pStyle w:val="BodyText"/>
        <w:ind w:left="1134" w:hanging="567"/>
        <w:rPr>
          <w:rtl/>
          <w:lang w:val="it-IT"/>
        </w:rPr>
      </w:pPr>
      <w:r>
        <w:rPr>
          <w:rFonts w:hint="cs"/>
          <w:rtl/>
          <w:lang w:val="it-IT"/>
        </w:rPr>
        <w:t>(أ)</w:t>
      </w:r>
      <w:r>
        <w:rPr>
          <w:rtl/>
          <w:lang w:val="it-IT"/>
        </w:rPr>
        <w:tab/>
      </w:r>
      <w:r w:rsidR="007E34E6" w:rsidRPr="007E34E6">
        <w:rPr>
          <w:rFonts w:hint="cs"/>
          <w:rtl/>
          <w:lang w:val="it-IT"/>
        </w:rPr>
        <w:t>تتأتى الحماية الممنوحة للتسجيلات الصوتية الخاصة بالموسيقى التقليدية (وغيرها من أشكال التعبير الثقافي التقليدي مثل الأساطير والأمثال) من اتفاقية روما لسنة 1961، واتفاق</w:t>
      </w:r>
      <w:r w:rsidR="007E34E6" w:rsidRPr="007E34E6">
        <w:rPr>
          <w:rFonts w:hint="cs"/>
          <w:rtl/>
          <w:lang w:val="it-IT" w:bidi="ar-EG"/>
        </w:rPr>
        <w:t xml:space="preserve"> </w:t>
      </w:r>
      <w:proofErr w:type="spellStart"/>
      <w:r w:rsidR="007E34E6" w:rsidRPr="007E34E6">
        <w:rPr>
          <w:rFonts w:hint="cs"/>
          <w:rtl/>
          <w:lang w:val="it-IT"/>
        </w:rPr>
        <w:t>تريبس</w:t>
      </w:r>
      <w:proofErr w:type="spellEnd"/>
      <w:r w:rsidR="007E34E6" w:rsidRPr="007E34E6">
        <w:rPr>
          <w:rFonts w:hint="cs"/>
          <w:rtl/>
          <w:lang w:val="it-IT"/>
        </w:rPr>
        <w:t xml:space="preserve"> لسنة 1994 و</w:t>
      </w:r>
      <w:r w:rsidR="007E34E6" w:rsidRPr="007E34E6">
        <w:rPr>
          <w:rtl/>
          <w:lang w:val="it-IT"/>
        </w:rPr>
        <w:t>معاهدة الويبو</w:t>
      </w:r>
      <w:r w:rsidR="007E34E6" w:rsidRPr="007E34E6">
        <w:rPr>
          <w:rFonts w:hint="cs"/>
          <w:rtl/>
          <w:lang w:val="it-IT"/>
        </w:rPr>
        <w:t xml:space="preserve"> </w:t>
      </w:r>
      <w:r w:rsidR="007E34E6" w:rsidRPr="007E34E6">
        <w:rPr>
          <w:rtl/>
          <w:lang w:val="it-IT"/>
        </w:rPr>
        <w:t>بشأن الأداء والتسجيل الصوتي</w:t>
      </w:r>
      <w:r w:rsidR="007E34E6" w:rsidRPr="007E34E6">
        <w:rPr>
          <w:rFonts w:hint="cs"/>
          <w:rtl/>
          <w:lang w:val="it-IT"/>
        </w:rPr>
        <w:t xml:space="preserve"> لسنة 1996 التي تعالج "الحقوق المجاورة". وهذه الحماية التي تحظى بها التسجيلات الصوتية حماية غير مباشرة لأشكال التعبير الثقافي التقليدي وتشجع أيضا الحفاظ عليها وأما أشكال التعبير الثقافي التقليدي المنقولة في الماضي شفويا مرة واحدة فقط، وليست بالتالي محمية بموجب القوانين الوطنية التي تشترط التثبيت كشرط من شروط حق المؤلف، فيمكن أن تحظى الحماية غير مباشرة من خلال تثبيتها في تسجيل صوتي. وأصحاب الحقوق المجاورة في التسجيلات الصوتية هم في الواقع منتجو التسجيلات الصوتية، ويتمتعون بالحقوق ال</w:t>
      </w:r>
      <w:proofErr w:type="spellStart"/>
      <w:r w:rsidR="007E34E6" w:rsidRPr="007E34E6">
        <w:rPr>
          <w:rtl/>
          <w:lang w:val="it-IT" w:bidi="ar-EG"/>
        </w:rPr>
        <w:t>استئثارية</w:t>
      </w:r>
      <w:proofErr w:type="spellEnd"/>
      <w:r w:rsidR="007E34E6" w:rsidRPr="007E34E6">
        <w:rPr>
          <w:rFonts w:hint="cs"/>
          <w:rtl/>
          <w:lang w:val="it-IT" w:bidi="ar-EG"/>
        </w:rPr>
        <w:t xml:space="preserve"> في النسخ والتوزيع والتأجير والإتاحة. وقد يتمتعون أيضا، عملا بالمادة 12 من اتفاقية روما والمادة 15 من </w:t>
      </w:r>
      <w:r w:rsidR="007E34E6" w:rsidRPr="007E34E6">
        <w:rPr>
          <w:rtl/>
          <w:lang w:val="it-IT"/>
        </w:rPr>
        <w:t>معاهدة الويبو</w:t>
      </w:r>
      <w:r w:rsidR="007E34E6" w:rsidRPr="007E34E6">
        <w:rPr>
          <w:rFonts w:hint="cs"/>
          <w:rtl/>
          <w:lang w:val="it-IT"/>
        </w:rPr>
        <w:t xml:space="preserve"> </w:t>
      </w:r>
      <w:r w:rsidR="007E34E6" w:rsidRPr="007E34E6">
        <w:rPr>
          <w:rtl/>
          <w:lang w:val="it-IT"/>
        </w:rPr>
        <w:t>بشأن الأداء والتسجيل الصوتي</w:t>
      </w:r>
      <w:r w:rsidR="007E34E6" w:rsidRPr="007E34E6">
        <w:rPr>
          <w:rFonts w:hint="cs"/>
          <w:rtl/>
          <w:lang w:val="it-IT"/>
        </w:rPr>
        <w:t xml:space="preserve"> لسنة 1996، بحق اختياري في المكافأة في حالة التسجيلات التي تُنشر لأغراض تجارية من أجل بثها أو نقلها إلى الجمهور. ويتقاسم المنتجون هذه المكافأة العادلة مع فناني الأداء المسجل أداؤهم (انظر أدناه) في "تجليات أشكال التعبير الثقافي التقليدي"). ووفقا لبيان متفق عليه بشأن المادة 15 </w:t>
      </w:r>
      <w:r w:rsidR="007E34E6" w:rsidRPr="007E34E6">
        <w:rPr>
          <w:rFonts w:hint="cs"/>
          <w:rtl/>
          <w:lang w:val="it-IT" w:bidi="ar-EG"/>
        </w:rPr>
        <w:t xml:space="preserve">من </w:t>
      </w:r>
      <w:r w:rsidR="007E34E6" w:rsidRPr="007E34E6">
        <w:rPr>
          <w:rtl/>
          <w:lang w:val="it-IT"/>
        </w:rPr>
        <w:t>معاهدة الويبو</w:t>
      </w:r>
      <w:r w:rsidR="007E34E6" w:rsidRPr="007E34E6">
        <w:rPr>
          <w:rFonts w:hint="cs"/>
          <w:rtl/>
          <w:lang w:val="it-IT"/>
        </w:rPr>
        <w:t xml:space="preserve"> </w:t>
      </w:r>
      <w:r w:rsidR="007E34E6" w:rsidRPr="007E34E6">
        <w:rPr>
          <w:rtl/>
          <w:lang w:val="it-IT"/>
        </w:rPr>
        <w:t>بشأن الأداء والتسجيل الصوتي</w:t>
      </w:r>
      <w:r w:rsidR="007E34E6" w:rsidRPr="007E34E6">
        <w:rPr>
          <w:rFonts w:hint="cs"/>
          <w:rtl/>
          <w:lang w:val="it-IT"/>
        </w:rPr>
        <w:t xml:space="preserve"> لسنة 1996، يمكن أيضا لمنتجي التسجيلات الصوتية الخاصة بأشكال التعبير الثقافي التقليدي غير المنشورة بهدف الربح التجاري، أن يُمنحوا هذا الحق بموجب قوانين الإنفاذ الوطنية (كما يمكن ذلك للفنانين الذين يؤدون أشكال التعبير الثقافي التقليدي التي يتضمنها التسجيل، انظر أدناه). وقد اعتُمد هذا البيان المتفق عليه بالتحديد ليراعي أن أشكال التعبير الثقافي التقليدي كثيرا ما تُستغل على نطاق واسع في البث وأشكال أخرى من النقل إلى الجمهور عن طريق التسجيلات غير التجارية (مثل التسجيلات </w:t>
      </w:r>
      <w:proofErr w:type="spellStart"/>
      <w:r w:rsidR="007E34E6" w:rsidRPr="007E34E6">
        <w:rPr>
          <w:rFonts w:hint="cs"/>
          <w:rtl/>
          <w:lang w:val="it-IT"/>
        </w:rPr>
        <w:t>ا</w:t>
      </w:r>
      <w:r w:rsidR="007E34E6" w:rsidRPr="007E34E6">
        <w:rPr>
          <w:rtl/>
          <w:lang w:val="it-IT"/>
        </w:rPr>
        <w:t>لإثنوغرافي</w:t>
      </w:r>
      <w:r w:rsidR="007E34E6" w:rsidRPr="007E34E6">
        <w:rPr>
          <w:rFonts w:hint="cs"/>
          <w:rtl/>
          <w:lang w:val="it-IT"/>
        </w:rPr>
        <w:t>ة</w:t>
      </w:r>
      <w:proofErr w:type="spellEnd"/>
      <w:r w:rsidR="007E34E6" w:rsidRPr="007E34E6">
        <w:rPr>
          <w:rFonts w:hint="cs"/>
          <w:rtl/>
          <w:lang w:val="it-IT"/>
        </w:rPr>
        <w:t>).</w:t>
      </w:r>
    </w:p>
    <w:p w14:paraId="4E21EC90" w14:textId="77777777" w:rsidR="007E34E6" w:rsidRPr="00F347F8" w:rsidRDefault="007E34E6" w:rsidP="00F347F8">
      <w:pPr>
        <w:pStyle w:val="Heading3"/>
        <w:spacing w:before="220" w:after="220"/>
        <w:rPr>
          <w:b/>
          <w:bCs w:val="0"/>
          <w:i/>
          <w:iCs/>
          <w:sz w:val="22"/>
          <w:szCs w:val="22"/>
          <w:u w:val="none"/>
          <w:rtl/>
          <w:lang w:val="it-IT"/>
        </w:rPr>
      </w:pPr>
      <w:bookmarkStart w:id="57" w:name="_Toc520405375"/>
      <w:bookmarkStart w:id="58" w:name="_Toc109030397"/>
      <w:r w:rsidRPr="00F347F8">
        <w:rPr>
          <w:rFonts w:hint="cs"/>
          <w:b/>
          <w:bCs w:val="0"/>
          <w:i/>
          <w:iCs/>
          <w:sz w:val="22"/>
          <w:szCs w:val="22"/>
          <w:u w:val="none"/>
          <w:rtl/>
          <w:lang w:val="it-IT"/>
        </w:rPr>
        <w:t>أداء أشكال التعبير الثقافي التقليدي</w:t>
      </w:r>
      <w:bookmarkEnd w:id="57"/>
      <w:bookmarkEnd w:id="58"/>
    </w:p>
    <w:p w14:paraId="067D2369" w14:textId="77777777" w:rsidR="007E34E6" w:rsidRPr="007E34E6" w:rsidRDefault="007E34E6" w:rsidP="00F347F8">
      <w:pPr>
        <w:pStyle w:val="ONUMA"/>
        <w:rPr>
          <w:lang w:bidi="ar-EG"/>
        </w:rPr>
      </w:pPr>
      <w:r w:rsidRPr="007E34E6">
        <w:rPr>
          <w:rFonts w:hint="cs"/>
          <w:rtl/>
          <w:lang w:val="it-IT"/>
        </w:rPr>
        <w:t xml:space="preserve">على الرغم من رأي قائل إن الفنانين الذين يؤدون أشكال التعبير الثقافي التقليدي حتى هم محميون بموجب اتفاقية روما لسنة 1961، فقد أزالت </w:t>
      </w:r>
      <w:r w:rsidRPr="007E34E6">
        <w:rPr>
          <w:rtl/>
          <w:lang w:val="it-IT"/>
        </w:rPr>
        <w:t>معاهدة الويبو</w:t>
      </w:r>
      <w:r w:rsidRPr="007E34E6">
        <w:rPr>
          <w:rFonts w:hint="cs"/>
          <w:rtl/>
          <w:lang w:val="it-IT"/>
        </w:rPr>
        <w:t xml:space="preserve"> </w:t>
      </w:r>
      <w:r w:rsidRPr="007E34E6">
        <w:rPr>
          <w:rtl/>
          <w:lang w:val="it-IT"/>
        </w:rPr>
        <w:t>بشأن الأداء والتسجيل الصوتي</w:t>
      </w:r>
      <w:r w:rsidRPr="007E34E6">
        <w:rPr>
          <w:rFonts w:hint="cs"/>
          <w:rtl/>
          <w:lang w:val="it-IT"/>
        </w:rPr>
        <w:t xml:space="preserve"> لسنة 1996 ومعاهدة بيجين لسنة 2012 (لم تدخيل حيز النفاذ بعد) كل الشكوك بهذا الصدد، إذ إنها تحمي الآن بوضوح حقوق الفنانين الذين يؤدون "أشكال التعبير الفولكلوري". </w:t>
      </w:r>
    </w:p>
    <w:p w14:paraId="09C4377C" w14:textId="77777777" w:rsidR="007E34E6" w:rsidRPr="007E34E6" w:rsidRDefault="007E34E6" w:rsidP="00F347F8">
      <w:pPr>
        <w:pStyle w:val="ONUMA"/>
        <w:rPr>
          <w:lang w:bidi="ar-EG"/>
        </w:rPr>
      </w:pPr>
      <w:r w:rsidRPr="007E34E6">
        <w:rPr>
          <w:rFonts w:hint="cs"/>
          <w:rtl/>
          <w:lang w:val="it-IT"/>
        </w:rPr>
        <w:t xml:space="preserve">وتشمل الحماية التي توفرها المعاهدة المذكورة الحقوق المعنوية وحقوقا مالية </w:t>
      </w:r>
      <w:proofErr w:type="spellStart"/>
      <w:r w:rsidRPr="007E34E6">
        <w:rPr>
          <w:rFonts w:hint="cs"/>
          <w:rtl/>
          <w:lang w:val="it-IT"/>
        </w:rPr>
        <w:t>استئثارية</w:t>
      </w:r>
      <w:proofErr w:type="spellEnd"/>
      <w:r w:rsidRPr="007E34E6">
        <w:rPr>
          <w:rFonts w:hint="cs"/>
          <w:rtl/>
          <w:lang w:val="it-IT"/>
        </w:rPr>
        <w:t xml:space="preserve"> متنوعة والحق الاختياري في المكافأة العادلة في الحالات التي يُسجل فيها الأداء في تسجيل صوتي يُنشر لأغراض تجارية، مثلما أُشير إلى ذلك أعلاه. وينطبق البيان المتفق عليه بشأن المادة 15 </w:t>
      </w:r>
      <w:r w:rsidRPr="007E34E6">
        <w:rPr>
          <w:rFonts w:hint="cs"/>
          <w:rtl/>
          <w:lang w:val="it-IT" w:bidi="ar-EG"/>
        </w:rPr>
        <w:t>من ال</w:t>
      </w:r>
      <w:r w:rsidRPr="007E34E6">
        <w:rPr>
          <w:rtl/>
          <w:lang w:val="it-IT"/>
        </w:rPr>
        <w:t xml:space="preserve">معاهدة </w:t>
      </w:r>
      <w:r w:rsidRPr="007E34E6">
        <w:rPr>
          <w:rFonts w:hint="cs"/>
          <w:rtl/>
          <w:lang w:val="it-IT"/>
        </w:rPr>
        <w:t xml:space="preserve">على فناني الأداء </w:t>
      </w:r>
      <w:proofErr w:type="spellStart"/>
      <w:proofErr w:type="gramStart"/>
      <w:r w:rsidRPr="007E34E6">
        <w:rPr>
          <w:rFonts w:hint="cs"/>
          <w:rtl/>
          <w:lang w:val="it-IT"/>
        </w:rPr>
        <w:t>أيضا.ولحقوق</w:t>
      </w:r>
      <w:proofErr w:type="spellEnd"/>
      <w:proofErr w:type="gramEnd"/>
      <w:r w:rsidRPr="007E34E6">
        <w:rPr>
          <w:rFonts w:hint="cs"/>
          <w:rtl/>
          <w:lang w:val="it-IT"/>
        </w:rPr>
        <w:t xml:space="preserve"> فناني الأداء مدة محددة هي 50 سنة على الأقل منذ الوقت الذي </w:t>
      </w:r>
      <w:r w:rsidRPr="007E34E6">
        <w:rPr>
          <w:rFonts w:hint="cs"/>
          <w:rtl/>
          <w:lang w:val="it-IT"/>
        </w:rPr>
        <w:lastRenderedPageBreak/>
        <w:t>يثبت فيه الأداء في تسجيل صوتي. وإذا لم يكن الأداء مثبتا (كالأداء الحي مثلا)، لا يعتد بالمرة لأن الحماية لا تغطي إلا الأعمال المتزامنة.</w:t>
      </w:r>
      <w:r w:rsidRPr="007E34E6">
        <w:rPr>
          <w:vertAlign w:val="superscript"/>
          <w:rtl/>
          <w:lang w:val="it-IT"/>
        </w:rPr>
        <w:footnoteReference w:id="28"/>
      </w:r>
    </w:p>
    <w:p w14:paraId="47913656" w14:textId="77777777" w:rsidR="007E34E6" w:rsidRPr="007E34E6" w:rsidRDefault="007E34E6" w:rsidP="00F347F8">
      <w:pPr>
        <w:pStyle w:val="ONUMA"/>
        <w:rPr>
          <w:rtl/>
          <w:lang w:val="it-IT"/>
        </w:rPr>
      </w:pPr>
      <w:r w:rsidRPr="007E34E6">
        <w:rPr>
          <w:rtl/>
          <w:lang w:val="it-IT"/>
        </w:rPr>
        <w:t>حينما تدخل معاهدة بيجين حيز النفاذ، فإنها ستوفر الحماية لفناني الأداء في وسائل الإعلام السمعية البصرية، مثل السينما والتلفزيون، وللموسيقيين فيما يخص أدائهم المسجل في أي منصة سمعية بصرية.</w:t>
      </w:r>
      <w:r w:rsidRPr="007E34E6">
        <w:rPr>
          <w:rFonts w:hint="cs"/>
          <w:rtl/>
          <w:lang w:val="it-IT"/>
        </w:rPr>
        <w:t xml:space="preserve"> </w:t>
      </w:r>
      <w:r w:rsidRPr="007E34E6">
        <w:rPr>
          <w:rtl/>
          <w:lang w:val="it-IT"/>
        </w:rPr>
        <w:t>وعلى غرار معاهدة الويبو بشأن الأداء والتسجيل الصوتي</w:t>
      </w:r>
      <w:r w:rsidRPr="007E34E6">
        <w:rPr>
          <w:rFonts w:hint="cs"/>
          <w:rtl/>
          <w:lang w:val="it-IT"/>
        </w:rPr>
        <w:t xml:space="preserve"> 1996</w:t>
      </w:r>
      <w:r w:rsidRPr="007E34E6">
        <w:rPr>
          <w:rtl/>
          <w:lang w:val="it-IT"/>
        </w:rPr>
        <w:t>، ستوفر معاهدة بيجين</w:t>
      </w:r>
      <w:r w:rsidRPr="007E34E6">
        <w:rPr>
          <w:rFonts w:hint="cs"/>
          <w:rtl/>
          <w:lang w:val="it-IT"/>
        </w:rPr>
        <w:t xml:space="preserve"> 2012</w:t>
      </w:r>
      <w:r w:rsidRPr="007E34E6">
        <w:rPr>
          <w:rtl/>
          <w:lang w:val="it-IT"/>
        </w:rPr>
        <w:t xml:space="preserve"> حقوقاً في أوجه الأداء السمعي البصري "للمصنفات الأدبية والفنية أو أشكال التعبير الفولكلوري".</w:t>
      </w:r>
      <w:r w:rsidRPr="007E34E6">
        <w:rPr>
          <w:rFonts w:hint="cs"/>
          <w:rtl/>
          <w:lang w:val="it-IT"/>
        </w:rPr>
        <w:t xml:space="preserve"> </w:t>
      </w:r>
      <w:r w:rsidRPr="007E34E6">
        <w:rPr>
          <w:rtl/>
          <w:lang w:val="it-IT"/>
        </w:rPr>
        <w:t xml:space="preserve">وستشتمل الحماية المقدمة على حقوق معنوية وسلسلة من الحقوق المالية </w:t>
      </w:r>
      <w:proofErr w:type="spellStart"/>
      <w:r w:rsidRPr="007E34E6">
        <w:rPr>
          <w:rtl/>
          <w:lang w:val="it-IT"/>
        </w:rPr>
        <w:t>الاستئثارية</w:t>
      </w:r>
      <w:proofErr w:type="spellEnd"/>
      <w:r w:rsidRPr="007E34E6">
        <w:rPr>
          <w:rtl/>
          <w:lang w:val="it-IT"/>
        </w:rPr>
        <w:t>، بما في ذلك الحقوق المالية في أوجه الأداء غير المُثبَّتة، وحقوق النسخ والتوزيع والتأجير، والحق في إتاحة الأداء المُثبَّت، والحق في البث الإذاعي والنقل إلى الجمهور.</w:t>
      </w:r>
      <w:r w:rsidRPr="007E34E6">
        <w:rPr>
          <w:vertAlign w:val="superscript"/>
          <w:rtl/>
          <w:lang w:val="it-IT"/>
        </w:rPr>
        <w:footnoteReference w:id="29"/>
      </w:r>
      <w:r w:rsidRPr="007E34E6">
        <w:rPr>
          <w:rFonts w:hint="cs"/>
          <w:rtl/>
          <w:lang w:val="it-IT"/>
        </w:rPr>
        <w:t xml:space="preserve"> </w:t>
      </w:r>
      <w:r w:rsidRPr="007E34E6">
        <w:rPr>
          <w:rtl/>
          <w:lang w:val="it-IT"/>
        </w:rPr>
        <w:t xml:space="preserve">وتقتصر حقوق فناني الأداء في </w:t>
      </w:r>
      <w:proofErr w:type="spellStart"/>
      <w:r w:rsidRPr="007E34E6">
        <w:rPr>
          <w:rtl/>
          <w:lang w:val="it-IT"/>
        </w:rPr>
        <w:t>التثبيتات</w:t>
      </w:r>
      <w:proofErr w:type="spellEnd"/>
      <w:r w:rsidRPr="007E34E6">
        <w:rPr>
          <w:rtl/>
          <w:lang w:val="it-IT"/>
        </w:rPr>
        <w:t xml:space="preserve"> السمعية البصرية على فترة زمنية مُحدَّدة لا تقل عن 50 سنة من وقت تثبيت الأداء.</w:t>
      </w:r>
      <w:r w:rsidRPr="007E34E6">
        <w:rPr>
          <w:vertAlign w:val="superscript"/>
          <w:rtl/>
          <w:lang w:val="it-IT"/>
        </w:rPr>
        <w:footnoteReference w:id="30"/>
      </w:r>
    </w:p>
    <w:p w14:paraId="28DE541D" w14:textId="77777777" w:rsidR="007E34E6" w:rsidRPr="007E34E6" w:rsidRDefault="007E34E6" w:rsidP="00F347F8">
      <w:pPr>
        <w:pStyle w:val="ONUMA"/>
        <w:rPr>
          <w:i/>
          <w:iCs/>
          <w:lang w:bidi="ar-EG"/>
        </w:rPr>
      </w:pPr>
      <w:r w:rsidRPr="007E34E6">
        <w:rPr>
          <w:rFonts w:hint="cs"/>
          <w:rtl/>
          <w:lang w:val="it-IT"/>
        </w:rPr>
        <w:t xml:space="preserve">ويمكن القول إن أداء أشكال التعبير الثقافي التقليدي محمي إلى حد كبير بموجب القوانين الدولية للحقوق المجاورة أو لا يقل حماية عن غيره من الأداء. وتنص المواد من 5 إلى 10 من </w:t>
      </w:r>
      <w:r w:rsidRPr="007E34E6">
        <w:rPr>
          <w:rtl/>
          <w:lang w:val="it-IT"/>
        </w:rPr>
        <w:t>معاهدة الويبو</w:t>
      </w:r>
      <w:r w:rsidRPr="007E34E6">
        <w:rPr>
          <w:rFonts w:hint="cs"/>
          <w:rtl/>
          <w:lang w:val="it-IT"/>
        </w:rPr>
        <w:t xml:space="preserve"> </w:t>
      </w:r>
      <w:r w:rsidRPr="007E34E6">
        <w:rPr>
          <w:rtl/>
          <w:lang w:val="it-IT"/>
        </w:rPr>
        <w:t>بشأن الأداء والتسجيل الصوتي</w:t>
      </w:r>
      <w:r w:rsidRPr="007E34E6">
        <w:rPr>
          <w:rFonts w:hint="cs"/>
          <w:rtl/>
          <w:lang w:val="it-IT"/>
        </w:rPr>
        <w:t xml:space="preserve"> لسنة 1996 على مجموعة من الحقوق المعنوية والمالية لصالح فناني الأداء</w:t>
      </w:r>
      <w:r w:rsidRPr="007E34E6">
        <w:rPr>
          <w:rtl/>
          <w:lang w:val="it-IT"/>
        </w:rPr>
        <w:t xml:space="preserve"> فيما يتعلق بالجزء السمعي من أدائهم. </w:t>
      </w:r>
      <w:r w:rsidRPr="007E34E6">
        <w:rPr>
          <w:rFonts w:hint="cs"/>
          <w:rtl/>
          <w:lang w:val="it-IT"/>
        </w:rPr>
        <w:t>و</w:t>
      </w:r>
      <w:r w:rsidRPr="007E34E6">
        <w:rPr>
          <w:rtl/>
          <w:lang w:val="it-IT"/>
        </w:rPr>
        <w:t xml:space="preserve">تضع المواد 5 إلى 11 من معاهدة بيجين </w:t>
      </w:r>
      <w:r w:rsidRPr="007E34E6">
        <w:rPr>
          <w:rFonts w:hint="cs"/>
          <w:rtl/>
          <w:lang w:val="it-IT"/>
        </w:rPr>
        <w:t>لسنة</w:t>
      </w:r>
      <w:r w:rsidRPr="007E34E6">
        <w:rPr>
          <w:rtl/>
          <w:lang w:val="it-IT"/>
        </w:rPr>
        <w:t xml:space="preserve"> 2012 سلسلة من الحقوق المعنوية والاقتصادية لفناني الأداء الذين يتم </w:t>
      </w:r>
      <w:r w:rsidRPr="007E34E6">
        <w:rPr>
          <w:rFonts w:hint="cs"/>
          <w:rtl/>
          <w:lang w:val="it-IT"/>
        </w:rPr>
        <w:t>تثبيت</w:t>
      </w:r>
      <w:r w:rsidRPr="007E34E6">
        <w:rPr>
          <w:rtl/>
          <w:lang w:val="it-IT"/>
        </w:rPr>
        <w:t xml:space="preserve"> أعمالهم في وسائل الإعلام السمعي البصري</w:t>
      </w:r>
      <w:r w:rsidRPr="007E34E6">
        <w:rPr>
          <w:rFonts w:hint="cs"/>
          <w:rtl/>
          <w:lang w:val="it-IT"/>
        </w:rPr>
        <w:t>. ويبقى المدى الفعلي لهذه الحماية على المستوى الوطني رهنا بمدى وطريقة تصديق البلدان على المعاهدتين المذكورتين وتنفيذهما. ومن الجدير بالذكر أن معاهدة بيجين لسنة 2012 لم تدخل حيز النفاذ بعد</w:t>
      </w:r>
      <w:r w:rsidRPr="007E34E6">
        <w:rPr>
          <w:vertAlign w:val="superscript"/>
          <w:rtl/>
          <w:lang w:val="it-IT"/>
        </w:rPr>
        <w:footnoteReference w:id="31"/>
      </w:r>
      <w:r w:rsidRPr="007E34E6">
        <w:rPr>
          <w:rFonts w:hint="cs"/>
          <w:rtl/>
          <w:lang w:val="it-IT"/>
        </w:rPr>
        <w:t xml:space="preserve"> وأن الدول لم تصدق جميعها على م</w:t>
      </w:r>
      <w:r w:rsidRPr="007E34E6">
        <w:rPr>
          <w:rtl/>
          <w:lang w:val="it-IT"/>
        </w:rPr>
        <w:t>عاهدة الويبو بشأن الأداء والتسجيل الصوتي لسنة 1996</w:t>
      </w:r>
      <w:r w:rsidRPr="007E34E6">
        <w:rPr>
          <w:rFonts w:hint="cs"/>
          <w:rtl/>
          <w:lang w:val="it-IT"/>
        </w:rPr>
        <w:t>.</w:t>
      </w:r>
      <w:r w:rsidRPr="007E34E6">
        <w:rPr>
          <w:vertAlign w:val="superscript"/>
          <w:rtl/>
          <w:lang w:val="it-IT"/>
        </w:rPr>
        <w:footnoteReference w:id="32"/>
      </w:r>
    </w:p>
    <w:p w14:paraId="744DB253" w14:textId="77777777" w:rsidR="007E34E6" w:rsidRPr="00F347F8" w:rsidRDefault="007E34E6" w:rsidP="00F347F8">
      <w:pPr>
        <w:pStyle w:val="Heading3"/>
        <w:spacing w:after="220"/>
        <w:rPr>
          <w:b/>
          <w:bCs w:val="0"/>
          <w:i/>
          <w:iCs/>
          <w:sz w:val="22"/>
          <w:szCs w:val="22"/>
          <w:u w:val="none"/>
          <w:rtl/>
          <w:lang w:val="it-IT"/>
        </w:rPr>
      </w:pPr>
      <w:bookmarkStart w:id="59" w:name="_Toc520405376"/>
      <w:bookmarkStart w:id="60" w:name="_Toc109030398"/>
      <w:r w:rsidRPr="00F347F8">
        <w:rPr>
          <w:rFonts w:hint="cs"/>
          <w:b/>
          <w:bCs w:val="0"/>
          <w:i/>
          <w:iCs/>
          <w:sz w:val="22"/>
          <w:szCs w:val="22"/>
          <w:u w:val="none"/>
          <w:rtl/>
          <w:lang w:val="it-IT"/>
        </w:rPr>
        <w:t>التصاميم</w:t>
      </w:r>
      <w:bookmarkEnd w:id="59"/>
      <w:bookmarkEnd w:id="60"/>
    </w:p>
    <w:p w14:paraId="63BF1987" w14:textId="77777777" w:rsidR="007E34E6" w:rsidRPr="007E34E6" w:rsidRDefault="007E34E6" w:rsidP="00F347F8">
      <w:pPr>
        <w:pStyle w:val="ONUMA"/>
        <w:rPr>
          <w:lang w:bidi="ar-EG"/>
        </w:rPr>
      </w:pPr>
      <w:r w:rsidRPr="007E34E6">
        <w:rPr>
          <w:rFonts w:hint="cs"/>
          <w:rtl/>
          <w:lang w:val="it-IT"/>
        </w:rPr>
        <w:t>ينطبق معظم التحليل بشأن المنتجات الأدبية والفنية الوارد أعلاه التصاميم أيضا. فالتصاميم التقليدية التي تكون تحويرا معاصرا للتصاميم التقليدية الأقدم، هي أهل للحماية كرسوم ونماذج صناعية ويمكن تسجيلها على هذا الأساس، وتشير وثائق أخرى إلى أمثلة من الصين وكازاخستان.</w:t>
      </w:r>
      <w:r w:rsidRPr="007E34E6">
        <w:rPr>
          <w:vertAlign w:val="superscript"/>
          <w:rtl/>
          <w:lang w:val="it-IT"/>
        </w:rPr>
        <w:footnoteReference w:id="33"/>
      </w:r>
      <w:r w:rsidRPr="007E34E6">
        <w:rPr>
          <w:rFonts w:hint="cs"/>
          <w:rtl/>
          <w:lang w:val="it-IT"/>
        </w:rPr>
        <w:t xml:space="preserve"> لكن الحماية لا تشمل التصاميم الضمنية التي ترجع إلى الماضي البعيد، ولا نسخها. بيد أن التجربة محدودة فيما يخص حماية الرسوم والنماذج التقليدية.</w:t>
      </w:r>
    </w:p>
    <w:p w14:paraId="35434827" w14:textId="77777777" w:rsidR="007E34E6" w:rsidRPr="007E34E6" w:rsidRDefault="007E34E6" w:rsidP="00F347F8">
      <w:pPr>
        <w:pStyle w:val="ONUMA"/>
        <w:rPr>
          <w:rtl/>
          <w:lang w:val="it-IT"/>
        </w:rPr>
      </w:pPr>
      <w:r w:rsidRPr="007E34E6">
        <w:rPr>
          <w:rFonts w:hint="cs"/>
          <w:rtl/>
          <w:lang w:val="it-IT"/>
        </w:rPr>
        <w:t>ووضعت</w:t>
      </w:r>
      <w:r w:rsidRPr="007E34E6">
        <w:rPr>
          <w:rtl/>
          <w:lang w:val="it-IT"/>
        </w:rPr>
        <w:t xml:space="preserve"> بعض الدول الأعضاء </w:t>
      </w:r>
      <w:r w:rsidRPr="007E34E6">
        <w:rPr>
          <w:rFonts w:hint="cs"/>
          <w:rtl/>
          <w:lang w:val="it-IT"/>
        </w:rPr>
        <w:t>مقترحا</w:t>
      </w:r>
      <w:r w:rsidRPr="007E34E6">
        <w:rPr>
          <w:rtl/>
          <w:lang w:val="it-IT"/>
        </w:rPr>
        <w:t xml:space="preserve"> بشأن إمكانية طلب، كعنصر من عناصر </w:t>
      </w:r>
      <w:r w:rsidRPr="007E34E6">
        <w:rPr>
          <w:rFonts w:hint="cs"/>
          <w:rtl/>
          <w:lang w:val="it-IT"/>
        </w:rPr>
        <w:t>الطلب،</w:t>
      </w:r>
      <w:r w:rsidRPr="007E34E6">
        <w:rPr>
          <w:rtl/>
          <w:lang w:val="it-IT"/>
        </w:rPr>
        <w:t xml:space="preserve"> الكشف عن منشأ أو مصدر أشكال التعبير الثقافي التقليدي أو المعارف التقليدية أو الموارد البيولوجية/</w:t>
      </w:r>
      <w:r w:rsidRPr="007E34E6">
        <w:rPr>
          <w:rFonts w:hint="cs"/>
          <w:rtl/>
          <w:lang w:val="it-IT"/>
        </w:rPr>
        <w:t>الوراثية</w:t>
      </w:r>
      <w:r w:rsidRPr="007E34E6">
        <w:rPr>
          <w:rtl/>
          <w:lang w:val="it-IT"/>
        </w:rPr>
        <w:t xml:space="preserve"> المستخدمة أو المدرجة في التصميم الصناعي في سياق مشروع معاهدة قانون التصميم</w:t>
      </w:r>
      <w:r w:rsidRPr="007E34E6">
        <w:rPr>
          <w:rFonts w:hint="cs"/>
          <w:rtl/>
          <w:lang w:val="it-IT" w:bidi="ar-MA"/>
        </w:rPr>
        <w:t>.</w:t>
      </w:r>
      <w:r w:rsidRPr="007E34E6">
        <w:rPr>
          <w:vertAlign w:val="superscript"/>
          <w:rtl/>
          <w:lang w:val="it-IT" w:bidi="ar-MA"/>
        </w:rPr>
        <w:footnoteReference w:id="34"/>
      </w:r>
    </w:p>
    <w:p w14:paraId="7133E086" w14:textId="77777777" w:rsidR="007E34E6" w:rsidRPr="00F347F8" w:rsidRDefault="007E34E6" w:rsidP="00F347F8">
      <w:pPr>
        <w:pStyle w:val="Heading3"/>
        <w:spacing w:before="220" w:after="220"/>
        <w:rPr>
          <w:b/>
          <w:bCs w:val="0"/>
          <w:i/>
          <w:iCs/>
          <w:sz w:val="22"/>
          <w:szCs w:val="22"/>
          <w:u w:val="none"/>
          <w:rtl/>
          <w:lang w:val="it-IT"/>
        </w:rPr>
      </w:pPr>
      <w:bookmarkStart w:id="61" w:name="_Toc520405377"/>
      <w:bookmarkStart w:id="62" w:name="_Toc109030399"/>
      <w:r w:rsidRPr="00F347F8">
        <w:rPr>
          <w:rFonts w:hint="cs"/>
          <w:b/>
          <w:bCs w:val="0"/>
          <w:i/>
          <w:iCs/>
          <w:sz w:val="22"/>
          <w:szCs w:val="22"/>
          <w:u w:val="none"/>
          <w:rtl/>
          <w:lang w:val="it-IT"/>
        </w:rPr>
        <w:t>أشكال التعبير الثقافي التقليدي السرية</w:t>
      </w:r>
      <w:bookmarkEnd w:id="61"/>
      <w:bookmarkEnd w:id="62"/>
    </w:p>
    <w:p w14:paraId="6E396525" w14:textId="77777777" w:rsidR="007E34E6" w:rsidRPr="007E34E6" w:rsidRDefault="007E34E6" w:rsidP="00F347F8">
      <w:pPr>
        <w:pStyle w:val="ONUMA"/>
        <w:rPr>
          <w:rtl/>
          <w:lang w:val="it-IT"/>
        </w:rPr>
      </w:pPr>
      <w:r w:rsidRPr="007E34E6">
        <w:rPr>
          <w:rFonts w:hint="cs"/>
          <w:rtl/>
          <w:lang w:val="it-IT"/>
        </w:rPr>
        <w:t xml:space="preserve">إن أحد الأساليب الفعالة لحماية أشكال التعبير الثقافي التقليدي في بعض الأنظمة القضائية على الأقل هو عدم الكشف عنها، وتُظهر الأحكام القضائية المعلومات المنقولة سريا محمية من أي كشف لاحق بموجب قانون السوابق. وفي قضية فوستر ضد </w:t>
      </w:r>
      <w:proofErr w:type="spellStart"/>
      <w:r w:rsidRPr="007E34E6">
        <w:rPr>
          <w:rFonts w:hint="cs"/>
          <w:rtl/>
          <w:lang w:val="it-IT"/>
        </w:rPr>
        <w:t>ماونتفورد</w:t>
      </w:r>
      <w:proofErr w:type="spellEnd"/>
      <w:r w:rsidRPr="007E34E6">
        <w:rPr>
          <w:rFonts w:hint="cs"/>
          <w:rtl/>
          <w:lang w:val="it-IT"/>
        </w:rPr>
        <w:t xml:space="preserve"> (1976) رقم </w:t>
      </w:r>
      <w:r w:rsidRPr="007E34E6">
        <w:rPr>
          <w:lang w:bidi="ar-EG"/>
        </w:rPr>
        <w:t>29 FLR 233</w:t>
      </w:r>
      <w:r w:rsidRPr="007E34E6">
        <w:rPr>
          <w:rFonts w:hint="cs"/>
          <w:rtl/>
          <w:lang w:val="it-IT"/>
        </w:rPr>
        <w:t xml:space="preserve">، استطاع مجتمع محلي في أستراليا أن يمنع نشر صور ومعلومات بشأن مواقع وأشياء مقدسة وأشكال أخرى من التعبير الثقافي التقليدي تكتسي أهمية دينية وثقافية قصوى بالنسبة لهذا المجتمع المحلي وكان قد كُشف عنها لعالم </w:t>
      </w:r>
      <w:r w:rsidRPr="007E34E6">
        <w:rPr>
          <w:rtl/>
          <w:lang w:val="it-IT"/>
        </w:rPr>
        <w:t>أنثروبولوجي</w:t>
      </w:r>
      <w:r w:rsidRPr="007E34E6">
        <w:rPr>
          <w:rFonts w:hint="cs"/>
          <w:rtl/>
          <w:lang w:val="it-IT"/>
        </w:rPr>
        <w:t xml:space="preserve"> بحسن نية وسرية.</w:t>
      </w:r>
      <w:r w:rsidRPr="007E34E6">
        <w:rPr>
          <w:vertAlign w:val="superscript"/>
          <w:rtl/>
          <w:lang w:val="it-IT"/>
        </w:rPr>
        <w:footnoteReference w:id="35"/>
      </w:r>
      <w:r w:rsidRPr="007E34E6">
        <w:rPr>
          <w:rFonts w:hint="cs"/>
          <w:rtl/>
          <w:lang w:val="it-IT"/>
        </w:rPr>
        <w:t>ولمناقشة اعتبارات السياسة العامة المتصلة بذلك، يمكن الاطلاع على "قضايا السياسة العامة" أدناه.</w:t>
      </w:r>
    </w:p>
    <w:p w14:paraId="2AEA2F02" w14:textId="77777777" w:rsidR="007E34E6" w:rsidRPr="007E34E6" w:rsidRDefault="007E34E6" w:rsidP="00F347F8">
      <w:pPr>
        <w:pStyle w:val="ONUMA"/>
        <w:rPr>
          <w:rtl/>
          <w:lang w:val="it-IT"/>
        </w:rPr>
      </w:pPr>
      <w:r w:rsidRPr="007E34E6">
        <w:rPr>
          <w:rFonts w:hint="cs"/>
          <w:rtl/>
          <w:lang w:val="it-IT"/>
        </w:rPr>
        <w:t xml:space="preserve">ويجد هذا الأسلوب من الحماية بموجب قانون السوابق صدى له في الحماية من المنافسة غير المشروعة التي تنص عليها المعاهدات الدولية للملكية الفكرية (المادة </w:t>
      </w:r>
      <w:r w:rsidRPr="007E34E6">
        <w:rPr>
          <w:rtl/>
          <w:lang w:val="it-IT"/>
        </w:rPr>
        <w:t>10(ثانيا)</w:t>
      </w:r>
      <w:r w:rsidRPr="007E34E6">
        <w:rPr>
          <w:rFonts w:hint="cs"/>
          <w:rtl/>
          <w:lang w:val="it-IT"/>
        </w:rPr>
        <w:t xml:space="preserve"> من اتفاقية باريس لسنة 1967 والمادة 39 من اتفاق </w:t>
      </w:r>
      <w:proofErr w:type="spellStart"/>
      <w:r w:rsidRPr="007E34E6">
        <w:rPr>
          <w:rFonts w:hint="cs"/>
          <w:rtl/>
          <w:lang w:val="it-IT"/>
        </w:rPr>
        <w:t>تريبس</w:t>
      </w:r>
      <w:proofErr w:type="spellEnd"/>
      <w:r w:rsidRPr="007E34E6">
        <w:rPr>
          <w:rFonts w:hint="cs"/>
          <w:rtl/>
          <w:lang w:val="it-IT"/>
        </w:rPr>
        <w:t xml:space="preserve">)، والتي تشمل الحماية من الكشف عن المعلومات السرية. وأما "خيانة الأمانة"، كالذي حدث في قضية </w:t>
      </w:r>
      <w:r w:rsidRPr="007E34E6">
        <w:rPr>
          <w:rFonts w:hint="cs"/>
          <w:i/>
          <w:iCs/>
          <w:rtl/>
          <w:lang w:val="it-IT"/>
        </w:rPr>
        <w:t xml:space="preserve">فوستر ضد </w:t>
      </w:r>
      <w:proofErr w:type="spellStart"/>
      <w:r w:rsidRPr="007E34E6">
        <w:rPr>
          <w:rFonts w:hint="cs"/>
          <w:i/>
          <w:iCs/>
          <w:rtl/>
          <w:lang w:val="it-IT"/>
        </w:rPr>
        <w:t>ماونتفورد</w:t>
      </w:r>
      <w:proofErr w:type="spellEnd"/>
      <w:r w:rsidRPr="007E34E6">
        <w:rPr>
          <w:rFonts w:hint="cs"/>
          <w:rtl/>
          <w:lang w:val="it-IT"/>
        </w:rPr>
        <w:t>، فهو شكل من أشكال الممارسات "المنافية</w:t>
      </w:r>
      <w:r w:rsidRPr="007E34E6">
        <w:rPr>
          <w:rtl/>
          <w:lang w:val="it-IT"/>
        </w:rPr>
        <w:t xml:space="preserve"> </w:t>
      </w:r>
      <w:r w:rsidRPr="007E34E6">
        <w:rPr>
          <w:rFonts w:hint="cs"/>
          <w:rtl/>
          <w:lang w:val="it-IT"/>
        </w:rPr>
        <w:t>ل</w:t>
      </w:r>
      <w:r w:rsidRPr="007E34E6">
        <w:rPr>
          <w:rtl/>
          <w:lang w:val="it-IT"/>
        </w:rPr>
        <w:t>لممارسات التجارية النزيهة"</w:t>
      </w:r>
      <w:r w:rsidRPr="007E34E6">
        <w:rPr>
          <w:vertAlign w:val="superscript"/>
          <w:rtl/>
          <w:lang w:val="it-IT"/>
        </w:rPr>
        <w:footnoteReference w:id="36"/>
      </w:r>
      <w:r w:rsidRPr="007E34E6">
        <w:rPr>
          <w:rFonts w:hint="cs"/>
          <w:rtl/>
          <w:lang w:val="it-IT"/>
        </w:rPr>
        <w:t xml:space="preserve">، مثلما تشير إلى ذلك المادة 39 من اتفاق </w:t>
      </w:r>
      <w:proofErr w:type="spellStart"/>
      <w:r w:rsidRPr="007E34E6">
        <w:rPr>
          <w:rFonts w:hint="cs"/>
          <w:rtl/>
          <w:lang w:val="it-IT"/>
        </w:rPr>
        <w:t>تريبس</w:t>
      </w:r>
      <w:proofErr w:type="spellEnd"/>
      <w:r w:rsidRPr="007E34E6">
        <w:rPr>
          <w:rFonts w:hint="cs"/>
          <w:rtl/>
          <w:lang w:val="it-IT"/>
        </w:rPr>
        <w:t xml:space="preserve"> لسنة 1994.</w:t>
      </w:r>
    </w:p>
    <w:p w14:paraId="751A2F39" w14:textId="77777777" w:rsidR="007E34E6" w:rsidRPr="007E34E6" w:rsidRDefault="007E34E6" w:rsidP="00F347F8">
      <w:pPr>
        <w:pStyle w:val="ONUMA"/>
        <w:rPr>
          <w:rtl/>
          <w:lang w:val="it-IT"/>
        </w:rPr>
      </w:pPr>
      <w:r w:rsidRPr="007E34E6">
        <w:rPr>
          <w:rFonts w:hint="cs"/>
          <w:rtl/>
          <w:lang w:val="it-IT"/>
        </w:rPr>
        <w:lastRenderedPageBreak/>
        <w:t>ولا تتطلب حماية المعلومات السرية شروطا شكلية ولا علاقة تعاقدية بين المجتمع المحلي والطرف المتلقي للمعلومات. لكن قد تواجه المجتمعات الأصلية وغيرها من المجتمعات المحلية عوائق عملية لإثبات حقوقها، منها مثلا قلة سبل الحصول على الخدمات القانونية والتمويل. انظر "الفجوة العملية" أعلاه.</w:t>
      </w:r>
    </w:p>
    <w:p w14:paraId="08929333" w14:textId="288A6DB2" w:rsidR="007E34E6" w:rsidRPr="007E34E6" w:rsidRDefault="007E34E6" w:rsidP="00F347F8">
      <w:pPr>
        <w:pStyle w:val="ONUMA"/>
        <w:rPr>
          <w:rtl/>
          <w:lang w:val="it-IT"/>
        </w:rPr>
      </w:pPr>
      <w:r w:rsidRPr="007E34E6">
        <w:rPr>
          <w:rFonts w:hint="cs"/>
          <w:rtl/>
          <w:lang w:val="it-IT"/>
        </w:rPr>
        <w:t xml:space="preserve">وإلى جانب هذا، وضع الباحثون في مجال </w:t>
      </w:r>
      <w:proofErr w:type="spellStart"/>
      <w:r w:rsidRPr="007E34E6">
        <w:rPr>
          <w:rFonts w:hint="cs"/>
          <w:rtl/>
          <w:lang w:val="it-IT"/>
        </w:rPr>
        <w:t>ا</w:t>
      </w:r>
      <w:r w:rsidRPr="007E34E6">
        <w:rPr>
          <w:rtl/>
          <w:lang w:val="it-IT"/>
        </w:rPr>
        <w:t>لإثنوغرافي</w:t>
      </w:r>
      <w:r w:rsidRPr="007E34E6">
        <w:rPr>
          <w:rFonts w:hint="cs"/>
          <w:rtl/>
          <w:lang w:val="it-IT"/>
        </w:rPr>
        <w:t>ا</w:t>
      </w:r>
      <w:proofErr w:type="spellEnd"/>
      <w:r w:rsidRPr="007E34E6">
        <w:rPr>
          <w:rFonts w:hint="cs"/>
          <w:rtl/>
          <w:lang w:val="it-IT"/>
        </w:rPr>
        <w:t xml:space="preserve"> ومجالات أخرى مؤخرا قواعد أخلاقية ومواثيق يمكن أن تفيد في الحيلولة دون إلحاق أضرار ثقافية مثل تلك التي كانت في قضية</w:t>
      </w:r>
      <w:r w:rsidRPr="007E34E6">
        <w:rPr>
          <w:rFonts w:hint="cs"/>
          <w:i/>
          <w:iCs/>
          <w:rtl/>
          <w:lang w:val="it-IT"/>
        </w:rPr>
        <w:t xml:space="preserve"> </w:t>
      </w:r>
      <w:proofErr w:type="spellStart"/>
      <w:r w:rsidRPr="007E34E6">
        <w:rPr>
          <w:rFonts w:hint="cs"/>
          <w:i/>
          <w:iCs/>
          <w:rtl/>
          <w:lang w:val="it-IT"/>
        </w:rPr>
        <w:t>ماونتفورد</w:t>
      </w:r>
      <w:proofErr w:type="spellEnd"/>
      <w:r w:rsidRPr="007E34E6">
        <w:rPr>
          <w:rFonts w:hint="cs"/>
          <w:i/>
          <w:iCs/>
          <w:rtl/>
          <w:lang w:val="it-IT"/>
        </w:rPr>
        <w:t xml:space="preserve"> </w:t>
      </w:r>
      <w:r w:rsidRPr="007E34E6">
        <w:rPr>
          <w:rFonts w:hint="cs"/>
          <w:rtl/>
          <w:lang w:val="it-IT"/>
        </w:rPr>
        <w:t xml:space="preserve">(انظر أدناه المزيد تحت عنوان "المواثيق وقواعد السلوك والعقود وغيرها من الأدوات العملية"). وقد استحدثت الويبو قاعدة بيانات يمكن البحث فيها بشأن قواعد السلوك والمواثيق المذكورة، على الموقع التالي: </w:t>
      </w:r>
      <w:hyperlink r:id="rId14" w:history="1">
        <w:r w:rsidRPr="00F347F8">
          <w:rPr>
            <w:rStyle w:val="Hyperlink"/>
            <w:color w:val="auto"/>
            <w:u w:val="none"/>
            <w:lang w:bidi="ar-EG"/>
          </w:rPr>
          <w:t>https://www.wipo.int/tk/en/databases/creative_heritage</w:t>
        </w:r>
        <w:r w:rsidRPr="00F347F8">
          <w:rPr>
            <w:rStyle w:val="Hyperlink"/>
            <w:color w:val="auto"/>
            <w:u w:val="none"/>
            <w:rtl/>
            <w:lang w:val="it-IT"/>
          </w:rPr>
          <w:t>/</w:t>
        </w:r>
      </w:hyperlink>
      <w:r w:rsidR="00F347F8" w:rsidRPr="00F347F8">
        <w:rPr>
          <w:rFonts w:hint="cs"/>
          <w:rtl/>
          <w:lang w:val="it-IT" w:bidi="ar-EG"/>
        </w:rPr>
        <w:t>.</w:t>
      </w:r>
    </w:p>
    <w:p w14:paraId="7A25B7CF" w14:textId="77777777" w:rsidR="007E34E6" w:rsidRPr="00F347F8" w:rsidRDefault="007E34E6" w:rsidP="00F347F8">
      <w:pPr>
        <w:pStyle w:val="Heading3"/>
        <w:spacing w:before="220" w:after="220"/>
        <w:rPr>
          <w:b/>
          <w:bCs w:val="0"/>
          <w:i/>
          <w:iCs/>
          <w:sz w:val="22"/>
          <w:szCs w:val="22"/>
          <w:u w:val="none"/>
          <w:rtl/>
          <w:lang w:val="it-IT"/>
        </w:rPr>
      </w:pPr>
      <w:bookmarkStart w:id="63" w:name="_Toc520405378"/>
      <w:bookmarkStart w:id="64" w:name="_Toc109030400"/>
      <w:r w:rsidRPr="00F347F8">
        <w:rPr>
          <w:rFonts w:hint="cs"/>
          <w:b/>
          <w:bCs w:val="0"/>
          <w:i/>
          <w:iCs/>
          <w:sz w:val="22"/>
          <w:szCs w:val="22"/>
          <w:u w:val="none"/>
          <w:rtl/>
          <w:lang w:val="it-IT"/>
        </w:rPr>
        <w:t>الأسماء والكلمات والرموز الأصلية والتقليدية</w:t>
      </w:r>
      <w:bookmarkEnd w:id="63"/>
      <w:bookmarkEnd w:id="64"/>
    </w:p>
    <w:p w14:paraId="14096774" w14:textId="77777777" w:rsidR="007E34E6" w:rsidRPr="007E34E6" w:rsidRDefault="007E34E6" w:rsidP="00F347F8">
      <w:pPr>
        <w:pStyle w:val="ONUMA"/>
        <w:rPr>
          <w:rtl/>
          <w:lang w:val="it-IT"/>
        </w:rPr>
      </w:pPr>
      <w:r w:rsidRPr="007E34E6">
        <w:rPr>
          <w:rFonts w:hint="cs"/>
          <w:rtl/>
          <w:lang w:val="it-IT"/>
        </w:rPr>
        <w:t>في هذا الباب جانبان، وهما:</w:t>
      </w:r>
    </w:p>
    <w:p w14:paraId="47D28C4E" w14:textId="466C90FF" w:rsidR="007E34E6" w:rsidRPr="007E34E6" w:rsidRDefault="00F347F8" w:rsidP="009F15B7">
      <w:pPr>
        <w:pStyle w:val="BodyText"/>
        <w:spacing w:after="120"/>
        <w:ind w:left="1124" w:hanging="562"/>
        <w:rPr>
          <w:rtl/>
          <w:lang w:val="it-IT"/>
        </w:rPr>
      </w:pPr>
      <w:r>
        <w:rPr>
          <w:rFonts w:hint="cs"/>
          <w:rtl/>
          <w:lang w:val="it-IT"/>
        </w:rPr>
        <w:t>(أ)</w:t>
      </w:r>
      <w:r>
        <w:rPr>
          <w:rtl/>
          <w:lang w:val="it-IT"/>
        </w:rPr>
        <w:tab/>
      </w:r>
      <w:r w:rsidR="007E34E6" w:rsidRPr="007E34E6">
        <w:rPr>
          <w:rFonts w:hint="cs"/>
          <w:i/>
          <w:iCs/>
          <w:rtl/>
          <w:lang w:val="it-IT"/>
        </w:rPr>
        <w:t>الحماية الدفاعية</w:t>
      </w:r>
      <w:r w:rsidR="007E34E6" w:rsidRPr="007E34E6">
        <w:rPr>
          <w:rFonts w:hint="cs"/>
          <w:rtl/>
          <w:lang w:val="it-IT"/>
        </w:rPr>
        <w:t xml:space="preserve">: تسهجن المجتمعات الأصلية إقدام الشركات والأشخاص من خارجها على استخدام </w:t>
      </w:r>
      <w:r w:rsidR="007E34E6" w:rsidRPr="007E34E6">
        <w:rPr>
          <w:rFonts w:hint="cs"/>
          <w:rtl/>
          <w:lang w:val="it-IT" w:bidi="ar-EG"/>
        </w:rPr>
        <w:t xml:space="preserve">كلماتها وأسمائها ورسومها وتصاميمها وغيرها من العلامات المميزة استخداما تجاريا وتسجيلها </w:t>
      </w:r>
      <w:r w:rsidR="007E34E6" w:rsidRPr="007E34E6">
        <w:rPr>
          <w:rFonts w:hint="cs"/>
          <w:rtl/>
          <w:lang w:val="it-IT"/>
        </w:rPr>
        <w:t xml:space="preserve">كعلامات تجارية و/أو </w:t>
      </w:r>
      <w:r w:rsidR="007E34E6" w:rsidRPr="007E34E6">
        <w:rPr>
          <w:rtl/>
          <w:lang w:val="it-IT"/>
        </w:rPr>
        <w:t xml:space="preserve">أسماء </w:t>
      </w:r>
      <w:r w:rsidR="007E34E6" w:rsidRPr="007E34E6">
        <w:rPr>
          <w:rFonts w:hint="cs"/>
          <w:rtl/>
          <w:lang w:val="it-IT"/>
        </w:rPr>
        <w:t>ح</w:t>
      </w:r>
      <w:r w:rsidR="007E34E6" w:rsidRPr="007E34E6">
        <w:rPr>
          <w:rtl/>
          <w:lang w:val="it-IT"/>
        </w:rPr>
        <w:t>قول على الإنترنت</w:t>
      </w:r>
      <w:r w:rsidR="007E34E6" w:rsidRPr="007E34E6">
        <w:rPr>
          <w:rFonts w:hint="cs"/>
          <w:rtl/>
          <w:lang w:val="it-IT"/>
        </w:rPr>
        <w:t xml:space="preserve">؛ </w:t>
      </w:r>
    </w:p>
    <w:p w14:paraId="735D6AE5" w14:textId="69FFCFE6" w:rsidR="007E34E6" w:rsidRPr="007E34E6" w:rsidRDefault="00F347F8" w:rsidP="00F347F8">
      <w:pPr>
        <w:pStyle w:val="BodyText"/>
        <w:ind w:left="1134" w:hanging="567"/>
        <w:rPr>
          <w:lang w:bidi="ar-EG"/>
        </w:rPr>
      </w:pPr>
      <w:r>
        <w:rPr>
          <w:rFonts w:hint="cs"/>
          <w:rtl/>
          <w:lang w:val="it-IT"/>
        </w:rPr>
        <w:t>(ب)</w:t>
      </w:r>
      <w:r>
        <w:rPr>
          <w:rtl/>
          <w:lang w:val="it-IT"/>
        </w:rPr>
        <w:tab/>
      </w:r>
      <w:r w:rsidR="007E34E6" w:rsidRPr="007E34E6">
        <w:rPr>
          <w:rFonts w:hint="cs"/>
          <w:i/>
          <w:iCs/>
          <w:rtl/>
          <w:lang w:val="it-IT"/>
        </w:rPr>
        <w:t>الحماية الموجبة</w:t>
      </w:r>
      <w:r w:rsidR="007E34E6" w:rsidRPr="007E34E6">
        <w:rPr>
          <w:rFonts w:hint="cs"/>
          <w:rtl/>
          <w:lang w:val="it-IT"/>
        </w:rPr>
        <w:t>: الحماية الموجبة التي تقيمها المجتمعات الأصلية على الأسماء والكلمات والرموز الأصلية كعلامات تجارية وع</w:t>
      </w:r>
      <w:r w:rsidR="007E34E6" w:rsidRPr="007E34E6">
        <w:rPr>
          <w:rtl/>
          <w:lang w:val="it-IT"/>
        </w:rPr>
        <w:t xml:space="preserve">لامات </w:t>
      </w:r>
      <w:r w:rsidR="007E34E6" w:rsidRPr="007E34E6">
        <w:rPr>
          <w:rFonts w:hint="cs"/>
          <w:rtl/>
          <w:lang w:val="it-IT"/>
        </w:rPr>
        <w:t>ج</w:t>
      </w:r>
      <w:r w:rsidR="007E34E6" w:rsidRPr="007E34E6">
        <w:rPr>
          <w:rtl/>
          <w:lang w:val="it-IT"/>
        </w:rPr>
        <w:t>ماعية وعلامات تصديق</w:t>
      </w:r>
      <w:r w:rsidR="007E34E6" w:rsidRPr="007E34E6">
        <w:rPr>
          <w:rFonts w:hint="cs"/>
          <w:rtl/>
          <w:lang w:val="it-IT"/>
        </w:rPr>
        <w:t xml:space="preserve"> وبيانات جغرافية.</w:t>
      </w:r>
    </w:p>
    <w:p w14:paraId="61DAB5DF" w14:textId="77777777" w:rsidR="007E34E6" w:rsidRPr="007E34E6" w:rsidRDefault="007E34E6" w:rsidP="00F347F8">
      <w:pPr>
        <w:pStyle w:val="ONUMA"/>
        <w:rPr>
          <w:lang w:bidi="ar-EG"/>
        </w:rPr>
      </w:pPr>
      <w:r w:rsidRPr="007E34E6">
        <w:rPr>
          <w:rFonts w:hint="cs"/>
          <w:rtl/>
          <w:lang w:val="it-IT"/>
        </w:rPr>
        <w:t xml:space="preserve">وفي سياق الحماية الموجبة، تنص المادة 5 (خامسا) من اتفاقية باريس على رفض أو إبطال تسجيل العلامات التي </w:t>
      </w:r>
      <w:r w:rsidRPr="007E34E6">
        <w:rPr>
          <w:rFonts w:hint="cs"/>
          <w:rtl/>
          <w:lang w:val="it-IT" w:bidi="ar-EG"/>
        </w:rPr>
        <w:t>تكون "</w:t>
      </w:r>
      <w:r w:rsidRPr="007E34E6">
        <w:rPr>
          <w:rtl/>
          <w:lang w:val="it-IT" w:bidi="ar-EG"/>
        </w:rPr>
        <w:t>مخالفة للآداب أو النظام العام ولا سيما من طبيعة يترتب عليها تضليل الجمهور</w:t>
      </w:r>
      <w:r w:rsidRPr="007E34E6">
        <w:rPr>
          <w:rFonts w:hint="cs"/>
          <w:rtl/>
          <w:lang w:val="it-IT" w:bidi="ar-EG"/>
        </w:rPr>
        <w:t>"</w:t>
      </w:r>
      <w:r w:rsidRPr="007E34E6">
        <w:rPr>
          <w:rtl/>
          <w:lang w:val="it-IT" w:bidi="ar-EG"/>
        </w:rPr>
        <w:t>.</w:t>
      </w:r>
      <w:r w:rsidRPr="007E34E6">
        <w:rPr>
          <w:lang w:bidi="ar-EG"/>
        </w:rPr>
        <w:t xml:space="preserve"> </w:t>
      </w:r>
      <w:r w:rsidRPr="007E34E6">
        <w:rPr>
          <w:rFonts w:hint="cs"/>
          <w:rtl/>
          <w:lang w:val="it-IT" w:bidi="ar-EG"/>
        </w:rPr>
        <w:t>وفي القوانين الوطنية للعلامات التجارية المطبقة في معظم البلدان قواعد من ذلك القبيل.</w:t>
      </w:r>
    </w:p>
    <w:p w14:paraId="1E800E65" w14:textId="77777777" w:rsidR="007E34E6" w:rsidRPr="007E34E6" w:rsidRDefault="007E34E6" w:rsidP="00F347F8">
      <w:pPr>
        <w:pStyle w:val="ONUMA"/>
        <w:rPr>
          <w:rtl/>
          <w:lang w:val="it-IT"/>
        </w:rPr>
      </w:pPr>
      <w:r w:rsidRPr="007E34E6">
        <w:rPr>
          <w:rFonts w:hint="cs"/>
          <w:rtl/>
          <w:lang w:val="it-IT"/>
        </w:rPr>
        <w:t>ويمكن تطبيق قانون المنافسة غير المشروعة العام الذي يشمل الحماية من "التمويه"، والاستفادة منه في هذا السياق.</w:t>
      </w:r>
    </w:p>
    <w:p w14:paraId="39D95514" w14:textId="51816D01" w:rsidR="007E34E6" w:rsidRPr="009F15B7" w:rsidRDefault="007E34E6" w:rsidP="009F15B7">
      <w:pPr>
        <w:pStyle w:val="ONUMA"/>
        <w:rPr>
          <w:rtl/>
          <w:lang w:val="it-IT"/>
        </w:rPr>
      </w:pPr>
      <w:r w:rsidRPr="007E34E6">
        <w:rPr>
          <w:rFonts w:hint="cs"/>
          <w:rtl/>
          <w:lang w:val="it-IT"/>
        </w:rPr>
        <w:t>وفيما يخص الحماية الموجبة، فإن المبادئ والإجراءات الدولية متاحة للمجتمعات المحلية التي ترغب في تسجيل العلامات التجارية "المميزة". ويمكن أن تكون مدة حماية العلامة التجارية غير محددة. وقد سجل أيضا العديد من المجتمعات الأصلية علامات تجارية جماعية أو علامات تصديق (انظر أدناه) وكذلك البيانات الجغرافية.</w:t>
      </w:r>
      <w:r w:rsidRPr="007E34E6">
        <w:rPr>
          <w:vertAlign w:val="superscript"/>
          <w:rtl/>
          <w:lang w:val="it-IT"/>
        </w:rPr>
        <w:footnoteReference w:id="37"/>
      </w:r>
      <w:r w:rsidR="009F15B7">
        <w:rPr>
          <w:rtl/>
          <w:lang w:val="it-IT"/>
        </w:rPr>
        <w:br w:type="page"/>
      </w:r>
    </w:p>
    <w:p w14:paraId="07AC3E94" w14:textId="77777777" w:rsidR="007E34E6" w:rsidRPr="00F347F8" w:rsidRDefault="007E34E6" w:rsidP="00F347F8">
      <w:pPr>
        <w:pStyle w:val="Heading2"/>
        <w:spacing w:before="220" w:after="220"/>
        <w:rPr>
          <w:b/>
          <w:bCs w:val="0"/>
          <w:sz w:val="22"/>
          <w:szCs w:val="22"/>
          <w:lang w:bidi="ar-EG"/>
        </w:rPr>
      </w:pPr>
      <w:bookmarkStart w:id="65" w:name="_Toc520405379"/>
      <w:bookmarkStart w:id="66" w:name="_Toc109030401"/>
      <w:r w:rsidRPr="00F347F8">
        <w:rPr>
          <w:rFonts w:hint="cs"/>
          <w:b/>
          <w:bCs w:val="0"/>
          <w:sz w:val="22"/>
          <w:szCs w:val="22"/>
          <w:rtl/>
          <w:lang w:val="it-IT" w:bidi="ar-EG"/>
        </w:rPr>
        <w:lastRenderedPageBreak/>
        <w:t>باء.</w:t>
      </w:r>
      <w:r w:rsidRPr="00F347F8">
        <w:rPr>
          <w:rFonts w:hint="cs"/>
          <w:b/>
          <w:bCs w:val="0"/>
          <w:sz w:val="22"/>
          <w:szCs w:val="22"/>
          <w:rtl/>
          <w:lang w:val="it-IT" w:bidi="ar-EG"/>
        </w:rPr>
        <w:tab/>
      </w:r>
      <w:r w:rsidRPr="00F347F8">
        <w:rPr>
          <w:b/>
          <w:bCs w:val="0"/>
          <w:sz w:val="22"/>
          <w:szCs w:val="22"/>
          <w:u w:val="single"/>
          <w:rtl/>
          <w:lang w:val="it-IT" w:bidi="ar-EG"/>
        </w:rPr>
        <w:t>وصف الثغرات الموجودة على المستوى الدولي وتوضيحها قدر المستطاع بالاستعانة بأمثلة</w:t>
      </w:r>
      <w:bookmarkEnd w:id="65"/>
      <w:bookmarkEnd w:id="66"/>
    </w:p>
    <w:p w14:paraId="75E95FF8" w14:textId="77777777" w:rsidR="007E34E6" w:rsidRPr="00F347F8" w:rsidRDefault="007E34E6" w:rsidP="00F347F8">
      <w:pPr>
        <w:pStyle w:val="Heading3"/>
        <w:spacing w:after="220"/>
        <w:rPr>
          <w:b/>
          <w:bCs w:val="0"/>
          <w:i/>
          <w:iCs/>
          <w:sz w:val="22"/>
          <w:szCs w:val="22"/>
          <w:u w:val="none"/>
          <w:rtl/>
          <w:lang w:val="it-IT" w:bidi="ar-EG"/>
        </w:rPr>
      </w:pPr>
      <w:bookmarkStart w:id="67" w:name="_Toc520405380"/>
      <w:bookmarkStart w:id="68" w:name="_Toc109030402"/>
      <w:r w:rsidRPr="00F347F8">
        <w:rPr>
          <w:rFonts w:hint="cs"/>
          <w:b/>
          <w:bCs w:val="0"/>
          <w:i/>
          <w:iCs/>
          <w:sz w:val="22"/>
          <w:szCs w:val="22"/>
          <w:u w:val="none"/>
          <w:rtl/>
          <w:lang w:val="it-IT" w:bidi="ar-EG"/>
        </w:rPr>
        <w:t>المنتجا</w:t>
      </w:r>
      <w:r w:rsidRPr="00F347F8">
        <w:rPr>
          <w:rFonts w:hint="eastAsia"/>
          <w:b/>
          <w:bCs w:val="0"/>
          <w:i/>
          <w:iCs/>
          <w:sz w:val="22"/>
          <w:szCs w:val="22"/>
          <w:u w:val="none"/>
          <w:rtl/>
          <w:lang w:val="it-IT" w:bidi="ar-EG"/>
        </w:rPr>
        <w:t>ت</w:t>
      </w:r>
      <w:r w:rsidRPr="00F347F8">
        <w:rPr>
          <w:rFonts w:hint="cs"/>
          <w:b/>
          <w:bCs w:val="0"/>
          <w:i/>
          <w:iCs/>
          <w:sz w:val="22"/>
          <w:szCs w:val="22"/>
          <w:u w:val="none"/>
          <w:rtl/>
          <w:lang w:val="it-IT" w:bidi="ar-EG"/>
        </w:rPr>
        <w:t xml:space="preserve"> الأدبية والفنية</w:t>
      </w:r>
      <w:bookmarkEnd w:id="67"/>
      <w:bookmarkEnd w:id="68"/>
    </w:p>
    <w:p w14:paraId="1513B3BE" w14:textId="77777777" w:rsidR="007E34E6" w:rsidRPr="007E34E6" w:rsidRDefault="007E34E6" w:rsidP="00F347F8">
      <w:pPr>
        <w:pStyle w:val="ONUMA"/>
        <w:rPr>
          <w:rtl/>
          <w:lang w:val="it-IT" w:bidi="ar-EG"/>
        </w:rPr>
      </w:pPr>
      <w:r w:rsidRPr="007E34E6">
        <w:rPr>
          <w:rFonts w:hint="cs"/>
          <w:rtl/>
          <w:lang w:val="it-IT" w:bidi="ar-EG"/>
        </w:rPr>
        <w:t>يمكن الإشارة إلى الثغرات التالية:</w:t>
      </w:r>
      <w:r w:rsidRPr="007E34E6">
        <w:rPr>
          <w:vertAlign w:val="superscript"/>
          <w:rtl/>
          <w:lang w:val="it-IT" w:bidi="ar-EG"/>
        </w:rPr>
        <w:footnoteReference w:id="38"/>
      </w:r>
    </w:p>
    <w:p w14:paraId="35D33258" w14:textId="46EACE3D" w:rsidR="00F347F8" w:rsidRDefault="00F347F8" w:rsidP="00F347F8">
      <w:pPr>
        <w:pStyle w:val="BodyText"/>
        <w:ind w:left="1134" w:hanging="567"/>
        <w:rPr>
          <w:rtl/>
        </w:rPr>
      </w:pPr>
      <w:r w:rsidRPr="00F347F8">
        <w:rPr>
          <w:rFonts w:hint="cs"/>
          <w:rtl/>
          <w:lang w:val="it-IT"/>
        </w:rPr>
        <w:t>(أ)</w:t>
      </w:r>
      <w:r>
        <w:rPr>
          <w:rFonts w:hint="cs"/>
          <w:i/>
          <w:iCs/>
          <w:rtl/>
          <w:lang w:val="it-IT"/>
        </w:rPr>
        <w:tab/>
      </w:r>
      <w:r w:rsidR="007E34E6" w:rsidRPr="007E34E6">
        <w:rPr>
          <w:rFonts w:hint="cs"/>
          <w:i/>
          <w:iCs/>
          <w:rtl/>
          <w:lang w:val="it-IT"/>
        </w:rPr>
        <w:t>شرط "الأصالة</w:t>
      </w:r>
      <w:r w:rsidR="007E34E6" w:rsidRPr="007E34E6">
        <w:rPr>
          <w:rFonts w:hint="cs"/>
          <w:rtl/>
          <w:lang w:val="it-IT"/>
        </w:rPr>
        <w:t>": من المرجح ألا تستوفي أشكال التعبير الثقافي التقليدي التي تكون مجرد تقليد أو إعادة إبداع لأشكال موجودة من قبل شرط "الأصالة"، وألا تحصل بالتالي على الحماية كمصنفات تقليدية بموجب حق المؤلف. وهذا يعني أن الأرجح ألا يُمنح مبدعيها حقوقًا مالية (من الجدير بالذكر أنه يمكن أن تنطبق الحقوق المعنوية أيضا على المصنفات في "الملك لعام" ومنها أشكال التعبير الثقافي التقليدي الموجودة من قبل). وفضلا عن هذا، وبالنسبة لأشكال التعبير الثقافي التقليدي المحمية كمصنفات عادة بموجب حق المؤلف، فإن القانون لا يتضمن أي تمييز على أساس هوية المؤلف، أي أن من الممكن أن يستوفي شرط الأصالة حتى مؤلف تعبير معاصر للفولكلور، لا يكون فردا من المجتمع المحلي المعني الذي نشأ فيه التعبير التقليدي. وربما يزعج هذا المجتمعات الأصلية والتقليدية التي قد ترغب في منع الأشخاص الذين لا ينتمون إليها من التمتع بحق المؤلف في الإبداعات المشتقة من ذلك المجتمع أو تقييد قدرة هؤلاء الأشخاص على ذلك على الأقل (انظر "الحماية الدفاعية" أدناه).</w:t>
      </w:r>
    </w:p>
    <w:p w14:paraId="3C972C04" w14:textId="5FCAC695" w:rsidR="007E34E6" w:rsidRPr="00F347F8" w:rsidRDefault="00F347F8" w:rsidP="00F347F8">
      <w:pPr>
        <w:pStyle w:val="BodyText"/>
        <w:ind w:left="1134" w:hanging="567"/>
        <w:rPr>
          <w:lang w:bidi="ar-EG"/>
        </w:rPr>
      </w:pPr>
      <w:r>
        <w:rPr>
          <w:rFonts w:hint="cs"/>
          <w:rtl/>
          <w:lang w:val="it-IT"/>
        </w:rPr>
        <w:t>(ب)</w:t>
      </w:r>
      <w:r>
        <w:rPr>
          <w:rtl/>
          <w:lang w:val="it-IT"/>
        </w:rPr>
        <w:tab/>
      </w:r>
      <w:r w:rsidR="007E34E6" w:rsidRPr="007E34E6">
        <w:rPr>
          <w:rFonts w:hint="cs"/>
          <w:i/>
          <w:iCs/>
          <w:rtl/>
          <w:lang w:val="it-IT"/>
        </w:rPr>
        <w:t>حماية "النمط</w:t>
      </w:r>
      <w:r w:rsidR="007E34E6" w:rsidRPr="007E34E6">
        <w:rPr>
          <w:rFonts w:hint="cs"/>
          <w:rtl/>
          <w:lang w:val="it-IT"/>
        </w:rPr>
        <w:t>": إن أحد الادعاءات المتكررة جدا هي تعرض "نمط" منتج من منتجات مجتمع أصلي للتقليد أو التملك غير المشروع. وتسمح قوانين حق المؤلف والرسوم والنماذج بتقليد العناصر غير الأصلية أو الأفكار والمفاهيم التي يتضمنها المصنف، وهو ممارسة واسعة الانتشار لأن الإبداع يُغذى ويستلهم من أعمال الآخرين. فحتى في حالة منح حق المؤلف لتعبير ثقافي جديد قائم على التقاليد، فإن الحماية بموجب حق المؤلف لا تمنع في حد ذاتها من تملك "النمط" التقليدي للمصنف المحمي. وقد تُحمى عناصر في النمط بقدر ما يحتوي عليه النمط من تعبير أصلي. وإلى جانب هذا، قد يكون قانون المنافسة غير المشروعة وجريمة التمويه حسب قانون السوابق عنصرين مساعدين في هذا الصدد (انظر أدناه). ويمكن أن يتصلا بحماية نمط في حد ذاته، كموضوع للحماية، أو بالحماية من مدلول أو تصوير مضلل قائم على استخدام نمط ما أو صور أو رموز مميزة. وفي الواقع، فإن السمعة المرتبطة بأشكال التعبير الثقافي التقليدي مثلما يجسدها أو يصورها "النمط" المميز لها، هي التي تتعرض في أغلب الأحيان للتملك غير المشروع</w:t>
      </w:r>
      <w:r w:rsidR="007E34E6" w:rsidRPr="007E34E6">
        <w:rPr>
          <w:rFonts w:hint="cs"/>
          <w:i/>
          <w:iCs/>
          <w:rtl/>
          <w:lang w:val="it-IT"/>
        </w:rPr>
        <w:t>.</w:t>
      </w:r>
    </w:p>
    <w:p w14:paraId="0E80596B" w14:textId="3F99512F" w:rsidR="007E34E6" w:rsidRPr="007E34E6" w:rsidRDefault="00F347F8" w:rsidP="00F347F8">
      <w:pPr>
        <w:pStyle w:val="BodyText"/>
        <w:ind w:left="1134" w:hanging="567"/>
        <w:rPr>
          <w:lang w:bidi="ar-EG"/>
        </w:rPr>
      </w:pPr>
      <w:r>
        <w:rPr>
          <w:rFonts w:hint="cs"/>
          <w:rtl/>
          <w:lang w:val="it-IT"/>
        </w:rPr>
        <w:t>(ج)</w:t>
      </w:r>
      <w:r>
        <w:rPr>
          <w:rtl/>
          <w:lang w:val="it-IT"/>
        </w:rPr>
        <w:tab/>
      </w:r>
      <w:r w:rsidR="007E34E6" w:rsidRPr="007E34E6">
        <w:rPr>
          <w:rFonts w:hint="cs"/>
          <w:i/>
          <w:iCs/>
          <w:rtl/>
          <w:lang w:val="it-IT"/>
        </w:rPr>
        <w:t>الملكية</w:t>
      </w:r>
      <w:r w:rsidR="007E34E6" w:rsidRPr="007E34E6">
        <w:rPr>
          <w:rFonts w:hint="cs"/>
          <w:rtl/>
          <w:lang w:val="it-IT"/>
        </w:rPr>
        <w:t>: في حالات أشكال التعبير الثقافي التقليدي الضمنية أو الموجودة من قبل، في بعض الأنظمة الوطنية قد لا تُتاح الحماية بموجب حق المؤلف للمنتجات التي لا يمكن تحديد هوية مؤلفها أو مؤلفيها مجتمع محلي أو يسعى إلى الحصول على الحماية. وبعبارة أخرى، فإن المنتجات المستحدثة جماعيا مع مرور الزمان على يد مؤلفين مجهولين، قد لا تكون محمية بموجب حق المؤلف. ومع ذلك فإن هناك إمكانية واحدة للحماية، وهي الحماية التي توفرها المادة 15(4) من اتفاقية برن، المشار إليها أعلاه.</w:t>
      </w:r>
      <w:r w:rsidR="007E34E6" w:rsidRPr="007E34E6">
        <w:rPr>
          <w:vertAlign w:val="superscript"/>
          <w:rtl/>
          <w:lang w:val="it-IT"/>
        </w:rPr>
        <w:footnoteReference w:id="39"/>
      </w:r>
      <w:r w:rsidR="007E34E6" w:rsidRPr="007E34E6">
        <w:rPr>
          <w:rFonts w:hint="cs"/>
          <w:rtl/>
          <w:lang w:val="it-IT"/>
        </w:rPr>
        <w:t xml:space="preserve">ومن عيوب هذه المادة أنها اختيارية ولا تتضمنها معظم القوانين الوطنية، وأن مدة حماية هذه المصنفات مقصورة على 50 سنة على الأقل </w:t>
      </w:r>
      <w:r w:rsidR="007E34E6" w:rsidRPr="007E34E6">
        <w:rPr>
          <w:rtl/>
          <w:lang w:val="it-IT"/>
        </w:rPr>
        <w:t>من</w:t>
      </w:r>
      <w:r w:rsidR="007E34E6" w:rsidRPr="007E34E6">
        <w:rPr>
          <w:rFonts w:hint="cs"/>
          <w:rtl/>
          <w:lang w:val="it-IT"/>
        </w:rPr>
        <w:t>ذ وضعها "</w:t>
      </w:r>
      <w:r w:rsidR="007E34E6" w:rsidRPr="007E34E6">
        <w:rPr>
          <w:rtl/>
          <w:lang w:val="it-IT"/>
        </w:rPr>
        <w:t>في متناول الجمهور على نحو مشروع</w:t>
      </w:r>
      <w:r w:rsidR="007E34E6" w:rsidRPr="007E34E6">
        <w:rPr>
          <w:rFonts w:hint="cs"/>
          <w:rtl/>
          <w:lang w:val="it-IT"/>
        </w:rPr>
        <w:t xml:space="preserve">"، وأنها لا تذكر صراحة دور المجتمعات المحلية بل تذكر "سلطة مختصة" تمارس الحقوق نيابة عن المؤلف. وهذه الحماية المنصوص عليها في المادة المذكورة آنفا مقيدة أيضا بالمادة 7(3) من اتفاقية برن التي تبين أن البلدان </w:t>
      </w:r>
      <w:r w:rsidR="007E34E6" w:rsidRPr="007E34E6">
        <w:rPr>
          <w:rtl/>
          <w:lang w:val="it-IT"/>
        </w:rPr>
        <w:t xml:space="preserve">لا تلتزم بحماية المصنفات التي لا تحمل اسم مؤلفها إذا كان سبب معقول لافتراض أن مؤلفها قد توفى منذ </w:t>
      </w:r>
      <w:r w:rsidR="007E34E6" w:rsidRPr="007E34E6">
        <w:rPr>
          <w:rFonts w:hint="cs"/>
          <w:rtl/>
          <w:lang w:val="it-IT"/>
        </w:rPr>
        <w:t>50</w:t>
      </w:r>
      <w:r w:rsidR="007E34E6" w:rsidRPr="007E34E6">
        <w:rPr>
          <w:rtl/>
          <w:lang w:val="it-IT"/>
        </w:rPr>
        <w:t xml:space="preserve"> سنة.</w:t>
      </w:r>
    </w:p>
    <w:p w14:paraId="6CF307AE" w14:textId="40161E23" w:rsidR="007E34E6" w:rsidRPr="007E34E6" w:rsidRDefault="00F347F8" w:rsidP="00F347F8">
      <w:pPr>
        <w:pStyle w:val="BodyText"/>
        <w:ind w:left="1134" w:hanging="567"/>
        <w:rPr>
          <w:rtl/>
          <w:lang w:val="it-IT"/>
        </w:rPr>
      </w:pPr>
      <w:r>
        <w:rPr>
          <w:rFonts w:hint="cs"/>
          <w:rtl/>
          <w:lang w:val="it-IT"/>
        </w:rPr>
        <w:t>(د)</w:t>
      </w:r>
      <w:r>
        <w:rPr>
          <w:rtl/>
          <w:lang w:val="it-IT"/>
        </w:rPr>
        <w:tab/>
      </w:r>
      <w:r w:rsidR="007E34E6" w:rsidRPr="007E34E6">
        <w:rPr>
          <w:rFonts w:hint="cs"/>
          <w:i/>
          <w:iCs/>
          <w:rtl/>
          <w:lang w:val="it-IT"/>
        </w:rPr>
        <w:t>مدة الحماية</w:t>
      </w:r>
      <w:r w:rsidR="007E34E6" w:rsidRPr="007E34E6">
        <w:rPr>
          <w:rFonts w:hint="cs"/>
          <w:rtl/>
          <w:lang w:val="it-IT"/>
        </w:rPr>
        <w:t xml:space="preserve">: تصل عموما مدة الحماية بموجب حق المؤلف إلى 50 سنة بعد وفاة المؤلف، أو 70 سنة في بعض الأنظمة القضائية. وتنص اتفاقية برن لسنة 1971 على 50 سنة كأدنى فترة للحماية، وللبلدان حرية حماية حق المؤلف لمدد أطول. بيد أن </w:t>
      </w:r>
      <w:r w:rsidR="007E34E6" w:rsidRPr="007E34E6">
        <w:rPr>
          <w:rtl/>
          <w:lang w:val="it-IT"/>
        </w:rPr>
        <w:t>وضع حد زمني لمدة الحماية يعتبر عامة جزءا لا يتجزأ من</w:t>
      </w:r>
      <w:r w:rsidR="007E34E6" w:rsidRPr="007E34E6">
        <w:rPr>
          <w:rFonts w:hint="cs"/>
          <w:rtl/>
          <w:lang w:val="it-IT"/>
        </w:rPr>
        <w:t xml:space="preserve"> نظام حق المؤلف؛ إذ يقوم هذا النظام على مفهوم تحديد مدة الحماية لكي تؤول المصنفات في نهاية المطاف إلى الملك العام. ويعني هذا أن مدة الحقوق المعنوية كثيرا ما تكون غير محددة في العديد من القوانين الوطنية، بينما تختلف مدة الحقوق المالية بشكل كبير حسب القوانين الوطنية.</w:t>
      </w:r>
    </w:p>
    <w:p w14:paraId="427A85B0" w14:textId="3DA83715" w:rsidR="007E34E6" w:rsidRPr="007E34E6" w:rsidRDefault="00F347F8" w:rsidP="00F347F8">
      <w:pPr>
        <w:pStyle w:val="BodyText"/>
        <w:ind w:left="1134" w:hanging="567"/>
        <w:rPr>
          <w:lang w:bidi="ar-EG"/>
        </w:rPr>
      </w:pPr>
      <w:r>
        <w:rPr>
          <w:rFonts w:hint="cs"/>
          <w:rtl/>
          <w:lang w:val="it-IT"/>
        </w:rPr>
        <w:t>(ه)</w:t>
      </w:r>
      <w:r>
        <w:rPr>
          <w:rtl/>
          <w:lang w:val="it-IT"/>
        </w:rPr>
        <w:tab/>
      </w:r>
      <w:r w:rsidR="007E34E6" w:rsidRPr="007E34E6">
        <w:rPr>
          <w:rFonts w:hint="cs"/>
          <w:i/>
          <w:iCs/>
          <w:rtl/>
          <w:lang w:val="it-IT"/>
        </w:rPr>
        <w:t xml:space="preserve">الاستثناءات والتقييدات: </w:t>
      </w:r>
      <w:r w:rsidR="007E34E6" w:rsidRPr="007E34E6">
        <w:rPr>
          <w:rFonts w:hint="cs"/>
          <w:rtl/>
          <w:lang w:val="it-IT"/>
        </w:rPr>
        <w:t>يثير عنصر "الملك العام" في نظام الملكية الفكرية</w:t>
      </w:r>
      <w:r w:rsidR="007E34E6" w:rsidRPr="007E34E6">
        <w:rPr>
          <w:vertAlign w:val="superscript"/>
          <w:rtl/>
          <w:lang w:val="it-IT"/>
        </w:rPr>
        <w:footnoteReference w:id="40"/>
      </w:r>
      <w:r w:rsidR="007E34E6" w:rsidRPr="007E34E6">
        <w:rPr>
          <w:rFonts w:hint="cs"/>
          <w:rtl/>
          <w:lang w:val="it-IT"/>
        </w:rPr>
        <w:t xml:space="preserve"> انتقاد واحتجاج بعض المجتمعات المحلية الأصلية باعتباره مفهوما لا يعترفون به. وإلى جانب هذا، تُنتقد بعض الاستثناءات والتقييدات المحددة والدارجة في قانون حق المؤلف باعتبارها غير مناسبة لأشكال التعبير الثقافي التقليدي، ومنها مثلا الاستثناءات التي </w:t>
      </w:r>
      <w:r w:rsidR="007E34E6" w:rsidRPr="007E34E6">
        <w:rPr>
          <w:rFonts w:hint="cs"/>
          <w:rtl/>
          <w:lang w:val="it-IT"/>
        </w:rPr>
        <w:lastRenderedPageBreak/>
        <w:t>تسمح بنسخ</w:t>
      </w:r>
      <w:r w:rsidR="007E34E6" w:rsidRPr="007E34E6">
        <w:rPr>
          <w:rtl/>
          <w:lang w:val="it-IT"/>
        </w:rPr>
        <w:t xml:space="preserve"> منحوتات أو مصنفات فنية من الحرف اليدوية</w:t>
      </w:r>
      <w:r w:rsidR="007E34E6" w:rsidRPr="007E34E6">
        <w:rPr>
          <w:rFonts w:hint="cs"/>
          <w:rtl/>
          <w:lang w:val="it-IT"/>
        </w:rPr>
        <w:t xml:space="preserve"> معروضة</w:t>
      </w:r>
      <w:r w:rsidR="007E34E6" w:rsidRPr="007E34E6">
        <w:rPr>
          <w:rtl/>
          <w:lang w:val="it-IT"/>
        </w:rPr>
        <w:t xml:space="preserve"> بشكل دائم في مكان عام</w:t>
      </w:r>
      <w:r w:rsidR="007E34E6" w:rsidRPr="007E34E6">
        <w:rPr>
          <w:rFonts w:hint="cs"/>
          <w:rtl/>
          <w:lang w:val="it-IT"/>
        </w:rPr>
        <w:t>، في صور فوتوغرافية أو رسوم وغيرها من الطرق بدون إذن.</w:t>
      </w:r>
      <w:r w:rsidR="007E34E6" w:rsidRPr="007E34E6">
        <w:rPr>
          <w:vertAlign w:val="superscript"/>
          <w:rtl/>
          <w:lang w:val="it-IT"/>
        </w:rPr>
        <w:footnoteReference w:id="41"/>
      </w:r>
      <w:r w:rsidR="007E34E6" w:rsidRPr="007E34E6">
        <w:rPr>
          <w:rFonts w:hint="cs"/>
          <w:rtl/>
          <w:lang w:val="it-IT"/>
        </w:rPr>
        <w:t xml:space="preserve"> وعلى غرار ذلك، كثيرا ما تسمح قوانين متصلة لحق المؤلف الوطنية لدور المحفوظات والمكتبات العامة بنسخ المصنفات وإتاحتها للجمهور. وأعربت المجتمعات المحلية الأصلية عن استهجانها هذه الأنواع من الاستثناءات والتقييدات. وقد عالجنا موضوع المدة المحددة للحماية بموجب حق المؤلف والحقوق المجاورة في فصل سابق.</w:t>
      </w:r>
    </w:p>
    <w:p w14:paraId="716784EE" w14:textId="57235928" w:rsidR="007E34E6" w:rsidRPr="007E34E6" w:rsidRDefault="00F347F8" w:rsidP="00F347F8">
      <w:pPr>
        <w:pStyle w:val="BodyText"/>
        <w:ind w:left="1134" w:hanging="567"/>
        <w:rPr>
          <w:lang w:bidi="ar-EG"/>
        </w:rPr>
      </w:pPr>
      <w:r>
        <w:rPr>
          <w:rFonts w:hint="cs"/>
          <w:rtl/>
          <w:lang w:val="it-IT"/>
        </w:rPr>
        <w:t>(و)</w:t>
      </w:r>
      <w:r>
        <w:rPr>
          <w:rtl/>
          <w:lang w:val="it-IT"/>
        </w:rPr>
        <w:tab/>
      </w:r>
      <w:r w:rsidR="007E34E6" w:rsidRPr="007E34E6">
        <w:rPr>
          <w:rFonts w:hint="cs"/>
          <w:i/>
          <w:iCs/>
          <w:rtl/>
          <w:lang w:val="it-IT"/>
        </w:rPr>
        <w:t xml:space="preserve">الحماية الدفاعية: </w:t>
      </w:r>
      <w:r w:rsidR="007E34E6" w:rsidRPr="007E34E6">
        <w:rPr>
          <w:rFonts w:hint="cs"/>
          <w:rtl/>
          <w:lang w:val="it-IT"/>
        </w:rPr>
        <w:t>يُطرح السؤال هنا عما إذا كان ينبغي وكيف ينبغي وضع قواعد بشأن المصنفات المشتقة التي أبدعها مؤلفون ليست لهم صلة بالتقاليد والمواد الثقافية التي كانت موضوع تحويرهم أو مصدر إلهامهم. ويمكن أن تنطبق هذه المناقشة على التصاميم أيضا. وقد ناقشنا باستفاضة،</w:t>
      </w:r>
      <w:r w:rsidR="007E34E6" w:rsidRPr="007E34E6">
        <w:rPr>
          <w:vertAlign w:val="superscript"/>
          <w:rtl/>
          <w:lang w:val="it-IT"/>
        </w:rPr>
        <w:footnoteReference w:id="42"/>
      </w:r>
      <w:r w:rsidR="007E34E6" w:rsidRPr="007E34E6">
        <w:rPr>
          <w:rFonts w:hint="cs"/>
          <w:vertAlign w:val="superscript"/>
          <w:rtl/>
          <w:lang w:val="it-IT"/>
        </w:rPr>
        <w:t xml:space="preserve"> </w:t>
      </w:r>
      <w:r w:rsidR="007E34E6" w:rsidRPr="007E34E6">
        <w:rPr>
          <w:rFonts w:hint="cs"/>
          <w:rtl/>
          <w:lang w:val="it-IT"/>
        </w:rPr>
        <w:t>أن من الممكن حماية المصنفات المشتقة من المواد المندرجة في الملك العام بموجب حق المؤلف، لأن أي أداء أو توزيع أو تحوير أو تجميع جديد لمواد الملك العام أو حتى "إعادة جمع" هذه المواد في نسق رقمي وتلوينها وما إليه، يمكن أن ينتج تعبيرا مميزا جديدا يكون "أصليا" بما يكفي. بل قد يستوفي شرط الأصالة المؤلف الذي لا يكون فردا من المجتمع المحلي الذي نشأ فيه التعبير التقليدي. وفي هذا السياق، يمكن للمجتمعات المحلية أن تسعى إلى الحصول على شكل من أشكال الحماية الدفاعية لمنع المؤلفين الذين لا ينتمون إلى المجتمع المحلي المعني من التمتع بحق المؤلف في الإبداعات المشتقة من التقاليد الثقافية لذلك المجتمع أو على الأقل تقييد قدرة هؤلاء المؤلفين على ذلك.</w:t>
      </w:r>
    </w:p>
    <w:p w14:paraId="2B63900E" w14:textId="619F134A" w:rsidR="007E34E6" w:rsidRPr="007E34E6" w:rsidRDefault="00F347F8" w:rsidP="00F347F8">
      <w:pPr>
        <w:pStyle w:val="BodyText"/>
        <w:ind w:left="1134" w:hanging="567"/>
        <w:rPr>
          <w:lang w:bidi="ar-EG"/>
        </w:rPr>
      </w:pPr>
      <w:r>
        <w:rPr>
          <w:rFonts w:hint="cs"/>
          <w:rtl/>
          <w:lang w:val="it-IT"/>
        </w:rPr>
        <w:t>(ز)</w:t>
      </w:r>
      <w:r>
        <w:rPr>
          <w:rtl/>
          <w:lang w:val="it-IT"/>
        </w:rPr>
        <w:tab/>
      </w:r>
      <w:r w:rsidR="007E34E6" w:rsidRPr="007E34E6">
        <w:rPr>
          <w:rFonts w:hint="cs"/>
          <w:i/>
          <w:iCs/>
          <w:rtl/>
          <w:lang w:val="it-IT"/>
        </w:rPr>
        <w:t>ملكية التسجيلات والوثائق</w:t>
      </w:r>
      <w:r w:rsidR="007E34E6" w:rsidRPr="007E34E6">
        <w:rPr>
          <w:rFonts w:hint="cs"/>
          <w:rtl/>
          <w:lang w:val="it-IT"/>
        </w:rPr>
        <w:t xml:space="preserve">: فيما يتعلق بالتسجيلات والوثائق الخاصة بأشكال التعبير الثقافي التقليدي، بما فيها التجليات التقليدية، فإن أحد العيوب هو منح الحماية الموصوفة أعلاه للمنتج الذي لا يكون أو قلما يكون فردا من المجتمع المعني. بل في الغالب باحث في مجال الموسيقى </w:t>
      </w:r>
      <w:proofErr w:type="spellStart"/>
      <w:r w:rsidR="007E34E6" w:rsidRPr="007E34E6">
        <w:rPr>
          <w:rFonts w:hint="cs"/>
          <w:rtl/>
          <w:lang w:val="it-IT"/>
        </w:rPr>
        <w:t>الإثنية</w:t>
      </w:r>
      <w:proofErr w:type="spellEnd"/>
      <w:r w:rsidR="007E34E6" w:rsidRPr="007E34E6">
        <w:rPr>
          <w:rFonts w:hint="cs"/>
          <w:rtl/>
          <w:lang w:val="it-IT"/>
        </w:rPr>
        <w:t xml:space="preserve"> أو الفولكلور أو هاوي تجميع. وتحتج الشعوب الأصلية والمجتمعات المحلية في بعض الأحيان بالقول إن حقوقها ومصالحها، بما فيها تلك التي تدخل في إطار القوانين العرفية والأصلية، لا تراعى بشكل لائق عند تسجيل أشكال التعبير الثقافي التقليدي وتوثيقها لأول مرة على يد الباحثين في مجال الفولكلور وغيرهم من العاملين الميدانيين أو عندما تُعرض لاحقا وتتاح للجمهور في المتاحف ودور المحفوظات وغيرها من الدور. بيد أن أنشطة الباحثين في مجال الفولكلور وهواة التجميع والعاملين الميدانيين والمتاحف ودور المحفوظات وغيرها مهمة للغاية من أجل وقاية الأشكال الملموسة وغير الملموسة من التراث الثقافي والحفاظ عليها وصيانتها ونقلها إلى الأجيال القادمة. وتضطلع المؤسسات الثقافية أيضا بدور تعليمي </w:t>
      </w:r>
      <w:r w:rsidR="007E34E6" w:rsidRPr="007E34E6">
        <w:rPr>
          <w:rtl/>
          <w:lang w:val="it-IT"/>
        </w:rPr>
        <w:t>قيِّم.</w:t>
      </w:r>
      <w:r w:rsidR="007E34E6" w:rsidRPr="007E34E6">
        <w:rPr>
          <w:rFonts w:hint="cs"/>
          <w:rtl/>
          <w:lang w:val="it-IT"/>
        </w:rPr>
        <w:t xml:space="preserve"> وتبرز هذه المسألة في الواقع التضارب الذي يمكن أن ينشأ بين مفهوم "الوقاية" ومفهوم "الحماية" مثلما أُشير إلى ذلك سابقا، لأن الوقاية نفسها قد تنذر بغياب الحماية وقد تعرّض دون قصد أشكال التعبير الثقافي التقليدي في "الملك العام" للاستغلال غير المرغوب فيه. ولمعالجة هذه القضايا، حددت المنظمات والجمعيات المهنية، مثل</w:t>
      </w:r>
      <w:r w:rsidR="007E34E6" w:rsidRPr="007E34E6">
        <w:rPr>
          <w:rtl/>
          <w:lang w:val="it-IT"/>
        </w:rPr>
        <w:t xml:space="preserve"> مجلس المتاحف الدولي</w:t>
      </w:r>
      <w:r w:rsidR="007E34E6" w:rsidRPr="007E34E6">
        <w:rPr>
          <w:rFonts w:hint="cs"/>
          <w:rtl/>
          <w:lang w:val="it-IT"/>
        </w:rPr>
        <w:t xml:space="preserve">، والمؤسسات الثقافية ممارسات ووضعت قواعد أخلاقية وسلوكية قيمة في مجال الملكية الفكرية، ومواثيق وعقود نموذجية. ويمكن الاطلاع على العديد منها في قاعدة بيانات الويبو التي يمكن البحث فيها على العنوان التالي: </w:t>
      </w:r>
      <w:hyperlink r:id="rId15" w:history="1">
        <w:r w:rsidR="007E34E6" w:rsidRPr="00FB4407">
          <w:rPr>
            <w:rStyle w:val="Hyperlink"/>
            <w:color w:val="auto"/>
            <w:u w:val="none"/>
            <w:lang w:bidi="ar-EG"/>
          </w:rPr>
          <w:t>https://www.wipo.int/tk/en/databases/creative_heritage</w:t>
        </w:r>
        <w:r w:rsidR="007E34E6" w:rsidRPr="00FB4407">
          <w:rPr>
            <w:rStyle w:val="Hyperlink"/>
            <w:color w:val="auto"/>
            <w:u w:val="none"/>
            <w:rtl/>
            <w:lang w:val="it-IT"/>
          </w:rPr>
          <w:t>/</w:t>
        </w:r>
      </w:hyperlink>
      <w:r w:rsidR="00FB4407">
        <w:rPr>
          <w:lang w:val="it-IT"/>
        </w:rPr>
        <w:t xml:space="preserve"> </w:t>
      </w:r>
      <w:r w:rsidR="007E34E6" w:rsidRPr="007E34E6">
        <w:rPr>
          <w:rFonts w:hint="cs"/>
          <w:rtl/>
          <w:lang w:val="it-IT"/>
        </w:rPr>
        <w:t>(انظر أيضا أدناه "المواثيق وقواعد السلوك والعقود وغيرها من الأدوات العملية").</w:t>
      </w:r>
      <w:r w:rsidR="007E34E6" w:rsidRPr="007E34E6">
        <w:rPr>
          <w:vertAlign w:val="superscript"/>
          <w:rtl/>
          <w:lang w:val="it-IT"/>
        </w:rPr>
        <w:footnoteReference w:id="43"/>
      </w:r>
    </w:p>
    <w:p w14:paraId="259A2AA6" w14:textId="77777777" w:rsidR="007E34E6" w:rsidRPr="007E34E6" w:rsidRDefault="007E34E6" w:rsidP="00F347F8">
      <w:pPr>
        <w:pStyle w:val="ONUMA"/>
        <w:rPr>
          <w:rtl/>
          <w:lang w:val="it-IT" w:bidi="ar-EG"/>
        </w:rPr>
      </w:pPr>
      <w:r w:rsidRPr="007E34E6">
        <w:rPr>
          <w:rFonts w:hint="cs"/>
          <w:rtl/>
          <w:lang w:val="it-IT" w:bidi="ar-EG"/>
        </w:rPr>
        <w:t xml:space="preserve">ومن أمثلة ذلك: </w:t>
      </w:r>
    </w:p>
    <w:p w14:paraId="2662F9AC" w14:textId="21AFD63B" w:rsidR="007E34E6" w:rsidRPr="007E34E6" w:rsidRDefault="00F347F8" w:rsidP="00F347F8">
      <w:pPr>
        <w:pStyle w:val="BodyText"/>
        <w:ind w:left="1134" w:hanging="567"/>
        <w:rPr>
          <w:rtl/>
          <w:lang w:val="it-IT"/>
        </w:rPr>
      </w:pPr>
      <w:r>
        <w:rPr>
          <w:rFonts w:hint="cs"/>
          <w:rtl/>
          <w:lang w:val="it-IT"/>
        </w:rPr>
        <w:t>(أ)</w:t>
      </w:r>
      <w:r>
        <w:rPr>
          <w:rtl/>
          <w:lang w:val="it-IT"/>
        </w:rPr>
        <w:tab/>
      </w:r>
      <w:r w:rsidR="007E34E6" w:rsidRPr="007E34E6">
        <w:rPr>
          <w:rFonts w:hint="cs"/>
          <w:rtl/>
          <w:lang w:val="it-IT"/>
        </w:rPr>
        <w:t>نسخ أشخاص من خارج مجتمع أصلي رسوما، بما فيها نقوشا على الصخر، من صنع أشخاص من المجتمع الأصلي، على سجاد وملابس وقمصان وفساتين وغيرها من الأقمشة وعلى بطاقات المعايدات ثم قاموا بتوزيعها وعرضها للبيع. وعُرضت كذلك بعض الفنون التقليدية على الإنترنت كورق جدران. ونسخت أيضا أشكال من الوشم التقليدي واستُخدمت خارج نطاقها التقليدي؛</w:t>
      </w:r>
    </w:p>
    <w:p w14:paraId="3E110D62" w14:textId="0190179B" w:rsidR="007E34E6" w:rsidRPr="007E34E6" w:rsidRDefault="00F347F8" w:rsidP="00F347F8">
      <w:pPr>
        <w:pStyle w:val="BodyText"/>
        <w:ind w:left="1134" w:hanging="567"/>
        <w:rPr>
          <w:rtl/>
          <w:lang w:val="it-IT"/>
        </w:rPr>
      </w:pPr>
      <w:r>
        <w:rPr>
          <w:rFonts w:hint="cs"/>
          <w:rtl/>
          <w:lang w:val="it-IT"/>
        </w:rPr>
        <w:t>(ب)</w:t>
      </w:r>
      <w:r>
        <w:rPr>
          <w:rtl/>
          <w:lang w:val="it-IT"/>
        </w:rPr>
        <w:tab/>
      </w:r>
      <w:r w:rsidR="007E34E6" w:rsidRPr="007E34E6">
        <w:rPr>
          <w:rFonts w:hint="cs"/>
          <w:rtl/>
          <w:lang w:val="it-IT"/>
        </w:rPr>
        <w:t xml:space="preserve">وأُخذت مقاطع من الموسيقى التقليدية ومُزجت رقميا مع </w:t>
      </w:r>
      <w:r w:rsidR="007E34E6" w:rsidRPr="007E34E6">
        <w:rPr>
          <w:rtl/>
          <w:lang w:val="it-IT"/>
        </w:rPr>
        <w:t xml:space="preserve">إيقاعات رقص </w:t>
      </w:r>
      <w:r w:rsidR="007E34E6" w:rsidRPr="007E34E6">
        <w:rPr>
          <w:rFonts w:hint="cs"/>
          <w:rtl/>
          <w:lang w:val="it-IT"/>
        </w:rPr>
        <w:t>"</w:t>
      </w:r>
      <w:r w:rsidR="007E34E6" w:rsidRPr="007E34E6">
        <w:rPr>
          <w:rtl/>
          <w:lang w:val="it-IT"/>
        </w:rPr>
        <w:t>الموسيقى التقنية</w:t>
      </w:r>
      <w:r w:rsidR="007E34E6" w:rsidRPr="007E34E6">
        <w:rPr>
          <w:rFonts w:hint="cs"/>
          <w:rtl/>
          <w:lang w:val="it-IT"/>
        </w:rPr>
        <w:t xml:space="preserve">" لإصدار ألبوم رائج أكثر </w:t>
      </w:r>
      <w:proofErr w:type="gramStart"/>
      <w:r w:rsidR="007E34E6" w:rsidRPr="007E34E6">
        <w:rPr>
          <w:rFonts w:hint="cs"/>
          <w:rtl/>
          <w:lang w:val="it-IT"/>
        </w:rPr>
        <w:t>في من</w:t>
      </w:r>
      <w:proofErr w:type="gramEnd"/>
      <w:r w:rsidR="007E34E6" w:rsidRPr="007E34E6">
        <w:rPr>
          <w:rFonts w:hint="cs"/>
          <w:rtl/>
          <w:lang w:val="it-IT"/>
        </w:rPr>
        <w:t xml:space="preserve"> </w:t>
      </w:r>
      <w:r w:rsidR="007E34E6" w:rsidRPr="007E34E6">
        <w:rPr>
          <w:rtl/>
          <w:lang w:val="it-IT"/>
        </w:rPr>
        <w:t>"الموسيقى العالمية"</w:t>
      </w:r>
      <w:r w:rsidR="007E34E6" w:rsidRPr="007E34E6">
        <w:rPr>
          <w:rFonts w:hint="cs"/>
          <w:rtl/>
          <w:lang w:val="it-IT"/>
        </w:rPr>
        <w:t xml:space="preserve"> وهو محمي بموجب حق المؤلف؛</w:t>
      </w:r>
    </w:p>
    <w:p w14:paraId="1E94A9F1" w14:textId="7159C293" w:rsidR="00F347F8" w:rsidRDefault="00F347F8" w:rsidP="00F347F8">
      <w:pPr>
        <w:pStyle w:val="BodyText"/>
        <w:ind w:left="1134" w:hanging="567"/>
        <w:rPr>
          <w:rtl/>
          <w:lang w:val="it-IT"/>
        </w:rPr>
      </w:pPr>
      <w:r>
        <w:rPr>
          <w:rFonts w:hint="cs"/>
          <w:rtl/>
          <w:lang w:val="it-IT"/>
        </w:rPr>
        <w:t>(ج)</w:t>
      </w:r>
      <w:r>
        <w:rPr>
          <w:rtl/>
          <w:lang w:val="it-IT"/>
        </w:rPr>
        <w:tab/>
      </w:r>
      <w:r w:rsidR="007E34E6" w:rsidRPr="007E34E6">
        <w:rPr>
          <w:rFonts w:hint="cs"/>
          <w:rtl/>
          <w:lang w:val="it-IT"/>
        </w:rPr>
        <w:t>ولإمداد سوق الهدايا التذكارية، تعرضت الفنون والحرف اليدوية (مثل السلا</w:t>
      </w:r>
      <w:r w:rsidR="007E34E6" w:rsidRPr="007E34E6">
        <w:rPr>
          <w:rFonts w:hint="eastAsia"/>
          <w:rtl/>
          <w:lang w:val="it-IT"/>
        </w:rPr>
        <w:t>ل</w:t>
      </w:r>
      <w:r w:rsidR="007E34E6" w:rsidRPr="007E34E6">
        <w:rPr>
          <w:rFonts w:hint="cs"/>
          <w:rtl/>
          <w:lang w:val="it-IT"/>
        </w:rPr>
        <w:t xml:space="preserve"> المنسوجة والرسوم والمنقوشات الصغيرة) تستخدم أنماط فنية تقليدية عامة، للنسخ والتقليد والإنتاج بكميات كبيرة على مواد غير تقليدية مثل </w:t>
      </w:r>
      <w:r w:rsidR="007E34E6" w:rsidRPr="007E34E6">
        <w:rPr>
          <w:rFonts w:hint="cs"/>
          <w:rtl/>
          <w:lang w:val="it-IT"/>
        </w:rPr>
        <w:lastRenderedPageBreak/>
        <w:t>القمصان ومناديل الشاي والحصائر وأوراق اللعب والبطاقات البريدية والأقراص التي توضع تحت الأكواب ومبردات المشروبات واليوميات وبسط فأرة الحاسوب؛</w:t>
      </w:r>
    </w:p>
    <w:p w14:paraId="0CC1B9A3" w14:textId="6EDBC86A" w:rsidR="007E34E6" w:rsidRPr="007E34E6" w:rsidRDefault="00F347F8" w:rsidP="00F347F8">
      <w:pPr>
        <w:pStyle w:val="BodyText"/>
        <w:ind w:left="1134" w:hanging="567"/>
        <w:rPr>
          <w:rtl/>
          <w:lang w:val="it-IT"/>
        </w:rPr>
      </w:pPr>
      <w:r>
        <w:rPr>
          <w:rFonts w:hint="cs"/>
          <w:rtl/>
          <w:lang w:val="it-IT"/>
        </w:rPr>
        <w:t>(د)</w:t>
      </w:r>
      <w:r>
        <w:rPr>
          <w:rtl/>
          <w:lang w:val="it-IT"/>
        </w:rPr>
        <w:tab/>
      </w:r>
      <w:r w:rsidR="007E34E6" w:rsidRPr="007E34E6">
        <w:rPr>
          <w:rFonts w:hint="cs"/>
          <w:rtl/>
          <w:lang w:val="it-IT"/>
        </w:rPr>
        <w:t>وأدرج في نحت رمز تقليدي مقدس. وطالب النحات بحق المؤلف في النحت لكن المجتمع المحلي يدعي بأنه استخدم الرمز دون موافقة هذا المجتمع؛</w:t>
      </w:r>
    </w:p>
    <w:p w14:paraId="7EFB48B9" w14:textId="3EAE50E8" w:rsidR="007E34E6" w:rsidRPr="007E34E6" w:rsidRDefault="00F347F8" w:rsidP="00F347F8">
      <w:pPr>
        <w:pStyle w:val="BodyText"/>
        <w:ind w:left="1134" w:hanging="567"/>
        <w:rPr>
          <w:lang w:bidi="ar-EG"/>
        </w:rPr>
      </w:pPr>
      <w:r>
        <w:rPr>
          <w:rFonts w:hint="cs"/>
          <w:rtl/>
          <w:lang w:val="it-IT"/>
        </w:rPr>
        <w:t>(ه)</w:t>
      </w:r>
      <w:r>
        <w:rPr>
          <w:rtl/>
          <w:lang w:val="it-IT"/>
        </w:rPr>
        <w:tab/>
      </w:r>
      <w:r w:rsidR="007E34E6" w:rsidRPr="007E34E6">
        <w:rPr>
          <w:rFonts w:hint="cs"/>
          <w:rtl/>
          <w:lang w:val="it-IT"/>
        </w:rPr>
        <w:t xml:space="preserve">وأتاحت مؤسسة ثقافية تسجيلات </w:t>
      </w:r>
      <w:proofErr w:type="spellStart"/>
      <w:r w:rsidR="007E34E6" w:rsidRPr="007E34E6">
        <w:rPr>
          <w:rtl/>
          <w:lang w:val="it-IT"/>
        </w:rPr>
        <w:t>إثنوغرافي</w:t>
      </w:r>
      <w:r w:rsidR="007E34E6" w:rsidRPr="007E34E6">
        <w:rPr>
          <w:rFonts w:hint="cs"/>
          <w:rtl/>
          <w:lang w:val="it-IT"/>
        </w:rPr>
        <w:t>ة</w:t>
      </w:r>
      <w:proofErr w:type="spellEnd"/>
      <w:r w:rsidR="007E34E6" w:rsidRPr="007E34E6">
        <w:rPr>
          <w:rFonts w:hint="cs"/>
          <w:rtl/>
          <w:lang w:val="it-IT"/>
        </w:rPr>
        <w:t xml:space="preserve"> فيها مواد تفشي طقوس التلقين، لأغراض تثقيفية وتجارية. وليس المجتمع المحلي صاحب الحقوق في هذه التسجيلات وليس لديه أي أساس قانوني بموجب قانون الملكية الفكرية يستند إليه للاعتراض على ذلك.</w:t>
      </w:r>
    </w:p>
    <w:p w14:paraId="0921EF5A" w14:textId="77777777" w:rsidR="007E34E6" w:rsidRPr="00F347F8" w:rsidRDefault="007E34E6" w:rsidP="00F347F8">
      <w:pPr>
        <w:pStyle w:val="Heading3"/>
        <w:spacing w:before="220" w:after="220"/>
        <w:rPr>
          <w:b/>
          <w:bCs w:val="0"/>
          <w:i/>
          <w:iCs/>
          <w:sz w:val="22"/>
          <w:szCs w:val="22"/>
          <w:u w:val="none"/>
          <w:lang w:bidi="ar-EG"/>
        </w:rPr>
      </w:pPr>
      <w:bookmarkStart w:id="69" w:name="_Toc520405381"/>
      <w:bookmarkStart w:id="70" w:name="_Toc109030403"/>
      <w:r w:rsidRPr="00F347F8">
        <w:rPr>
          <w:rFonts w:hint="cs"/>
          <w:b/>
          <w:bCs w:val="0"/>
          <w:i/>
          <w:iCs/>
          <w:sz w:val="22"/>
          <w:szCs w:val="22"/>
          <w:u w:val="none"/>
          <w:rtl/>
          <w:lang w:val="it-IT"/>
        </w:rPr>
        <w:t>أداء أشكال التعبير الثقافي التقليدي</w:t>
      </w:r>
      <w:bookmarkEnd w:id="69"/>
      <w:bookmarkEnd w:id="70"/>
      <w:r w:rsidRPr="00F347F8">
        <w:rPr>
          <w:rFonts w:hint="cs"/>
          <w:b/>
          <w:bCs w:val="0"/>
          <w:i/>
          <w:iCs/>
          <w:sz w:val="22"/>
          <w:szCs w:val="22"/>
          <w:u w:val="none"/>
          <w:rtl/>
          <w:lang w:val="it-IT"/>
        </w:rPr>
        <w:t xml:space="preserve"> </w:t>
      </w:r>
    </w:p>
    <w:p w14:paraId="75E7F2D5" w14:textId="77777777" w:rsidR="007E34E6" w:rsidRPr="007E34E6" w:rsidRDefault="007E34E6" w:rsidP="00F347F8">
      <w:pPr>
        <w:pStyle w:val="ONUMA"/>
        <w:rPr>
          <w:rtl/>
          <w:lang w:val="it-IT"/>
        </w:rPr>
      </w:pPr>
      <w:r w:rsidRPr="007E34E6">
        <w:rPr>
          <w:rFonts w:hint="cs"/>
          <w:rtl/>
          <w:lang w:val="it-IT"/>
        </w:rPr>
        <w:t xml:space="preserve">أشرنا أعلاه، إلى أن أداء أشكال التعبير الثقافي التقليدي محمي إلى حد كبير بموجب القوانين الدولية الخاصة بالحقوق المجاورة، لا سيما </w:t>
      </w:r>
      <w:r w:rsidRPr="007E34E6">
        <w:rPr>
          <w:rtl/>
          <w:lang w:val="it-IT"/>
        </w:rPr>
        <w:t>معاهدة الويبو</w:t>
      </w:r>
      <w:r w:rsidRPr="007E34E6">
        <w:rPr>
          <w:rFonts w:hint="cs"/>
          <w:rtl/>
          <w:lang w:val="it-IT"/>
        </w:rPr>
        <w:t xml:space="preserve"> </w:t>
      </w:r>
      <w:r w:rsidRPr="007E34E6">
        <w:rPr>
          <w:rtl/>
          <w:lang w:val="it-IT"/>
        </w:rPr>
        <w:t>بشأن الأداء والتسجيل الصوتي</w:t>
      </w:r>
      <w:r w:rsidRPr="007E34E6">
        <w:rPr>
          <w:rFonts w:hint="cs"/>
          <w:rtl/>
          <w:lang w:val="it-IT"/>
        </w:rPr>
        <w:t xml:space="preserve"> لسنة 1996 ومعاهدة بيجين لسنة 2012. ومع ذلك، يمكن ذكر العيوب التالية التي تشوب هذا النوع من الحماية:</w:t>
      </w:r>
    </w:p>
    <w:p w14:paraId="5E5BDCD9" w14:textId="6BAE1629" w:rsidR="007E34E6" w:rsidRPr="00F347F8" w:rsidRDefault="00F347F8" w:rsidP="00F347F8">
      <w:pPr>
        <w:pStyle w:val="BodyText"/>
        <w:ind w:left="1134" w:hanging="567"/>
      </w:pPr>
      <w:r>
        <w:rPr>
          <w:rFonts w:hint="cs"/>
          <w:rtl/>
          <w:lang w:val="it-IT"/>
        </w:rPr>
        <w:t>(أ)</w:t>
      </w:r>
      <w:r>
        <w:rPr>
          <w:rtl/>
          <w:lang w:val="it-IT"/>
        </w:rPr>
        <w:tab/>
      </w:r>
      <w:r w:rsidR="007E34E6" w:rsidRPr="00F347F8">
        <w:rPr>
          <w:rFonts w:hint="cs"/>
          <w:rtl/>
        </w:rPr>
        <w:t>تكون الحماية لفائدة الفنانين الذين يؤدون أشكال التعبير الثقافي التقليدي، وليس لصالح المجتمع المحلي المعني بالأمر، لا سيما في الحالات التي لا ينتمي فيها فنان الأداء إلى ذلك المجتمع المحلي. وعندما يكون فنان (فنانو) الأداء من المجتمع المحلي نفسه، من الأرجح أن يستفيد هذا المجتمع مباشرة من هذه الحماية؛</w:t>
      </w:r>
    </w:p>
    <w:p w14:paraId="05345A43" w14:textId="2FEBADFD" w:rsidR="007E34E6" w:rsidRPr="00F347F8" w:rsidRDefault="00F347F8" w:rsidP="00F347F8">
      <w:pPr>
        <w:pStyle w:val="BodyText"/>
        <w:ind w:left="1134" w:hanging="567"/>
      </w:pPr>
      <w:r>
        <w:rPr>
          <w:rFonts w:hint="cs"/>
          <w:rtl/>
          <w:lang w:val="it-IT"/>
        </w:rPr>
        <w:t>(ب)</w:t>
      </w:r>
      <w:r>
        <w:rPr>
          <w:rtl/>
          <w:lang w:val="it-IT"/>
        </w:rPr>
        <w:tab/>
      </w:r>
      <w:r w:rsidR="007E34E6" w:rsidRPr="00F347F8">
        <w:rPr>
          <w:rFonts w:hint="cs"/>
          <w:rtl/>
        </w:rPr>
        <w:t xml:space="preserve">وبما أن معاهدة بيجين لم تدخل حيز النفاذ بعد، لا تحمي </w:t>
      </w:r>
      <w:r w:rsidR="007E34E6" w:rsidRPr="00F347F8">
        <w:rPr>
          <w:rtl/>
        </w:rPr>
        <w:t xml:space="preserve">معاهدة الويبو بشأن حق المؤلف </w:t>
      </w:r>
      <w:r w:rsidR="007E34E6" w:rsidRPr="00F347F8">
        <w:rPr>
          <w:rFonts w:hint="cs"/>
          <w:rtl/>
        </w:rPr>
        <w:t>حاليا إلا بعض أنواع الأداء السمعي. وينطبق هذا على جميع أشكال الأداء، وليس على تجليات أشكال التعبير الثقافي التقليدي فقط؛</w:t>
      </w:r>
    </w:p>
    <w:p w14:paraId="44775F42" w14:textId="53045039" w:rsidR="007E34E6" w:rsidRPr="00F347F8" w:rsidRDefault="00F347F8" w:rsidP="00F347F8">
      <w:pPr>
        <w:pStyle w:val="BodyText"/>
        <w:ind w:left="1134" w:hanging="567"/>
        <w:rPr>
          <w:rtl/>
        </w:rPr>
      </w:pPr>
      <w:r>
        <w:rPr>
          <w:rFonts w:hint="cs"/>
          <w:rtl/>
          <w:lang w:val="it-IT"/>
        </w:rPr>
        <w:t>(ج)</w:t>
      </w:r>
      <w:r>
        <w:rPr>
          <w:rtl/>
          <w:lang w:val="it-IT"/>
        </w:rPr>
        <w:tab/>
      </w:r>
      <w:r w:rsidR="007E34E6" w:rsidRPr="00F347F8">
        <w:rPr>
          <w:rFonts w:hint="cs"/>
          <w:rtl/>
        </w:rPr>
        <w:t>ومرة أخرى بما أن معاهدة بيجين لم تدخل حيز النفاذ بعد، تقتصر حقوق فناني الأداء على القطاع السمعي البصري (وهذا أمر عام كذلك ولا يتصل بأشكال التعبير الثقافي التقليدي). وبموجب المادة 19 من اتفاقية روما لسنة 1961</w:t>
      </w:r>
      <w:r w:rsidR="007E34E6" w:rsidRPr="00F347F8">
        <w:rPr>
          <w:rtl/>
        </w:rPr>
        <w:t xml:space="preserve"> </w:t>
      </w:r>
      <w:r w:rsidR="007E34E6" w:rsidRPr="00F347F8">
        <w:rPr>
          <w:rFonts w:hint="cs"/>
          <w:rtl/>
        </w:rPr>
        <w:t>"</w:t>
      </w:r>
      <w:r w:rsidR="007E34E6" w:rsidRPr="00F347F8">
        <w:rPr>
          <w:rtl/>
        </w:rPr>
        <w:t>يتوقف تطبيق</w:t>
      </w:r>
      <w:r w:rsidR="007E34E6" w:rsidRPr="00F347F8">
        <w:rPr>
          <w:rFonts w:hint="cs"/>
          <w:rtl/>
        </w:rPr>
        <w:t>"</w:t>
      </w:r>
      <w:r w:rsidR="007E34E6" w:rsidRPr="00F347F8">
        <w:rPr>
          <w:rtl/>
        </w:rPr>
        <w:t xml:space="preserve"> المادة 7 بمجرد موافقة فنان الأداء على إدراج أدائه في تثبيت بصري أو سمعي بصري.</w:t>
      </w:r>
      <w:r w:rsidR="007E34E6" w:rsidRPr="00F347F8">
        <w:rPr>
          <w:rFonts w:hint="cs"/>
          <w:rtl/>
        </w:rPr>
        <w:t xml:space="preserve"> ويعني هذا أن حقوق فناني الأداء باستثناء </w:t>
      </w:r>
      <w:r w:rsidR="007E34E6" w:rsidRPr="00F347F8">
        <w:rPr>
          <w:rtl/>
        </w:rPr>
        <w:t>حق التثبيت</w:t>
      </w:r>
      <w:r w:rsidR="007E34E6" w:rsidRPr="00F347F8">
        <w:rPr>
          <w:rFonts w:hint="cs"/>
          <w:rtl/>
        </w:rPr>
        <w:t xml:space="preserve"> محصورة في القطاع السمعي البصري؛</w:t>
      </w:r>
    </w:p>
    <w:p w14:paraId="328E332E" w14:textId="19BB017F" w:rsidR="007E34E6" w:rsidRPr="00F347F8" w:rsidRDefault="00F347F8" w:rsidP="00F347F8">
      <w:pPr>
        <w:pStyle w:val="BodyText"/>
        <w:ind w:left="1134" w:hanging="567"/>
      </w:pPr>
      <w:r>
        <w:rPr>
          <w:rFonts w:hint="cs"/>
          <w:rtl/>
          <w:lang w:val="it-IT"/>
        </w:rPr>
        <w:t>(د)</w:t>
      </w:r>
      <w:r>
        <w:rPr>
          <w:rtl/>
          <w:lang w:val="it-IT"/>
        </w:rPr>
        <w:tab/>
      </w:r>
      <w:r w:rsidR="007E34E6" w:rsidRPr="00F347F8">
        <w:rPr>
          <w:rFonts w:hint="cs"/>
          <w:rtl/>
        </w:rPr>
        <w:t>وتضل حقوق فناني الأداء سارية مدة 50 سنة على الأقل في الحالات التي يثبت فيها الأداء في تسجيل صوتي أو 20 سنة بموجب اتفاقية روما. ولا تنطبق هذه المدة على أشكال الأداء غير المثبتة. وبالتالي، يمكن ألا تعتبر مسألة مدة الحماية "ثغرة" في حد ذاتها.</w:t>
      </w:r>
    </w:p>
    <w:p w14:paraId="144E3B23" w14:textId="77777777" w:rsidR="007E34E6" w:rsidRPr="007E34E6" w:rsidRDefault="007E34E6" w:rsidP="00F347F8">
      <w:pPr>
        <w:pStyle w:val="ONUMA"/>
        <w:rPr>
          <w:lang w:bidi="ar-EG"/>
        </w:rPr>
      </w:pPr>
      <w:r w:rsidRPr="007E34E6">
        <w:rPr>
          <w:rFonts w:hint="cs"/>
          <w:rtl/>
          <w:lang w:val="it-IT" w:bidi="ar-EG"/>
        </w:rPr>
        <w:t>ومن أمثلة ذلك: تم تسجيل أداء حي لأغاني ورقصات أشخاص في مجتمع أصلي على الفيديو ونسخ ونشر هذه التسجيلات لاحقا على أقراص فيديو رقمية وعلى الإنترنت.</w:t>
      </w:r>
    </w:p>
    <w:p w14:paraId="183F75E0" w14:textId="77777777" w:rsidR="007E34E6" w:rsidRPr="00F347F8" w:rsidRDefault="007E34E6" w:rsidP="00F347F8">
      <w:pPr>
        <w:pStyle w:val="Heading3"/>
        <w:spacing w:before="220" w:after="220"/>
        <w:rPr>
          <w:b/>
          <w:bCs w:val="0"/>
          <w:i/>
          <w:iCs/>
          <w:sz w:val="22"/>
          <w:szCs w:val="22"/>
          <w:u w:val="none"/>
          <w:lang w:bidi="ar-EG"/>
        </w:rPr>
      </w:pPr>
      <w:bookmarkStart w:id="71" w:name="_Toc520405382"/>
      <w:bookmarkStart w:id="72" w:name="_Toc109030404"/>
      <w:r w:rsidRPr="00F347F8">
        <w:rPr>
          <w:rFonts w:hint="cs"/>
          <w:b/>
          <w:bCs w:val="0"/>
          <w:i/>
          <w:iCs/>
          <w:sz w:val="22"/>
          <w:szCs w:val="22"/>
          <w:u w:val="none"/>
          <w:rtl/>
          <w:lang w:val="it-IT" w:bidi="ar-EG"/>
        </w:rPr>
        <w:t>التصاميم</w:t>
      </w:r>
      <w:bookmarkEnd w:id="71"/>
      <w:bookmarkEnd w:id="72"/>
    </w:p>
    <w:p w14:paraId="5599C2C7" w14:textId="77777777" w:rsidR="007E34E6" w:rsidRPr="007E34E6" w:rsidRDefault="007E34E6" w:rsidP="00F347F8">
      <w:pPr>
        <w:pStyle w:val="ONUMA"/>
        <w:rPr>
          <w:lang w:bidi="ar-EG"/>
        </w:rPr>
      </w:pPr>
      <w:r w:rsidRPr="007E34E6">
        <w:rPr>
          <w:rFonts w:hint="cs"/>
          <w:rtl/>
          <w:lang w:val="it-IT" w:bidi="ar-EG"/>
        </w:rPr>
        <w:t>مثلما هو حال المنتجات الأدبية والفنية، فإن الرسم والنماذج (أي التصاميم) القديمة فعلا ليست محمية لأنها ليست "جديدة" أو "أصلية". وإضافة إلى ذلك، فإن مدة حماية التصاميم أقصر من مدة حماية المصنفات بموجب حق المؤلف. وتتوقف حماية التصاميم أيضا على التقيد ببعض الشروط الشكلية.</w:t>
      </w:r>
    </w:p>
    <w:p w14:paraId="06D2332C" w14:textId="77777777" w:rsidR="007E34E6" w:rsidRPr="007E34E6" w:rsidRDefault="007E34E6" w:rsidP="00F347F8">
      <w:pPr>
        <w:pStyle w:val="ONUMA"/>
        <w:rPr>
          <w:lang w:bidi="ar-EG"/>
        </w:rPr>
      </w:pPr>
      <w:r w:rsidRPr="007E34E6">
        <w:rPr>
          <w:rFonts w:hint="cs"/>
          <w:rtl/>
          <w:lang w:val="it-IT" w:bidi="ar-EG"/>
        </w:rPr>
        <w:t>ومن أمثلة ذلك: قام أشخاص من غير المجتمع الأصلي بنسخ وتسويق تصاميم مجسدة منسوجات وسجاد وأقمشة وملابس منسوجة أو مصنوعة</w:t>
      </w:r>
      <w:r w:rsidRPr="007E34E6">
        <w:rPr>
          <w:rFonts w:hint="cs"/>
          <w:rtl/>
          <w:lang w:val="it-IT"/>
        </w:rPr>
        <w:t xml:space="preserve"> يدويا.</w:t>
      </w:r>
    </w:p>
    <w:p w14:paraId="4901E185" w14:textId="77777777" w:rsidR="007E34E6" w:rsidRPr="00F347F8" w:rsidRDefault="007E34E6" w:rsidP="00F347F8">
      <w:pPr>
        <w:pStyle w:val="Heading3"/>
        <w:spacing w:before="220" w:after="220"/>
        <w:rPr>
          <w:b/>
          <w:bCs w:val="0"/>
          <w:i/>
          <w:iCs/>
          <w:sz w:val="22"/>
          <w:szCs w:val="22"/>
          <w:u w:val="none"/>
          <w:rtl/>
          <w:lang w:val="it-IT"/>
        </w:rPr>
      </w:pPr>
      <w:bookmarkStart w:id="73" w:name="_Toc520405383"/>
      <w:bookmarkStart w:id="74" w:name="_Toc109030405"/>
      <w:r w:rsidRPr="00F347F8">
        <w:rPr>
          <w:rFonts w:hint="cs"/>
          <w:b/>
          <w:bCs w:val="0"/>
          <w:i/>
          <w:iCs/>
          <w:sz w:val="22"/>
          <w:szCs w:val="22"/>
          <w:u w:val="none"/>
          <w:rtl/>
          <w:lang w:val="it-IT"/>
        </w:rPr>
        <w:t>أشكال التعبير الثقافي التقليدي السرية</w:t>
      </w:r>
      <w:bookmarkEnd w:id="73"/>
      <w:bookmarkEnd w:id="74"/>
    </w:p>
    <w:p w14:paraId="6835908B" w14:textId="77777777" w:rsidR="007E34E6" w:rsidRPr="007E34E6" w:rsidRDefault="007E34E6" w:rsidP="00F347F8">
      <w:pPr>
        <w:pStyle w:val="ONUMA"/>
        <w:rPr>
          <w:lang w:bidi="ar-EG"/>
        </w:rPr>
      </w:pPr>
      <w:r w:rsidRPr="007E34E6">
        <w:rPr>
          <w:rFonts w:hint="cs"/>
          <w:rtl/>
          <w:lang w:val="it-IT" w:bidi="ar-EG"/>
        </w:rPr>
        <w:t>أشرنا</w:t>
      </w:r>
      <w:r w:rsidRPr="007E34E6">
        <w:rPr>
          <w:rFonts w:hint="cs"/>
          <w:rtl/>
          <w:lang w:val="it-IT"/>
        </w:rPr>
        <w:t xml:space="preserve"> في السابق إلى أن المادة 39 من اتفاق </w:t>
      </w:r>
      <w:proofErr w:type="spellStart"/>
      <w:r w:rsidRPr="007E34E6">
        <w:rPr>
          <w:rFonts w:hint="cs"/>
          <w:rtl/>
          <w:lang w:val="it-IT"/>
        </w:rPr>
        <w:t>تريبس</w:t>
      </w:r>
      <w:proofErr w:type="spellEnd"/>
      <w:r w:rsidRPr="007E34E6">
        <w:rPr>
          <w:rFonts w:hint="cs"/>
          <w:rtl/>
          <w:lang w:val="it-IT"/>
        </w:rPr>
        <w:t xml:space="preserve"> والمادة 10(ثانيا) من اتفاقية باريس يمكن أن </w:t>
      </w:r>
      <w:proofErr w:type="spellStart"/>
      <w:r w:rsidRPr="007E34E6">
        <w:rPr>
          <w:rFonts w:hint="cs"/>
          <w:rtl/>
          <w:lang w:val="it-IT"/>
        </w:rPr>
        <w:t>توفرفي</w:t>
      </w:r>
      <w:proofErr w:type="spellEnd"/>
      <w:r w:rsidRPr="007E34E6">
        <w:rPr>
          <w:rFonts w:hint="cs"/>
          <w:rtl/>
          <w:lang w:val="it-IT"/>
        </w:rPr>
        <w:t xml:space="preserve"> بعض الحالات الحماية الكافية لأشكال التعبير الثقافي التقليدي السرية، على أن هاتين المادتين ربما تنطبقان بالأساس على المعلومات الصناعية والتجارية. بيد أن أشكال التعبير الثقافي التقليدي السرية ليست جميعها معلومات قيمة من الناحية التجارية. وكثيرا ما يؤدي الكشف عن هذه الأشكال من التعبير، مثلما تبين قضية </w:t>
      </w:r>
      <w:proofErr w:type="spellStart"/>
      <w:r w:rsidRPr="007E34E6">
        <w:rPr>
          <w:rFonts w:hint="cs"/>
          <w:i/>
          <w:iCs/>
          <w:rtl/>
          <w:lang w:val="it-IT"/>
        </w:rPr>
        <w:t>ماونتفورد</w:t>
      </w:r>
      <w:proofErr w:type="spellEnd"/>
      <w:r w:rsidRPr="007E34E6">
        <w:rPr>
          <w:rFonts w:hint="cs"/>
          <w:i/>
          <w:iCs/>
          <w:rtl/>
          <w:lang w:val="it-IT"/>
        </w:rPr>
        <w:t xml:space="preserve"> </w:t>
      </w:r>
      <w:r w:rsidRPr="007E34E6">
        <w:rPr>
          <w:rFonts w:hint="cs"/>
          <w:rtl/>
          <w:lang w:val="it-IT"/>
        </w:rPr>
        <w:t>المشار إليها أعلاه، إلى ضرر ثقافي وروحي أكثر مما يؤدي إلى ضرر مالي. وبالتالي، فيمكن اعتبار ذلك ثغرة في حماية المعلومات غير المكشوف عنها والمعلومات السرية.</w:t>
      </w:r>
    </w:p>
    <w:p w14:paraId="69F70D8B" w14:textId="77777777" w:rsidR="007E34E6" w:rsidRPr="007E34E6" w:rsidRDefault="007E34E6" w:rsidP="00F347F8">
      <w:pPr>
        <w:pStyle w:val="ONUMA"/>
        <w:rPr>
          <w:lang w:bidi="ar-EG"/>
        </w:rPr>
      </w:pPr>
      <w:r w:rsidRPr="007E34E6">
        <w:rPr>
          <w:rFonts w:hint="cs"/>
          <w:rtl/>
          <w:lang w:val="it-IT"/>
        </w:rPr>
        <w:t xml:space="preserve">وفضلا عن ذلك، ليس من المؤكد أن جميع أشكال التعبير الثقافي التقليدي السرية ستُعتبر "سرية" لهذا الغرض. وقد كُشف عن العديد من أشكال التعبير الثقافي التقليدي داخل المجتمع المحلي الذي يمكن أن يضم العديد من الأشخاص الذين يعيشون في مناطق </w:t>
      </w:r>
      <w:r w:rsidRPr="007E34E6">
        <w:rPr>
          <w:rFonts w:hint="cs"/>
          <w:rtl/>
          <w:lang w:val="it-IT"/>
        </w:rPr>
        <w:lastRenderedPageBreak/>
        <w:t>شاسعة وفي أكثر من وسط واحد، مثل الوسط الريفي والوسط الحضري. وبعبارة أخرى، قد لا تتضح أحيانا الأوساط التي يمكن الكشف فيها عن أشكال التعبير الثقافي التقليدي السرية دون أن تفقد صفتها السرية.</w:t>
      </w:r>
    </w:p>
    <w:p w14:paraId="45CF80A9" w14:textId="77777777" w:rsidR="007E34E6" w:rsidRPr="007E34E6" w:rsidRDefault="007E34E6" w:rsidP="00F347F8">
      <w:pPr>
        <w:pStyle w:val="ONUMA"/>
        <w:rPr>
          <w:lang w:bidi="ar-EG"/>
        </w:rPr>
      </w:pPr>
      <w:r w:rsidRPr="007E34E6">
        <w:rPr>
          <w:rFonts w:hint="cs"/>
          <w:rtl/>
          <w:lang w:val="it-IT"/>
        </w:rPr>
        <w:t xml:space="preserve">ومن أمثلة ذلك: نشر عالم </w:t>
      </w:r>
      <w:r w:rsidRPr="007E34E6">
        <w:rPr>
          <w:rtl/>
          <w:lang w:val="it-IT"/>
        </w:rPr>
        <w:t>أنثروبولوجي</w:t>
      </w:r>
      <w:r w:rsidRPr="007E34E6">
        <w:rPr>
          <w:rFonts w:hint="cs"/>
          <w:rtl/>
          <w:lang w:val="it-IT"/>
        </w:rPr>
        <w:t xml:space="preserve"> معلومات سرية كُشف له عنها (انظر قضية </w:t>
      </w:r>
      <w:proofErr w:type="spellStart"/>
      <w:r w:rsidRPr="007E34E6">
        <w:rPr>
          <w:rFonts w:hint="cs"/>
          <w:i/>
          <w:iCs/>
          <w:rtl/>
          <w:lang w:val="it-IT"/>
        </w:rPr>
        <w:t>ماونتفورد</w:t>
      </w:r>
      <w:proofErr w:type="spellEnd"/>
      <w:r w:rsidRPr="007E34E6">
        <w:rPr>
          <w:rFonts w:hint="cs"/>
          <w:rtl/>
          <w:lang w:val="it-IT"/>
        </w:rPr>
        <w:t xml:space="preserve"> أعلاه). وفي بعض الحالات، كشفت متاحف ودور للمحفوظات وغيرها من المؤسسات المماثلة عن معلومات سرية دون قصد.</w:t>
      </w:r>
    </w:p>
    <w:p w14:paraId="4487B434" w14:textId="77777777" w:rsidR="007E34E6" w:rsidRPr="00F347F8" w:rsidRDefault="007E34E6" w:rsidP="00F347F8">
      <w:pPr>
        <w:pStyle w:val="Heading3"/>
        <w:spacing w:before="220" w:after="220"/>
        <w:rPr>
          <w:b/>
          <w:bCs w:val="0"/>
          <w:i/>
          <w:iCs/>
          <w:sz w:val="22"/>
          <w:szCs w:val="22"/>
          <w:u w:val="none"/>
          <w:rtl/>
          <w:lang w:val="it-IT"/>
        </w:rPr>
      </w:pPr>
      <w:bookmarkStart w:id="75" w:name="_Toc520405384"/>
      <w:bookmarkStart w:id="76" w:name="_Toc109030406"/>
      <w:r w:rsidRPr="00F347F8">
        <w:rPr>
          <w:rFonts w:hint="cs"/>
          <w:b/>
          <w:bCs w:val="0"/>
          <w:i/>
          <w:iCs/>
          <w:sz w:val="22"/>
          <w:szCs w:val="22"/>
          <w:u w:val="none"/>
          <w:rtl/>
          <w:lang w:val="it-IT"/>
        </w:rPr>
        <w:t>الأسماء والكلمات والرموز الأصلية والتقليدية</w:t>
      </w:r>
      <w:bookmarkEnd w:id="75"/>
      <w:bookmarkEnd w:id="76"/>
      <w:r w:rsidRPr="00F347F8">
        <w:rPr>
          <w:rFonts w:hint="cs"/>
          <w:b/>
          <w:bCs w:val="0"/>
          <w:i/>
          <w:iCs/>
          <w:sz w:val="22"/>
          <w:szCs w:val="22"/>
          <w:u w:val="none"/>
          <w:rtl/>
          <w:lang w:val="it-IT"/>
        </w:rPr>
        <w:t xml:space="preserve"> </w:t>
      </w:r>
    </w:p>
    <w:p w14:paraId="2518FC72" w14:textId="77777777" w:rsidR="007E34E6" w:rsidRPr="007E34E6" w:rsidRDefault="007E34E6" w:rsidP="00F347F8">
      <w:pPr>
        <w:pStyle w:val="ONUMA"/>
        <w:rPr>
          <w:rtl/>
          <w:lang w:val="it-IT"/>
        </w:rPr>
      </w:pPr>
      <w:r w:rsidRPr="007E34E6">
        <w:rPr>
          <w:rFonts w:hint="cs"/>
          <w:rtl/>
          <w:lang w:val="it-IT"/>
        </w:rPr>
        <w:t>في سياق الحماية الدفاعية وكما أُشير آنفا إلى أن القانون الدولي للعلامات التجارية ينطوي على إمكانية رفض أو إبطال تسجيل العلامات التي تكون "</w:t>
      </w:r>
      <w:r w:rsidRPr="007E34E6">
        <w:rPr>
          <w:rtl/>
          <w:lang w:val="it-IT"/>
        </w:rPr>
        <w:t>مخالفة للآداب أو النظام العام ولا سيما من طبيعة يترتب عليها تضليل الجمهور</w:t>
      </w:r>
      <w:r w:rsidRPr="007E34E6">
        <w:rPr>
          <w:rFonts w:hint="cs"/>
          <w:rtl/>
          <w:lang w:val="it-IT"/>
        </w:rPr>
        <w:t>"</w:t>
      </w:r>
      <w:r w:rsidRPr="007E34E6">
        <w:rPr>
          <w:rtl/>
          <w:lang w:val="it-IT"/>
        </w:rPr>
        <w:t>.</w:t>
      </w:r>
    </w:p>
    <w:p w14:paraId="4A9954D1" w14:textId="77777777" w:rsidR="007E34E6" w:rsidRPr="007E34E6" w:rsidRDefault="007E34E6" w:rsidP="00F347F8">
      <w:pPr>
        <w:pStyle w:val="ONUMA"/>
        <w:rPr>
          <w:lang w:bidi="ar-EG"/>
        </w:rPr>
      </w:pPr>
      <w:r w:rsidRPr="007E34E6">
        <w:rPr>
          <w:rFonts w:hint="cs"/>
          <w:rtl/>
          <w:lang w:val="it-IT"/>
        </w:rPr>
        <w:t>وبالرغم من أن هذه الحماية تبدو كافية عموما، فقد تكون فيها "ثغرة" لأن في عبارة "</w:t>
      </w:r>
      <w:r w:rsidRPr="007E34E6">
        <w:rPr>
          <w:rtl/>
          <w:lang w:val="it-IT"/>
        </w:rPr>
        <w:t>مخالفة للآداب</w:t>
      </w:r>
      <w:r w:rsidRPr="007E34E6">
        <w:rPr>
          <w:rFonts w:hint="cs"/>
          <w:rtl/>
          <w:lang w:val="it-IT"/>
        </w:rPr>
        <w:t>" وعبارة "</w:t>
      </w:r>
      <w:r w:rsidRPr="007E34E6">
        <w:rPr>
          <w:rtl/>
          <w:lang w:val="it-IT"/>
        </w:rPr>
        <w:t xml:space="preserve"> مخالفة </w:t>
      </w:r>
      <w:r w:rsidRPr="007E34E6">
        <w:rPr>
          <w:rFonts w:hint="cs"/>
          <w:rtl/>
          <w:lang w:val="it-IT"/>
        </w:rPr>
        <w:t>ل</w:t>
      </w:r>
      <w:r w:rsidRPr="007E34E6">
        <w:rPr>
          <w:rtl/>
          <w:lang w:val="it-IT"/>
        </w:rPr>
        <w:t>لنظام العام</w:t>
      </w:r>
      <w:r w:rsidRPr="007E34E6">
        <w:rPr>
          <w:rFonts w:hint="cs"/>
          <w:rtl/>
          <w:lang w:val="it-IT"/>
        </w:rPr>
        <w:t xml:space="preserve">" مفهومين واسعين ينفذان في إطار القوانين واللوائح والأحكام القضائية الوطنية التي تنشئ معايير الآداب العامة أو تضليل الجمهور المطبقة في بلد معين. وتختلف هذه المعايير، عند تطبيقها على </w:t>
      </w:r>
      <w:r w:rsidRPr="007E34E6">
        <w:rPr>
          <w:rtl/>
          <w:lang w:val="it-IT"/>
        </w:rPr>
        <w:t>طلبات تسجيل العلامات التجارية</w:t>
      </w:r>
      <w:r w:rsidRPr="007E34E6">
        <w:rPr>
          <w:rFonts w:hint="cs"/>
          <w:rtl/>
          <w:lang w:val="it-IT"/>
        </w:rPr>
        <w:t xml:space="preserve">، اختلافا كبيرا باختلاف القوانين الوطنية، والأمر كذلك بالنسبة لمفهوم الجمهور الذي يقاس عليه مستوى التضليل أو الأذى. ويستلزم تفسير هذين المفهومين حكما تقديريا يصدره موظفو مكاتب العلامات التجارية وأهل القضاء، الذين لا يكون لدى الكثير منهم أية تجربة بشأن المجتمعات المحلية وأشكال التعبير الثقافي التقليدي. </w:t>
      </w:r>
      <w:r w:rsidRPr="007E34E6">
        <w:rPr>
          <w:rtl/>
          <w:lang w:val="it-IT"/>
        </w:rPr>
        <w:t xml:space="preserve">وبالإضافة إلى </w:t>
      </w:r>
      <w:r w:rsidRPr="007E34E6">
        <w:rPr>
          <w:rFonts w:hint="cs"/>
          <w:rtl/>
          <w:lang w:val="it-IT"/>
        </w:rPr>
        <w:t>ذلك،</w:t>
      </w:r>
      <w:r w:rsidRPr="007E34E6">
        <w:rPr>
          <w:rtl/>
          <w:lang w:val="it-IT"/>
        </w:rPr>
        <w:t xml:space="preserve"> </w:t>
      </w:r>
      <w:r w:rsidRPr="007E34E6">
        <w:rPr>
          <w:rFonts w:hint="cs"/>
          <w:rtl/>
          <w:lang w:val="it-IT"/>
        </w:rPr>
        <w:t>لن يمنع</w:t>
      </w:r>
      <w:r w:rsidRPr="007E34E6">
        <w:rPr>
          <w:rtl/>
          <w:lang w:val="it-IT"/>
        </w:rPr>
        <w:t xml:space="preserve"> قانون العلامات التجارية استخدام الأسماء والكلمات والرموز الأصلية والتقليدية "المخالفة </w:t>
      </w:r>
      <w:r w:rsidRPr="007E34E6">
        <w:rPr>
          <w:rFonts w:hint="cs"/>
          <w:rtl/>
          <w:lang w:val="it-IT"/>
        </w:rPr>
        <w:t>للآداب</w:t>
      </w:r>
      <w:r w:rsidRPr="007E34E6">
        <w:rPr>
          <w:rtl/>
          <w:lang w:val="it-IT"/>
        </w:rPr>
        <w:t xml:space="preserve">" أو "المخالفة للنظام العام" أو "ذات </w:t>
      </w:r>
      <w:r w:rsidRPr="007E34E6">
        <w:rPr>
          <w:rFonts w:hint="cs"/>
          <w:rtl/>
          <w:lang w:val="it-IT"/>
        </w:rPr>
        <w:t>طابع</w:t>
      </w:r>
      <w:r w:rsidRPr="007E34E6">
        <w:rPr>
          <w:rtl/>
          <w:lang w:val="it-IT"/>
        </w:rPr>
        <w:t xml:space="preserve"> </w:t>
      </w:r>
      <w:r w:rsidRPr="007E34E6">
        <w:rPr>
          <w:rFonts w:hint="cs"/>
          <w:rtl/>
          <w:lang w:val="it-IT"/>
        </w:rPr>
        <w:t>يضلل</w:t>
      </w:r>
      <w:r w:rsidRPr="007E34E6">
        <w:rPr>
          <w:rtl/>
          <w:lang w:val="it-IT"/>
        </w:rPr>
        <w:t xml:space="preserve"> الجمهور"، </w:t>
      </w:r>
      <w:r w:rsidRPr="007E34E6">
        <w:rPr>
          <w:rFonts w:hint="cs"/>
          <w:rtl/>
          <w:lang w:val="it-IT"/>
        </w:rPr>
        <w:t>إذا لم يطلب</w:t>
      </w:r>
      <w:r w:rsidRPr="007E34E6">
        <w:rPr>
          <w:rtl/>
          <w:lang w:val="it-IT"/>
        </w:rPr>
        <w:t xml:space="preserve"> المستخدم تسجيل علامة تجارية، كما أنه لن </w:t>
      </w:r>
      <w:r w:rsidRPr="007E34E6">
        <w:rPr>
          <w:rFonts w:hint="cs"/>
          <w:rtl/>
          <w:lang w:val="it-IT"/>
        </w:rPr>
        <w:t>ي</w:t>
      </w:r>
      <w:r w:rsidRPr="007E34E6">
        <w:rPr>
          <w:rtl/>
          <w:lang w:val="it-IT"/>
        </w:rPr>
        <w:t xml:space="preserve">منع استخدام أو تسجيل أسماء أو كلمات أو رموز </w:t>
      </w:r>
      <w:r w:rsidRPr="007E34E6">
        <w:rPr>
          <w:rFonts w:hint="cs"/>
          <w:rtl/>
          <w:lang w:val="it-IT"/>
        </w:rPr>
        <w:t>أصلية</w:t>
      </w:r>
      <w:r w:rsidRPr="007E34E6">
        <w:rPr>
          <w:rtl/>
          <w:lang w:val="it-IT"/>
        </w:rPr>
        <w:t xml:space="preserve"> أو تقليدية</w:t>
      </w:r>
      <w:r w:rsidRPr="007E34E6">
        <w:rPr>
          <w:rFonts w:hint="cs"/>
          <w:rtl/>
          <w:lang w:val="it-IT"/>
        </w:rPr>
        <w:t xml:space="preserve"> التي</w:t>
      </w:r>
      <w:r w:rsidRPr="007E34E6">
        <w:rPr>
          <w:rtl/>
          <w:lang w:val="it-IT"/>
        </w:rPr>
        <w:t xml:space="preserve"> لا تعتبر "مخالفة </w:t>
      </w:r>
      <w:r w:rsidRPr="007E34E6">
        <w:rPr>
          <w:rFonts w:hint="cs"/>
          <w:rtl/>
          <w:lang w:val="it-IT"/>
        </w:rPr>
        <w:t>للآداب</w:t>
      </w:r>
      <w:r w:rsidRPr="007E34E6">
        <w:rPr>
          <w:rtl/>
          <w:lang w:val="it-IT"/>
        </w:rPr>
        <w:t xml:space="preserve">" أو "مخالفة للنظام العام" أو "ذات </w:t>
      </w:r>
      <w:r w:rsidRPr="007E34E6">
        <w:rPr>
          <w:rFonts w:hint="cs"/>
          <w:rtl/>
          <w:lang w:val="it-IT"/>
        </w:rPr>
        <w:t>طابع</w:t>
      </w:r>
      <w:r w:rsidRPr="007E34E6">
        <w:rPr>
          <w:rtl/>
          <w:lang w:val="it-IT"/>
        </w:rPr>
        <w:t xml:space="preserve"> لخداع الجمهور "(على الرغم من أنه قد </w:t>
      </w:r>
      <w:r w:rsidRPr="007E34E6">
        <w:rPr>
          <w:rFonts w:hint="cs"/>
          <w:rtl/>
          <w:lang w:val="it-IT"/>
        </w:rPr>
        <w:t>تُطبّق</w:t>
      </w:r>
      <w:r w:rsidRPr="007E34E6">
        <w:rPr>
          <w:rtl/>
          <w:lang w:val="it-IT"/>
        </w:rPr>
        <w:t xml:space="preserve"> أسباب أخرى </w:t>
      </w:r>
      <w:r w:rsidRPr="007E34E6">
        <w:rPr>
          <w:rFonts w:hint="cs"/>
          <w:rtl/>
          <w:lang w:val="it-IT"/>
        </w:rPr>
        <w:t>ل</w:t>
      </w:r>
      <w:r w:rsidRPr="007E34E6">
        <w:rPr>
          <w:rtl/>
          <w:lang w:val="it-IT"/>
        </w:rPr>
        <w:t>لرفض).</w:t>
      </w:r>
    </w:p>
    <w:p w14:paraId="7757A0A0" w14:textId="77777777" w:rsidR="007E34E6" w:rsidRPr="007E34E6" w:rsidRDefault="007E34E6" w:rsidP="00F347F8">
      <w:pPr>
        <w:pStyle w:val="ONUMA"/>
        <w:rPr>
          <w:lang w:bidi="ar-EG"/>
        </w:rPr>
      </w:pPr>
      <w:r w:rsidRPr="007E34E6">
        <w:rPr>
          <w:rFonts w:hint="cs"/>
          <w:rtl/>
          <w:lang w:val="it-IT"/>
        </w:rPr>
        <w:t>و</w:t>
      </w:r>
      <w:r w:rsidRPr="007E34E6">
        <w:rPr>
          <w:rtl/>
          <w:lang w:val="it-IT"/>
        </w:rPr>
        <w:t xml:space="preserve">في سياق الحماية الإيجابية، على الرغم من </w:t>
      </w:r>
      <w:r w:rsidRPr="007E34E6">
        <w:rPr>
          <w:rFonts w:hint="cs"/>
          <w:rtl/>
          <w:lang w:val="it-IT"/>
        </w:rPr>
        <w:t>إتاحة</w:t>
      </w:r>
      <w:r w:rsidRPr="007E34E6">
        <w:rPr>
          <w:rtl/>
          <w:lang w:val="it-IT"/>
        </w:rPr>
        <w:t xml:space="preserve"> المبادئ والإجراءات الدولية للمجتمعات التي ترغب في تسجيل العلامات التجارية المميزة، فإن نظام العلامات التجارية لا يوفر نظام حماية شامل لأنه سيكون مكلفًا للغاية لتسجيل جميع الأسماء </w:t>
      </w:r>
      <w:r w:rsidRPr="007E34E6">
        <w:rPr>
          <w:rFonts w:hint="cs"/>
          <w:rtl/>
          <w:lang w:val="it-IT"/>
        </w:rPr>
        <w:t>و</w:t>
      </w:r>
      <w:r w:rsidRPr="007E34E6">
        <w:rPr>
          <w:rtl/>
          <w:lang w:val="it-IT"/>
        </w:rPr>
        <w:t xml:space="preserve">الكلمات والرموز الأصلية </w:t>
      </w:r>
      <w:r w:rsidRPr="007E34E6">
        <w:rPr>
          <w:rFonts w:hint="cs"/>
          <w:rtl/>
          <w:lang w:val="it-IT"/>
        </w:rPr>
        <w:t>والتقليدية</w:t>
      </w:r>
      <w:r w:rsidRPr="007E34E6">
        <w:rPr>
          <w:rtl/>
          <w:lang w:val="it-IT"/>
        </w:rPr>
        <w:t xml:space="preserve"> المرتبطة </w:t>
      </w:r>
      <w:r w:rsidRPr="007E34E6">
        <w:rPr>
          <w:rFonts w:hint="cs"/>
          <w:rtl/>
          <w:lang w:val="it-IT"/>
        </w:rPr>
        <w:t>بمجتمع ما</w:t>
      </w:r>
      <w:r w:rsidRPr="007E34E6">
        <w:rPr>
          <w:rtl/>
          <w:lang w:val="it-IT"/>
        </w:rPr>
        <w:t xml:space="preserve">. وبالإضافة إلى </w:t>
      </w:r>
      <w:r w:rsidRPr="007E34E6">
        <w:rPr>
          <w:rFonts w:hint="cs"/>
          <w:rtl/>
          <w:lang w:val="it-IT"/>
        </w:rPr>
        <w:t>ذلك،</w:t>
      </w:r>
      <w:r w:rsidRPr="007E34E6">
        <w:rPr>
          <w:rtl/>
          <w:lang w:val="it-IT"/>
        </w:rPr>
        <w:t xml:space="preserve"> قد يتطلب قانون العلامات التجارية استخدام العلامات في سياق التجارة </w:t>
      </w:r>
      <w:r w:rsidRPr="007E34E6">
        <w:rPr>
          <w:rFonts w:hint="cs"/>
          <w:rtl/>
          <w:lang w:val="it-IT"/>
        </w:rPr>
        <w:t>لتكتسب المصداقية،</w:t>
      </w:r>
      <w:r w:rsidRPr="007E34E6">
        <w:rPr>
          <w:rtl/>
          <w:lang w:val="it-IT"/>
        </w:rPr>
        <w:t xml:space="preserve"> مما قد يسبب مشاكل بالنسبة لأشكال التعبير الثقافي التقليدي المقدسة والسرية.</w:t>
      </w:r>
    </w:p>
    <w:p w14:paraId="77BA1DFF" w14:textId="77777777" w:rsidR="007E34E6" w:rsidRPr="007E34E6" w:rsidRDefault="007E34E6" w:rsidP="00F347F8">
      <w:pPr>
        <w:pStyle w:val="ONUMA"/>
        <w:rPr>
          <w:lang w:bidi="ar-EG"/>
        </w:rPr>
      </w:pPr>
      <w:r w:rsidRPr="007E34E6">
        <w:rPr>
          <w:rFonts w:hint="cs"/>
          <w:rtl/>
          <w:lang w:val="it-IT"/>
        </w:rPr>
        <w:t>ولهذه الأسباب، اتخذت بعض البلدان والمنظمات الإقليمية تدابير للحماية من الانتفاع بأشكال التعبير الثقافي التقليدي كعلامات تجارية. انظر أدناه " الخيارات الحالية أو التي يمكن وضعها لمعالجة أية ثغرات محددة، بما فيها الخيارات القانونية وغيرها سواء على المستوى الدولي أو الإقليمي أو الوطني".</w:t>
      </w:r>
    </w:p>
    <w:p w14:paraId="3A1DB3DA" w14:textId="77777777" w:rsidR="007E34E6" w:rsidRPr="007E34E6" w:rsidRDefault="007E34E6" w:rsidP="00F347F8">
      <w:pPr>
        <w:pStyle w:val="ONUMA"/>
        <w:rPr>
          <w:lang w:bidi="ar-EG"/>
        </w:rPr>
      </w:pPr>
      <w:r w:rsidRPr="007E34E6">
        <w:rPr>
          <w:rFonts w:hint="cs"/>
          <w:rtl/>
          <w:lang w:val="it-IT"/>
        </w:rPr>
        <w:t>ومن أمثلة ذلك: انتفاع مؤسسة من خارج مجتمع أصلي انتفاعا تجاريا بكلمات المجتمع الأصلي وأسمائه ورموزه الأصلية فيما يخص شعارات المؤسسة والمعدات الرياضية والأزياء والفرق الرياضية والألعاب والسيارات والأسلحة والمنتجات الكحولية.</w:t>
      </w:r>
    </w:p>
    <w:p w14:paraId="2089818C" w14:textId="77777777" w:rsidR="007E34E6" w:rsidRPr="00F347F8" w:rsidRDefault="007E34E6" w:rsidP="00F347F8">
      <w:pPr>
        <w:pStyle w:val="Heading2"/>
        <w:spacing w:before="220" w:after="220"/>
        <w:rPr>
          <w:b/>
          <w:bCs w:val="0"/>
          <w:sz w:val="22"/>
          <w:szCs w:val="22"/>
          <w:lang w:bidi="ar-EG"/>
        </w:rPr>
      </w:pPr>
      <w:bookmarkStart w:id="77" w:name="_Toc520405385"/>
      <w:bookmarkStart w:id="78" w:name="_Toc109030407"/>
      <w:r w:rsidRPr="00F347F8">
        <w:rPr>
          <w:rFonts w:hint="cs"/>
          <w:b/>
          <w:bCs w:val="0"/>
          <w:sz w:val="22"/>
          <w:szCs w:val="22"/>
          <w:rtl/>
          <w:lang w:val="it-IT"/>
        </w:rPr>
        <w:t>جيم.</w:t>
      </w:r>
      <w:r w:rsidRPr="00F347F8">
        <w:rPr>
          <w:rFonts w:hint="cs"/>
          <w:b/>
          <w:bCs w:val="0"/>
          <w:sz w:val="22"/>
          <w:szCs w:val="22"/>
          <w:rtl/>
          <w:lang w:val="it-IT"/>
        </w:rPr>
        <w:tab/>
      </w:r>
      <w:r w:rsidRPr="00F347F8">
        <w:rPr>
          <w:rFonts w:hint="cs"/>
          <w:b/>
          <w:bCs w:val="0"/>
          <w:sz w:val="22"/>
          <w:szCs w:val="22"/>
          <w:u w:val="single"/>
          <w:rtl/>
          <w:lang w:val="it-IT"/>
        </w:rPr>
        <w:t>ا</w:t>
      </w:r>
      <w:proofErr w:type="spellStart"/>
      <w:r w:rsidRPr="00F347F8">
        <w:rPr>
          <w:b/>
          <w:bCs w:val="0"/>
          <w:sz w:val="22"/>
          <w:szCs w:val="22"/>
          <w:u w:val="single"/>
          <w:rtl/>
          <w:lang w:val="it-IT" w:bidi="ar-EG"/>
        </w:rPr>
        <w:t>عتبارات</w:t>
      </w:r>
      <w:proofErr w:type="spellEnd"/>
      <w:r w:rsidRPr="00F347F8">
        <w:rPr>
          <w:rFonts w:hint="cs"/>
          <w:b/>
          <w:bCs w:val="0"/>
          <w:sz w:val="22"/>
          <w:szCs w:val="22"/>
          <w:u w:val="single"/>
          <w:rtl/>
          <w:lang w:val="it-IT" w:bidi="ar-EG"/>
        </w:rPr>
        <w:t xml:space="preserve"> </w:t>
      </w:r>
      <w:r w:rsidRPr="00F347F8">
        <w:rPr>
          <w:b/>
          <w:bCs w:val="0"/>
          <w:sz w:val="22"/>
          <w:szCs w:val="22"/>
          <w:u w:val="single"/>
          <w:rtl/>
          <w:lang w:val="it-IT" w:bidi="ar-EG"/>
        </w:rPr>
        <w:t>مفيدة للبت في الحاجة إلى معالجة تلك الثغرات من عدمها</w:t>
      </w:r>
      <w:bookmarkEnd w:id="77"/>
      <w:bookmarkEnd w:id="78"/>
    </w:p>
    <w:p w14:paraId="563B990C" w14:textId="77777777" w:rsidR="007E34E6" w:rsidRPr="007E34E6" w:rsidRDefault="007E34E6" w:rsidP="00F347F8">
      <w:pPr>
        <w:pStyle w:val="ONUMA"/>
        <w:rPr>
          <w:lang w:bidi="ar-EG"/>
        </w:rPr>
      </w:pPr>
      <w:r w:rsidRPr="007E34E6">
        <w:rPr>
          <w:rFonts w:hint="cs"/>
          <w:rtl/>
          <w:lang w:val="it-IT"/>
        </w:rPr>
        <w:t>يبقى اتخاذ القرارات المتعلقة بما إذا كان ينبغي أم لا معالجة أية من الثغرات المحددة أعلاه، في يد المشاركين في اللجنة. ويستعرض هذا القسم بعض الاعتبارات والعوامل التي قد يرغب المشاركون في أخذها بعين الاعتبار عند اتخاذ هذه القرارات.</w:t>
      </w:r>
    </w:p>
    <w:p w14:paraId="476B3C3F" w14:textId="77777777" w:rsidR="007E34E6" w:rsidRPr="00F347F8" w:rsidRDefault="007E34E6" w:rsidP="00F347F8">
      <w:pPr>
        <w:pStyle w:val="Heading3"/>
        <w:spacing w:before="220" w:after="220"/>
        <w:rPr>
          <w:b/>
          <w:bCs w:val="0"/>
          <w:i/>
          <w:iCs/>
          <w:sz w:val="22"/>
          <w:szCs w:val="22"/>
          <w:u w:val="none"/>
          <w:lang w:bidi="ar-EG"/>
        </w:rPr>
      </w:pPr>
      <w:bookmarkStart w:id="79" w:name="_Toc520405386"/>
      <w:bookmarkStart w:id="80" w:name="_Toc109030408"/>
      <w:r w:rsidRPr="00F347F8">
        <w:rPr>
          <w:rFonts w:hint="cs"/>
          <w:b/>
          <w:bCs w:val="0"/>
          <w:i/>
          <w:iCs/>
          <w:sz w:val="22"/>
          <w:szCs w:val="22"/>
          <w:u w:val="none"/>
          <w:rtl/>
          <w:lang w:val="it-IT"/>
        </w:rPr>
        <w:t xml:space="preserve">معالجة الثغرات </w:t>
      </w:r>
      <w:r w:rsidRPr="00F347F8">
        <w:rPr>
          <w:rFonts w:hint="cs"/>
          <w:b/>
          <w:bCs w:val="0"/>
          <w:i/>
          <w:iCs/>
          <w:sz w:val="22"/>
          <w:szCs w:val="22"/>
          <w:u w:val="none"/>
          <w:rtl/>
          <w:lang w:val="it-IT" w:bidi="ar-EG"/>
        </w:rPr>
        <w:t>على المستوى الدولي أو الإقليمي أو الوطني</w:t>
      </w:r>
      <w:bookmarkEnd w:id="79"/>
      <w:bookmarkEnd w:id="80"/>
    </w:p>
    <w:p w14:paraId="77F32363" w14:textId="77777777" w:rsidR="007E34E6" w:rsidRPr="007E34E6" w:rsidRDefault="007E34E6" w:rsidP="00F347F8">
      <w:pPr>
        <w:pStyle w:val="ONUMA"/>
        <w:rPr>
          <w:lang w:bidi="ar-EG"/>
        </w:rPr>
      </w:pPr>
      <w:r w:rsidRPr="007E34E6">
        <w:rPr>
          <w:rFonts w:hint="cs"/>
          <w:rtl/>
          <w:lang w:val="it-IT" w:bidi="ar-EG"/>
        </w:rPr>
        <w:t xml:space="preserve">قد يكون أحد الاعتبارات المستوى الذي </w:t>
      </w:r>
      <w:r w:rsidRPr="007E34E6">
        <w:rPr>
          <w:rFonts w:hint="cs"/>
          <w:rtl/>
          <w:lang w:val="it-IT"/>
        </w:rPr>
        <w:t>يمكن أو ربما يجب معالجة ثغرة عليه. فبعض الثغرات تتطلب معالجتها على المستوى الدولي، عن طريق صك دولي من نوع ما،</w:t>
      </w:r>
      <w:r w:rsidRPr="007E34E6">
        <w:rPr>
          <w:vertAlign w:val="superscript"/>
          <w:rtl/>
          <w:lang w:val="it-IT"/>
        </w:rPr>
        <w:footnoteReference w:id="44"/>
      </w:r>
      <w:r w:rsidRPr="007E34E6">
        <w:rPr>
          <w:rFonts w:hint="cs"/>
          <w:rtl/>
          <w:lang w:val="it-IT"/>
        </w:rPr>
        <w:t xml:space="preserve">على سبيل المثال، ويمكن معالجة ثغرات أخرى على المستوى الإقليمي أو الوطني أو المحلي. ولا تتطرق هذه الوثيقة إلى مجموعة الخيارات المتاحة بشأن أنواع الصكوك التي قد ترغب الدول في اعتمادها، والتي نوقشت في الوثيقة </w:t>
      </w:r>
      <w:r w:rsidRPr="007E34E6">
        <w:rPr>
          <w:lang w:bidi="ar-EG"/>
        </w:rPr>
        <w:t>WIPO/GRTKF/IC/12/6</w:t>
      </w:r>
      <w:r w:rsidRPr="007E34E6">
        <w:rPr>
          <w:rFonts w:hint="cs"/>
          <w:rtl/>
          <w:lang w:val="it-IT"/>
        </w:rPr>
        <w:t>.</w:t>
      </w:r>
    </w:p>
    <w:p w14:paraId="45A17963" w14:textId="77777777" w:rsidR="007E34E6" w:rsidRPr="00F347F8" w:rsidRDefault="007E34E6" w:rsidP="00F347F8">
      <w:pPr>
        <w:pStyle w:val="Heading3"/>
        <w:spacing w:before="220" w:after="220"/>
        <w:rPr>
          <w:b/>
          <w:bCs w:val="0"/>
          <w:i/>
          <w:iCs/>
          <w:sz w:val="22"/>
          <w:szCs w:val="22"/>
          <w:u w:val="none"/>
          <w:lang w:val="fr-FR" w:bidi="ar-EG"/>
        </w:rPr>
      </w:pPr>
      <w:bookmarkStart w:id="81" w:name="_Toc520405387"/>
      <w:bookmarkStart w:id="82" w:name="_Toc109030409"/>
      <w:r w:rsidRPr="00F347F8">
        <w:rPr>
          <w:rFonts w:hint="cs"/>
          <w:b/>
          <w:bCs w:val="0"/>
          <w:i/>
          <w:iCs/>
          <w:sz w:val="22"/>
          <w:szCs w:val="22"/>
          <w:u w:val="none"/>
          <w:rtl/>
          <w:lang w:val="it-IT"/>
        </w:rPr>
        <w:t>التشريعات والممارسات وتكوين الكفاءات</w:t>
      </w:r>
      <w:bookmarkEnd w:id="81"/>
      <w:bookmarkEnd w:id="82"/>
    </w:p>
    <w:p w14:paraId="5EBA9E82" w14:textId="77777777" w:rsidR="007E34E6" w:rsidRPr="007E34E6" w:rsidRDefault="007E34E6" w:rsidP="00F347F8">
      <w:pPr>
        <w:pStyle w:val="ONUMA"/>
        <w:rPr>
          <w:lang w:bidi="ar-EG"/>
        </w:rPr>
      </w:pPr>
      <w:r w:rsidRPr="007E34E6">
        <w:rPr>
          <w:rFonts w:hint="cs"/>
          <w:rtl/>
          <w:lang w:val="it-IT"/>
        </w:rPr>
        <w:t>يمكن معالجة الثغرات من خلال الإجراءات التشريعية (مثل إصدار معايير قانونية جديدة أو تحسين المعايير القائمة، سواء على المستوى الدولي أو الإقليمي أو الوطني)، أو وضع أدوات عملية (مثل إعداد عقود نموذجية للتعويض/تقاسم المنافع أو مواثيق للبحث أو وضع أنظمة الترخيص) أو تكوين الكفاءات (مثل تعزيز قدرة المجتمعات المحلية على التفاوض مع الغير على نحو فيه مزيد من المساواة) أو تشكيلة من هذه الإجراءات.</w:t>
      </w:r>
    </w:p>
    <w:p w14:paraId="385FCF5F" w14:textId="77777777" w:rsidR="007E34E6" w:rsidRPr="00F347F8" w:rsidRDefault="007E34E6" w:rsidP="00F347F8">
      <w:pPr>
        <w:pStyle w:val="Heading3"/>
        <w:spacing w:before="220" w:after="220"/>
        <w:rPr>
          <w:b/>
          <w:bCs w:val="0"/>
          <w:i/>
          <w:iCs/>
          <w:sz w:val="22"/>
          <w:szCs w:val="22"/>
          <w:u w:val="none"/>
          <w:lang w:bidi="ar-EG"/>
        </w:rPr>
      </w:pPr>
      <w:bookmarkStart w:id="83" w:name="_Toc520405388"/>
      <w:bookmarkStart w:id="84" w:name="_Toc109030410"/>
      <w:r w:rsidRPr="00F347F8">
        <w:rPr>
          <w:rFonts w:hint="cs"/>
          <w:b/>
          <w:bCs w:val="0"/>
          <w:i/>
          <w:iCs/>
          <w:sz w:val="22"/>
          <w:szCs w:val="22"/>
          <w:u w:val="none"/>
          <w:rtl/>
          <w:lang w:val="it-IT"/>
        </w:rPr>
        <w:lastRenderedPageBreak/>
        <w:t>البيئة القانونية والسياسة العامة</w:t>
      </w:r>
      <w:bookmarkEnd w:id="83"/>
      <w:bookmarkEnd w:id="84"/>
      <w:r w:rsidRPr="00F347F8">
        <w:rPr>
          <w:rFonts w:hint="cs"/>
          <w:b/>
          <w:bCs w:val="0"/>
          <w:i/>
          <w:iCs/>
          <w:sz w:val="22"/>
          <w:szCs w:val="22"/>
          <w:u w:val="none"/>
          <w:rtl/>
          <w:lang w:val="it-IT"/>
        </w:rPr>
        <w:t xml:space="preserve"> </w:t>
      </w:r>
    </w:p>
    <w:p w14:paraId="4EA349CD" w14:textId="77777777" w:rsidR="007E34E6" w:rsidRPr="007E34E6" w:rsidRDefault="007E34E6" w:rsidP="00F347F8">
      <w:pPr>
        <w:pStyle w:val="ONUMA"/>
        <w:rPr>
          <w:lang w:bidi="ar-EG"/>
        </w:rPr>
      </w:pPr>
      <w:r w:rsidRPr="007E34E6">
        <w:rPr>
          <w:rFonts w:hint="cs"/>
          <w:rtl/>
          <w:lang w:val="it-IT"/>
        </w:rPr>
        <w:t xml:space="preserve">يمكن أن يكون أحد الاعتبارات المستوى الذي وصلت إليه مناقشة موضوع حماية أشكال التعبير الثقافي التقليدي في منتديات أخرى أو مدى حماية أشكال التعبير الثقافي التقليدي بالفعل بموجب صكوك قانونية في مجالات أخرى من مجالات السياسة العامة. وعلى سبيل المثال، تعالج اتفاقيتان لليونسكو موضوع التعبير الثقافي التقليدي، وهما </w:t>
      </w:r>
      <w:r w:rsidRPr="007E34E6">
        <w:rPr>
          <w:rtl/>
          <w:lang w:val="it-IT"/>
        </w:rPr>
        <w:t>اتفاقية صون التراث الثقافي غير المادي</w:t>
      </w:r>
      <w:r w:rsidRPr="007E34E6">
        <w:rPr>
          <w:rFonts w:hint="cs"/>
          <w:rtl/>
          <w:lang w:val="it-IT"/>
        </w:rPr>
        <w:t xml:space="preserve"> لسنة 2003، واتفاقية</w:t>
      </w:r>
      <w:r w:rsidRPr="007E34E6">
        <w:rPr>
          <w:rtl/>
          <w:lang w:val="it-IT"/>
        </w:rPr>
        <w:t xml:space="preserve"> حماية وتعزيز تنوع أشكال التعبير الثقافي</w:t>
      </w:r>
      <w:r w:rsidRPr="007E34E6">
        <w:rPr>
          <w:rFonts w:hint="cs"/>
          <w:rtl/>
          <w:lang w:val="it-IT"/>
        </w:rPr>
        <w:t xml:space="preserve"> لسنة 2005، اللتان نوقشتا في وثائق سابقة. وتناقش حماية أشكال التعبير الثقافي التقليدي أيضا في بعض المنتديات الخاصة بحقوق الإنسان وقضايا المجتمعات الأصلية ويشير إليها كذلك </w:t>
      </w:r>
      <w:r w:rsidRPr="007E34E6">
        <w:rPr>
          <w:rtl/>
          <w:lang w:val="it-IT"/>
        </w:rPr>
        <w:t>إعلان الأمم المتحدة بشأن حقوق الشعوب الأصلية</w:t>
      </w:r>
      <w:r w:rsidRPr="007E34E6">
        <w:rPr>
          <w:vertAlign w:val="superscript"/>
          <w:rtl/>
          <w:lang w:val="it-IT"/>
        </w:rPr>
        <w:footnoteReference w:id="45"/>
      </w:r>
      <w:r w:rsidRPr="007E34E6">
        <w:rPr>
          <w:rFonts w:hint="cs"/>
          <w:rtl/>
          <w:lang w:val="it-IT"/>
        </w:rPr>
        <w:t>. واتفاقية منظمة العمل الدولية المتعلقة بالشعوب الأصلية والقبلية رقم 169 فائدة أيضا في هذا الصدد. وقد يكون أحد العوامل اختيار الأفضل التي يمكن أن تكمل وتدعم بها هذه المسارات المتنوعة بعضها البعض.</w:t>
      </w:r>
    </w:p>
    <w:p w14:paraId="69531297" w14:textId="77777777" w:rsidR="007E34E6" w:rsidRPr="007E34E6" w:rsidRDefault="007E34E6" w:rsidP="00F347F8">
      <w:pPr>
        <w:pStyle w:val="ONUMA"/>
        <w:rPr>
          <w:lang w:bidi="ar-EG"/>
        </w:rPr>
      </w:pPr>
      <w:r w:rsidRPr="007E34E6">
        <w:rPr>
          <w:rFonts w:hint="cs"/>
          <w:rtl/>
          <w:lang w:val="it-IT"/>
        </w:rPr>
        <w:t>ويمكن الاستفادة أيضا مما يدور من مناقشات داخل الويبو بشكل مباشر. وأحد عناصر جدول أعمال الويبو بشأن التنمية، على سبيل المثال، هو: "حث</w:t>
      </w:r>
      <w:r w:rsidRPr="007E34E6">
        <w:rPr>
          <w:rtl/>
          <w:lang w:val="it-IT"/>
        </w:rPr>
        <w:t xml:space="preserve"> اللجنة الحكومية الدولية على الإسراع في مسارها بشأن حماية الموارد الوراثية والمعارف التقليدية والفولكلور، من غير إخلال بأي نتائج بما فيها إمكانية وضع صك دولي واحد أو أكثر</w:t>
      </w:r>
      <w:r w:rsidRPr="007E34E6">
        <w:rPr>
          <w:rFonts w:hint="cs"/>
          <w:rtl/>
          <w:lang w:val="it-IT"/>
        </w:rPr>
        <w:t>"</w:t>
      </w:r>
      <w:r w:rsidRPr="007E34E6">
        <w:rPr>
          <w:rtl/>
          <w:lang w:val="it-IT"/>
        </w:rPr>
        <w:t>.</w:t>
      </w:r>
    </w:p>
    <w:p w14:paraId="32FD11E2" w14:textId="77777777" w:rsidR="007E34E6" w:rsidRPr="00F347F8" w:rsidRDefault="007E34E6" w:rsidP="00F347F8">
      <w:pPr>
        <w:pStyle w:val="Heading3"/>
        <w:spacing w:before="220" w:after="220"/>
        <w:rPr>
          <w:b/>
          <w:bCs w:val="0"/>
          <w:i/>
          <w:iCs/>
          <w:sz w:val="22"/>
          <w:szCs w:val="22"/>
          <w:u w:val="none"/>
          <w:lang w:bidi="ar-EG"/>
        </w:rPr>
      </w:pPr>
      <w:bookmarkStart w:id="85" w:name="_Toc520405389"/>
      <w:bookmarkStart w:id="86" w:name="_Toc109030411"/>
      <w:r w:rsidRPr="00F347F8">
        <w:rPr>
          <w:rFonts w:hint="cs"/>
          <w:b/>
          <w:bCs w:val="0"/>
          <w:i/>
          <w:iCs/>
          <w:sz w:val="22"/>
          <w:szCs w:val="22"/>
          <w:u w:val="none"/>
          <w:rtl/>
          <w:lang w:val="it-IT"/>
        </w:rPr>
        <w:t>قضايا السياسة العامة</w:t>
      </w:r>
      <w:bookmarkEnd w:id="85"/>
      <w:bookmarkEnd w:id="86"/>
    </w:p>
    <w:p w14:paraId="31A3DB93" w14:textId="77777777" w:rsidR="007E34E6" w:rsidRPr="007E34E6" w:rsidRDefault="007E34E6" w:rsidP="00F347F8">
      <w:pPr>
        <w:pStyle w:val="ONUMA"/>
        <w:rPr>
          <w:lang w:bidi="ar-EG"/>
        </w:rPr>
      </w:pPr>
      <w:r w:rsidRPr="007E34E6">
        <w:rPr>
          <w:rFonts w:hint="cs"/>
          <w:rtl/>
          <w:lang w:val="it-IT"/>
        </w:rPr>
        <w:t>قد يرغب المشاركون في اللجنة أيضا في بحث سبب ظهور الثغرات المحددة في المقام الأول وتداعيات معالجتها في السياسة العامة.</w:t>
      </w:r>
    </w:p>
    <w:p w14:paraId="762B7363" w14:textId="77777777" w:rsidR="007E34E6" w:rsidRPr="007E34E6" w:rsidRDefault="007E34E6" w:rsidP="00F347F8">
      <w:pPr>
        <w:pStyle w:val="ONUMA"/>
        <w:rPr>
          <w:lang w:bidi="ar-EG"/>
        </w:rPr>
      </w:pPr>
      <w:r w:rsidRPr="007E34E6">
        <w:rPr>
          <w:rFonts w:hint="cs"/>
          <w:rtl/>
          <w:lang w:val="it-IT"/>
        </w:rPr>
        <w:t>وتثير إمكانية حماية أشكال التعبير الثقافي التقليدي عددا من القضايا الثقافية والاقتصادية والاجتماعية والتجارية المعقدة. وقد ناقشت وثائق سابقة قضايا السياسة العامة مناقشة مستفيض</w:t>
      </w:r>
      <w:r w:rsidRPr="007E34E6">
        <w:rPr>
          <w:rFonts w:hint="eastAsia"/>
          <w:rtl/>
          <w:lang w:val="it-IT"/>
        </w:rPr>
        <w:t>ة</w:t>
      </w:r>
      <w:r w:rsidRPr="007E34E6">
        <w:rPr>
          <w:rFonts w:hint="cs"/>
          <w:rtl/>
          <w:lang w:val="it-IT"/>
        </w:rPr>
        <w:t>.</w:t>
      </w:r>
      <w:r w:rsidRPr="007E34E6">
        <w:rPr>
          <w:vertAlign w:val="superscript"/>
          <w:rtl/>
          <w:lang w:val="it-IT"/>
        </w:rPr>
        <w:footnoteReference w:id="46"/>
      </w:r>
      <w:r w:rsidRPr="007E34E6">
        <w:rPr>
          <w:rFonts w:hint="cs"/>
          <w:rtl/>
          <w:lang w:val="it-IT"/>
        </w:rPr>
        <w:t xml:space="preserve"> </w:t>
      </w:r>
    </w:p>
    <w:p w14:paraId="7BF686C3" w14:textId="77777777" w:rsidR="007E34E6" w:rsidRPr="007E34E6" w:rsidRDefault="007E34E6" w:rsidP="00F347F8">
      <w:pPr>
        <w:pStyle w:val="ONUMA"/>
        <w:rPr>
          <w:lang w:bidi="ar-EG"/>
        </w:rPr>
      </w:pPr>
      <w:r w:rsidRPr="007E34E6">
        <w:rPr>
          <w:rFonts w:hint="cs"/>
          <w:rtl/>
          <w:lang w:val="it-IT"/>
        </w:rPr>
        <w:t>وبالنسبة لسياسة الملكية الفكرية، يمكن تقييم حماية أو عدم حماية أشكال التعبير الثقافي التقليدي من حيث الآثار التي ستكون لهذه الحماية على تعزيز وحماية الإبداع والابتكار كعنصرين مساهمين في التنمية الاقتصادية المستدامة، بما فيها تنمية المجتمعات المحلية والريفية. ومن المفيد تقييم الدعوات إلى حماية غير محددة لأشكال التعبير الثقافي التقليدي أو إلى حماية "النمط" على سبيل المثال، من منظور المبادئ الأساسية لنظم الملكية الفكرية المعنية وإضافة إلى هذا، فإن وضع إطار مبدئي مناسب تندرج فيه حماية الملكية الفكرية وأشكال التعبير الثقافي التقليدي يستدعي فهما أوضح لدور ومدى وحدود ما يطلق عليه "الملك العام" وانعكاسات حماية أشكال التعبير الثقافي التقليدي على "الملك العام".</w:t>
      </w:r>
      <w:r w:rsidRPr="007E34E6">
        <w:rPr>
          <w:vertAlign w:val="superscript"/>
          <w:rtl/>
          <w:lang w:val="it-IT"/>
        </w:rPr>
        <w:footnoteReference w:id="47"/>
      </w:r>
      <w:r w:rsidRPr="007E34E6">
        <w:rPr>
          <w:rFonts w:hint="cs"/>
          <w:rtl/>
          <w:lang w:val="it-IT"/>
        </w:rPr>
        <w:t>وأحد التحديات الرئيسية على مستوى السياسة العامة التنسيق بين أية حماية جديدة تمنح لأشكال التعبير الثقافي التقليدي مع نظم الملكية الفكرية القائمة وغيرها من النظم.</w:t>
      </w:r>
    </w:p>
    <w:p w14:paraId="3B9CD2F6" w14:textId="77777777" w:rsidR="007E34E6" w:rsidRPr="007E34E6" w:rsidRDefault="007E34E6" w:rsidP="00F347F8">
      <w:pPr>
        <w:pStyle w:val="ONUMA"/>
        <w:rPr>
          <w:lang w:bidi="ar-EG"/>
        </w:rPr>
      </w:pPr>
      <w:r w:rsidRPr="007E34E6">
        <w:rPr>
          <w:rFonts w:hint="cs"/>
          <w:rtl/>
          <w:lang w:val="it-IT"/>
        </w:rPr>
        <w:t>ومع ذلك، فإن حماية أشكال التعبير الثقافي التقليدي تعني أيضا مجالات مهمة أخرى على مستوى السياسة العامة. وقد يرغب المشاركون في اللجنة في بحث حماية أشكال التعبير الثقافي التقليدي، مثلا من منظور: صون التراث الثقافي ووقايته، وحرية التعبير. واحترام حقوق ومصالح ومطالب المجتمعات الأصلية وغيرها من المجتمعات التقليدية، والإقرار بالقوانين والمواثيق والممارسات العرفية، والنفاذ إلى المعارف ونطاق "الملك العام"، ورفع تحديات التعددية الثقافية؛ والنهوض بالتنوع الثقافي، بما فيه التنوع اللغوي، وبتنوع أشكال التعبير الثقافي.</w:t>
      </w:r>
    </w:p>
    <w:p w14:paraId="0A560568" w14:textId="77777777" w:rsidR="007E34E6" w:rsidRPr="00F347F8" w:rsidRDefault="007E34E6" w:rsidP="00F347F8">
      <w:pPr>
        <w:pStyle w:val="Heading3"/>
        <w:spacing w:before="220" w:after="220"/>
        <w:rPr>
          <w:b/>
          <w:bCs w:val="0"/>
          <w:i/>
          <w:iCs/>
          <w:sz w:val="22"/>
          <w:szCs w:val="22"/>
          <w:u w:val="none"/>
          <w:rtl/>
          <w:lang w:val="it-IT"/>
        </w:rPr>
      </w:pPr>
      <w:bookmarkStart w:id="87" w:name="_Toc520405390"/>
      <w:bookmarkStart w:id="88" w:name="_Toc109030412"/>
      <w:r w:rsidRPr="00F347F8">
        <w:rPr>
          <w:rFonts w:hint="cs"/>
          <w:b/>
          <w:bCs w:val="0"/>
          <w:i/>
          <w:iCs/>
          <w:sz w:val="22"/>
          <w:szCs w:val="22"/>
          <w:u w:val="none"/>
          <w:rtl/>
          <w:lang w:val="it-IT"/>
        </w:rPr>
        <w:t>الأهداف الاقتصادية والثقافية والاجتماعية</w:t>
      </w:r>
      <w:bookmarkEnd w:id="87"/>
      <w:bookmarkEnd w:id="88"/>
    </w:p>
    <w:p w14:paraId="211A18B0" w14:textId="77777777" w:rsidR="007E34E6" w:rsidRPr="007E34E6" w:rsidRDefault="007E34E6" w:rsidP="00F347F8">
      <w:pPr>
        <w:pStyle w:val="ONUMA"/>
        <w:rPr>
          <w:rtl/>
          <w:lang w:val="it-IT"/>
        </w:rPr>
      </w:pPr>
      <w:r w:rsidRPr="007E34E6">
        <w:rPr>
          <w:rFonts w:hint="cs"/>
          <w:rtl/>
          <w:lang w:val="it-IT"/>
        </w:rPr>
        <w:t>إن إيجاد الحلول لهذه القضايا على مستوى السياسة العامة يذكر بالحاجة إلى توضيح الأهداف الاقتصادية والثقافية والاجتماعية الأوسع المراد تحقيقها من خلال حماية أشكال التعبير الثقافي التقليدي، مثلما ناقشناه أعلاه. وقد حددت وثائق سابقة مجموعة من الأهداف المنشود تحقيقها من خلال حماية التعبير الثقافي التقليدي، ومنها:</w:t>
      </w:r>
    </w:p>
    <w:p w14:paraId="0131CA5E" w14:textId="1A3853D7" w:rsidR="007E34E6" w:rsidRPr="00F347F8" w:rsidRDefault="00F347F8" w:rsidP="009F15B7">
      <w:pPr>
        <w:pStyle w:val="BodyText"/>
        <w:spacing w:after="120"/>
        <w:ind w:firstLine="562"/>
        <w:rPr>
          <w:rtl/>
        </w:rPr>
      </w:pPr>
      <w:r>
        <w:rPr>
          <w:rFonts w:hint="cs"/>
          <w:rtl/>
          <w:lang w:val="it-IT"/>
        </w:rPr>
        <w:t>(أ)</w:t>
      </w:r>
      <w:r>
        <w:rPr>
          <w:rtl/>
          <w:lang w:val="it-IT"/>
        </w:rPr>
        <w:tab/>
      </w:r>
      <w:r w:rsidR="007E34E6" w:rsidRPr="00F347F8">
        <w:rPr>
          <w:rFonts w:hint="cs"/>
          <w:rtl/>
        </w:rPr>
        <w:t>الإقرار بقيمة أشكال التعبير الثقافي التقليدي؛</w:t>
      </w:r>
    </w:p>
    <w:p w14:paraId="5C8D5623" w14:textId="77777777" w:rsidR="00F347F8" w:rsidRDefault="00F347F8" w:rsidP="009F15B7">
      <w:pPr>
        <w:pStyle w:val="BodyText"/>
        <w:spacing w:after="120"/>
        <w:ind w:firstLine="562"/>
        <w:rPr>
          <w:rtl/>
        </w:rPr>
      </w:pPr>
      <w:r>
        <w:rPr>
          <w:rFonts w:hint="cs"/>
          <w:rtl/>
          <w:lang w:val="it-IT"/>
        </w:rPr>
        <w:t>(ب)</w:t>
      </w:r>
      <w:r>
        <w:rPr>
          <w:rtl/>
          <w:lang w:val="it-IT"/>
        </w:rPr>
        <w:tab/>
      </w:r>
      <w:r w:rsidR="007E34E6" w:rsidRPr="00F347F8">
        <w:rPr>
          <w:rFonts w:hint="cs"/>
          <w:rtl/>
        </w:rPr>
        <w:t xml:space="preserve">تشجيع احترام أشكال التعبير الثقافي التقليدي؛ </w:t>
      </w:r>
    </w:p>
    <w:p w14:paraId="5756BAA2" w14:textId="007951F3" w:rsidR="007E34E6" w:rsidRPr="00F347F8" w:rsidRDefault="00F347F8" w:rsidP="009F15B7">
      <w:pPr>
        <w:pStyle w:val="BodyText"/>
        <w:spacing w:after="120"/>
        <w:ind w:firstLine="562"/>
        <w:rPr>
          <w:rtl/>
          <w:lang w:val="it-IT"/>
        </w:rPr>
      </w:pPr>
      <w:r>
        <w:rPr>
          <w:rFonts w:hint="cs"/>
          <w:rtl/>
          <w:lang w:val="it-IT"/>
        </w:rPr>
        <w:t>(ج)</w:t>
      </w:r>
      <w:r>
        <w:rPr>
          <w:rtl/>
          <w:lang w:val="it-IT"/>
        </w:rPr>
        <w:tab/>
      </w:r>
      <w:r w:rsidR="007E34E6" w:rsidRPr="00F347F8">
        <w:rPr>
          <w:rFonts w:hint="cs"/>
          <w:rtl/>
        </w:rPr>
        <w:t>تلبية الاحتياجات الفعلية للمجتمعات المحلية؛</w:t>
      </w:r>
    </w:p>
    <w:p w14:paraId="3542AD72" w14:textId="098E8BCA" w:rsidR="007E34E6" w:rsidRPr="00F347F8" w:rsidRDefault="00F347F8" w:rsidP="009F15B7">
      <w:pPr>
        <w:pStyle w:val="BodyText"/>
        <w:spacing w:after="120"/>
        <w:ind w:firstLine="562"/>
        <w:rPr>
          <w:rtl/>
        </w:rPr>
      </w:pPr>
      <w:r>
        <w:rPr>
          <w:rFonts w:hint="cs"/>
          <w:rtl/>
          <w:lang w:val="it-IT"/>
        </w:rPr>
        <w:t>(د)</w:t>
      </w:r>
      <w:r>
        <w:rPr>
          <w:rtl/>
          <w:lang w:val="it-IT"/>
        </w:rPr>
        <w:tab/>
      </w:r>
      <w:r w:rsidR="007E34E6" w:rsidRPr="00F347F8">
        <w:rPr>
          <w:rFonts w:hint="cs"/>
          <w:rtl/>
        </w:rPr>
        <w:t>منع التملك غير المشروع لأشكال التعبير الثقافي التقليدي؛</w:t>
      </w:r>
    </w:p>
    <w:p w14:paraId="5A04CB06" w14:textId="14010488" w:rsidR="007E34E6" w:rsidRPr="00F347F8" w:rsidRDefault="00F347F8" w:rsidP="009F15B7">
      <w:pPr>
        <w:pStyle w:val="BodyText"/>
        <w:spacing w:after="120"/>
        <w:ind w:firstLine="562"/>
        <w:rPr>
          <w:rtl/>
        </w:rPr>
      </w:pPr>
      <w:r>
        <w:rPr>
          <w:rFonts w:hint="cs"/>
          <w:rtl/>
          <w:lang w:val="it-IT"/>
        </w:rPr>
        <w:t>(ه)</w:t>
      </w:r>
      <w:r>
        <w:rPr>
          <w:rtl/>
          <w:lang w:val="it-IT"/>
        </w:rPr>
        <w:tab/>
      </w:r>
      <w:r w:rsidR="007E34E6" w:rsidRPr="00F347F8">
        <w:rPr>
          <w:rFonts w:hint="cs"/>
          <w:rtl/>
        </w:rPr>
        <w:t>تمكين المجتمعات المحلية؛</w:t>
      </w:r>
    </w:p>
    <w:p w14:paraId="04ED9281" w14:textId="42664110" w:rsidR="007E34E6" w:rsidRPr="00F347F8" w:rsidRDefault="00F347F8" w:rsidP="009F15B7">
      <w:pPr>
        <w:pStyle w:val="BodyText"/>
        <w:spacing w:after="120"/>
        <w:ind w:firstLine="562"/>
        <w:rPr>
          <w:rtl/>
        </w:rPr>
      </w:pPr>
      <w:r>
        <w:rPr>
          <w:rFonts w:hint="cs"/>
          <w:rtl/>
          <w:lang w:val="it-IT"/>
        </w:rPr>
        <w:lastRenderedPageBreak/>
        <w:t>(و)</w:t>
      </w:r>
      <w:r>
        <w:rPr>
          <w:rtl/>
          <w:lang w:val="it-IT"/>
        </w:rPr>
        <w:tab/>
      </w:r>
      <w:r w:rsidR="007E34E6" w:rsidRPr="00F347F8">
        <w:rPr>
          <w:rFonts w:hint="cs"/>
          <w:rtl/>
        </w:rPr>
        <w:t>دعم الممارسات العرفية وتعاون المجتمعات المحلية؛</w:t>
      </w:r>
    </w:p>
    <w:p w14:paraId="291A12DE" w14:textId="144811DF" w:rsidR="007E34E6" w:rsidRPr="00F347F8" w:rsidRDefault="00F347F8" w:rsidP="009F15B7">
      <w:pPr>
        <w:pStyle w:val="BodyText"/>
        <w:spacing w:after="120"/>
        <w:ind w:firstLine="562"/>
        <w:rPr>
          <w:rtl/>
        </w:rPr>
      </w:pPr>
      <w:r>
        <w:rPr>
          <w:rFonts w:hint="cs"/>
          <w:rtl/>
          <w:lang w:val="it-IT"/>
        </w:rPr>
        <w:t>(ز)</w:t>
      </w:r>
      <w:r>
        <w:rPr>
          <w:rtl/>
          <w:lang w:val="it-IT"/>
        </w:rPr>
        <w:tab/>
      </w:r>
      <w:r w:rsidR="007E34E6" w:rsidRPr="00F347F8">
        <w:rPr>
          <w:rFonts w:hint="cs"/>
          <w:rtl/>
        </w:rPr>
        <w:t>الإسهام في صون الثقافات التقليدية؛</w:t>
      </w:r>
    </w:p>
    <w:p w14:paraId="6852845F" w14:textId="0BED3C42" w:rsidR="007E34E6" w:rsidRPr="00F347F8" w:rsidRDefault="00F347F8" w:rsidP="009F15B7">
      <w:pPr>
        <w:pStyle w:val="BodyText"/>
        <w:spacing w:after="120"/>
        <w:ind w:firstLine="562"/>
        <w:rPr>
          <w:rtl/>
        </w:rPr>
      </w:pPr>
      <w:r>
        <w:rPr>
          <w:rFonts w:hint="cs"/>
          <w:rtl/>
          <w:lang w:val="it-IT"/>
        </w:rPr>
        <w:t>(ح)</w:t>
      </w:r>
      <w:r>
        <w:rPr>
          <w:rtl/>
          <w:lang w:val="it-IT"/>
        </w:rPr>
        <w:tab/>
      </w:r>
      <w:r w:rsidR="007E34E6" w:rsidRPr="00F347F8">
        <w:rPr>
          <w:rFonts w:hint="cs"/>
          <w:rtl/>
        </w:rPr>
        <w:t>وتشجيع الابتكار والإبداع في المجتمعات المحلية؛</w:t>
      </w:r>
    </w:p>
    <w:p w14:paraId="40AD136B" w14:textId="6756B92A" w:rsidR="007E34E6" w:rsidRPr="00F347F8" w:rsidRDefault="00F347F8" w:rsidP="009F15B7">
      <w:pPr>
        <w:pStyle w:val="BodyText"/>
        <w:spacing w:after="120"/>
        <w:ind w:firstLine="562"/>
        <w:rPr>
          <w:rtl/>
        </w:rPr>
      </w:pPr>
      <w:r>
        <w:rPr>
          <w:rFonts w:hint="cs"/>
          <w:rtl/>
          <w:lang w:val="it-IT"/>
        </w:rPr>
        <w:t>(ط)</w:t>
      </w:r>
      <w:r>
        <w:rPr>
          <w:rtl/>
          <w:lang w:val="it-IT"/>
        </w:rPr>
        <w:tab/>
      </w:r>
      <w:r w:rsidR="007E34E6" w:rsidRPr="00F347F8">
        <w:rPr>
          <w:rFonts w:hint="cs"/>
          <w:rtl/>
        </w:rPr>
        <w:t>النهوض بالحرية الفكرية والفنية والبحث والتبادل الثقافي بشروط منصفة؛</w:t>
      </w:r>
    </w:p>
    <w:p w14:paraId="4ACEC0B8" w14:textId="0EB45FE8" w:rsidR="007E34E6" w:rsidRPr="00F347F8" w:rsidRDefault="00F347F8" w:rsidP="009F15B7">
      <w:pPr>
        <w:pStyle w:val="BodyText"/>
        <w:spacing w:after="120"/>
        <w:ind w:firstLine="562"/>
        <w:rPr>
          <w:rtl/>
        </w:rPr>
      </w:pPr>
      <w:r>
        <w:rPr>
          <w:rFonts w:hint="cs"/>
          <w:rtl/>
          <w:lang w:val="it-IT"/>
        </w:rPr>
        <w:t>(ي)</w:t>
      </w:r>
      <w:r>
        <w:rPr>
          <w:rtl/>
          <w:lang w:val="it-IT"/>
        </w:rPr>
        <w:tab/>
      </w:r>
      <w:r w:rsidR="007E34E6" w:rsidRPr="00F347F8">
        <w:rPr>
          <w:rFonts w:hint="cs"/>
          <w:rtl/>
        </w:rPr>
        <w:t>الإسهام في التنوع الثقافي؛</w:t>
      </w:r>
    </w:p>
    <w:p w14:paraId="78C42C4E" w14:textId="67D5A2DB" w:rsidR="007E34E6" w:rsidRPr="00F347F8" w:rsidRDefault="00F347F8" w:rsidP="009F15B7">
      <w:pPr>
        <w:pStyle w:val="BodyText"/>
        <w:spacing w:after="120"/>
        <w:ind w:firstLine="562"/>
        <w:rPr>
          <w:rtl/>
        </w:rPr>
      </w:pPr>
      <w:r>
        <w:rPr>
          <w:rFonts w:hint="cs"/>
          <w:rtl/>
          <w:lang w:val="it-IT"/>
        </w:rPr>
        <w:t>(ك)</w:t>
      </w:r>
      <w:r>
        <w:rPr>
          <w:rtl/>
          <w:lang w:val="it-IT"/>
        </w:rPr>
        <w:tab/>
      </w:r>
      <w:r w:rsidR="007E34E6" w:rsidRPr="00F347F8">
        <w:rPr>
          <w:rFonts w:hint="cs"/>
          <w:rtl/>
        </w:rPr>
        <w:t>النهوض بالتنمية التجارية المشروعة على مستوى المجتمعات المحلية؛</w:t>
      </w:r>
    </w:p>
    <w:p w14:paraId="18E4A7E5" w14:textId="3AEC3BD7" w:rsidR="007E34E6" w:rsidRPr="00F347F8" w:rsidRDefault="00F347F8" w:rsidP="009F15B7">
      <w:pPr>
        <w:pStyle w:val="BodyText"/>
        <w:spacing w:after="120"/>
        <w:ind w:firstLine="562"/>
        <w:rPr>
          <w:rtl/>
        </w:rPr>
      </w:pPr>
      <w:r>
        <w:rPr>
          <w:rFonts w:hint="cs"/>
          <w:rtl/>
          <w:lang w:val="it-IT"/>
        </w:rPr>
        <w:t>(ل)</w:t>
      </w:r>
      <w:r>
        <w:rPr>
          <w:rtl/>
          <w:lang w:val="it-IT"/>
        </w:rPr>
        <w:tab/>
      </w:r>
      <w:r w:rsidR="007E34E6" w:rsidRPr="00F347F8">
        <w:rPr>
          <w:rFonts w:hint="cs"/>
          <w:rtl/>
        </w:rPr>
        <w:t>استبعاد حقوق الملكية الفكرية غير المصرح بها؛</w:t>
      </w:r>
    </w:p>
    <w:p w14:paraId="1709C3E7" w14:textId="150B7823" w:rsidR="007E34E6" w:rsidRPr="00F347F8" w:rsidRDefault="00F347F8" w:rsidP="009F15B7">
      <w:pPr>
        <w:pStyle w:val="BodyText"/>
        <w:spacing w:after="120"/>
        <w:ind w:firstLine="562"/>
      </w:pPr>
      <w:r>
        <w:rPr>
          <w:rFonts w:hint="cs"/>
          <w:rtl/>
          <w:lang w:val="it-IT"/>
        </w:rPr>
        <w:t>(م)</w:t>
      </w:r>
      <w:r>
        <w:rPr>
          <w:rtl/>
          <w:lang w:val="it-IT"/>
        </w:rPr>
        <w:tab/>
      </w:r>
      <w:r w:rsidR="007E34E6" w:rsidRPr="00F347F8">
        <w:rPr>
          <w:rFonts w:hint="cs"/>
          <w:rtl/>
        </w:rPr>
        <w:t>تعزيز اليقين والشفافية والثقة المتبادلة؛</w:t>
      </w:r>
    </w:p>
    <w:p w14:paraId="6CAD21DF" w14:textId="089C04B4" w:rsidR="007E34E6" w:rsidRPr="00F347F8" w:rsidRDefault="00F347F8" w:rsidP="009F15B7">
      <w:pPr>
        <w:pStyle w:val="BodyText"/>
        <w:spacing w:after="120"/>
        <w:ind w:firstLine="562"/>
      </w:pPr>
      <w:r>
        <w:rPr>
          <w:rFonts w:hint="cs"/>
          <w:rtl/>
          <w:lang w:val="it-IT"/>
        </w:rPr>
        <w:t>(ن)</w:t>
      </w:r>
      <w:r>
        <w:rPr>
          <w:rtl/>
          <w:lang w:val="it-IT"/>
        </w:rPr>
        <w:tab/>
      </w:r>
      <w:r w:rsidR="007E34E6" w:rsidRPr="00F347F8">
        <w:rPr>
          <w:rFonts w:hint="cs"/>
          <w:rtl/>
        </w:rPr>
        <w:t>مراقبة</w:t>
      </w:r>
      <w:r w:rsidR="007E34E6" w:rsidRPr="00F347F8">
        <w:rPr>
          <w:rtl/>
        </w:rPr>
        <w:t xml:space="preserve"> الطرق التي تستخدم بها أشكال التعبير الثقافي التقليدي </w:t>
      </w:r>
      <w:r w:rsidR="007E34E6" w:rsidRPr="00F347F8">
        <w:rPr>
          <w:rFonts w:hint="cs"/>
          <w:rtl/>
        </w:rPr>
        <w:t>خارج</w:t>
      </w:r>
      <w:r w:rsidR="007E34E6" w:rsidRPr="00F347F8">
        <w:rPr>
          <w:rtl/>
        </w:rPr>
        <w:t xml:space="preserve"> السياق التقليدي </w:t>
      </w:r>
      <w:r w:rsidR="007E34E6" w:rsidRPr="00F347F8">
        <w:rPr>
          <w:rFonts w:hint="cs"/>
          <w:rtl/>
        </w:rPr>
        <w:t>والعرفي</w:t>
      </w:r>
      <w:r w:rsidR="007E34E6" w:rsidRPr="00F347F8">
        <w:rPr>
          <w:rtl/>
        </w:rPr>
        <w:t>؛</w:t>
      </w:r>
    </w:p>
    <w:p w14:paraId="48F9679D" w14:textId="7FE98129" w:rsidR="007E34E6" w:rsidRPr="00F347F8" w:rsidRDefault="00F347F8" w:rsidP="009F15B7">
      <w:pPr>
        <w:pStyle w:val="BodyText"/>
        <w:spacing w:after="120"/>
        <w:ind w:firstLine="562"/>
      </w:pPr>
      <w:r>
        <w:rPr>
          <w:rFonts w:hint="cs"/>
          <w:rtl/>
          <w:lang w:val="it-IT"/>
        </w:rPr>
        <w:t>(</w:t>
      </w:r>
      <w:r w:rsidR="0002226E">
        <w:rPr>
          <w:rFonts w:hint="cs"/>
          <w:rtl/>
          <w:lang w:val="it-IT"/>
        </w:rPr>
        <w:t>س</w:t>
      </w:r>
      <w:r>
        <w:rPr>
          <w:rFonts w:hint="cs"/>
          <w:rtl/>
          <w:lang w:val="it-IT"/>
        </w:rPr>
        <w:t>)</w:t>
      </w:r>
      <w:r>
        <w:rPr>
          <w:rtl/>
          <w:lang w:val="it-IT"/>
        </w:rPr>
        <w:tab/>
      </w:r>
      <w:r w:rsidR="007E34E6" w:rsidRPr="00F347F8">
        <w:rPr>
          <w:rtl/>
        </w:rPr>
        <w:t>تشجيع التقاسم المنصف للمنافع المتأتية من استخدا</w:t>
      </w:r>
      <w:r w:rsidR="007E34E6" w:rsidRPr="00F347F8">
        <w:rPr>
          <w:rFonts w:hint="cs"/>
          <w:rtl/>
        </w:rPr>
        <w:t xml:space="preserve">م </w:t>
      </w:r>
      <w:r w:rsidR="007E34E6" w:rsidRPr="00F347F8">
        <w:rPr>
          <w:rtl/>
        </w:rPr>
        <w:t xml:space="preserve">أشكال التعبير الثقافي التقليدي بموافقة مسبقة </w:t>
      </w:r>
      <w:r w:rsidR="007E34E6" w:rsidRPr="00F347F8">
        <w:rPr>
          <w:rFonts w:hint="cs"/>
          <w:rtl/>
        </w:rPr>
        <w:t>مستنيرة؛</w:t>
      </w:r>
    </w:p>
    <w:p w14:paraId="2308D8C4" w14:textId="04860BB9" w:rsidR="007E34E6" w:rsidRPr="00F347F8" w:rsidRDefault="00F347F8" w:rsidP="009F15B7">
      <w:pPr>
        <w:pStyle w:val="BodyText"/>
        <w:spacing w:after="120"/>
        <w:ind w:firstLine="562"/>
      </w:pPr>
      <w:r>
        <w:rPr>
          <w:rFonts w:hint="cs"/>
          <w:rtl/>
          <w:lang w:val="it-IT"/>
        </w:rPr>
        <w:t>(ع)</w:t>
      </w:r>
      <w:r>
        <w:rPr>
          <w:rtl/>
          <w:lang w:val="it-IT"/>
        </w:rPr>
        <w:tab/>
      </w:r>
      <w:r w:rsidR="007E34E6" w:rsidRPr="00F347F8">
        <w:rPr>
          <w:rtl/>
        </w:rPr>
        <w:t>تأمين الحقوق التي سبق وأن اكتسبها الغير</w:t>
      </w:r>
      <w:r w:rsidR="007E34E6" w:rsidRPr="00F347F8">
        <w:rPr>
          <w:rFonts w:hint="cs"/>
          <w:rtl/>
        </w:rPr>
        <w:t xml:space="preserve"> و</w:t>
      </w:r>
      <w:r w:rsidR="007E34E6" w:rsidRPr="00F347F8">
        <w:rPr>
          <w:rtl/>
        </w:rPr>
        <w:t>كفالة اليقين القانوني و</w:t>
      </w:r>
      <w:r w:rsidR="007E34E6" w:rsidRPr="00F347F8">
        <w:rPr>
          <w:rFonts w:hint="cs"/>
          <w:rtl/>
        </w:rPr>
        <w:t>ال</w:t>
      </w:r>
      <w:r w:rsidR="007E34E6" w:rsidRPr="00F347F8">
        <w:rPr>
          <w:rtl/>
        </w:rPr>
        <w:t xml:space="preserve">ملك </w:t>
      </w:r>
      <w:r w:rsidR="007E34E6" w:rsidRPr="00F347F8">
        <w:rPr>
          <w:rFonts w:hint="cs"/>
          <w:rtl/>
        </w:rPr>
        <w:t>ال</w:t>
      </w:r>
      <w:r w:rsidR="007E34E6" w:rsidRPr="00F347F8">
        <w:rPr>
          <w:rtl/>
        </w:rPr>
        <w:t xml:space="preserve">عام </w:t>
      </w:r>
      <w:r w:rsidR="007E34E6" w:rsidRPr="00F347F8">
        <w:rPr>
          <w:rFonts w:hint="cs"/>
          <w:rtl/>
        </w:rPr>
        <w:t>ال</w:t>
      </w:r>
      <w:r w:rsidR="007E34E6" w:rsidRPr="00F347F8">
        <w:rPr>
          <w:rtl/>
        </w:rPr>
        <w:t>وافر و</w:t>
      </w:r>
      <w:r w:rsidR="007E34E6" w:rsidRPr="00F347F8">
        <w:rPr>
          <w:rFonts w:hint="cs"/>
          <w:rtl/>
        </w:rPr>
        <w:t>ال</w:t>
      </w:r>
      <w:r w:rsidR="007E34E6" w:rsidRPr="00F347F8">
        <w:rPr>
          <w:rtl/>
        </w:rPr>
        <w:t>ميسّر</w:t>
      </w:r>
      <w:r w:rsidR="007E34E6" w:rsidRPr="00F347F8">
        <w:rPr>
          <w:rFonts w:hint="cs"/>
          <w:rtl/>
        </w:rPr>
        <w:t>؛</w:t>
      </w:r>
    </w:p>
    <w:p w14:paraId="25708BCE" w14:textId="54C62FA5" w:rsidR="007E34E6" w:rsidRPr="00F347F8" w:rsidRDefault="00F347F8" w:rsidP="00F347F8">
      <w:pPr>
        <w:pStyle w:val="BodyText"/>
        <w:ind w:firstLine="567"/>
      </w:pPr>
      <w:r>
        <w:rPr>
          <w:rFonts w:hint="cs"/>
          <w:rtl/>
          <w:lang w:val="it-IT"/>
        </w:rPr>
        <w:t>(ف)</w:t>
      </w:r>
      <w:r>
        <w:rPr>
          <w:rtl/>
          <w:lang w:val="it-IT"/>
        </w:rPr>
        <w:tab/>
      </w:r>
      <w:r w:rsidR="007E34E6" w:rsidRPr="00F347F8">
        <w:rPr>
          <w:rtl/>
        </w:rPr>
        <w:t xml:space="preserve">المساعدة في </w:t>
      </w:r>
      <w:r w:rsidR="007E34E6" w:rsidRPr="00F347F8">
        <w:rPr>
          <w:rFonts w:hint="cs"/>
          <w:rtl/>
        </w:rPr>
        <w:t xml:space="preserve">منع </w:t>
      </w:r>
      <w:r w:rsidR="007E34E6" w:rsidRPr="00F347F8">
        <w:rPr>
          <w:rtl/>
        </w:rPr>
        <w:t>منح حقوق الملكية الفكرية أو إعمالها عن خطأ لحماية أشكال التعبير الثقافي التقليدي.</w:t>
      </w:r>
    </w:p>
    <w:p w14:paraId="69B024F1" w14:textId="77777777" w:rsidR="007E34E6" w:rsidRPr="0002226E" w:rsidRDefault="007E34E6" w:rsidP="0002226E">
      <w:pPr>
        <w:pStyle w:val="Heading3"/>
        <w:spacing w:before="220" w:after="220"/>
        <w:rPr>
          <w:b/>
          <w:bCs w:val="0"/>
          <w:i/>
          <w:iCs/>
          <w:sz w:val="22"/>
          <w:szCs w:val="22"/>
          <w:u w:val="none"/>
          <w:lang w:bidi="ar-EG"/>
        </w:rPr>
      </w:pPr>
      <w:bookmarkStart w:id="89" w:name="_Toc520405391"/>
      <w:bookmarkStart w:id="90" w:name="_Toc109030413"/>
      <w:r w:rsidRPr="0002226E">
        <w:rPr>
          <w:rFonts w:hint="cs"/>
          <w:b/>
          <w:bCs w:val="0"/>
          <w:i/>
          <w:iCs/>
          <w:sz w:val="22"/>
          <w:szCs w:val="22"/>
          <w:u w:val="none"/>
          <w:rtl/>
          <w:lang w:val="it-IT"/>
        </w:rPr>
        <w:t>قضايا تقنية وقانونية معينة</w:t>
      </w:r>
      <w:bookmarkEnd w:id="89"/>
      <w:bookmarkEnd w:id="90"/>
    </w:p>
    <w:p w14:paraId="258619DA" w14:textId="77777777" w:rsidR="007E34E6" w:rsidRPr="007E34E6" w:rsidRDefault="007E34E6" w:rsidP="0002226E">
      <w:pPr>
        <w:pStyle w:val="ONUMA"/>
        <w:rPr>
          <w:lang w:bidi="ar-EG"/>
        </w:rPr>
      </w:pPr>
      <w:r w:rsidRPr="007E34E6">
        <w:rPr>
          <w:rFonts w:hint="cs"/>
          <w:rtl/>
          <w:lang w:val="it-IT"/>
        </w:rPr>
        <w:t>قد يرغب المشاركون في اللجنة أيضا في تقييم معالجة الثغرات من منظور القضايا التقنية والقانونية المعينة التي سبق تحديدها كعناصر أساسية ينبغي بحثها فيما يتصل بالملكية الفكرية وأشكال التعبير الثقافي التقليدي وهي:</w:t>
      </w:r>
    </w:p>
    <w:p w14:paraId="249A940B" w14:textId="7F50B48C" w:rsidR="007E34E6" w:rsidRPr="007E34E6" w:rsidRDefault="0002226E" w:rsidP="009F15B7">
      <w:pPr>
        <w:pStyle w:val="BodyText"/>
        <w:spacing w:after="120"/>
        <w:ind w:firstLine="567"/>
        <w:rPr>
          <w:lang w:bidi="ar-EG"/>
        </w:rPr>
      </w:pPr>
      <w:r>
        <w:rPr>
          <w:rFonts w:hint="cs"/>
          <w:rtl/>
          <w:lang w:val="it-IT"/>
        </w:rPr>
        <w:t>(أ)</w:t>
      </w:r>
      <w:r>
        <w:rPr>
          <w:rtl/>
          <w:lang w:val="it-IT"/>
        </w:rPr>
        <w:tab/>
      </w:r>
      <w:r w:rsidR="007E34E6" w:rsidRPr="007E34E6">
        <w:rPr>
          <w:rtl/>
          <w:lang w:val="it-IT"/>
        </w:rPr>
        <w:t>ما هي الأهداف المرجوة من حماية الملكية الفكرية لأشكال التعبير الثقافي التقليدي؟</w:t>
      </w:r>
    </w:p>
    <w:p w14:paraId="592E2749" w14:textId="166066AA" w:rsidR="007E34E6" w:rsidRPr="007E34E6" w:rsidRDefault="0002226E" w:rsidP="009F15B7">
      <w:pPr>
        <w:pStyle w:val="BodyText"/>
        <w:spacing w:after="120"/>
        <w:ind w:firstLine="567"/>
        <w:rPr>
          <w:lang w:bidi="ar-EG"/>
        </w:rPr>
      </w:pPr>
      <w:r>
        <w:rPr>
          <w:rFonts w:hint="cs"/>
          <w:rtl/>
          <w:lang w:val="it-IT"/>
        </w:rPr>
        <w:t>(ب)</w:t>
      </w:r>
      <w:r>
        <w:rPr>
          <w:rtl/>
          <w:lang w:val="it-IT"/>
        </w:rPr>
        <w:tab/>
      </w:r>
      <w:r w:rsidR="007E34E6" w:rsidRPr="007E34E6">
        <w:rPr>
          <w:rtl/>
          <w:lang w:val="it-IT"/>
        </w:rPr>
        <w:t>ما هي أشكال التعبير الثقافي التقليدي التي ينبغي حمايتها؟</w:t>
      </w:r>
    </w:p>
    <w:p w14:paraId="5AA60BB0" w14:textId="0E628D52" w:rsidR="007E34E6" w:rsidRPr="007E34E6" w:rsidRDefault="0002226E" w:rsidP="009F15B7">
      <w:pPr>
        <w:pStyle w:val="BodyText"/>
        <w:spacing w:after="120"/>
        <w:ind w:firstLine="567"/>
        <w:rPr>
          <w:lang w:bidi="ar-EG"/>
        </w:rPr>
      </w:pPr>
      <w:r>
        <w:rPr>
          <w:rFonts w:hint="cs"/>
          <w:rtl/>
          <w:lang w:val="it-IT"/>
        </w:rPr>
        <w:t>(ج)</w:t>
      </w:r>
      <w:r>
        <w:rPr>
          <w:rtl/>
          <w:lang w:val="it-IT"/>
        </w:rPr>
        <w:tab/>
      </w:r>
      <w:r w:rsidR="007E34E6" w:rsidRPr="007E34E6">
        <w:rPr>
          <w:rtl/>
          <w:lang w:val="it-IT"/>
        </w:rPr>
        <w:t>من ينبغي أن يستفيد من أي من هذه الحماية أو يمتلك حقوق أشكال التعبير الثقافي التقليدي القابلة للحماية؟</w:t>
      </w:r>
    </w:p>
    <w:p w14:paraId="2F1B358E" w14:textId="6ECD36EA" w:rsidR="007E34E6" w:rsidRPr="007E34E6" w:rsidRDefault="0002226E" w:rsidP="009F15B7">
      <w:pPr>
        <w:pStyle w:val="BodyText"/>
        <w:spacing w:after="120"/>
        <w:ind w:left="1134" w:hanging="567"/>
        <w:rPr>
          <w:lang w:bidi="ar-EG"/>
        </w:rPr>
      </w:pPr>
      <w:r>
        <w:rPr>
          <w:rFonts w:hint="cs"/>
          <w:rtl/>
          <w:lang w:val="it-IT"/>
        </w:rPr>
        <w:t>(</w:t>
      </w:r>
      <w:r w:rsidR="00AE50A4">
        <w:rPr>
          <w:rFonts w:hint="cs"/>
          <w:rtl/>
          <w:lang w:val="it-IT"/>
        </w:rPr>
        <w:t>د</w:t>
      </w:r>
      <w:r>
        <w:rPr>
          <w:rFonts w:hint="cs"/>
          <w:rtl/>
          <w:lang w:val="it-IT"/>
        </w:rPr>
        <w:t>)</w:t>
      </w:r>
      <w:r>
        <w:rPr>
          <w:rtl/>
          <w:lang w:val="it-IT"/>
        </w:rPr>
        <w:tab/>
      </w:r>
      <w:r w:rsidR="007E34E6" w:rsidRPr="007E34E6">
        <w:rPr>
          <w:rtl/>
          <w:lang w:val="it-IT"/>
        </w:rPr>
        <w:t>ما هي أشكال السلوك أو الأفعال المتعلقة بأشكال التعبير الثقافي التقليدي القابلة للحماية التي ينبغي اعتبارها غير مقبولة أو غير قانونية؟</w:t>
      </w:r>
    </w:p>
    <w:p w14:paraId="41E26187" w14:textId="6144A567" w:rsidR="007E34E6" w:rsidRPr="007E34E6" w:rsidRDefault="0002226E" w:rsidP="009F15B7">
      <w:pPr>
        <w:pStyle w:val="BodyText"/>
        <w:spacing w:after="120"/>
        <w:ind w:firstLine="567"/>
        <w:rPr>
          <w:lang w:bidi="ar-EG"/>
        </w:rPr>
      </w:pPr>
      <w:r>
        <w:rPr>
          <w:rFonts w:hint="cs"/>
          <w:rtl/>
          <w:lang w:val="it-IT"/>
        </w:rPr>
        <w:t>(</w:t>
      </w:r>
      <w:r w:rsidR="00AE50A4">
        <w:rPr>
          <w:rFonts w:hint="cs"/>
          <w:rtl/>
          <w:lang w:val="it-IT"/>
        </w:rPr>
        <w:t>ه</w:t>
      </w:r>
      <w:r>
        <w:rPr>
          <w:rFonts w:hint="cs"/>
          <w:rtl/>
          <w:lang w:val="it-IT"/>
        </w:rPr>
        <w:t>)</w:t>
      </w:r>
      <w:r>
        <w:rPr>
          <w:rtl/>
          <w:lang w:val="it-IT"/>
        </w:rPr>
        <w:tab/>
      </w:r>
      <w:r w:rsidR="007E34E6" w:rsidRPr="007E34E6">
        <w:rPr>
          <w:rtl/>
          <w:lang w:val="it-IT"/>
        </w:rPr>
        <w:t>هل هناك أي استثناءات أو قيود مرتبطة بأشكال التعبير الثقافي التقليدي القابلة للحماية؟</w:t>
      </w:r>
    </w:p>
    <w:p w14:paraId="24C442D3" w14:textId="03BC32D2" w:rsidR="007E34E6" w:rsidRPr="007E34E6" w:rsidRDefault="0002226E" w:rsidP="009F15B7">
      <w:pPr>
        <w:pStyle w:val="BodyText"/>
        <w:spacing w:after="120"/>
        <w:ind w:firstLine="567"/>
        <w:rPr>
          <w:lang w:bidi="ar-EG"/>
        </w:rPr>
      </w:pPr>
      <w:r>
        <w:rPr>
          <w:rFonts w:hint="cs"/>
          <w:rtl/>
          <w:lang w:val="it-IT"/>
        </w:rPr>
        <w:t>(</w:t>
      </w:r>
      <w:r w:rsidR="00AE50A4">
        <w:rPr>
          <w:rFonts w:hint="cs"/>
          <w:rtl/>
          <w:lang w:val="it-IT"/>
        </w:rPr>
        <w:t>و</w:t>
      </w:r>
      <w:r>
        <w:rPr>
          <w:rFonts w:hint="cs"/>
          <w:rtl/>
          <w:lang w:val="it-IT"/>
        </w:rPr>
        <w:t>)</w:t>
      </w:r>
      <w:r>
        <w:rPr>
          <w:rtl/>
          <w:lang w:val="it-IT"/>
        </w:rPr>
        <w:tab/>
      </w:r>
      <w:r w:rsidR="007E34E6" w:rsidRPr="007E34E6">
        <w:rPr>
          <w:rFonts w:hint="cs"/>
          <w:rtl/>
          <w:lang w:val="it-IT"/>
        </w:rPr>
        <w:t>ل</w:t>
      </w:r>
      <w:r w:rsidR="007E34E6" w:rsidRPr="007E34E6">
        <w:rPr>
          <w:rtl/>
          <w:lang w:val="it-IT"/>
        </w:rPr>
        <w:t xml:space="preserve">كم من الوقت </w:t>
      </w:r>
      <w:r w:rsidR="007E34E6" w:rsidRPr="007E34E6">
        <w:rPr>
          <w:rFonts w:hint="cs"/>
          <w:rtl/>
          <w:lang w:val="it-IT"/>
        </w:rPr>
        <w:t>ينبغي</w:t>
      </w:r>
      <w:r w:rsidR="007E34E6" w:rsidRPr="007E34E6">
        <w:rPr>
          <w:rtl/>
          <w:lang w:val="it-IT"/>
        </w:rPr>
        <w:t xml:space="preserve"> منح الحماية؟</w:t>
      </w:r>
    </w:p>
    <w:p w14:paraId="184456C5" w14:textId="37FF992B" w:rsidR="007E34E6" w:rsidRPr="007E34E6" w:rsidRDefault="0002226E" w:rsidP="009F15B7">
      <w:pPr>
        <w:pStyle w:val="BodyText"/>
        <w:spacing w:after="120"/>
        <w:ind w:firstLine="567"/>
        <w:rPr>
          <w:lang w:bidi="ar-EG"/>
        </w:rPr>
      </w:pPr>
      <w:r>
        <w:rPr>
          <w:rFonts w:hint="cs"/>
          <w:rtl/>
          <w:lang w:val="it-IT"/>
        </w:rPr>
        <w:t>(</w:t>
      </w:r>
      <w:r w:rsidR="00AE50A4">
        <w:rPr>
          <w:rFonts w:hint="cs"/>
          <w:rtl/>
          <w:lang w:val="it-IT"/>
        </w:rPr>
        <w:t>ز</w:t>
      </w:r>
      <w:r>
        <w:rPr>
          <w:rFonts w:hint="cs"/>
          <w:rtl/>
          <w:lang w:val="it-IT"/>
        </w:rPr>
        <w:t>)</w:t>
      </w:r>
      <w:r>
        <w:rPr>
          <w:rtl/>
          <w:lang w:val="it-IT"/>
        </w:rPr>
        <w:tab/>
      </w:r>
      <w:r w:rsidR="007E34E6" w:rsidRPr="007E34E6">
        <w:rPr>
          <w:rFonts w:hint="cs"/>
          <w:rtl/>
          <w:lang w:val="it-IT"/>
        </w:rPr>
        <w:t>هل ينبغي</w:t>
      </w:r>
      <w:r w:rsidR="007E34E6" w:rsidRPr="007E34E6">
        <w:rPr>
          <w:rtl/>
          <w:lang w:val="it-IT"/>
        </w:rPr>
        <w:t xml:space="preserve"> أن يكون هناك أي شكليات (مثل الفحص والتسجيل)؟</w:t>
      </w:r>
    </w:p>
    <w:p w14:paraId="10C18D4D" w14:textId="089A8B0D" w:rsidR="007E34E6" w:rsidRPr="007E34E6" w:rsidRDefault="0002226E" w:rsidP="009F15B7">
      <w:pPr>
        <w:pStyle w:val="BodyText"/>
        <w:spacing w:after="120"/>
        <w:ind w:firstLine="567"/>
        <w:rPr>
          <w:lang w:bidi="ar-EG"/>
        </w:rPr>
      </w:pPr>
      <w:r>
        <w:rPr>
          <w:rFonts w:hint="cs"/>
          <w:rtl/>
          <w:lang w:val="it-IT"/>
        </w:rPr>
        <w:t>(</w:t>
      </w:r>
      <w:r w:rsidR="00AE50A4">
        <w:rPr>
          <w:rFonts w:hint="cs"/>
          <w:rtl/>
          <w:lang w:val="it-IT"/>
        </w:rPr>
        <w:t>ح</w:t>
      </w:r>
      <w:r>
        <w:rPr>
          <w:rFonts w:hint="cs"/>
          <w:rtl/>
          <w:lang w:val="it-IT"/>
        </w:rPr>
        <w:t>)</w:t>
      </w:r>
      <w:r>
        <w:rPr>
          <w:rtl/>
          <w:lang w:val="it-IT"/>
        </w:rPr>
        <w:tab/>
      </w:r>
      <w:r w:rsidR="007E34E6" w:rsidRPr="007E34E6">
        <w:rPr>
          <w:rtl/>
          <w:lang w:val="it-IT"/>
        </w:rPr>
        <w:t>كيف ينبغي أن تدار الحقوق؟</w:t>
      </w:r>
    </w:p>
    <w:p w14:paraId="6C566C41" w14:textId="26190745" w:rsidR="007E34E6" w:rsidRPr="007E34E6" w:rsidRDefault="0002226E" w:rsidP="009F15B7">
      <w:pPr>
        <w:pStyle w:val="BodyText"/>
        <w:spacing w:after="120"/>
        <w:ind w:firstLine="567"/>
        <w:rPr>
          <w:lang w:bidi="ar-EG"/>
        </w:rPr>
      </w:pPr>
      <w:r>
        <w:rPr>
          <w:rFonts w:hint="cs"/>
          <w:rtl/>
          <w:lang w:val="it-IT"/>
        </w:rPr>
        <w:t>(</w:t>
      </w:r>
      <w:r w:rsidR="00AE50A4">
        <w:rPr>
          <w:rFonts w:hint="cs"/>
          <w:rtl/>
          <w:lang w:val="it-IT"/>
        </w:rPr>
        <w:t>ط</w:t>
      </w:r>
      <w:r>
        <w:rPr>
          <w:rFonts w:hint="cs"/>
          <w:rtl/>
          <w:lang w:val="it-IT"/>
        </w:rPr>
        <w:t>)</w:t>
      </w:r>
      <w:r>
        <w:rPr>
          <w:rtl/>
          <w:lang w:val="it-IT"/>
        </w:rPr>
        <w:tab/>
      </w:r>
      <w:r w:rsidR="007E34E6" w:rsidRPr="007E34E6">
        <w:rPr>
          <w:rtl/>
          <w:lang w:val="it-IT"/>
        </w:rPr>
        <w:t xml:space="preserve">ما هي العقوبات أو </w:t>
      </w:r>
      <w:proofErr w:type="spellStart"/>
      <w:r w:rsidR="007E34E6" w:rsidRPr="007E34E6">
        <w:rPr>
          <w:rFonts w:hint="cs"/>
          <w:rtl/>
          <w:lang w:val="it-IT"/>
        </w:rPr>
        <w:t>الجزاءات</w:t>
      </w:r>
      <w:proofErr w:type="spellEnd"/>
      <w:r w:rsidR="007E34E6" w:rsidRPr="007E34E6">
        <w:rPr>
          <w:rtl/>
          <w:lang w:val="it-IT"/>
        </w:rPr>
        <w:t xml:space="preserve"> التي ينبغي تطبيقها على السلوك أو الأفعال التي تعتبر غير مقبولة أو غير قانونية؟</w:t>
      </w:r>
    </w:p>
    <w:p w14:paraId="4A83FD0A" w14:textId="14754E79" w:rsidR="007E34E6" w:rsidRPr="007E34E6" w:rsidRDefault="0002226E" w:rsidP="009F15B7">
      <w:pPr>
        <w:pStyle w:val="BodyText"/>
        <w:spacing w:after="120"/>
        <w:ind w:firstLine="567"/>
        <w:rPr>
          <w:lang w:bidi="ar-EG"/>
        </w:rPr>
      </w:pPr>
      <w:r>
        <w:rPr>
          <w:rFonts w:hint="cs"/>
          <w:rtl/>
          <w:lang w:val="it-IT"/>
        </w:rPr>
        <w:t>(</w:t>
      </w:r>
      <w:r w:rsidR="00AE50A4">
        <w:rPr>
          <w:rFonts w:hint="cs"/>
          <w:rtl/>
          <w:lang w:val="it-IT"/>
        </w:rPr>
        <w:t>ي</w:t>
      </w:r>
      <w:r>
        <w:rPr>
          <w:rFonts w:hint="cs"/>
          <w:rtl/>
          <w:lang w:val="it-IT"/>
        </w:rPr>
        <w:t>)</w:t>
      </w:r>
      <w:r>
        <w:rPr>
          <w:rtl/>
          <w:lang w:val="it-IT"/>
        </w:rPr>
        <w:tab/>
      </w:r>
      <w:r w:rsidR="007E34E6" w:rsidRPr="007E34E6">
        <w:rPr>
          <w:rtl/>
          <w:lang w:val="it-IT"/>
        </w:rPr>
        <w:t>هل ينبغي أن يكون للحقوق المعترف بها حديثًا في أشكال التعبير الثقافي التقليدي تأثير رجعي؟</w:t>
      </w:r>
    </w:p>
    <w:p w14:paraId="448F3330" w14:textId="0C665970" w:rsidR="007E34E6" w:rsidRPr="007E34E6" w:rsidRDefault="0002226E" w:rsidP="00AE50A4">
      <w:pPr>
        <w:pStyle w:val="BodyText"/>
        <w:ind w:firstLine="567"/>
        <w:rPr>
          <w:rtl/>
          <w:lang w:val="it-IT"/>
        </w:rPr>
      </w:pPr>
      <w:r>
        <w:rPr>
          <w:rFonts w:hint="cs"/>
          <w:rtl/>
          <w:lang w:val="it-IT"/>
        </w:rPr>
        <w:t>(</w:t>
      </w:r>
      <w:r w:rsidR="00AE50A4">
        <w:rPr>
          <w:rFonts w:hint="cs"/>
          <w:rtl/>
          <w:lang w:val="it-IT"/>
        </w:rPr>
        <w:t>ك</w:t>
      </w:r>
      <w:r>
        <w:rPr>
          <w:rFonts w:hint="cs"/>
          <w:rtl/>
          <w:lang w:val="it-IT"/>
        </w:rPr>
        <w:t>)</w:t>
      </w:r>
      <w:r>
        <w:rPr>
          <w:rtl/>
          <w:lang w:val="it-IT"/>
        </w:rPr>
        <w:tab/>
      </w:r>
      <w:r w:rsidR="007E34E6" w:rsidRPr="007E34E6">
        <w:rPr>
          <w:rtl/>
          <w:lang w:val="it-IT"/>
        </w:rPr>
        <w:t>كيف ينبغي معاملة أصحاب الحقوق/المستفيدين الأجانب؟</w:t>
      </w:r>
    </w:p>
    <w:p w14:paraId="44AB8803" w14:textId="77777777" w:rsidR="007E34E6" w:rsidRPr="00AE50A4" w:rsidRDefault="007E34E6" w:rsidP="00AE50A4">
      <w:pPr>
        <w:pStyle w:val="Heading3"/>
        <w:spacing w:before="220" w:after="220"/>
        <w:rPr>
          <w:b/>
          <w:bCs w:val="0"/>
          <w:sz w:val="22"/>
          <w:szCs w:val="22"/>
          <w:u w:val="none"/>
          <w:lang w:bidi="ar-EG"/>
        </w:rPr>
      </w:pPr>
      <w:bookmarkStart w:id="91" w:name="_Toc520405392"/>
      <w:bookmarkStart w:id="92" w:name="_Toc109030414"/>
      <w:r w:rsidRPr="00AE50A4">
        <w:rPr>
          <w:rFonts w:hint="cs"/>
          <w:b/>
          <w:bCs w:val="0"/>
          <w:i/>
          <w:iCs/>
          <w:sz w:val="22"/>
          <w:szCs w:val="22"/>
          <w:u w:val="none"/>
          <w:rtl/>
          <w:lang w:val="it-IT"/>
        </w:rPr>
        <w:t>القضايا العملية: إدارة الحقوق والتقيد بها</w:t>
      </w:r>
      <w:bookmarkEnd w:id="91"/>
      <w:bookmarkEnd w:id="92"/>
    </w:p>
    <w:p w14:paraId="038DB130" w14:textId="77777777" w:rsidR="007E34E6" w:rsidRPr="007E34E6" w:rsidRDefault="007E34E6" w:rsidP="00AE50A4">
      <w:pPr>
        <w:pStyle w:val="ONUMA"/>
        <w:rPr>
          <w:lang w:bidi="ar-EG"/>
        </w:rPr>
      </w:pPr>
      <w:r w:rsidRPr="007E34E6">
        <w:rPr>
          <w:rFonts w:hint="cs"/>
          <w:rtl/>
          <w:lang w:val="it-IT"/>
        </w:rPr>
        <w:t>ينبغي أن يمكن تطبيق الحماية وإنفاذها من الناحية العملية، لا سيما من وجهة نظر المجتمعات التقليدية، وألا تقيم أعباء إدارية مفرطة بالنسبة لأصحاب الحقوق أو المشرفين عليها. وقد أُقر على نطاق واسع بوجوب دعم حماية أشكال التعبير الثقافي التقليدي بتوفير المساعدة التقنية المناسبة وتعزيز الكفاءات ودعم التوثيق عندما ترغب فيه المجتمعات المحلية.</w:t>
      </w:r>
    </w:p>
    <w:p w14:paraId="6DD32699" w14:textId="77777777" w:rsidR="007E34E6" w:rsidRPr="00AE50A4" w:rsidRDefault="007E34E6" w:rsidP="00AE50A4">
      <w:pPr>
        <w:pStyle w:val="Heading2"/>
        <w:spacing w:before="220" w:after="220"/>
        <w:rPr>
          <w:b/>
          <w:bCs w:val="0"/>
          <w:sz w:val="22"/>
          <w:szCs w:val="22"/>
          <w:lang w:bidi="ar-EG"/>
        </w:rPr>
      </w:pPr>
      <w:bookmarkStart w:id="93" w:name="_Toc520405393"/>
      <w:bookmarkStart w:id="94" w:name="_Toc109030415"/>
      <w:r w:rsidRPr="00AE50A4">
        <w:rPr>
          <w:rFonts w:hint="cs"/>
          <w:b/>
          <w:bCs w:val="0"/>
          <w:sz w:val="22"/>
          <w:szCs w:val="22"/>
          <w:rtl/>
          <w:lang w:val="it-IT"/>
        </w:rPr>
        <w:t>دال.</w:t>
      </w:r>
      <w:r w:rsidRPr="00AE50A4">
        <w:rPr>
          <w:rFonts w:hint="cs"/>
          <w:b/>
          <w:bCs w:val="0"/>
          <w:sz w:val="22"/>
          <w:szCs w:val="22"/>
          <w:rtl/>
          <w:lang w:val="it-IT"/>
        </w:rPr>
        <w:tab/>
      </w:r>
      <w:r w:rsidRPr="00AE50A4">
        <w:rPr>
          <w:rFonts w:hint="cs"/>
          <w:b/>
          <w:bCs w:val="0"/>
          <w:sz w:val="22"/>
          <w:szCs w:val="22"/>
          <w:u w:val="single"/>
          <w:rtl/>
          <w:lang w:val="it-IT" w:bidi="ar-EG"/>
        </w:rPr>
        <w:t>الخيارات الحالية أو التي يمكن وضعها لمعالجة أية ثغرات محددة، بما فيها الخيارات القانونية وغيرها، سواء على المستوى الدولي أو الإقليمي أو الوطني</w:t>
      </w:r>
      <w:bookmarkEnd w:id="93"/>
      <w:bookmarkEnd w:id="94"/>
    </w:p>
    <w:p w14:paraId="587CA335" w14:textId="77777777" w:rsidR="007E34E6" w:rsidRPr="007E34E6" w:rsidRDefault="007E34E6" w:rsidP="00AE50A4">
      <w:pPr>
        <w:pStyle w:val="ONUMA"/>
        <w:rPr>
          <w:lang w:bidi="ar-EG"/>
        </w:rPr>
      </w:pPr>
      <w:r w:rsidRPr="007E34E6">
        <w:rPr>
          <w:rFonts w:hint="cs"/>
          <w:rtl/>
          <w:lang w:val="it-IT" w:bidi="ar-EG"/>
        </w:rPr>
        <w:t xml:space="preserve">أحد الخيارات هو سن قانون خاص وقائم بذاته لتوفير الحماية لأشكال التعبير الثقافي التقليدي ولمعالجة الثغرات المحددة في قانون الملكية الفكرية العادي. وقد سن عدد من البلدان والمنظمات الإقليمية قوانين من هذا القبيل. وعمدت بلدان عديدة إلى توفير حماية خاصة لأشكال التعبير الثقافي التقليدي في إطار تشريعات حق المؤلف، وعمدت بلدان أخرى إلى إقامة حماية شبيهة بالملكية </w:t>
      </w:r>
      <w:r w:rsidRPr="007E34E6">
        <w:rPr>
          <w:rFonts w:hint="cs"/>
          <w:rtl/>
          <w:lang w:val="it-IT" w:bidi="ar-EG"/>
        </w:rPr>
        <w:lastRenderedPageBreak/>
        <w:t>الفكرية للتعبير الثقافي التقليدي في تشريعات أخرى، مثل التشريعات المتعلقة بصون التراث الثقافي وبالممارسات التجارية. وترد نصوص هذه القوانين على موقع الويبو على الإنترنت،</w:t>
      </w:r>
      <w:r w:rsidRPr="007E34E6">
        <w:rPr>
          <w:vertAlign w:val="superscript"/>
          <w:rtl/>
          <w:lang w:val="it-IT" w:bidi="ar-EG"/>
        </w:rPr>
        <w:footnoteReference w:id="48"/>
      </w:r>
      <w:r w:rsidRPr="007E34E6">
        <w:rPr>
          <w:rFonts w:hint="cs"/>
          <w:rtl/>
          <w:lang w:val="it-IT" w:bidi="ar-EG"/>
        </w:rPr>
        <w:t xml:space="preserve"> وكان العديد منها موضوع تحليل ومقارنة في وثائق سابقة للجنة.</w:t>
      </w:r>
      <w:r w:rsidRPr="007E34E6">
        <w:rPr>
          <w:vertAlign w:val="superscript"/>
          <w:rtl/>
          <w:lang w:val="it-IT" w:bidi="ar-EG"/>
        </w:rPr>
        <w:footnoteReference w:id="49"/>
      </w:r>
      <w:r w:rsidRPr="007E34E6">
        <w:rPr>
          <w:rFonts w:hint="cs"/>
          <w:rtl/>
          <w:lang w:val="it-IT" w:bidi="ar-EG"/>
        </w:rPr>
        <w:t xml:space="preserve"> ويمكن لمثل هذه القوانين والتدابير أن تعالج على نحو شامل الثغرات المحددة وأن تقدم شكلا مكتملا للحماية يكون مصمما خصيصا لصالح أشكال التعبير الثقافي التقليدي. فهذه القوانين قد تنص مثلا على حقوق للمجتمعات المحلية محمية لمدة غير محددة. وسن مثل هذا القانون قرار سياسي تتخذه الدول الأعضاء، بمراعاة الاعتبارات السياسية والعملية والتقنية مثل تلك التي أُشير إليها أعلاه.</w:t>
      </w:r>
    </w:p>
    <w:p w14:paraId="408E0A2F" w14:textId="77777777" w:rsidR="007E34E6" w:rsidRPr="007E34E6" w:rsidRDefault="007E34E6" w:rsidP="00AE50A4">
      <w:pPr>
        <w:pStyle w:val="ONUMA"/>
        <w:rPr>
          <w:lang w:bidi="ar-EG"/>
        </w:rPr>
      </w:pPr>
      <w:r w:rsidRPr="007E34E6">
        <w:rPr>
          <w:rFonts w:hint="cs"/>
          <w:rtl/>
          <w:lang w:val="it-IT" w:bidi="ar-EG"/>
        </w:rPr>
        <w:t xml:space="preserve">وقد ركّز هذا القسم بالتحديد على إجراءات تكييف وتحسين معينة لقوانين الملكية الفكرية القائمة والمناسبة والخيارات غير القانونية التي تعالج الثغرات المحددة. ومن المقترح أن تكون إجراءات التكييف والتحسين هذه مخصصة لتلبية الاحتياجات الخاصة لأصحاب أشكال التعبير الثقافي التقليدي ومصممة حسب مزاياها الخاصة ولا تستبعد الخيارات بعضها البعض بالضرورة. </w:t>
      </w:r>
    </w:p>
    <w:p w14:paraId="2429966D" w14:textId="77777777" w:rsidR="007E34E6" w:rsidRPr="00AE50A4" w:rsidRDefault="007E34E6" w:rsidP="00AE50A4">
      <w:pPr>
        <w:pStyle w:val="Heading3"/>
        <w:spacing w:before="220" w:after="220"/>
        <w:rPr>
          <w:b/>
          <w:bCs w:val="0"/>
          <w:i/>
          <w:iCs/>
          <w:sz w:val="22"/>
          <w:szCs w:val="22"/>
          <w:u w:val="none"/>
          <w:lang w:bidi="ar-EG"/>
        </w:rPr>
      </w:pPr>
      <w:bookmarkStart w:id="95" w:name="_Toc520405394"/>
      <w:bookmarkStart w:id="96" w:name="_Toc109030416"/>
      <w:r w:rsidRPr="00AE50A4">
        <w:rPr>
          <w:rFonts w:hint="cs"/>
          <w:b/>
          <w:bCs w:val="0"/>
          <w:i/>
          <w:iCs/>
          <w:sz w:val="22"/>
          <w:szCs w:val="22"/>
          <w:u w:val="none"/>
          <w:rtl/>
          <w:lang w:val="it-IT"/>
        </w:rPr>
        <w:t>المنتجات الأدبية والفنية</w:t>
      </w:r>
      <w:bookmarkEnd w:id="95"/>
      <w:bookmarkEnd w:id="96"/>
    </w:p>
    <w:p w14:paraId="6A7C95E8" w14:textId="77777777" w:rsidR="007E34E6" w:rsidRPr="00AE50A4" w:rsidRDefault="007E34E6" w:rsidP="00AE50A4">
      <w:pPr>
        <w:pStyle w:val="Heading4"/>
        <w:spacing w:before="220" w:after="220"/>
        <w:rPr>
          <w:b/>
          <w:bCs w:val="0"/>
          <w:i w:val="0"/>
          <w:iCs/>
          <w:sz w:val="22"/>
          <w:szCs w:val="22"/>
          <w:u w:val="single"/>
          <w:lang w:bidi="ar-EG"/>
        </w:rPr>
      </w:pPr>
      <w:bookmarkStart w:id="97" w:name="_Toc520405395"/>
      <w:bookmarkStart w:id="98" w:name="_Toc109030417"/>
      <w:r w:rsidRPr="00AE50A4">
        <w:rPr>
          <w:rFonts w:hint="cs"/>
          <w:b/>
          <w:bCs w:val="0"/>
          <w:i w:val="0"/>
          <w:iCs/>
          <w:sz w:val="22"/>
          <w:szCs w:val="22"/>
          <w:u w:val="single"/>
          <w:rtl/>
          <w:lang w:val="it-IT"/>
        </w:rPr>
        <w:t>الاعتراف بحقوق المجتمعات المحلية ومصالحها</w:t>
      </w:r>
      <w:bookmarkEnd w:id="97"/>
      <w:bookmarkEnd w:id="98"/>
    </w:p>
    <w:p w14:paraId="488FDBF8" w14:textId="77777777" w:rsidR="007E34E6" w:rsidRPr="007E34E6" w:rsidRDefault="007E34E6" w:rsidP="00AE50A4">
      <w:pPr>
        <w:pStyle w:val="ONUMA"/>
        <w:rPr>
          <w:lang w:bidi="ar-EG"/>
        </w:rPr>
      </w:pPr>
      <w:r w:rsidRPr="007E34E6">
        <w:rPr>
          <w:rFonts w:hint="cs"/>
          <w:rtl/>
          <w:lang w:val="it-IT"/>
        </w:rPr>
        <w:t>كانت المحاكم على استعداد للاعتراف بمصالح المجتمعات المحلية في مصنف محمي بموجب حق المؤلف. وفي قضية</w:t>
      </w:r>
      <w:r w:rsidRPr="007E34E6">
        <w:rPr>
          <w:rFonts w:hint="cs"/>
          <w:i/>
          <w:iCs/>
          <w:rtl/>
          <w:lang w:val="it-IT"/>
        </w:rPr>
        <w:t xml:space="preserve"> </w:t>
      </w:r>
      <w:proofErr w:type="spellStart"/>
      <w:r w:rsidRPr="007E34E6">
        <w:rPr>
          <w:rFonts w:hint="cs"/>
          <w:i/>
          <w:iCs/>
          <w:rtl/>
          <w:lang w:val="it-IT"/>
        </w:rPr>
        <w:t>بولون</w:t>
      </w:r>
      <w:proofErr w:type="spellEnd"/>
      <w:r w:rsidRPr="007E34E6">
        <w:rPr>
          <w:rFonts w:hint="cs"/>
          <w:i/>
          <w:iCs/>
          <w:rtl/>
          <w:lang w:val="it-IT"/>
        </w:rPr>
        <w:t xml:space="preserve"> </w:t>
      </w:r>
      <w:proofErr w:type="spellStart"/>
      <w:r w:rsidRPr="007E34E6">
        <w:rPr>
          <w:rFonts w:hint="cs"/>
          <w:i/>
          <w:iCs/>
          <w:rtl/>
          <w:lang w:val="it-IT"/>
        </w:rPr>
        <w:t>بولون</w:t>
      </w:r>
      <w:proofErr w:type="spellEnd"/>
      <w:r w:rsidRPr="007E34E6">
        <w:rPr>
          <w:rFonts w:hint="cs"/>
          <w:i/>
          <w:iCs/>
          <w:rtl/>
          <w:lang w:val="it-IT"/>
        </w:rPr>
        <w:t xml:space="preserve"> ضد شركة آر أند تي المحدودة للمنسوجات (1998) رقم </w:t>
      </w:r>
      <w:r w:rsidRPr="007E34E6">
        <w:rPr>
          <w:i/>
          <w:iCs/>
          <w:lang w:bidi="ar-EG"/>
        </w:rPr>
        <w:t>41 IPR 513</w:t>
      </w:r>
      <w:r w:rsidRPr="007E34E6">
        <w:rPr>
          <w:i/>
          <w:vertAlign w:val="superscript"/>
          <w:rtl/>
          <w:lang w:val="it-IT" w:bidi="ar-EG"/>
        </w:rPr>
        <w:footnoteReference w:id="50"/>
      </w:r>
      <w:r w:rsidRPr="007E34E6">
        <w:rPr>
          <w:rFonts w:hint="cs"/>
          <w:i/>
          <w:iCs/>
          <w:rtl/>
          <w:lang w:val="it-IT"/>
        </w:rPr>
        <w:t xml:space="preserve"> </w:t>
      </w:r>
      <w:r w:rsidRPr="007E34E6">
        <w:rPr>
          <w:rFonts w:hint="cs"/>
          <w:rtl/>
          <w:lang w:val="it-IT"/>
        </w:rPr>
        <w:t>في أستراليا</w:t>
      </w:r>
      <w:r w:rsidRPr="007E34E6">
        <w:rPr>
          <w:rtl/>
          <w:lang w:val="it-IT"/>
        </w:rPr>
        <w:t>،</w:t>
      </w:r>
      <w:r w:rsidRPr="007E34E6">
        <w:rPr>
          <w:rFonts w:hint="cs"/>
          <w:rtl/>
          <w:lang w:val="it-IT"/>
        </w:rPr>
        <w:t xml:space="preserve"> رأت المحكمة أن الفنان المنتمي إلى مجتمع أصلي متى حصل على إذن من مجتمعه الأصلي لإبداع مصنف فني وفقا لشروط القانون العرفي وللعادات، قد تقع عليه التزامات </w:t>
      </w:r>
      <w:proofErr w:type="spellStart"/>
      <w:r w:rsidRPr="007E34E6">
        <w:rPr>
          <w:rFonts w:hint="cs"/>
          <w:rtl/>
          <w:lang w:val="it-IT"/>
        </w:rPr>
        <w:t>استئمانية</w:t>
      </w:r>
      <w:proofErr w:type="spellEnd"/>
      <w:r w:rsidRPr="007E34E6">
        <w:rPr>
          <w:rFonts w:hint="cs"/>
          <w:rtl/>
          <w:lang w:val="it-IT"/>
        </w:rPr>
        <w:t xml:space="preserve"> بأن يحافظ على سلامة ثقافة المجتمع. وقد تنشأ مثل هذ</w:t>
      </w:r>
      <w:r w:rsidRPr="007E34E6">
        <w:rPr>
          <w:rFonts w:hint="eastAsia"/>
          <w:rtl/>
          <w:lang w:val="it-IT"/>
        </w:rPr>
        <w:t>ه</w:t>
      </w:r>
      <w:r w:rsidRPr="007E34E6">
        <w:rPr>
          <w:rFonts w:hint="cs"/>
          <w:rtl/>
          <w:lang w:val="it-IT"/>
        </w:rPr>
        <w:t xml:space="preserve"> الالتزامات </w:t>
      </w:r>
      <w:proofErr w:type="spellStart"/>
      <w:r w:rsidRPr="007E34E6">
        <w:rPr>
          <w:rFonts w:hint="cs"/>
          <w:rtl/>
          <w:lang w:val="it-IT"/>
        </w:rPr>
        <w:t>الاستئمانية</w:t>
      </w:r>
      <w:proofErr w:type="spellEnd"/>
      <w:r w:rsidRPr="007E34E6">
        <w:rPr>
          <w:rFonts w:hint="cs"/>
          <w:rtl/>
          <w:lang w:val="it-IT"/>
        </w:rPr>
        <w:t xml:space="preserve"> عن العلاقة بين الفنان والمجتمع المحلي بوصفها علاقة استئمان وثقة متبادلة. ويندرج القانون العرفي ضمن الإطار الفعلي الذي يميز هذه العلاقة. وبناءً على العلاقة </w:t>
      </w:r>
      <w:proofErr w:type="spellStart"/>
      <w:r w:rsidRPr="007E34E6">
        <w:rPr>
          <w:rFonts w:hint="cs"/>
          <w:rtl/>
          <w:lang w:val="it-IT"/>
        </w:rPr>
        <w:t>الاستئمانية</w:t>
      </w:r>
      <w:proofErr w:type="spellEnd"/>
      <w:r w:rsidRPr="007E34E6">
        <w:rPr>
          <w:rFonts w:hint="cs"/>
          <w:rtl/>
          <w:lang w:val="it-IT"/>
        </w:rPr>
        <w:t xml:space="preserve">، فإن الحق الأولي للمجتمع المحلي هو اتخاذ إجراءات ضد الفنان لإنفاذ التزاماته </w:t>
      </w:r>
      <w:proofErr w:type="spellStart"/>
      <w:r w:rsidRPr="007E34E6">
        <w:rPr>
          <w:rFonts w:hint="cs"/>
          <w:rtl/>
          <w:lang w:val="it-IT"/>
        </w:rPr>
        <w:t>الاستئمانية</w:t>
      </w:r>
      <w:proofErr w:type="spellEnd"/>
      <w:r w:rsidRPr="007E34E6">
        <w:rPr>
          <w:rFonts w:hint="cs"/>
          <w:rtl/>
          <w:lang w:val="it-IT"/>
        </w:rPr>
        <w:t xml:space="preserve"> إذا أخل بها.</w:t>
      </w:r>
    </w:p>
    <w:p w14:paraId="51F68824" w14:textId="77777777" w:rsidR="007E34E6" w:rsidRPr="00AE50A4" w:rsidRDefault="007E34E6" w:rsidP="00AE50A4">
      <w:pPr>
        <w:pStyle w:val="Heading4"/>
        <w:spacing w:before="220"/>
        <w:rPr>
          <w:b/>
          <w:bCs w:val="0"/>
          <w:i w:val="0"/>
          <w:iCs/>
          <w:sz w:val="22"/>
          <w:szCs w:val="22"/>
          <w:u w:val="single"/>
          <w:lang w:bidi="ar-EG"/>
        </w:rPr>
      </w:pPr>
      <w:bookmarkStart w:id="99" w:name="_Toc520405396"/>
      <w:bookmarkStart w:id="100" w:name="_Toc109030418"/>
      <w:r w:rsidRPr="00AE50A4">
        <w:rPr>
          <w:rFonts w:hint="cs"/>
          <w:b/>
          <w:bCs w:val="0"/>
          <w:i w:val="0"/>
          <w:iCs/>
          <w:sz w:val="22"/>
          <w:szCs w:val="22"/>
          <w:u w:val="single"/>
          <w:rtl/>
          <w:lang w:val="it-IT"/>
        </w:rPr>
        <w:t>الحقوق المعنوية الجماعية للمجتمعات المحلية</w:t>
      </w:r>
      <w:bookmarkEnd w:id="99"/>
      <w:bookmarkEnd w:id="100"/>
    </w:p>
    <w:p w14:paraId="79D1BF1E" w14:textId="77777777" w:rsidR="007E34E6" w:rsidRPr="007E34E6" w:rsidRDefault="007E34E6" w:rsidP="00AE50A4">
      <w:pPr>
        <w:pStyle w:val="ONUMA"/>
        <w:rPr>
          <w:lang w:bidi="ar-EG"/>
        </w:rPr>
      </w:pPr>
      <w:r w:rsidRPr="007E34E6">
        <w:rPr>
          <w:rFonts w:hint="cs"/>
          <w:rtl/>
          <w:lang w:val="it-IT"/>
        </w:rPr>
        <w:t xml:space="preserve">قد تلبي الحقوق المعنوية (الحقوق في </w:t>
      </w:r>
      <w:r w:rsidRPr="007E34E6">
        <w:rPr>
          <w:rtl/>
          <w:lang w:val="it-IT"/>
        </w:rPr>
        <w:t>المطالبة بنسب المصنف إلى مؤلفه</w:t>
      </w:r>
      <w:r w:rsidRPr="007E34E6">
        <w:rPr>
          <w:rFonts w:hint="cs"/>
          <w:rtl/>
          <w:lang w:val="it-IT"/>
        </w:rPr>
        <w:t xml:space="preserve"> والاعتراض على معاملة ضارة) الاحتياجات المتصلة بأشكال التعبير الثقافي التقليدي ويمكن أن تكون مدتها غير محددة (انظر أعلاه). بيد أنها تكون، شأنها شأن الحقوق المالية التي يتضمنها حق المؤلف، مرتبطة بمؤلف أو مؤلفين لا يمكن تحديد هويتهم. ويمكن أن تكون هذه الحقوق المعنوية موضوعا للمزيد من البحث. وفي سنة 2003، عممت الحكومة الأسترالية مشروع قانون أولي بشأن الحقوق المعنوية للسكان الأصليين يرمي إلى حماية المصالح الثقافية للمجتمعات الأصلية.</w:t>
      </w:r>
      <w:r w:rsidRPr="007E34E6">
        <w:rPr>
          <w:vertAlign w:val="superscript"/>
          <w:rtl/>
          <w:lang w:val="it-IT"/>
        </w:rPr>
        <w:footnoteReference w:id="51"/>
      </w:r>
      <w:r w:rsidRPr="007E34E6">
        <w:rPr>
          <w:rFonts w:hint="cs"/>
          <w:rtl/>
          <w:lang w:val="it-IT"/>
        </w:rPr>
        <w:t xml:space="preserve">واعتُبر مشروع القانون أداة يمكن للشعوب الأصلية أن تمنع بها إلحاق الضرر بالمصنفات التي تستند إلى تقاليدها وعاداتها ومعتقداتها. وانتقد أفراد من السكان الأصليين وغيرهم من أصحاب مصالح جوانب من مشروع القانون المقترح. مع ذلك يُشرع مشروع القانون كقانون. </w:t>
      </w:r>
    </w:p>
    <w:p w14:paraId="7E9DCD44" w14:textId="77777777" w:rsidR="007E34E6" w:rsidRPr="007E34E6" w:rsidRDefault="007E34E6" w:rsidP="00AE50A4">
      <w:pPr>
        <w:pStyle w:val="ONUMA"/>
        <w:rPr>
          <w:lang w:bidi="ar-EG"/>
        </w:rPr>
      </w:pPr>
      <w:r w:rsidRPr="007E34E6">
        <w:rPr>
          <w:rFonts w:hint="cs"/>
          <w:rtl/>
          <w:lang w:val="it-IT"/>
        </w:rPr>
        <w:t>ومن الجدير التذكير بأن حماية الحقوق المعنوية يمكن أن تدوم وغالبا ما تدوم لمدة غير محددة وهي كذلك في العديد من القوانين الوطنية. وفي الواقع، يستمر تطبيق الحقوق المعنوية فيما يتصل بالمصنفات التي انتقلت إلى الملك العام ويمكن أن تشمل أشكال التعبير الثقافي الموجودة من قبل.</w:t>
      </w:r>
    </w:p>
    <w:p w14:paraId="06D8B526" w14:textId="77777777" w:rsidR="007E34E6" w:rsidRPr="00AE50A4" w:rsidRDefault="007E34E6" w:rsidP="00AE50A4">
      <w:pPr>
        <w:pStyle w:val="Heading4"/>
        <w:spacing w:before="220" w:after="220"/>
        <w:rPr>
          <w:b/>
          <w:bCs w:val="0"/>
          <w:i w:val="0"/>
          <w:iCs/>
          <w:sz w:val="22"/>
          <w:szCs w:val="22"/>
          <w:u w:val="single"/>
          <w:lang w:bidi="ar-EG"/>
        </w:rPr>
      </w:pPr>
      <w:bookmarkStart w:id="101" w:name="_Toc520405397"/>
      <w:bookmarkStart w:id="102" w:name="_Toc109030419"/>
      <w:r w:rsidRPr="00AE50A4">
        <w:rPr>
          <w:rFonts w:hint="cs"/>
          <w:b/>
          <w:bCs w:val="0"/>
          <w:i w:val="0"/>
          <w:iCs/>
          <w:sz w:val="22"/>
          <w:szCs w:val="22"/>
          <w:u w:val="single"/>
          <w:rtl/>
          <w:lang w:val="it-IT"/>
        </w:rPr>
        <w:t>توضيح نطاق المادة 15(4) من اتفاقية برن</w:t>
      </w:r>
      <w:bookmarkEnd w:id="101"/>
      <w:bookmarkEnd w:id="102"/>
    </w:p>
    <w:p w14:paraId="42AA27A1" w14:textId="77777777" w:rsidR="007E34E6" w:rsidRPr="007E34E6" w:rsidRDefault="007E34E6" w:rsidP="00AE50A4">
      <w:pPr>
        <w:pStyle w:val="ONUMA"/>
        <w:rPr>
          <w:lang w:bidi="ar-EG"/>
        </w:rPr>
      </w:pPr>
      <w:r w:rsidRPr="007E34E6">
        <w:rPr>
          <w:rFonts w:hint="cs"/>
          <w:rtl/>
          <w:lang w:val="it-IT"/>
        </w:rPr>
        <w:t>ظل استخدام المادة 15(4) محدودا في الواقع، وقد يكون من المفيد بحث أسباب ذلك. واقتُرح في مناقشات اللجنة أن أحد الخيارات الممكنة هو إعادة دراسة المادة 15(4) من اتفاقية برن وبحث خيارات من أجل تحسينها.</w:t>
      </w:r>
      <w:r w:rsidRPr="007E34E6">
        <w:rPr>
          <w:vertAlign w:val="superscript"/>
          <w:rtl/>
          <w:lang w:val="it-IT"/>
        </w:rPr>
        <w:footnoteReference w:id="52"/>
      </w:r>
    </w:p>
    <w:p w14:paraId="14BF2781" w14:textId="77777777" w:rsidR="007E34E6" w:rsidRPr="007E34E6" w:rsidRDefault="007E34E6" w:rsidP="00AE50A4">
      <w:pPr>
        <w:pStyle w:val="ONUMA"/>
        <w:rPr>
          <w:lang w:bidi="ar-EG"/>
        </w:rPr>
      </w:pPr>
      <w:r w:rsidRPr="007E34E6">
        <w:rPr>
          <w:rFonts w:hint="cs"/>
          <w:rtl/>
          <w:lang w:val="it-IT"/>
        </w:rPr>
        <w:t>ويمكن أن تشمل هذه الخيارات توضيح "1" أن الحماية المنصوص عليها في هذه المادة تمتد إلى المصنفات "المنشورة" أيضا، "2" وأن مدة الحماية المطبقة على المصنفات التي تغطيها المادة 15(4) هي مدة دنيا وللدول حرية تطبيق مدة أطول إذا رغبت في ذلك، شريطة أن تكون المدة محددة، "3" وأن "السلطة المختصة" المشار إليها يمكن أن تشمل سلطة أنشأها مجتمع محلي بموجب القانون الوطني أو سلطة أخرى يكون فيها للمجتمعات المحلية صوت قوي.</w:t>
      </w:r>
    </w:p>
    <w:p w14:paraId="045B3571" w14:textId="77777777" w:rsidR="007E34E6" w:rsidRPr="007E34E6" w:rsidRDefault="007E34E6" w:rsidP="00AE50A4">
      <w:pPr>
        <w:pStyle w:val="ONUMA"/>
        <w:rPr>
          <w:lang w:bidi="ar-EG"/>
        </w:rPr>
      </w:pPr>
      <w:r w:rsidRPr="007E34E6">
        <w:rPr>
          <w:rFonts w:hint="cs"/>
          <w:rtl/>
          <w:lang w:val="it-IT"/>
        </w:rPr>
        <w:t xml:space="preserve">ويُعتقد عموما بأن من الضروري للحفاظ على التوازن داخل نظام حق المؤلف ألا تكون مدة الحماية غير محددة، حتى يتسنى مآل المصنفات في نهاية المطاف إلى الملك العام. لكن، هناك استثناءات. ففي العديد من القوانين الوطنية تكون مدة الحقوق المعنوية غير محددة. وبموجب حق المؤلف في المملكة المتحدة ما زالت الحقوق في الإتاوة على الانتفاع بالمصنف المشهور "بيتر بان" مستمرة </w:t>
      </w:r>
      <w:r w:rsidRPr="007E34E6">
        <w:rPr>
          <w:rFonts w:hint="cs"/>
          <w:rtl/>
          <w:lang w:val="it-IT"/>
        </w:rPr>
        <w:lastRenderedPageBreak/>
        <w:t>لصالح عمل خيري. ومنحت بعض الدول الأعضاء في الاتحاد الأوروبي فترات أطول للحماية للتعويض عما ألحقته الحربان العالميتان من عواقب على استغلال مصنفات المؤلفين، وتكفل أحكام خاصة حماية المصنفات غير المنشورة مسبقا.</w:t>
      </w:r>
      <w:r w:rsidRPr="007E34E6">
        <w:rPr>
          <w:vertAlign w:val="superscript"/>
          <w:rtl/>
          <w:lang w:val="it-IT"/>
        </w:rPr>
        <w:footnoteReference w:id="53"/>
      </w:r>
      <w:r w:rsidRPr="007E34E6">
        <w:rPr>
          <w:rFonts w:hint="cs"/>
          <w:rtl/>
          <w:lang w:val="it-IT"/>
        </w:rPr>
        <w:t xml:space="preserve"> </w:t>
      </w:r>
    </w:p>
    <w:p w14:paraId="3A1DDEA8" w14:textId="77777777" w:rsidR="007E34E6" w:rsidRPr="007E34E6" w:rsidRDefault="007E34E6" w:rsidP="00AE50A4">
      <w:pPr>
        <w:pStyle w:val="ONUMA"/>
        <w:rPr>
          <w:lang w:bidi="ar-EG"/>
        </w:rPr>
      </w:pPr>
      <w:r w:rsidRPr="007E34E6">
        <w:rPr>
          <w:rFonts w:hint="cs"/>
          <w:rtl/>
          <w:lang w:val="it-IT"/>
        </w:rPr>
        <w:t>ولم يوضع أي حد زمني في الأحكام النموذجية وقانون بنما وإطار العمل الإقليمي لجزر المحيط الهادئ. واقتُرحت إمكانية تحديد مدة الحماية تحديدا "</w:t>
      </w:r>
      <w:proofErr w:type="spellStart"/>
      <w:r w:rsidRPr="007E34E6">
        <w:rPr>
          <w:rFonts w:hint="cs"/>
          <w:rtl/>
          <w:lang w:val="it-IT"/>
        </w:rPr>
        <w:t>تطلعيا</w:t>
      </w:r>
      <w:proofErr w:type="spellEnd"/>
      <w:r w:rsidRPr="007E34E6">
        <w:rPr>
          <w:rFonts w:hint="cs"/>
          <w:rtl/>
          <w:lang w:val="it-IT"/>
        </w:rPr>
        <w:t>" وحماية أشكال التعبير الثقافي التقليدي على مدة المائة والخمسين سنة القادمة مثلا.</w:t>
      </w:r>
      <w:r w:rsidRPr="007E34E6">
        <w:rPr>
          <w:vertAlign w:val="superscript"/>
          <w:rtl/>
          <w:lang w:val="it-IT"/>
        </w:rPr>
        <w:footnoteReference w:id="54"/>
      </w:r>
      <w:r w:rsidRPr="007E34E6">
        <w:rPr>
          <w:rFonts w:hint="cs"/>
          <w:rtl/>
          <w:lang w:val="it-IT"/>
        </w:rPr>
        <w:t xml:space="preserve">، واقترحت أيضا إمكانية ربط مدة الحماية القصوى بمدة حياة المجتمع المحلي. وهذا شبيه </w:t>
      </w:r>
      <w:proofErr w:type="spellStart"/>
      <w:r w:rsidRPr="007E34E6">
        <w:rPr>
          <w:rFonts w:hint="cs"/>
          <w:rtl/>
          <w:lang w:val="it-IT"/>
        </w:rPr>
        <w:t>ببما</w:t>
      </w:r>
      <w:proofErr w:type="spellEnd"/>
      <w:r w:rsidRPr="007E34E6">
        <w:rPr>
          <w:rFonts w:hint="cs"/>
          <w:rtl/>
          <w:lang w:val="it-IT"/>
        </w:rPr>
        <w:t xml:space="preserve"> تختص به العلامة التجارية حاليا. وبالتالي، فإذا لم يعد المجتمع المحلي يستخدم التعبير الثقافي التقليدي الذي يعرِّفه أو لم يعد موجودا ككيان محدد تسقط حماية التعبير الثقافي التقليدي.</w:t>
      </w:r>
      <w:r w:rsidRPr="007E34E6">
        <w:rPr>
          <w:vertAlign w:val="superscript"/>
          <w:rtl/>
          <w:lang w:val="it-IT"/>
        </w:rPr>
        <w:footnoteReference w:id="55"/>
      </w:r>
    </w:p>
    <w:p w14:paraId="26F3AC1F" w14:textId="77777777" w:rsidR="007E34E6" w:rsidRPr="00AE50A4" w:rsidRDefault="007E34E6" w:rsidP="00AE50A4">
      <w:pPr>
        <w:pStyle w:val="Heading4"/>
        <w:spacing w:before="220" w:after="220"/>
        <w:rPr>
          <w:b/>
          <w:bCs w:val="0"/>
          <w:i w:val="0"/>
          <w:iCs/>
          <w:u w:val="single"/>
          <w:lang w:bidi="ar-EG"/>
        </w:rPr>
      </w:pPr>
      <w:bookmarkStart w:id="103" w:name="_Toc520405398"/>
      <w:bookmarkStart w:id="104" w:name="_Toc109030420"/>
      <w:r w:rsidRPr="00AE50A4">
        <w:rPr>
          <w:b/>
          <w:bCs w:val="0"/>
          <w:i w:val="0"/>
          <w:iCs/>
          <w:u w:val="single"/>
          <w:rtl/>
          <w:lang w:val="it-IT"/>
        </w:rPr>
        <w:t>الملك العام بعوض</w:t>
      </w:r>
      <w:bookmarkEnd w:id="103"/>
      <w:bookmarkEnd w:id="104"/>
    </w:p>
    <w:p w14:paraId="6D1EF9F9" w14:textId="77777777" w:rsidR="007E34E6" w:rsidRPr="007E34E6" w:rsidRDefault="007E34E6" w:rsidP="00AE50A4">
      <w:pPr>
        <w:pStyle w:val="ONUMA"/>
        <w:rPr>
          <w:rtl/>
          <w:lang w:val="it-IT"/>
        </w:rPr>
      </w:pPr>
      <w:r w:rsidRPr="007E34E6">
        <w:rPr>
          <w:rFonts w:hint="cs"/>
          <w:rtl/>
          <w:lang w:val="it-IT"/>
        </w:rPr>
        <w:t>أخذت بلدان عديدة هذا النظام الذي يقتضي دفع عوض على المصنفات الموجودة في الملك العام لصندوق ثقافي وطني أو هيئة مشابهة في أغلب الأحيان. ويوفر هذا النهج مكافأة مقابل الانتفاع بأشكال التعبير الثقافي التقليدي (بقدر ما تعتبر "ملكا عاما") لكنه لا يمنع الغير من الانتفاع بأشكال هذا التعبير. وبالتالي، يمكن وصفه كنظام "الانتفاع الآن والدفع لاحقا". وينتقد البعض هذا النهج لأنه ينشئ حقا أبديا للمؤلف ومن شأنه أن يستبعد المصنفات من دورة الإبداع. قد أشير أيضا إلى نهج مشابه جدا وهو "نظام المسؤولية التعويضية".</w:t>
      </w:r>
    </w:p>
    <w:p w14:paraId="5868C80E" w14:textId="77777777" w:rsidR="007E34E6" w:rsidRPr="00F37FFB" w:rsidRDefault="007E34E6" w:rsidP="00AE50A4">
      <w:pPr>
        <w:pStyle w:val="Heading4"/>
        <w:spacing w:before="220" w:after="220"/>
        <w:rPr>
          <w:b/>
          <w:bCs w:val="0"/>
          <w:i w:val="0"/>
          <w:iCs/>
          <w:sz w:val="22"/>
          <w:szCs w:val="22"/>
          <w:u w:val="single"/>
          <w:lang w:bidi="ar-EG"/>
        </w:rPr>
      </w:pPr>
      <w:bookmarkStart w:id="105" w:name="_Toc520405399"/>
      <w:bookmarkStart w:id="106" w:name="_Toc109030421"/>
      <w:r w:rsidRPr="00F37FFB">
        <w:rPr>
          <w:b/>
          <w:bCs w:val="0"/>
          <w:i w:val="0"/>
          <w:iCs/>
          <w:sz w:val="22"/>
          <w:szCs w:val="22"/>
          <w:u w:val="single"/>
          <w:rtl/>
          <w:lang w:val="it-IT"/>
        </w:rPr>
        <w:t xml:space="preserve">المصنفات </w:t>
      </w:r>
      <w:r w:rsidRPr="00F37FFB">
        <w:rPr>
          <w:rFonts w:hint="cs"/>
          <w:b/>
          <w:bCs w:val="0"/>
          <w:i w:val="0"/>
          <w:iCs/>
          <w:sz w:val="22"/>
          <w:szCs w:val="22"/>
          <w:u w:val="single"/>
          <w:rtl/>
          <w:lang w:val="it-IT"/>
        </w:rPr>
        <w:t>اليتيمة</w:t>
      </w:r>
      <w:bookmarkEnd w:id="105"/>
      <w:bookmarkEnd w:id="106"/>
      <w:r w:rsidRPr="00F37FFB">
        <w:rPr>
          <w:rFonts w:hint="cs"/>
          <w:b/>
          <w:bCs w:val="0"/>
          <w:i w:val="0"/>
          <w:iCs/>
          <w:sz w:val="22"/>
          <w:szCs w:val="22"/>
          <w:u w:val="single"/>
          <w:rtl/>
          <w:lang w:val="it-IT"/>
        </w:rPr>
        <w:t xml:space="preserve"> </w:t>
      </w:r>
    </w:p>
    <w:p w14:paraId="46CFB201" w14:textId="77777777" w:rsidR="007E34E6" w:rsidRPr="00F37FFB" w:rsidRDefault="007E34E6" w:rsidP="00F37FFB">
      <w:pPr>
        <w:pStyle w:val="ONUMA"/>
        <w:rPr>
          <w:lang w:bidi="ar-EG"/>
        </w:rPr>
      </w:pPr>
      <w:r w:rsidRPr="00F37FFB">
        <w:rPr>
          <w:rFonts w:hint="cs"/>
          <w:rtl/>
          <w:lang w:val="it-IT"/>
        </w:rPr>
        <w:t xml:space="preserve">يراد بالمصنفات "اليتيمة" المصنفات المحمية بموجب حق المؤلف التي لا يُعرف مؤلفها أو لا يمكن تحديد مكانه. وتُعتبر أشكال التعبير الثقافي التقليدي عموما منتجات لم يكن لها قط مؤلف بالمعنى الذي ينطوي عليه حق المؤلف ولا تكون بالتالي "ميتمَّة" بالمعنى نفسه. وإلى جانب هذا، قد لا ترتاح المجتمعات الأصلية للقول إن أشكال تعبيرها الثقافي "يتيمة" فقط لأنها اجتماعية وجماعية؛ ويمكن الاحتجاج أيضا بأن لها بالفعل مؤلفا يمكن تحديد هويته وإن كان تأليفها جماعيا. أما في سياق أشكال التعبير الثقافي التقليدي، حيث قلّما يكون التعبير واحدا مثبتا لمؤلف واحد معروف، يمكن القول إن التعبير الثقافي التقليدي معينا يشبه مصنفا "ميتما" ولعل في القوانين أو المقترحات الحالية التي تعالج مسألة المؤلفين الذين لا يمكن تحديد مكانهم، أفكار أو خيارات لحماية أشكال التعبير الثقافي التقليدي. </w:t>
      </w:r>
    </w:p>
    <w:p w14:paraId="28EC9FF0" w14:textId="77777777" w:rsidR="007E34E6" w:rsidRPr="007E34E6" w:rsidRDefault="007E34E6" w:rsidP="00F37FFB">
      <w:pPr>
        <w:pStyle w:val="ONUMA"/>
        <w:rPr>
          <w:lang w:bidi="ar-EG"/>
        </w:rPr>
      </w:pPr>
      <w:r w:rsidRPr="00F37FFB">
        <w:rPr>
          <w:rFonts w:hint="cs"/>
          <w:rtl/>
        </w:rPr>
        <w:t>وتنظر عدة أنظمة قضائية في التشريعات</w:t>
      </w:r>
      <w:r w:rsidRPr="007E34E6">
        <w:rPr>
          <w:rFonts w:hint="cs"/>
          <w:rtl/>
          <w:lang w:val="it-IT"/>
        </w:rPr>
        <w:t xml:space="preserve"> أو اعتمدتها سلفا. ونفذت كندا على سبيل المثال كندا تشريعات تنشئ نظام ترخيص إلزامي يسمح بالانتفاع بالمصنفات المنشورة وتصدر هذا الترخيص السلطة الوطنية لحق المؤلف نيابة عن أصحاب حق المؤلف الذين لا يمكن تحديد مكانهم.</w:t>
      </w:r>
      <w:r w:rsidRPr="007E34E6">
        <w:rPr>
          <w:vertAlign w:val="superscript"/>
          <w:rtl/>
          <w:lang w:val="it-IT"/>
        </w:rPr>
        <w:footnoteReference w:id="56"/>
      </w:r>
      <w:r w:rsidRPr="007E34E6">
        <w:rPr>
          <w:rtl/>
          <w:lang w:val="it-IT"/>
        </w:rPr>
        <w:t xml:space="preserve"> </w:t>
      </w:r>
      <w:r w:rsidRPr="007E34E6">
        <w:rPr>
          <w:rFonts w:hint="cs"/>
          <w:rtl/>
          <w:lang w:val="it-IT"/>
        </w:rPr>
        <w:t>و</w:t>
      </w:r>
      <w:r w:rsidRPr="007E34E6">
        <w:rPr>
          <w:rtl/>
          <w:lang w:val="it-IT"/>
        </w:rPr>
        <w:t xml:space="preserve">في </w:t>
      </w:r>
      <w:r w:rsidRPr="007E34E6">
        <w:rPr>
          <w:rFonts w:hint="cs"/>
          <w:rtl/>
          <w:lang w:val="it-IT"/>
        </w:rPr>
        <w:t>سنة</w:t>
      </w:r>
      <w:r w:rsidRPr="007E34E6">
        <w:rPr>
          <w:rtl/>
          <w:lang w:val="it-IT"/>
        </w:rPr>
        <w:t xml:space="preserve"> </w:t>
      </w:r>
      <w:r w:rsidRPr="007E34E6">
        <w:rPr>
          <w:rFonts w:hint="cs"/>
          <w:rtl/>
          <w:lang w:val="it-IT"/>
        </w:rPr>
        <w:t>2012،</w:t>
      </w:r>
      <w:r w:rsidRPr="007E34E6">
        <w:rPr>
          <w:rtl/>
          <w:lang w:val="it-IT"/>
        </w:rPr>
        <w:t xml:space="preserve"> </w:t>
      </w:r>
      <w:r w:rsidRPr="007E34E6">
        <w:rPr>
          <w:rFonts w:hint="cs"/>
          <w:rtl/>
          <w:lang w:val="it-IT"/>
        </w:rPr>
        <w:t>اعتمد</w:t>
      </w:r>
      <w:r w:rsidRPr="007E34E6">
        <w:rPr>
          <w:rtl/>
          <w:lang w:val="it-IT"/>
        </w:rPr>
        <w:t xml:space="preserve"> الاتحاد الأوروبي توجيه </w:t>
      </w:r>
      <w:r w:rsidRPr="007E34E6">
        <w:rPr>
          <w:rFonts w:hint="cs"/>
          <w:rtl/>
          <w:lang w:val="it-IT"/>
        </w:rPr>
        <w:t>المصنفات</w:t>
      </w:r>
      <w:r w:rsidRPr="007E34E6">
        <w:rPr>
          <w:rtl/>
          <w:lang w:val="it-IT"/>
        </w:rPr>
        <w:t xml:space="preserve"> </w:t>
      </w:r>
      <w:r w:rsidRPr="007E34E6">
        <w:rPr>
          <w:rFonts w:hint="cs"/>
          <w:rtl/>
          <w:lang w:val="it-IT"/>
        </w:rPr>
        <w:t>اليتيمة</w:t>
      </w:r>
      <w:r w:rsidRPr="007E34E6">
        <w:rPr>
          <w:vertAlign w:val="superscript"/>
          <w:rtl/>
          <w:lang w:val="it-IT"/>
        </w:rPr>
        <w:footnoteReference w:id="57"/>
      </w:r>
      <w:r w:rsidRPr="007E34E6">
        <w:rPr>
          <w:rtl/>
          <w:lang w:val="it-IT"/>
        </w:rPr>
        <w:t xml:space="preserve"> لوضع قواعد مشتركة لأعضائه حول رقمنة </w:t>
      </w:r>
      <w:r w:rsidRPr="007E34E6">
        <w:rPr>
          <w:rFonts w:hint="cs"/>
          <w:rtl/>
          <w:lang w:val="it-IT"/>
        </w:rPr>
        <w:t>المصنفات</w:t>
      </w:r>
      <w:r w:rsidRPr="007E34E6">
        <w:rPr>
          <w:rtl/>
          <w:lang w:val="it-IT"/>
        </w:rPr>
        <w:t xml:space="preserve"> اليتيمة وعرضها على الإنترنت. </w:t>
      </w:r>
      <w:r w:rsidRPr="007E34E6">
        <w:rPr>
          <w:rFonts w:hint="cs"/>
          <w:rtl/>
          <w:lang w:val="it-IT"/>
        </w:rPr>
        <w:t>و</w:t>
      </w:r>
      <w:r w:rsidRPr="007E34E6">
        <w:rPr>
          <w:rtl/>
          <w:lang w:val="it-IT"/>
        </w:rPr>
        <w:t xml:space="preserve">في الولايات المتحدة </w:t>
      </w:r>
      <w:r w:rsidRPr="007E34E6">
        <w:rPr>
          <w:rFonts w:hint="cs"/>
          <w:rtl/>
          <w:lang w:val="it-IT"/>
        </w:rPr>
        <w:t>الأمريكية،</w:t>
      </w:r>
      <w:r w:rsidRPr="007E34E6">
        <w:rPr>
          <w:rtl/>
          <w:lang w:val="it-IT"/>
        </w:rPr>
        <w:t xml:space="preserve"> </w:t>
      </w:r>
      <w:r w:rsidRPr="007E34E6">
        <w:rPr>
          <w:rFonts w:hint="cs"/>
          <w:rtl/>
          <w:lang w:val="it-IT"/>
        </w:rPr>
        <w:t>استعرض</w:t>
      </w:r>
      <w:r w:rsidRPr="007E34E6">
        <w:rPr>
          <w:rtl/>
          <w:lang w:val="it-IT"/>
        </w:rPr>
        <w:t xml:space="preserve"> مكتب حق </w:t>
      </w:r>
      <w:r w:rsidRPr="007E34E6">
        <w:rPr>
          <w:rFonts w:hint="cs"/>
          <w:rtl/>
          <w:lang w:val="it-IT"/>
        </w:rPr>
        <w:t>المؤلف</w:t>
      </w:r>
      <w:r w:rsidRPr="007E34E6">
        <w:rPr>
          <w:rtl/>
          <w:lang w:val="it-IT"/>
        </w:rPr>
        <w:t xml:space="preserve"> مسألة المصنفات اليتيمة وأصدر تحليله في يونيو 2015 </w:t>
      </w:r>
      <w:r w:rsidRPr="007E34E6">
        <w:rPr>
          <w:rFonts w:hint="cs"/>
          <w:rtl/>
          <w:lang w:val="it-IT"/>
        </w:rPr>
        <w:t>الذي اقترح</w:t>
      </w:r>
      <w:r w:rsidRPr="007E34E6">
        <w:rPr>
          <w:rtl/>
          <w:lang w:val="it-IT"/>
        </w:rPr>
        <w:t xml:space="preserve"> نموذ</w:t>
      </w:r>
      <w:r w:rsidRPr="007E34E6">
        <w:rPr>
          <w:rFonts w:hint="cs"/>
          <w:rtl/>
          <w:lang w:val="it-IT"/>
        </w:rPr>
        <w:t>ج</w:t>
      </w:r>
      <w:r w:rsidRPr="007E34E6">
        <w:rPr>
          <w:rtl/>
          <w:lang w:val="it-IT"/>
        </w:rPr>
        <w:t xml:space="preserve"> </w:t>
      </w:r>
      <w:r w:rsidRPr="007E34E6">
        <w:rPr>
          <w:rFonts w:hint="cs"/>
          <w:rtl/>
          <w:lang w:val="it-IT"/>
        </w:rPr>
        <w:t>ا</w:t>
      </w:r>
      <w:r w:rsidRPr="007E34E6">
        <w:rPr>
          <w:rtl/>
          <w:lang w:val="it-IT"/>
        </w:rPr>
        <w:t>لمس</w:t>
      </w:r>
      <w:r w:rsidRPr="007E34E6">
        <w:rPr>
          <w:rFonts w:hint="cs"/>
          <w:rtl/>
          <w:lang w:val="it-IT"/>
        </w:rPr>
        <w:t>ؤو</w:t>
      </w:r>
      <w:r w:rsidRPr="007E34E6">
        <w:rPr>
          <w:rtl/>
          <w:lang w:val="it-IT"/>
        </w:rPr>
        <w:t>لية</w:t>
      </w:r>
      <w:r w:rsidRPr="007E34E6">
        <w:rPr>
          <w:rFonts w:hint="cs"/>
          <w:rtl/>
          <w:lang w:val="it-IT"/>
        </w:rPr>
        <w:t xml:space="preserve"> المحدودة</w:t>
      </w:r>
      <w:r w:rsidRPr="007E34E6">
        <w:rPr>
          <w:rtl/>
          <w:lang w:val="it-IT"/>
        </w:rPr>
        <w:t>.</w:t>
      </w:r>
      <w:r w:rsidRPr="007E34E6">
        <w:rPr>
          <w:vertAlign w:val="superscript"/>
          <w:rtl/>
          <w:lang w:val="it-IT"/>
        </w:rPr>
        <w:footnoteReference w:id="58"/>
      </w:r>
      <w:r w:rsidRPr="007E34E6">
        <w:rPr>
          <w:rFonts w:hint="cs"/>
          <w:rtl/>
          <w:lang w:val="it-IT"/>
        </w:rPr>
        <w:t xml:space="preserve"> </w:t>
      </w:r>
    </w:p>
    <w:p w14:paraId="18C09048" w14:textId="77777777" w:rsidR="007E34E6" w:rsidRPr="00F37FFB" w:rsidRDefault="007E34E6" w:rsidP="00F37FFB">
      <w:pPr>
        <w:pStyle w:val="Heading4"/>
        <w:spacing w:before="220" w:after="220"/>
        <w:rPr>
          <w:b/>
          <w:bCs w:val="0"/>
          <w:i w:val="0"/>
          <w:iCs/>
          <w:sz w:val="22"/>
          <w:szCs w:val="22"/>
          <w:u w:val="single"/>
          <w:lang w:bidi="ar-EG"/>
        </w:rPr>
      </w:pPr>
      <w:bookmarkStart w:id="107" w:name="_Toc520405400"/>
      <w:bookmarkStart w:id="108" w:name="_Toc109030422"/>
      <w:r w:rsidRPr="00F37FFB">
        <w:rPr>
          <w:rFonts w:hint="cs"/>
          <w:b/>
          <w:bCs w:val="0"/>
          <w:i w:val="0"/>
          <w:iCs/>
          <w:sz w:val="22"/>
          <w:szCs w:val="22"/>
          <w:u w:val="single"/>
          <w:rtl/>
          <w:lang w:val="it-IT"/>
        </w:rPr>
        <w:t>حق إعادة البيع</w:t>
      </w:r>
      <w:bookmarkEnd w:id="107"/>
      <w:bookmarkEnd w:id="108"/>
      <w:r w:rsidRPr="00F37FFB">
        <w:rPr>
          <w:rFonts w:hint="cs"/>
          <w:b/>
          <w:bCs w:val="0"/>
          <w:i w:val="0"/>
          <w:iCs/>
          <w:sz w:val="22"/>
          <w:szCs w:val="22"/>
          <w:u w:val="single"/>
          <w:rtl/>
          <w:lang w:val="it-IT"/>
        </w:rPr>
        <w:t xml:space="preserve"> </w:t>
      </w:r>
    </w:p>
    <w:p w14:paraId="2E6BE8AF" w14:textId="77777777" w:rsidR="007E34E6" w:rsidRPr="007E34E6" w:rsidRDefault="007E34E6" w:rsidP="00F37FFB">
      <w:pPr>
        <w:pStyle w:val="ONUMA"/>
        <w:rPr>
          <w:lang w:bidi="ar-EG"/>
        </w:rPr>
      </w:pPr>
      <w:r w:rsidRPr="007E34E6">
        <w:rPr>
          <w:rFonts w:hint="cs"/>
          <w:rtl/>
          <w:lang w:val="it-IT"/>
        </w:rPr>
        <w:t>تنص معاهدة برن (المادة 14 (ثالثا)) على حقوق إعادة البيع (حق التتبع) بشكل اختياري وتعترف بها بعض الأنظمة القضائية وليس جميعها. وهذه الحقوق غير القابلة للتصرف فيها تسمح للفنان (أو لورثته) بالحصول على نسبة مئوية من ثمن بيع مصنف فني عندما يعاد بيعه على يد مهني في سوق الفنون (البائعون بالمزاد أو المعارض أو غيرهم من تجار الفن) والهدف من هذا هو تمكين الفنانين من جني المنفعة المالية كلما زادت قيمة مصنفاتهم الإبداعية. وأصدر الاتحاد الأوروبي توجيها بشأن هذا الموضوع في سنة 2001 توحيدا لنهج الدول الأعضاء بخصوص حقوق إعادة البيع.</w:t>
      </w:r>
      <w:r w:rsidRPr="007E34E6">
        <w:rPr>
          <w:vertAlign w:val="superscript"/>
          <w:rtl/>
          <w:lang w:val="it-IT"/>
        </w:rPr>
        <w:footnoteReference w:id="59"/>
      </w:r>
      <w:r w:rsidRPr="007E34E6">
        <w:rPr>
          <w:rFonts w:hint="cs"/>
          <w:rtl/>
          <w:lang w:val="it-IT"/>
        </w:rPr>
        <w:t>ويقضي هذا التوجيه بأن تسن كل دولة من دول الاتحاد تشريعا يمنح الفنانين حقا في نسبة مئوية</w:t>
      </w:r>
      <w:r w:rsidRPr="007E34E6">
        <w:rPr>
          <w:lang w:bidi="ar-EG"/>
        </w:rPr>
        <w:t xml:space="preserve"> </w:t>
      </w:r>
      <w:r w:rsidRPr="007E34E6">
        <w:rPr>
          <w:rFonts w:hint="cs"/>
          <w:rtl/>
          <w:lang w:val="it-IT"/>
        </w:rPr>
        <w:t xml:space="preserve">مرنة، من الربح الذي تدره إعادة بيع مصنفاتهم في حدود سقف معين على مدى فترة حياتهم إضافة إلى سبعين سنة. وتستخدم أيضا العديد من بلدان أمريكا اللاتينية والبلدان الأفريقية حق إعادة البيع. ويمكن أن يُستخدم هذا الحق أيضا كآلية من آليات تقاسم المنافع لتحويل العائدات التي تدرها مبيعات دور المزاد لفن المجتمعات الأصلية إلى الفنانين المنتمين إلى </w:t>
      </w:r>
      <w:r w:rsidRPr="007E34E6">
        <w:rPr>
          <w:rFonts w:hint="cs"/>
          <w:rtl/>
          <w:lang w:val="it-IT"/>
        </w:rPr>
        <w:lastRenderedPageBreak/>
        <w:t>هذه المجتمعات إذا كانوا يُعتبرون "مؤلفين" وكانت أشكال تعبيرهم الثقافي التقليدي محمية بموجب حق المؤلف، وهو حالهم في أغلب الأحيان.</w:t>
      </w:r>
      <w:r w:rsidRPr="007E34E6">
        <w:rPr>
          <w:vertAlign w:val="superscript"/>
          <w:rtl/>
          <w:lang w:val="it-IT"/>
        </w:rPr>
        <w:footnoteReference w:id="60"/>
      </w:r>
    </w:p>
    <w:p w14:paraId="7CCA42D5" w14:textId="77777777" w:rsidR="007E34E6" w:rsidRPr="00F37FFB" w:rsidRDefault="007E34E6" w:rsidP="00F37FFB">
      <w:pPr>
        <w:pStyle w:val="Heading4"/>
        <w:spacing w:before="220" w:after="220"/>
        <w:rPr>
          <w:b/>
          <w:bCs w:val="0"/>
          <w:i w:val="0"/>
          <w:iCs/>
          <w:sz w:val="22"/>
          <w:szCs w:val="22"/>
          <w:u w:val="single"/>
          <w:lang w:bidi="ar-EG"/>
        </w:rPr>
      </w:pPr>
      <w:bookmarkStart w:id="109" w:name="_Toc520405401"/>
      <w:bookmarkStart w:id="110" w:name="_Toc109030423"/>
      <w:r w:rsidRPr="00F37FFB">
        <w:rPr>
          <w:rFonts w:hint="cs"/>
          <w:b/>
          <w:bCs w:val="0"/>
          <w:i w:val="0"/>
          <w:iCs/>
          <w:sz w:val="22"/>
          <w:szCs w:val="22"/>
          <w:u w:val="single"/>
          <w:rtl/>
          <w:lang w:val="it-IT"/>
        </w:rPr>
        <w:t>استخدام العلامات المميزة ومبادئ المنافسة غير المشروعة لمكافحة التملك غير المشروع للسمعة المرتبطة بأشكال التعبير الثقافي التقليدي ("النمط")</w:t>
      </w:r>
      <w:bookmarkEnd w:id="109"/>
      <w:bookmarkEnd w:id="110"/>
    </w:p>
    <w:p w14:paraId="7672ED98" w14:textId="77777777" w:rsidR="007E34E6" w:rsidRPr="007E34E6" w:rsidRDefault="007E34E6" w:rsidP="00F37FFB">
      <w:pPr>
        <w:pStyle w:val="ONUMA"/>
        <w:rPr>
          <w:lang w:bidi="ar-EG"/>
        </w:rPr>
      </w:pPr>
      <w:r w:rsidRPr="007E34E6">
        <w:rPr>
          <w:rtl/>
          <w:lang w:val="it-IT"/>
        </w:rPr>
        <w:t>وتشمل الخيارات المتعلقة بالسمعة المرتبطة بأشكال التعبير الثقافي التقليدي ما يلي:</w:t>
      </w:r>
    </w:p>
    <w:p w14:paraId="3211E91D" w14:textId="5C36CB44" w:rsidR="007E34E6" w:rsidRPr="00F37FFB" w:rsidRDefault="00F37FFB" w:rsidP="00F37FFB">
      <w:pPr>
        <w:pStyle w:val="BodyText"/>
        <w:ind w:left="1134" w:hanging="567"/>
        <w:rPr>
          <w:rtl/>
        </w:rPr>
      </w:pPr>
      <w:r>
        <w:rPr>
          <w:rFonts w:hint="cs"/>
          <w:rtl/>
          <w:lang w:val="it-IT"/>
        </w:rPr>
        <w:t>(أ)</w:t>
      </w:r>
      <w:r>
        <w:rPr>
          <w:rtl/>
          <w:lang w:val="it-IT"/>
        </w:rPr>
        <w:tab/>
      </w:r>
      <w:r w:rsidR="007E34E6" w:rsidRPr="00F37FFB">
        <w:rPr>
          <w:rFonts w:hint="cs"/>
          <w:rtl/>
        </w:rPr>
        <w:t>قوانين المنافسة غير المشروعة و</w:t>
      </w:r>
      <w:r w:rsidR="007E34E6" w:rsidRPr="00F37FFB">
        <w:rPr>
          <w:rtl/>
        </w:rPr>
        <w:t>جنحة التمويه في نظام القانون العام</w:t>
      </w:r>
      <w:r w:rsidR="007E34E6" w:rsidRPr="00F37FFB">
        <w:rPr>
          <w:rFonts w:hint="cs"/>
          <w:rtl/>
        </w:rPr>
        <w:t>: كثيرا ما تكون السمعة المرتبطة بتعبير ثقافي تقليدي، مثلما يجسده أو يصوره "نمط" مميز، موضوع تملك غير مشروع. ومن المقترح أن تشمل الحماية في هذا السياق الحماية من الادعاءات الزائفة بشأن "العراقة" أو الارتباط بالمجتمع المحلي أو تأييده. وقد يكون قانون المنافسة غير المشروعة وجريمة التمويه حسب القانون العرفي عنصرين مساعدين. وقد يتعلقان بحماية نمط في حد ذاته، أو بالحماية من التصوير المضلل القائم على استخدام نمط أو صور أو رموز مميزة. وقد ينطبق ما سبق على التصاميم التقليدية أيضا.</w:t>
      </w:r>
    </w:p>
    <w:p w14:paraId="7428D1FA" w14:textId="1709D7CE" w:rsidR="007E34E6" w:rsidRPr="00F37FFB" w:rsidRDefault="00F37FFB" w:rsidP="00F37FFB">
      <w:pPr>
        <w:pStyle w:val="BodyText"/>
        <w:ind w:left="1134" w:hanging="567"/>
        <w:rPr>
          <w:rtl/>
        </w:rPr>
      </w:pPr>
      <w:r>
        <w:rPr>
          <w:rFonts w:hint="cs"/>
          <w:rtl/>
          <w:lang w:val="it-IT"/>
        </w:rPr>
        <w:t>(ب)</w:t>
      </w:r>
      <w:r>
        <w:rPr>
          <w:rtl/>
          <w:lang w:val="it-IT"/>
        </w:rPr>
        <w:tab/>
      </w:r>
      <w:r w:rsidR="007E34E6" w:rsidRPr="00F37FFB">
        <w:rPr>
          <w:rFonts w:hint="cs"/>
          <w:rtl/>
        </w:rPr>
        <w:t>علامات التصديق: سجلت مجتمعات محلية علامات تصديق أو علامات جماعية أو "علامات العراقة" في عدة بلدان، مثل أستراليا ونيوزيلندا وكندا والولايات المتحدة الأمريكية (</w:t>
      </w:r>
      <w:proofErr w:type="spellStart"/>
      <w:r w:rsidR="007E34E6" w:rsidRPr="00F37FFB">
        <w:rPr>
          <w:rFonts w:hint="cs"/>
          <w:rtl/>
        </w:rPr>
        <w:t>ألسكا</w:t>
      </w:r>
      <w:proofErr w:type="spellEnd"/>
      <w:r w:rsidR="007E34E6" w:rsidRPr="00F37FFB">
        <w:rPr>
          <w:rFonts w:hint="cs"/>
          <w:rtl/>
        </w:rPr>
        <w:t>) واليابان</w:t>
      </w:r>
      <w:r w:rsidR="007E34E6" w:rsidRPr="00F37FFB">
        <w:rPr>
          <w:rtl/>
        </w:rPr>
        <w:footnoteReference w:id="61"/>
      </w:r>
      <w:r w:rsidR="007E34E6" w:rsidRPr="00F37FFB">
        <w:rPr>
          <w:rFonts w:hint="cs"/>
          <w:rtl/>
        </w:rPr>
        <w:t>وبنما وفيجي.</w:t>
      </w:r>
      <w:r w:rsidR="007E34E6" w:rsidRPr="00F37FFB">
        <w:rPr>
          <w:rtl/>
        </w:rPr>
        <w:footnoteReference w:id="62"/>
      </w:r>
      <w:r w:rsidR="007E34E6" w:rsidRPr="00F37FFB">
        <w:rPr>
          <w:rFonts w:hint="cs"/>
          <w:rtl/>
        </w:rPr>
        <w:t xml:space="preserve"> </w:t>
      </w:r>
    </w:p>
    <w:p w14:paraId="5D0C58DB" w14:textId="62093818" w:rsidR="007E34E6" w:rsidRPr="00F37FFB" w:rsidRDefault="00F37FFB" w:rsidP="00F37FFB">
      <w:pPr>
        <w:pStyle w:val="BodyText"/>
        <w:ind w:left="1134" w:hanging="567"/>
        <w:rPr>
          <w:rtl/>
        </w:rPr>
      </w:pPr>
      <w:r>
        <w:rPr>
          <w:rFonts w:hint="cs"/>
          <w:rtl/>
          <w:lang w:val="it-IT"/>
        </w:rPr>
        <w:t>(ج)</w:t>
      </w:r>
      <w:r>
        <w:rPr>
          <w:rtl/>
          <w:lang w:val="it-IT"/>
        </w:rPr>
        <w:tab/>
      </w:r>
      <w:r w:rsidR="007E34E6" w:rsidRPr="00F37FFB">
        <w:rPr>
          <w:rFonts w:hint="cs"/>
          <w:rtl/>
        </w:rPr>
        <w:t>قوانين</w:t>
      </w:r>
      <w:proofErr w:type="gramStart"/>
      <w:r w:rsidR="007E34E6" w:rsidRPr="00F37FFB">
        <w:rPr>
          <w:rFonts w:hint="cs"/>
          <w:rtl/>
        </w:rPr>
        <w:t xml:space="preserve"> ’الحقيقة</w:t>
      </w:r>
      <w:proofErr w:type="gramEnd"/>
      <w:r w:rsidR="007E34E6" w:rsidRPr="00F37FFB">
        <w:rPr>
          <w:rFonts w:hint="cs"/>
          <w:rtl/>
        </w:rPr>
        <w:t xml:space="preserve"> في الدعاية‘ والتوسيم: يحمي قانون فنون الهنود الحمر وحرفهم اليدوية لسنة 1990 في الولايات المتحدة الأمريكية الحرفيين الأمريكيين الأصليين إذ يضمن لهم عراقة منتجاتهم الهنود الحرفية تحت إشراف مجلس فنون الهنود الحمر وحرفهم اليدوية. ويمنع القانون المذكور، وهو قانون بشأن "الحقيقة في التسويق"، من تسويق منتجات على أنها "من صنع الهنود الحمر" عندما لا تكون هذه المنتجات من صنع الهنود مثلما يعرّفهم القانون.</w:t>
      </w:r>
      <w:r w:rsidR="007E34E6" w:rsidRPr="00F37FFB">
        <w:rPr>
          <w:rtl/>
        </w:rPr>
        <w:footnoteReference w:id="63"/>
      </w:r>
    </w:p>
    <w:p w14:paraId="3DB9BF45" w14:textId="60E1DDCA" w:rsidR="007E34E6" w:rsidRPr="00F37FFB" w:rsidRDefault="00F37FFB" w:rsidP="00F37FFB">
      <w:pPr>
        <w:pStyle w:val="BodyText"/>
        <w:ind w:left="1134" w:hanging="567"/>
        <w:rPr>
          <w:rtl/>
        </w:rPr>
      </w:pPr>
      <w:r>
        <w:rPr>
          <w:rFonts w:hint="cs"/>
          <w:rtl/>
          <w:lang w:val="it-IT"/>
        </w:rPr>
        <w:t>(د)</w:t>
      </w:r>
      <w:r>
        <w:rPr>
          <w:rtl/>
          <w:lang w:val="it-IT"/>
        </w:rPr>
        <w:tab/>
      </w:r>
      <w:r w:rsidR="007E34E6" w:rsidRPr="00F37FFB">
        <w:rPr>
          <w:rFonts w:hint="cs"/>
          <w:rtl/>
        </w:rPr>
        <w:t>البيانات الجغرافية: شدد العديد من المشاركين في اللجنة على إمكانية استخدام البيانات الجغرافية في هذا المجال. ويمكن وصف بعض أشكال التعبير الثقافي التقليدي، مثل منتجات الحرف اليدوية التي تُصنع باستخدام موارد طبيعية، على أنها "سلع" يمكن أن تُحمى بالبيانات الجغرافية. وإضافة إلى هذا، قد تكون بعض أشكال التعبير الثقافي التقليدي نفسها بيانات جغرافية، مثل الأسماء والعلامات الأصلية والتقليدية وغيرها من البيانات. وقدم البرتغال والمكسيك والاتحاد الروسي أمثلة وجيهة على تسجيل البيانات الجغرافية فيما يخص أشكال التعبير الثقافي التقليدي وما يتصل بها من المعارف التقليدية.</w:t>
      </w:r>
      <w:r w:rsidR="007E34E6" w:rsidRPr="00F37FFB">
        <w:rPr>
          <w:rtl/>
        </w:rPr>
        <w:footnoteReference w:id="64"/>
      </w:r>
    </w:p>
    <w:p w14:paraId="19EBA19F" w14:textId="4B4CC42A" w:rsidR="007E34E6" w:rsidRPr="00F37FFB" w:rsidRDefault="00F37FFB" w:rsidP="00F37FFB">
      <w:pPr>
        <w:pStyle w:val="BodyText"/>
        <w:ind w:left="1134" w:hanging="567"/>
      </w:pPr>
      <w:r>
        <w:rPr>
          <w:rFonts w:hint="cs"/>
          <w:rtl/>
          <w:lang w:val="it-IT"/>
        </w:rPr>
        <w:t>(ه)</w:t>
      </w:r>
      <w:r>
        <w:rPr>
          <w:rFonts w:hint="cs"/>
          <w:rtl/>
        </w:rPr>
        <w:tab/>
      </w:r>
      <w:r w:rsidR="007E34E6" w:rsidRPr="00F37FFB">
        <w:rPr>
          <w:rFonts w:hint="cs"/>
          <w:rtl/>
        </w:rPr>
        <w:t xml:space="preserve">قانون المنافسة أو الممارسات التجارية غير المشروعة: أقرت اللجنة في مناقشتها بفائدة المبادئ العامة لقانون المنافسة غير المشروعة، كما تتضمنها المادة 10(ثانيا) من اتفاقية باريس واتفاق </w:t>
      </w:r>
      <w:proofErr w:type="spellStart"/>
      <w:r w:rsidR="007E34E6" w:rsidRPr="00F37FFB">
        <w:rPr>
          <w:rFonts w:hint="cs"/>
          <w:rtl/>
        </w:rPr>
        <w:t>تريبس</w:t>
      </w:r>
      <w:proofErr w:type="spellEnd"/>
      <w:r w:rsidR="007E34E6" w:rsidRPr="00F37FFB">
        <w:rPr>
          <w:rFonts w:hint="cs"/>
          <w:rtl/>
        </w:rPr>
        <w:t>. وفضلا عن هذا، مُنعت شركة في أستراليا، بموجب تشريع معينة بشأن الممارسات التجارية، من الاستمرار في وصف مجموعتها من الهدايا التذكارية المرسومة أو المنقوشة يدويا من وحي فنون المجتمع الأصلي أو الإشارة إليها على أنها</w:t>
      </w:r>
      <w:proofErr w:type="gramStart"/>
      <w:r w:rsidR="007E34E6" w:rsidRPr="00F37FFB">
        <w:rPr>
          <w:rFonts w:hint="cs"/>
          <w:rtl/>
        </w:rPr>
        <w:t xml:space="preserve"> ’فن</w:t>
      </w:r>
      <w:proofErr w:type="gramEnd"/>
      <w:r w:rsidR="007E34E6" w:rsidRPr="00F37FFB">
        <w:rPr>
          <w:rFonts w:hint="cs"/>
          <w:rtl/>
        </w:rPr>
        <w:t xml:space="preserve"> السكان الأصليين‘ أو ’عريقة‘ إلا إذا كانت تعتقد اعتقادا معقولا بأن المصنف الفني أو الهدية التذكارية قد رُسمت أو نُقشت بيد شخص ينحدر من السكان الأصليين. وقد جرت ملاحقة الشركة لأنها عرضت بعضا من هداياها التذكارية المرسومة يدويا بأسلوب السكان الأصليين على أنها منتجات ’أصلية‘ أو "مصادق على عراقتها" و/أو من ’فن السكان الأصليين الأستراليين‘ واعتُبر أن هذه المنتجات قد تضلل المستهلكين لأن أغلبية الفنانين الذين ينتجون الهدايا التذكارية ليسوا سكانا أصليين ولا ينحدرون من السكان الأصليين.</w:t>
      </w:r>
      <w:r w:rsidR="007E34E6" w:rsidRPr="00F37FFB">
        <w:rPr>
          <w:rtl/>
        </w:rPr>
        <w:footnoteReference w:id="65"/>
      </w:r>
      <w:r w:rsidR="007E34E6" w:rsidRPr="00F37FFB">
        <w:rPr>
          <w:rFonts w:hint="cs"/>
          <w:rtl/>
        </w:rPr>
        <w:t xml:space="preserve"> </w:t>
      </w:r>
    </w:p>
    <w:p w14:paraId="7FA40548" w14:textId="77777777" w:rsidR="007E34E6" w:rsidRPr="00F37FFB" w:rsidRDefault="007E34E6" w:rsidP="00F37FFB">
      <w:pPr>
        <w:pStyle w:val="Heading4"/>
        <w:spacing w:before="220" w:after="220"/>
        <w:rPr>
          <w:b/>
          <w:bCs w:val="0"/>
          <w:i w:val="0"/>
          <w:iCs/>
          <w:sz w:val="22"/>
          <w:szCs w:val="22"/>
          <w:u w:val="single"/>
          <w:lang w:bidi="ar-EG"/>
        </w:rPr>
      </w:pPr>
      <w:bookmarkStart w:id="111" w:name="_Toc520405402"/>
      <w:bookmarkStart w:id="112" w:name="_Toc109030424"/>
      <w:r w:rsidRPr="00F37FFB">
        <w:rPr>
          <w:rFonts w:hint="cs"/>
          <w:b/>
          <w:bCs w:val="0"/>
          <w:i w:val="0"/>
          <w:iCs/>
          <w:sz w:val="22"/>
          <w:szCs w:val="22"/>
          <w:u w:val="single"/>
          <w:rtl/>
          <w:lang w:val="it-IT"/>
        </w:rPr>
        <w:t>المصنفات المشتقة والحماية الدفاعية للمنتجات الأدبية والفنية</w:t>
      </w:r>
      <w:bookmarkEnd w:id="111"/>
      <w:bookmarkEnd w:id="112"/>
    </w:p>
    <w:p w14:paraId="526BA805" w14:textId="77777777" w:rsidR="007E34E6" w:rsidRPr="007E34E6" w:rsidRDefault="007E34E6" w:rsidP="00F37FFB">
      <w:pPr>
        <w:pStyle w:val="ONUMA"/>
        <w:rPr>
          <w:lang w:bidi="ar-EG"/>
        </w:rPr>
      </w:pPr>
      <w:r w:rsidRPr="007E34E6">
        <w:rPr>
          <w:rFonts w:hint="cs"/>
          <w:rtl/>
          <w:lang w:val="it-IT"/>
        </w:rPr>
        <w:t>يثير هذا عددا من القضايا الأساسية على مستوى السياسة العامة وحظيت هذه القضايا بمناقشة مستفيضة في وثائق سابقة.</w:t>
      </w:r>
      <w:r w:rsidRPr="007E34E6">
        <w:rPr>
          <w:vertAlign w:val="superscript"/>
          <w:rtl/>
          <w:lang w:val="it-IT"/>
        </w:rPr>
        <w:footnoteReference w:id="66"/>
      </w:r>
    </w:p>
    <w:p w14:paraId="0719B43E" w14:textId="77777777" w:rsidR="007E34E6" w:rsidRPr="007E34E6" w:rsidRDefault="007E34E6" w:rsidP="00F37FFB">
      <w:pPr>
        <w:pStyle w:val="ONUMA"/>
        <w:rPr>
          <w:lang w:bidi="ar-EG"/>
        </w:rPr>
      </w:pPr>
      <w:r w:rsidRPr="007E34E6">
        <w:rPr>
          <w:rFonts w:hint="cs"/>
          <w:rtl/>
          <w:lang w:val="it-IT"/>
        </w:rPr>
        <w:t xml:space="preserve">وقد تتمحور بعض قضايا السياسة العامة القانونية والثقافية المتصلة بأشكال التعبير الثقافي التقليدي حول ما إذا كان ينبغي أم لا منح حق في التحوير في مجال أشكال التعبير الثقافي التقليدي، والاستثناءات والتقييدات التي ربما تكون مناسبة. وينطبق حق التحوير </w:t>
      </w:r>
      <w:r w:rsidRPr="007E34E6">
        <w:rPr>
          <w:rFonts w:hint="cs"/>
          <w:rtl/>
          <w:lang w:val="it-IT"/>
        </w:rPr>
        <w:lastRenderedPageBreak/>
        <w:t>على إنتاج مصنفات مشتقة تستند إلى أشكال التعبير الثقافي التقليدي: ويمكن أن تكون هذه المصنفات لوحدها أهلا للحماية بموجب حق المؤلف باعتبارها مصنفات أصلية. ومن شأن حق التحوير أن يسمح للمجتمع المحلي أو غيره من أصحاب الحقوق بمنع مصنف مشتق أو التصريح به أو بالحصول، كبديل آخر، على مكافأة عادلة مقابل الانتفاع بالمصنف عندما يكون مشتقا من أشكال تعبيرهم الثقافي التقليدي. وإذا لم يكن هناك أي حق في التحوير من هذا القبيل، فلا يمكن للمجتمع المحلي التحكم في هذا الانتفاع بمواده الثقافية وبتقاليده من خلال نظام شبيه بنظام الملكية الفكرية. ويتصل أيضا منح حق في التحوير اتصالا وثيقا بالمعنى الدقيق المقصود بعبارة "تعبير ثقافي تقليدي".</w:t>
      </w:r>
    </w:p>
    <w:p w14:paraId="00245BA2" w14:textId="77777777" w:rsidR="007E34E6" w:rsidRPr="007E34E6" w:rsidRDefault="007E34E6" w:rsidP="00F37FFB">
      <w:pPr>
        <w:pStyle w:val="ONUMA"/>
        <w:rPr>
          <w:lang w:bidi="ar-EG"/>
        </w:rPr>
      </w:pPr>
      <w:r w:rsidRPr="007E34E6">
        <w:rPr>
          <w:rFonts w:hint="cs"/>
          <w:rtl/>
          <w:lang w:val="it-IT"/>
        </w:rPr>
        <w:t xml:space="preserve">وتجدر الإشارة إلى إمكانية تسبب رفض حق المؤلف بالنسبة لمؤلفي مثل هذه المصنفات المشتقة ممن ليسوا من أفراد المجتمع المحلي، في إحباط الإبداع وانعدام المساواة بين المؤلفين الذين ينتمون إلى المجتمعات المحلية والذين لا ينتمون إليها. ويمكن أن يكون أحد الخيارات إلزام المؤلفين من خارج المجتمعات المحلية بذكر المجتمع المحلي الذي استلهموا من تقاليده أو بتقاسم المنافع التي تُجنى من استغلال حق المؤلف أو التقيد ببعض أشكال الحقوق المعنوية في التقاليد الضمنية المنتفع بها أو تشكيلة مما سبق. </w:t>
      </w:r>
    </w:p>
    <w:p w14:paraId="0DDC16AB" w14:textId="77777777" w:rsidR="007E34E6" w:rsidRPr="00F37FFB" w:rsidRDefault="007E34E6" w:rsidP="00F37FFB">
      <w:pPr>
        <w:pStyle w:val="Heading4"/>
        <w:spacing w:before="220" w:after="220"/>
        <w:rPr>
          <w:b/>
          <w:bCs w:val="0"/>
          <w:i w:val="0"/>
          <w:iCs/>
          <w:sz w:val="22"/>
          <w:szCs w:val="22"/>
          <w:u w:val="single"/>
          <w:lang w:bidi="ar-EG"/>
        </w:rPr>
      </w:pPr>
      <w:bookmarkStart w:id="113" w:name="_Toc520405403"/>
      <w:bookmarkStart w:id="114" w:name="_Toc109030425"/>
      <w:r w:rsidRPr="00F37FFB">
        <w:rPr>
          <w:rFonts w:hint="cs"/>
          <w:b/>
          <w:bCs w:val="0"/>
          <w:i w:val="0"/>
          <w:iCs/>
          <w:sz w:val="22"/>
          <w:szCs w:val="22"/>
          <w:u w:val="single"/>
          <w:rtl/>
          <w:lang w:val="it-IT"/>
        </w:rPr>
        <w:t>المواثيق وقواعد السلوك والعقود وغيرها من الأدوات العملية</w:t>
      </w:r>
      <w:bookmarkEnd w:id="113"/>
      <w:bookmarkEnd w:id="114"/>
    </w:p>
    <w:p w14:paraId="4F5E562B" w14:textId="77777777" w:rsidR="007E34E6" w:rsidRPr="007E34E6" w:rsidRDefault="007E34E6" w:rsidP="0067521A">
      <w:pPr>
        <w:pStyle w:val="ONUMA"/>
        <w:rPr>
          <w:lang w:bidi="ar-EG"/>
        </w:rPr>
      </w:pPr>
      <w:r w:rsidRPr="007E34E6">
        <w:rPr>
          <w:rFonts w:hint="cs"/>
          <w:rtl/>
          <w:lang w:val="it-IT"/>
        </w:rPr>
        <w:t>يمكن أن تلعب أدوات عملية مثل المواثيق وقواعد السلوك والعقود دورا مفيدا وعمليا في معالجة الثغرات في الحماية المقدمة لأشكال التعبير الثقافي التقليدي. وقد وضع عدد من المجتمعات الأصلية، على سبيل المثال، مواثيقها وتراخيصها الخاصة في مجال الملكية الفكرية للتعامل مع الطلبات الخارجية على النفاذ إلى أشكال تعبيرها الثقافي التقليدي والانتفاع بها، ووضع أيضا عدد من المؤسسات الثقافية والجمعيات المهنية قواعد سلوك أخلاقية متصلة بالملكية الفكرية وعقود نموذجية. ويمكن أن تلعب أدوات عملية كهذه دورا مهما في تكميل أو توضيح الحماية المتاحة بموجب القانون النظامي أو قانون السوابق بطرق تلبي احتياجات المجتمعات المحلية وتستجيب لتطلعاتها، بما فيها الإقرار بعناصر قوانينها العرفية. ولكي تكون هذه الأدوات العملية ناجعة بالفعل على أرض الواقع، يجب أن تكون مصحوبة بتكوين الكفاءات الرامي إلى تعزيز قدرة المجتمعات المحلية على التفاوض بشأن المواثيق والعقود وعلى صياغتها وإبرامها وإنفاذها.</w:t>
      </w:r>
    </w:p>
    <w:p w14:paraId="711C92BB" w14:textId="2EB3DE9E" w:rsidR="007E34E6" w:rsidRPr="007E34E6" w:rsidRDefault="007E34E6" w:rsidP="0067521A">
      <w:pPr>
        <w:pStyle w:val="ONUMA"/>
        <w:rPr>
          <w:lang w:bidi="ar-EG"/>
        </w:rPr>
      </w:pPr>
      <w:r w:rsidRPr="007E34E6">
        <w:rPr>
          <w:rFonts w:hint="cs"/>
          <w:rtl/>
          <w:lang w:val="it-IT"/>
        </w:rPr>
        <w:t xml:space="preserve">يستجيب </w:t>
      </w:r>
      <w:r w:rsidRPr="007E34E6">
        <w:rPr>
          <w:rtl/>
          <w:lang w:val="it-IT"/>
        </w:rPr>
        <w:t>مشروع الويبو بشأن التراث الإبداعي</w:t>
      </w:r>
      <w:r w:rsidRPr="007E34E6">
        <w:rPr>
          <w:vertAlign w:val="superscript"/>
          <w:rtl/>
          <w:lang w:val="it-IT"/>
        </w:rPr>
        <w:footnoteReference w:id="67"/>
      </w:r>
      <w:r w:rsidRPr="007E34E6">
        <w:rPr>
          <w:rFonts w:hint="cs"/>
          <w:rtl/>
          <w:lang w:val="it-IT"/>
        </w:rPr>
        <w:t xml:space="preserve"> </w:t>
      </w:r>
      <w:r w:rsidR="009F15B7">
        <w:rPr>
          <w:lang w:val="it-IT"/>
        </w:rPr>
        <w:t xml:space="preserve"> </w:t>
      </w:r>
      <w:r w:rsidRPr="007E34E6">
        <w:rPr>
          <w:rFonts w:hint="cs"/>
          <w:rtl/>
          <w:lang w:val="it-IT"/>
        </w:rPr>
        <w:t xml:space="preserve">لهذا الاحتياج بالذات المتصل بإدارة الملكية الفكرية عندما يتم تسجيل أشكال التعبير الثقافي التقليدي وتوثيقها </w:t>
      </w:r>
      <w:proofErr w:type="spellStart"/>
      <w:r w:rsidRPr="007E34E6">
        <w:rPr>
          <w:rFonts w:hint="cs"/>
          <w:rtl/>
          <w:lang w:val="it-IT"/>
        </w:rPr>
        <w:t>ورقمنتها</w:t>
      </w:r>
      <w:proofErr w:type="spellEnd"/>
      <w:r w:rsidRPr="007E34E6">
        <w:rPr>
          <w:rFonts w:hint="cs"/>
          <w:rtl/>
          <w:lang w:val="it-IT"/>
        </w:rPr>
        <w:t xml:space="preserve">. ويقدم هذا المشروع الخاص بتكوين الكفاءات التدريب والمعلومات والمشورة فيما يتصل بالملكية الفكرية للمجتمعات المحلية والمتاحف ودور المحفوظات وغيرها من المؤسسات الثقافية. ونشرت الويبو </w:t>
      </w:r>
      <w:r w:rsidRPr="007E34E6">
        <w:rPr>
          <w:rtl/>
          <w:lang w:val="it-IT"/>
        </w:rPr>
        <w:t xml:space="preserve">في </w:t>
      </w:r>
      <w:r w:rsidRPr="007E34E6">
        <w:rPr>
          <w:rFonts w:hint="cs"/>
          <w:rtl/>
          <w:lang w:val="it-IT"/>
        </w:rPr>
        <w:t>سنة</w:t>
      </w:r>
      <w:r w:rsidRPr="007E34E6">
        <w:rPr>
          <w:rtl/>
          <w:lang w:val="it-IT"/>
        </w:rPr>
        <w:t xml:space="preserve"> 2010</w:t>
      </w:r>
      <w:r w:rsidRPr="007E34E6">
        <w:rPr>
          <w:rFonts w:hint="cs"/>
          <w:rtl/>
          <w:lang w:val="it-IT"/>
        </w:rPr>
        <w:t xml:space="preserve"> دليل لفائدة المتاحف وغيرها من المؤسسات</w:t>
      </w:r>
      <w:r w:rsidRPr="007E34E6">
        <w:rPr>
          <w:rtl/>
          <w:lang w:val="it-IT"/>
        </w:rPr>
        <w:t xml:space="preserve"> </w:t>
      </w:r>
      <w:r w:rsidRPr="007E34E6">
        <w:rPr>
          <w:rFonts w:hint="cs"/>
          <w:rtl/>
          <w:lang w:val="it-IT"/>
        </w:rPr>
        <w:t>ب</w:t>
      </w:r>
      <w:r w:rsidRPr="007E34E6">
        <w:rPr>
          <w:rtl/>
          <w:lang w:val="it-IT"/>
        </w:rPr>
        <w:t>عنوان "</w:t>
      </w:r>
      <w:r w:rsidRPr="007E34E6">
        <w:rPr>
          <w:rFonts w:hint="cs"/>
          <w:rtl/>
          <w:lang w:val="it-IT"/>
        </w:rPr>
        <w:t>ا</w:t>
      </w:r>
      <w:r w:rsidRPr="007E34E6">
        <w:rPr>
          <w:rtl/>
          <w:lang w:val="it-IT"/>
        </w:rPr>
        <w:t>لملكية الفكرية والحفاظ على الثقافات التقليدية: مسائل قانونية وخيارات عملية للمتاحف والمكتبات ودور المحفوظات"</w:t>
      </w:r>
      <w:r w:rsidRPr="007E34E6">
        <w:rPr>
          <w:rFonts w:hint="cs"/>
          <w:rtl/>
          <w:lang w:val="it-IT"/>
        </w:rPr>
        <w:t>.</w:t>
      </w:r>
      <w:r w:rsidRPr="007E34E6">
        <w:rPr>
          <w:vertAlign w:val="superscript"/>
          <w:rtl/>
          <w:lang w:val="it-IT"/>
        </w:rPr>
        <w:footnoteReference w:id="68"/>
      </w:r>
      <w:r w:rsidRPr="007E34E6">
        <w:rPr>
          <w:rFonts w:hint="cs"/>
          <w:rtl/>
          <w:lang w:val="it-IT"/>
        </w:rPr>
        <w:t xml:space="preserve"> ويقدم المشروع أيضا التدريب للمجتمعات المحلية في مجالات التوثيق الثقافي والمحفوظات وإدارة الملكية الفكرية. ونفذت الويبو برنامجا تدريبيا رائدا من هذا القبيل لصالح مجتمع ماساي المحلي في </w:t>
      </w:r>
      <w:proofErr w:type="spellStart"/>
      <w:r w:rsidRPr="007E34E6">
        <w:rPr>
          <w:rFonts w:hint="cs"/>
          <w:rtl/>
          <w:lang w:val="it-IT"/>
        </w:rPr>
        <w:t>لاكيبيا</w:t>
      </w:r>
      <w:proofErr w:type="spellEnd"/>
      <w:r w:rsidRPr="007E34E6">
        <w:rPr>
          <w:rFonts w:hint="cs"/>
          <w:rtl/>
          <w:lang w:val="it-IT"/>
        </w:rPr>
        <w:t xml:space="preserve"> (كينيا) في سبتمبر 2008.</w:t>
      </w:r>
      <w:r w:rsidRPr="007E34E6">
        <w:rPr>
          <w:vertAlign w:val="superscript"/>
          <w:rtl/>
          <w:lang w:val="it-IT"/>
        </w:rPr>
        <w:footnoteReference w:id="69"/>
      </w:r>
      <w:r w:rsidRPr="007E34E6">
        <w:rPr>
          <w:rFonts w:hint="cs"/>
          <w:rtl/>
          <w:lang w:val="it-IT"/>
        </w:rPr>
        <w:t xml:space="preserve"> </w:t>
      </w:r>
      <w:r w:rsidRPr="007E34E6">
        <w:rPr>
          <w:rtl/>
          <w:lang w:val="it-IT"/>
        </w:rPr>
        <w:t xml:space="preserve">في </w:t>
      </w:r>
      <w:r w:rsidRPr="007E34E6">
        <w:rPr>
          <w:rFonts w:hint="cs"/>
          <w:rtl/>
          <w:lang w:val="it-IT"/>
        </w:rPr>
        <w:t>سنة</w:t>
      </w:r>
      <w:r w:rsidRPr="007E34E6">
        <w:rPr>
          <w:rtl/>
          <w:lang w:val="it-IT"/>
        </w:rPr>
        <w:t xml:space="preserve"> </w:t>
      </w:r>
      <w:r w:rsidRPr="007E34E6">
        <w:rPr>
          <w:rFonts w:hint="cs"/>
          <w:rtl/>
          <w:lang w:val="it-IT"/>
        </w:rPr>
        <w:t>2011،</w:t>
      </w:r>
      <w:r w:rsidRPr="007E34E6">
        <w:rPr>
          <w:rtl/>
          <w:lang w:val="it-IT"/>
        </w:rPr>
        <w:t xml:space="preserve"> </w:t>
      </w:r>
      <w:r w:rsidRPr="007E34E6">
        <w:rPr>
          <w:rFonts w:hint="cs"/>
          <w:rtl/>
          <w:lang w:val="it-IT"/>
        </w:rPr>
        <w:t>نُفّذ</w:t>
      </w:r>
      <w:r w:rsidRPr="007E34E6">
        <w:rPr>
          <w:rtl/>
          <w:lang w:val="it-IT"/>
        </w:rPr>
        <w:t xml:space="preserve"> البرنامج </w:t>
      </w:r>
      <w:r w:rsidRPr="007E34E6">
        <w:rPr>
          <w:rFonts w:hint="cs"/>
          <w:rtl/>
          <w:lang w:val="it-IT"/>
        </w:rPr>
        <w:t>على</w:t>
      </w:r>
      <w:r w:rsidRPr="007E34E6">
        <w:rPr>
          <w:rtl/>
          <w:lang w:val="it-IT"/>
        </w:rPr>
        <w:t xml:space="preserve"> مجتمع</w:t>
      </w:r>
      <w:r w:rsidRPr="007E34E6">
        <w:rPr>
          <w:rFonts w:hint="cs"/>
          <w:rtl/>
          <w:lang w:val="it-IT"/>
        </w:rPr>
        <w:t>ي</w:t>
      </w:r>
      <w:r w:rsidRPr="007E34E6">
        <w:rPr>
          <w:rtl/>
          <w:lang w:val="it-IT"/>
        </w:rPr>
        <w:t xml:space="preserve"> المارون </w:t>
      </w:r>
      <w:proofErr w:type="spellStart"/>
      <w:r w:rsidRPr="007E34E6">
        <w:rPr>
          <w:rtl/>
          <w:lang w:val="it-IT"/>
        </w:rPr>
        <w:t>والرستافاري</w:t>
      </w:r>
      <w:proofErr w:type="spellEnd"/>
      <w:r w:rsidRPr="007E34E6">
        <w:rPr>
          <w:rtl/>
          <w:lang w:val="it-IT"/>
        </w:rPr>
        <w:t xml:space="preserve"> في </w:t>
      </w:r>
      <w:r w:rsidRPr="007E34E6">
        <w:rPr>
          <w:rFonts w:hint="cs"/>
          <w:rtl/>
          <w:lang w:val="it-IT"/>
        </w:rPr>
        <w:t>جامايكا،</w:t>
      </w:r>
      <w:r w:rsidRPr="007E34E6">
        <w:rPr>
          <w:rtl/>
          <w:lang w:val="it-IT"/>
        </w:rPr>
        <w:t xml:space="preserve"> مع </w:t>
      </w:r>
      <w:r w:rsidRPr="007E34E6">
        <w:rPr>
          <w:rFonts w:hint="cs"/>
          <w:rtl/>
          <w:lang w:val="it-IT"/>
        </w:rPr>
        <w:t>مراعاة</w:t>
      </w:r>
      <w:r w:rsidRPr="007E34E6">
        <w:rPr>
          <w:rtl/>
          <w:lang w:val="it-IT"/>
        </w:rPr>
        <w:t xml:space="preserve"> الدروس المستفادة من تجربة </w:t>
      </w:r>
      <w:r w:rsidRPr="007E34E6">
        <w:rPr>
          <w:rFonts w:hint="cs"/>
          <w:rtl/>
          <w:lang w:val="it-IT"/>
        </w:rPr>
        <w:t>م</w:t>
      </w:r>
      <w:r w:rsidRPr="007E34E6">
        <w:rPr>
          <w:rtl/>
          <w:lang w:val="it-IT"/>
        </w:rPr>
        <w:t>اساي.</w:t>
      </w:r>
      <w:r w:rsidRPr="007E34E6">
        <w:rPr>
          <w:rFonts w:hint="cs"/>
          <w:rtl/>
          <w:lang w:val="it-IT"/>
        </w:rPr>
        <w:t xml:space="preserve"> وأتاحت الويبو هذا التدريب بالتعاون مع </w:t>
      </w:r>
      <w:r w:rsidRPr="007E34E6">
        <w:rPr>
          <w:rtl/>
          <w:lang w:val="it-IT"/>
        </w:rPr>
        <w:t xml:space="preserve">المركز الأمريكي للحياة الفولكلورية </w:t>
      </w:r>
      <w:r w:rsidRPr="007E34E6">
        <w:rPr>
          <w:rFonts w:hint="cs"/>
          <w:rtl/>
          <w:lang w:val="it-IT"/>
        </w:rPr>
        <w:t>التابع لمكتبة الكونغرس</w:t>
      </w:r>
      <w:r w:rsidRPr="007E34E6">
        <w:rPr>
          <w:rtl/>
          <w:lang w:val="it-IT"/>
        </w:rPr>
        <w:t xml:space="preserve"> </w:t>
      </w:r>
      <w:r w:rsidRPr="007E34E6">
        <w:rPr>
          <w:rFonts w:hint="cs"/>
          <w:rtl/>
          <w:lang w:val="it-IT"/>
        </w:rPr>
        <w:t xml:space="preserve">في واشنطن العاصمة </w:t>
      </w:r>
      <w:r w:rsidRPr="007E34E6">
        <w:rPr>
          <w:rtl/>
          <w:lang w:val="it-IT"/>
        </w:rPr>
        <w:t>ومركز الدراسات الوثائقية بجامعة ديوك في</w:t>
      </w:r>
      <w:r w:rsidRPr="007E34E6">
        <w:rPr>
          <w:rFonts w:hint="cs"/>
          <w:rtl/>
          <w:lang w:val="it-IT"/>
        </w:rPr>
        <w:t xml:space="preserve"> شمال كارولينا. وقد أنشأ هذا المشروع قاعدة بيانات عامة يمكن البحث فيها بشأن المواثيق وقواعد السلوك والعقود النموذجية، مما يستخدمه المجتمعات المحلية والمتاحف وغيرها من المؤسسات والجمعيات المهنية وجهات أخرى وهي متاحة على الموقع</w:t>
      </w:r>
      <w:r w:rsidRPr="0067521A">
        <w:rPr>
          <w:rFonts w:hint="cs"/>
          <w:rtl/>
          <w:lang w:val="it-IT"/>
        </w:rPr>
        <w:t>:</w:t>
      </w:r>
      <w:r w:rsidRPr="0067521A">
        <w:rPr>
          <w:lang w:bidi="ar-EG"/>
        </w:rPr>
        <w:t xml:space="preserve"> </w:t>
      </w:r>
      <w:hyperlink r:id="rId16" w:history="1">
        <w:r w:rsidRPr="0067521A">
          <w:rPr>
            <w:rStyle w:val="Hyperlink"/>
            <w:color w:val="auto"/>
            <w:u w:val="none"/>
            <w:lang w:bidi="ar-EG"/>
          </w:rPr>
          <w:t>https://www.wipo.int/tk/en/databases/creative_heritage/</w:t>
        </w:r>
      </w:hyperlink>
      <w:r w:rsidRPr="007E34E6">
        <w:rPr>
          <w:rFonts w:hint="cs"/>
          <w:rtl/>
          <w:lang w:val="it-IT"/>
        </w:rPr>
        <w:t xml:space="preserve"> وتشمل الموارد الأخرى دراسات استقصائية وتجارب المتاحف ودور المحفوظات في مجال إدارة قضايا الملكية الفكرية.</w:t>
      </w:r>
      <w:r w:rsidRPr="007E34E6">
        <w:rPr>
          <w:vertAlign w:val="superscript"/>
          <w:rtl/>
          <w:lang w:val="it-IT"/>
        </w:rPr>
        <w:footnoteReference w:id="70"/>
      </w:r>
    </w:p>
    <w:p w14:paraId="7035FD8D" w14:textId="77777777" w:rsidR="007E34E6" w:rsidRPr="00F37FFB" w:rsidRDefault="007E34E6" w:rsidP="00F37FFB">
      <w:pPr>
        <w:pStyle w:val="Heading4"/>
        <w:spacing w:before="220" w:after="220"/>
        <w:rPr>
          <w:b/>
          <w:bCs w:val="0"/>
          <w:i w:val="0"/>
          <w:iCs/>
          <w:sz w:val="22"/>
          <w:szCs w:val="22"/>
          <w:u w:val="single"/>
          <w:lang w:bidi="ar-EG"/>
        </w:rPr>
      </w:pPr>
      <w:bookmarkStart w:id="115" w:name="_Toc520405404"/>
      <w:bookmarkStart w:id="116" w:name="_Toc109030426"/>
      <w:r w:rsidRPr="00F37FFB">
        <w:rPr>
          <w:rFonts w:hint="cs"/>
          <w:b/>
          <w:bCs w:val="0"/>
          <w:i w:val="0"/>
          <w:iCs/>
          <w:sz w:val="22"/>
          <w:szCs w:val="22"/>
          <w:u w:val="single"/>
          <w:rtl/>
          <w:lang w:val="it-IT"/>
        </w:rPr>
        <w:t>السجلات وقواعد البيانات</w:t>
      </w:r>
      <w:bookmarkEnd w:id="115"/>
      <w:bookmarkEnd w:id="116"/>
    </w:p>
    <w:p w14:paraId="624D0088" w14:textId="77777777" w:rsidR="007E34E6" w:rsidRPr="007E34E6" w:rsidRDefault="007E34E6" w:rsidP="0067521A">
      <w:pPr>
        <w:pStyle w:val="ONUMA"/>
        <w:rPr>
          <w:lang w:bidi="ar-EG"/>
        </w:rPr>
      </w:pPr>
      <w:r w:rsidRPr="007E34E6">
        <w:rPr>
          <w:rFonts w:hint="cs"/>
          <w:rtl/>
          <w:lang w:val="it-IT"/>
        </w:rPr>
        <w:t xml:space="preserve">يمكن أن تلعب السجلات وقوائم الجرد وقواعد البيانات وقوائم أشكال التعبير الثقافي التقليدي دورا في حمايتها القانونية. بيد أن تدوين </w:t>
      </w:r>
      <w:proofErr w:type="spellStart"/>
      <w:r w:rsidRPr="007E34E6">
        <w:rPr>
          <w:rFonts w:hint="cs"/>
          <w:rtl/>
          <w:lang w:val="it-IT"/>
        </w:rPr>
        <w:t>ورقمنة</w:t>
      </w:r>
      <w:proofErr w:type="spellEnd"/>
      <w:r w:rsidRPr="007E34E6">
        <w:rPr>
          <w:rFonts w:hint="cs"/>
          <w:rtl/>
          <w:lang w:val="it-IT"/>
        </w:rPr>
        <w:t xml:space="preserve"> أشكال التعبير الثقافي التقليدي، رغم أنها قد تكون مهمة لأغراض برامج صون وتعزيز التراث الثقافي، قد يعرّض من دون قصد أشكال التعبير الثقافي التقليدي للانتفاع بها واستغلالها دون تصريح. ولهذا يُنصح بإدارة الملكية الفكرية إدارة استراتيجية خلال تدوين أشكال التعبير الثقافي التقليدي </w:t>
      </w:r>
      <w:proofErr w:type="spellStart"/>
      <w:r w:rsidRPr="007E34E6">
        <w:rPr>
          <w:rFonts w:hint="cs"/>
          <w:rtl/>
          <w:lang w:val="it-IT"/>
        </w:rPr>
        <w:t>ورقمنتها</w:t>
      </w:r>
      <w:proofErr w:type="spellEnd"/>
      <w:r w:rsidRPr="007E34E6">
        <w:rPr>
          <w:rFonts w:hint="cs"/>
          <w:rtl/>
          <w:lang w:val="it-IT"/>
        </w:rPr>
        <w:t xml:space="preserve"> ونشرها (انظر مشروع التراث الإبداعي أعلاه).</w:t>
      </w:r>
    </w:p>
    <w:p w14:paraId="3F1A5A6A" w14:textId="77777777" w:rsidR="007E34E6" w:rsidRPr="007E34E6" w:rsidRDefault="007E34E6" w:rsidP="0067521A">
      <w:pPr>
        <w:pStyle w:val="ONUMA"/>
        <w:rPr>
          <w:lang w:bidi="ar-EG"/>
        </w:rPr>
      </w:pPr>
      <w:r w:rsidRPr="007E34E6">
        <w:rPr>
          <w:rFonts w:hint="cs"/>
          <w:rtl/>
          <w:lang w:val="it-IT"/>
        </w:rPr>
        <w:t xml:space="preserve">وقد تفيد السجلات وقوائم الجرد وقواعد البيانات والقوائم الأخرى في جملة أمور من بينها: "1" وقاية أشكال التعبير الثقافي وصيانتها؛ و"2" والعمل كمورد للمبدعين وأصحاب المشروعات؛ "3" وتعريف المجتمعات المحلية التي قد يكون لها الحق في تقاسم المنافع وحقوق في أشكال التعبير الثقافي التقليدي؛ "4" وتقديم الوسائل التي يمكن من خلالها اكتساب أو تدوين الحقوق الموجبة على </w:t>
      </w:r>
      <w:r w:rsidRPr="007E34E6">
        <w:rPr>
          <w:rFonts w:hint="cs"/>
          <w:rtl/>
          <w:lang w:val="it-IT"/>
        </w:rPr>
        <w:lastRenderedPageBreak/>
        <w:t>أشكال التعبير الثقافي التقليدي؛ و"5" والعمل كآلية للحصول على حماية التعبير الثقافي التقليدي من خلال حماية مخصصة لقواعد البيانات. ويمكن أن تكون السجلات غير وافية حيث أنها لا تحتوي بالضرورة على جميع أشكال التعبير الثقافي التقليدي المراد حمايتها. وقد تكون بعض أشكال التوثيق أيضا بمثابة سجل خصوصي أو سري لأشكال التعبير الثقافي التقليدي المحتفظ بها للمجتمع المحلي فحسب.</w:t>
      </w:r>
    </w:p>
    <w:p w14:paraId="710B7BC2" w14:textId="77777777" w:rsidR="007E34E6" w:rsidRPr="00F37FFB" w:rsidRDefault="007E34E6" w:rsidP="00F37FFB">
      <w:pPr>
        <w:pStyle w:val="Heading4"/>
        <w:spacing w:before="220" w:after="220"/>
        <w:rPr>
          <w:b/>
          <w:bCs w:val="0"/>
          <w:i w:val="0"/>
          <w:iCs/>
          <w:sz w:val="22"/>
          <w:szCs w:val="22"/>
          <w:u w:val="single"/>
          <w:lang w:bidi="ar-EG"/>
        </w:rPr>
      </w:pPr>
      <w:bookmarkStart w:id="117" w:name="_Toc520405405"/>
      <w:bookmarkStart w:id="118" w:name="_Toc109030427"/>
      <w:r w:rsidRPr="00F37FFB">
        <w:rPr>
          <w:rFonts w:hint="cs"/>
          <w:b/>
          <w:bCs w:val="0"/>
          <w:i w:val="0"/>
          <w:iCs/>
          <w:sz w:val="22"/>
          <w:szCs w:val="22"/>
          <w:u w:val="single"/>
          <w:rtl/>
          <w:lang w:val="it-IT"/>
        </w:rPr>
        <w:t>الإدارة الجماعية</w:t>
      </w:r>
      <w:bookmarkEnd w:id="117"/>
      <w:bookmarkEnd w:id="118"/>
    </w:p>
    <w:p w14:paraId="6097A6DA" w14:textId="77777777" w:rsidR="007E34E6" w:rsidRPr="007E34E6" w:rsidRDefault="007E34E6" w:rsidP="0067521A">
      <w:pPr>
        <w:pStyle w:val="ONUMA"/>
        <w:rPr>
          <w:rtl/>
          <w:lang w:val="it-IT"/>
        </w:rPr>
      </w:pPr>
      <w:r w:rsidRPr="007E34E6">
        <w:rPr>
          <w:rFonts w:hint="cs"/>
          <w:rtl/>
          <w:lang w:val="it-IT"/>
        </w:rPr>
        <w:t>بالنسبة للتحديات المرتبطة بإدارة الحقوق، ربما تكون في منظمات الإدارة الجماعية فائدة عملية لإدارة الحقوق في أشكال التعبير الثقافي التقليدي. وقد أعرب المشاركون في اللجنة</w:t>
      </w:r>
      <w:r w:rsidRPr="007E34E6">
        <w:rPr>
          <w:vertAlign w:val="superscript"/>
          <w:rtl/>
          <w:lang w:val="it-IT"/>
        </w:rPr>
        <w:footnoteReference w:id="71"/>
      </w:r>
      <w:r w:rsidRPr="007E34E6">
        <w:rPr>
          <w:rFonts w:hint="cs"/>
          <w:rtl/>
          <w:lang w:val="it-IT"/>
        </w:rPr>
        <w:t xml:space="preserve"> وتلك المنظمات نفسها</w:t>
      </w:r>
      <w:r w:rsidRPr="007E34E6">
        <w:rPr>
          <w:vertAlign w:val="superscript"/>
          <w:rtl/>
          <w:lang w:val="it-IT"/>
        </w:rPr>
        <w:footnoteReference w:id="72"/>
      </w:r>
      <w:r w:rsidRPr="007E34E6">
        <w:rPr>
          <w:rFonts w:hint="cs"/>
          <w:rtl/>
          <w:lang w:val="it-IT"/>
        </w:rPr>
        <w:t xml:space="preserve"> عن اهتمامهم ببحث هذه الإمكانية بشكل أكبر، وأعرب آخرون عن قلقهم إزاء إنشاء هيئات إدارية من شأنها عرقلة انتفاع المؤلفين والفنانين والناشرين انتفاعا عاديا بأشكال التعبير الثقافي التقليدي.</w:t>
      </w:r>
    </w:p>
    <w:p w14:paraId="34E8F042" w14:textId="77777777" w:rsidR="007E34E6" w:rsidRPr="0067521A" w:rsidRDefault="007E34E6" w:rsidP="0067521A">
      <w:pPr>
        <w:pStyle w:val="Heading3"/>
        <w:spacing w:before="220" w:after="220"/>
        <w:rPr>
          <w:b/>
          <w:bCs w:val="0"/>
          <w:i/>
          <w:iCs/>
          <w:sz w:val="22"/>
          <w:szCs w:val="22"/>
          <w:u w:val="none"/>
          <w:lang w:bidi="ar-EG"/>
        </w:rPr>
      </w:pPr>
      <w:bookmarkStart w:id="119" w:name="_Toc520405406"/>
      <w:bookmarkStart w:id="120" w:name="_Toc109030428"/>
      <w:r w:rsidRPr="0067521A">
        <w:rPr>
          <w:rFonts w:hint="cs"/>
          <w:b/>
          <w:bCs w:val="0"/>
          <w:i/>
          <w:iCs/>
          <w:sz w:val="22"/>
          <w:szCs w:val="22"/>
          <w:u w:val="none"/>
          <w:rtl/>
          <w:lang w:val="it-IT"/>
        </w:rPr>
        <w:t>أداء أشكال التعبير الثقافي التقليدي</w:t>
      </w:r>
      <w:bookmarkEnd w:id="119"/>
      <w:bookmarkEnd w:id="120"/>
    </w:p>
    <w:p w14:paraId="6755DF81" w14:textId="77777777" w:rsidR="007E34E6" w:rsidRPr="007E34E6" w:rsidRDefault="007E34E6" w:rsidP="0067521A">
      <w:pPr>
        <w:pStyle w:val="ONUMA"/>
        <w:rPr>
          <w:lang w:bidi="ar-EG"/>
        </w:rPr>
      </w:pPr>
      <w:r w:rsidRPr="007E34E6">
        <w:rPr>
          <w:rFonts w:hint="cs"/>
          <w:rtl/>
          <w:lang w:val="it-IT"/>
        </w:rPr>
        <w:t>يحظى أداء أشكال التعبير الثقافي التقليدي بالقدر نفسه من الحماية المقدمة لغيره من أشكال الأداء. وعلى سبيل المثال، تنص المواد من 5 إلى 10 من معاهدة</w:t>
      </w:r>
      <w:r w:rsidRPr="007E34E6">
        <w:rPr>
          <w:rtl/>
          <w:lang w:val="it-IT"/>
        </w:rPr>
        <w:t xml:space="preserve"> الويبو</w:t>
      </w:r>
      <w:r w:rsidRPr="007E34E6">
        <w:rPr>
          <w:rFonts w:hint="cs"/>
          <w:rtl/>
          <w:lang w:val="it-IT"/>
        </w:rPr>
        <w:t xml:space="preserve"> </w:t>
      </w:r>
      <w:r w:rsidRPr="007E34E6">
        <w:rPr>
          <w:rtl/>
          <w:lang w:val="it-IT"/>
        </w:rPr>
        <w:t>بشأن الأداء والتسجيل الصوت</w:t>
      </w:r>
      <w:r w:rsidRPr="007E34E6">
        <w:rPr>
          <w:rFonts w:hint="cs"/>
          <w:rtl/>
          <w:lang w:val="it-IT"/>
        </w:rPr>
        <w:t>ي لسنة 1996 على مجموعة من الحقوق المعنوية والمالية لفناني الأداء. ورغم الثغرات في الحماية المقدمة، فإن هذه الثغرات تنطبق على جميع أشكال الأداء وليس على أداء التعبير الثقافي التقليدي بالتحديد. ولهذا، تأتي خيارات معالجتها من المناقشات الجارية بشأن توسيع نطاق الحماية المقدمة ليشمل فناني الأداء عامة بموجب معاهدة</w:t>
      </w:r>
      <w:r w:rsidRPr="007E34E6">
        <w:rPr>
          <w:rtl/>
          <w:lang w:val="it-IT"/>
        </w:rPr>
        <w:t xml:space="preserve"> الويبو</w:t>
      </w:r>
      <w:r w:rsidRPr="007E34E6">
        <w:rPr>
          <w:rFonts w:hint="cs"/>
          <w:rtl/>
          <w:lang w:val="it-IT"/>
        </w:rPr>
        <w:t xml:space="preserve"> الآنف ذكرها ويمكن للأدوات العملية مثل المواثيق وقواعد السلوك والعقود أن تلعب دورا مفيدا وعمليا بشكل مباشر في هذا المجال.</w:t>
      </w:r>
    </w:p>
    <w:p w14:paraId="646C354C" w14:textId="5EE07670" w:rsidR="007E34E6" w:rsidRPr="0067521A" w:rsidRDefault="007E34E6" w:rsidP="0067521A">
      <w:pPr>
        <w:pStyle w:val="Heading3"/>
        <w:spacing w:before="220" w:after="220"/>
        <w:rPr>
          <w:b/>
          <w:bCs w:val="0"/>
          <w:i/>
          <w:iCs/>
          <w:sz w:val="22"/>
          <w:szCs w:val="22"/>
          <w:u w:val="none"/>
          <w:lang w:bidi="ar-EG"/>
        </w:rPr>
      </w:pPr>
      <w:bookmarkStart w:id="121" w:name="_Toc520405407"/>
      <w:bookmarkStart w:id="122" w:name="_Toc109030429"/>
      <w:r w:rsidRPr="0067521A">
        <w:rPr>
          <w:rFonts w:hint="cs"/>
          <w:b/>
          <w:bCs w:val="0"/>
          <w:i/>
          <w:iCs/>
          <w:sz w:val="22"/>
          <w:szCs w:val="22"/>
          <w:u w:val="none"/>
          <w:rtl/>
          <w:lang w:val="it-IT"/>
        </w:rPr>
        <w:t>التصاميم</w:t>
      </w:r>
      <w:bookmarkEnd w:id="121"/>
      <w:bookmarkEnd w:id="122"/>
    </w:p>
    <w:p w14:paraId="264591DB" w14:textId="77777777" w:rsidR="007E34E6" w:rsidRPr="007E34E6" w:rsidRDefault="007E34E6" w:rsidP="0067521A">
      <w:pPr>
        <w:pStyle w:val="ONUMA"/>
        <w:rPr>
          <w:rtl/>
          <w:lang w:val="it-IT"/>
        </w:rPr>
      </w:pPr>
      <w:r w:rsidRPr="007E34E6">
        <w:rPr>
          <w:rFonts w:hint="cs"/>
          <w:rtl/>
          <w:lang w:val="it-IT"/>
        </w:rPr>
        <w:t>يمكن الاطلاع على "المنتجات الأدبية والفنية" أعلاه، لا سيما تحت عنوان "استخدام مبادئ المنافسة غير المشروعة لمكافحة التملك غير المشروع للسمعة المرتبطة بأشكال التعبير الثقافي التقليدي ("النمط")" وعنوان "المصنفات المشتقة والحماية الدفاعية للمنتجات الأدبية والفنية". وإلى جانب هذا، يمكن للأدوات العملية مثل المواثيق وقواعد السلوك والعقود أن تلعب دورا مفيدا وعمليا بشكل مباشر في معالجة الثغرات في الحماية المقدمة لأشكال التعبير الثقافي التقليدي.</w:t>
      </w:r>
    </w:p>
    <w:p w14:paraId="55F951F4" w14:textId="77777777" w:rsidR="007E34E6" w:rsidRPr="0067521A" w:rsidRDefault="007E34E6" w:rsidP="0067521A">
      <w:pPr>
        <w:pStyle w:val="Heading3"/>
        <w:spacing w:before="220" w:after="220"/>
        <w:rPr>
          <w:b/>
          <w:bCs w:val="0"/>
          <w:i/>
          <w:iCs/>
          <w:u w:val="none"/>
          <w:lang w:bidi="ar-EG"/>
        </w:rPr>
      </w:pPr>
      <w:bookmarkStart w:id="123" w:name="_Toc520405408"/>
      <w:bookmarkStart w:id="124" w:name="_Toc109030430"/>
      <w:r w:rsidRPr="00DE49AF">
        <w:rPr>
          <w:rFonts w:hint="cs"/>
          <w:b/>
          <w:bCs w:val="0"/>
          <w:i/>
          <w:iCs/>
          <w:sz w:val="22"/>
          <w:szCs w:val="22"/>
          <w:u w:val="none"/>
          <w:rtl/>
          <w:lang w:val="it-IT"/>
        </w:rPr>
        <w:t>أشكال التعبير الثقافي التقليدي السرية</w:t>
      </w:r>
      <w:bookmarkEnd w:id="123"/>
      <w:bookmarkEnd w:id="124"/>
    </w:p>
    <w:p w14:paraId="58C9DDD9" w14:textId="77777777" w:rsidR="007E34E6" w:rsidRPr="007E34E6" w:rsidRDefault="007E34E6" w:rsidP="0067521A">
      <w:pPr>
        <w:pStyle w:val="ONUMA"/>
        <w:rPr>
          <w:rtl/>
          <w:lang w:val="it-IT"/>
        </w:rPr>
      </w:pPr>
      <w:r w:rsidRPr="007E34E6">
        <w:rPr>
          <w:rFonts w:hint="cs"/>
          <w:rtl/>
          <w:lang w:val="it-IT"/>
        </w:rPr>
        <w:t>يمكن أن تكون العناصر التالية خيارات مناسبة لمعالجة الثغرات المحددة أعلاه:</w:t>
      </w:r>
    </w:p>
    <w:p w14:paraId="5350B05D" w14:textId="23F08818" w:rsidR="007E34E6" w:rsidRPr="007E34E6" w:rsidRDefault="00DE49AF" w:rsidP="00DE49AF">
      <w:pPr>
        <w:pStyle w:val="BodyText"/>
        <w:ind w:left="1134" w:hanging="567"/>
        <w:rPr>
          <w:lang w:bidi="ar-EG"/>
        </w:rPr>
      </w:pPr>
      <w:r>
        <w:rPr>
          <w:rFonts w:hint="cs"/>
          <w:rtl/>
          <w:lang w:val="it-IT"/>
        </w:rPr>
        <w:t>(أ)</w:t>
      </w:r>
      <w:r>
        <w:rPr>
          <w:rtl/>
          <w:lang w:val="it-IT"/>
        </w:rPr>
        <w:tab/>
      </w:r>
      <w:r w:rsidR="007E34E6" w:rsidRPr="007E34E6">
        <w:rPr>
          <w:rFonts w:hint="cs"/>
          <w:i/>
          <w:iCs/>
          <w:rtl/>
          <w:lang w:val="it-IT"/>
        </w:rPr>
        <w:t>الوعد الملزم</w:t>
      </w:r>
      <w:r w:rsidR="007E34E6" w:rsidRPr="007E34E6">
        <w:rPr>
          <w:rFonts w:hint="cs"/>
          <w:rtl/>
          <w:lang w:val="it-IT"/>
        </w:rPr>
        <w:t xml:space="preserve">: يمنع مبدأ الوعد الملزم طرفا من سحب وعد أعطاه لطرف ثان إذا كان هذا الأخير قد عول على هذا الوعد لأسباب معقولة واتخذ بناءً عليه إجراءات عادت عليه بالضرر. وعلى سبيل المثال، إذا عول مجتمع محلي على التعهدات الشفوية لباحث بألا يكشف عن أية معلومات سرية كُشف له عنها، فإمكان هذا المجتمع المحلي اللجوء إلى هذا المبدأ لمنع الباحث من الكشف عن المعلومات. ويمكن أن يكون هذا أساسا آخر لمعالجة قضايا مثل قضية </w:t>
      </w:r>
      <w:proofErr w:type="spellStart"/>
      <w:r w:rsidR="007E34E6" w:rsidRPr="007E34E6">
        <w:rPr>
          <w:rFonts w:hint="cs"/>
          <w:rtl/>
          <w:lang w:val="it-IT"/>
        </w:rPr>
        <w:t>ماونتفورد</w:t>
      </w:r>
      <w:proofErr w:type="spellEnd"/>
      <w:r w:rsidR="007E34E6" w:rsidRPr="007E34E6">
        <w:rPr>
          <w:rFonts w:hint="cs"/>
          <w:rtl/>
          <w:lang w:val="it-IT"/>
        </w:rPr>
        <w:t>. وقد يحمي استخدام هذا المبدأ أيضا معلومات لا تكون ذات قيمة تجارية بالضرورة.</w:t>
      </w:r>
    </w:p>
    <w:p w14:paraId="598AB427" w14:textId="6D1012B5" w:rsidR="007E34E6" w:rsidRPr="007E34E6" w:rsidRDefault="00DE49AF" w:rsidP="00DE49AF">
      <w:pPr>
        <w:pStyle w:val="BodyText"/>
        <w:ind w:left="1134" w:hanging="567"/>
        <w:rPr>
          <w:rtl/>
          <w:lang w:val="it-IT"/>
        </w:rPr>
      </w:pPr>
      <w:r>
        <w:rPr>
          <w:rFonts w:hint="cs"/>
          <w:rtl/>
          <w:lang w:val="it-IT"/>
        </w:rPr>
        <w:t>(ب)</w:t>
      </w:r>
      <w:r>
        <w:rPr>
          <w:rtl/>
          <w:lang w:val="it-IT"/>
        </w:rPr>
        <w:tab/>
      </w:r>
      <w:r w:rsidR="007E34E6" w:rsidRPr="007E34E6">
        <w:rPr>
          <w:rFonts w:hint="cs"/>
          <w:i/>
          <w:iCs/>
          <w:rtl/>
          <w:lang w:val="it-IT"/>
        </w:rPr>
        <w:t>المواثيق والعقود وصيغ الموافقة</w:t>
      </w:r>
      <w:r w:rsidR="007E34E6" w:rsidRPr="007E34E6">
        <w:rPr>
          <w:rFonts w:hint="cs"/>
          <w:rtl/>
          <w:lang w:val="it-IT"/>
        </w:rPr>
        <w:t xml:space="preserve">: انظر ما نوقش أعلاه. فقد تكون هذه الأدوات العملية مفيدة للغاية في تنظيم النفاذ إلى أشكال التعبير الثقافي التقليدي السرية. </w:t>
      </w:r>
    </w:p>
    <w:p w14:paraId="3BC460CC" w14:textId="465BF212" w:rsidR="0067521A" w:rsidRDefault="00DE49AF" w:rsidP="00DE49AF">
      <w:pPr>
        <w:pStyle w:val="BodyText"/>
        <w:ind w:left="1134" w:hanging="567"/>
        <w:rPr>
          <w:lang w:val="it-IT"/>
        </w:rPr>
      </w:pPr>
      <w:r>
        <w:rPr>
          <w:rFonts w:hint="cs"/>
          <w:rtl/>
          <w:lang w:val="it-IT"/>
        </w:rPr>
        <w:t>(ج)</w:t>
      </w:r>
      <w:r>
        <w:rPr>
          <w:rtl/>
          <w:lang w:val="it-IT"/>
        </w:rPr>
        <w:tab/>
      </w:r>
      <w:r w:rsidR="007E34E6" w:rsidRPr="007E34E6">
        <w:rPr>
          <w:rFonts w:hint="cs"/>
          <w:i/>
          <w:iCs/>
          <w:rtl/>
          <w:lang w:val="it-IT"/>
        </w:rPr>
        <w:t>السجلات وقواعد البيانات</w:t>
      </w:r>
      <w:r w:rsidR="007E34E6" w:rsidRPr="007E34E6">
        <w:rPr>
          <w:rFonts w:hint="cs"/>
          <w:rtl/>
          <w:lang w:val="it-IT"/>
        </w:rPr>
        <w:t>: انظر ما نوقش أعلاه. فقد تساعد السجلات وقواعد البيانات السرية في الحفاظ على أشكال التعبير الثقافي التقليدي، ويمكن أن تُستخدم، مصحوبة بالعقود وصيغ الموافقة المناسبة، للتحكم في النفاذ إلى أشكال التعبير الثقافي التقليدي والانتفاع بها حسب الشروط التي يحددها المجتمع المحلي.</w:t>
      </w:r>
      <w:r w:rsidR="0067521A">
        <w:rPr>
          <w:rFonts w:hint="cs"/>
          <w:rtl/>
          <w:lang w:val="it-IT"/>
        </w:rPr>
        <w:t xml:space="preserve"> </w:t>
      </w:r>
      <w:bookmarkStart w:id="125" w:name="_Toc520405409"/>
    </w:p>
    <w:p w14:paraId="0504FCED" w14:textId="53E2B847" w:rsidR="007E34E6" w:rsidRPr="00DE49AF" w:rsidRDefault="007E34E6" w:rsidP="00DE49AF">
      <w:pPr>
        <w:pStyle w:val="Heading3"/>
        <w:spacing w:before="220" w:after="220"/>
        <w:rPr>
          <w:b/>
          <w:bCs w:val="0"/>
          <w:i/>
          <w:iCs/>
          <w:sz w:val="22"/>
          <w:szCs w:val="22"/>
          <w:u w:val="none"/>
          <w:lang w:val="it-IT"/>
        </w:rPr>
      </w:pPr>
      <w:bookmarkStart w:id="126" w:name="_Toc109030431"/>
      <w:r w:rsidRPr="00DE49AF">
        <w:rPr>
          <w:rFonts w:hint="cs"/>
          <w:b/>
          <w:bCs w:val="0"/>
          <w:i/>
          <w:iCs/>
          <w:sz w:val="22"/>
          <w:szCs w:val="22"/>
          <w:u w:val="none"/>
          <w:rtl/>
          <w:lang w:val="it-IT"/>
        </w:rPr>
        <w:t>الأسماء والكلمات والرموز الأصلية والتقليدية</w:t>
      </w:r>
      <w:bookmarkEnd w:id="125"/>
      <w:bookmarkEnd w:id="126"/>
    </w:p>
    <w:p w14:paraId="2B67D063" w14:textId="77777777" w:rsidR="007E34E6" w:rsidRPr="007E34E6" w:rsidRDefault="007E34E6" w:rsidP="00DE49AF">
      <w:pPr>
        <w:pStyle w:val="ONUMA"/>
        <w:rPr>
          <w:rtl/>
          <w:lang w:val="it-IT"/>
        </w:rPr>
      </w:pPr>
      <w:r w:rsidRPr="007E34E6">
        <w:rPr>
          <w:rFonts w:hint="cs"/>
          <w:rtl/>
          <w:lang w:val="it-IT"/>
        </w:rPr>
        <w:t>في مجال الحماية الدفاعية، اتخذت بعض المنظمات الإقليمية والبلدان مسبقا خطوات لمنع تسجيل علامات المجتمعات الأصلية بدون تصريح كعلامات تجارية. وهي تدابير وطنية أو تدابير قابلة للتطبيق داخل منظمة إقليمية، ويمكن اعتمادها على نطاق أوسع. وقد أُشير إلى هذه التدابير بالتفصيل في وثائق سابقة، وهي تشمل ما يلي:</w:t>
      </w:r>
    </w:p>
    <w:p w14:paraId="48B239F6" w14:textId="58427778" w:rsidR="007E34E6" w:rsidRPr="007E34E6" w:rsidRDefault="00DE49AF" w:rsidP="00DE49AF">
      <w:pPr>
        <w:pStyle w:val="BodyText"/>
        <w:ind w:left="1134" w:hanging="567"/>
        <w:rPr>
          <w:lang w:bidi="ar-EG"/>
        </w:rPr>
      </w:pPr>
      <w:r>
        <w:rPr>
          <w:rFonts w:hint="cs"/>
          <w:rtl/>
          <w:lang w:val="it-IT"/>
        </w:rPr>
        <w:lastRenderedPageBreak/>
        <w:t>(أ)</w:t>
      </w:r>
      <w:r>
        <w:rPr>
          <w:rtl/>
          <w:lang w:val="it-IT"/>
        </w:rPr>
        <w:tab/>
      </w:r>
      <w:r w:rsidR="007E34E6" w:rsidRPr="007E34E6">
        <w:rPr>
          <w:rFonts w:hint="cs"/>
          <w:rtl/>
          <w:lang w:val="it-IT"/>
        </w:rPr>
        <w:t xml:space="preserve">تنص المادة 136(ز) من القرار 486 لمفوضية </w:t>
      </w:r>
      <w:r w:rsidR="007E34E6" w:rsidRPr="007E34E6">
        <w:rPr>
          <w:rtl/>
          <w:lang w:val="it-IT"/>
        </w:rPr>
        <w:t xml:space="preserve">جماعة </w:t>
      </w:r>
      <w:r w:rsidR="007E34E6" w:rsidRPr="007E34E6">
        <w:rPr>
          <w:rFonts w:hint="cs"/>
          <w:rtl/>
          <w:lang w:val="it-IT"/>
        </w:rPr>
        <w:t>البلدان</w:t>
      </w:r>
      <w:r w:rsidR="007E34E6" w:rsidRPr="007E34E6">
        <w:rPr>
          <w:rtl/>
          <w:lang w:val="it-IT"/>
        </w:rPr>
        <w:t xml:space="preserve"> الأندية</w:t>
      </w:r>
      <w:r w:rsidR="007E34E6" w:rsidRPr="007E34E6">
        <w:rPr>
          <w:rFonts w:hint="cs"/>
          <w:rtl/>
          <w:lang w:val="it-IT"/>
        </w:rPr>
        <w:t xml:space="preserve"> على أنه "لا يجوز تسجيل العلامات التي قد يلحق استخدامها تجاريا ضررا كبيرا بحق الغير، لا سيما عندما تتكون من اسم مجتمع أصلي أو أفريقي أمريكي أو محلي، أو من تسميات أو كلمات أو حروف أو سمات أو علامات تستخدم لتمييز منتجات هذه المجتمعات أو خدماتها أو طريقة صنعها، أو عندما تشكل أداة التعبير عن ثقافتها أو ممارساتها، إلا إذا أُودع طلب التسجيل من المجتمع المحلي نفسه أو بموافقة صريحة منه؛"</w:t>
      </w:r>
    </w:p>
    <w:p w14:paraId="78665D98" w14:textId="3301AFB5" w:rsidR="007E34E6" w:rsidRPr="007E34E6" w:rsidRDefault="00DE49AF" w:rsidP="00DE49AF">
      <w:pPr>
        <w:pStyle w:val="BodyText"/>
        <w:ind w:left="1134" w:hanging="567"/>
        <w:rPr>
          <w:lang w:bidi="ar-EG"/>
        </w:rPr>
      </w:pPr>
      <w:r>
        <w:rPr>
          <w:rFonts w:hint="cs"/>
          <w:rtl/>
          <w:lang w:val="it-IT"/>
        </w:rPr>
        <w:t>(ب)</w:t>
      </w:r>
      <w:r>
        <w:rPr>
          <w:rtl/>
          <w:lang w:val="it-IT"/>
        </w:rPr>
        <w:tab/>
      </w:r>
      <w:r w:rsidR="007E34E6" w:rsidRPr="007E34E6">
        <w:rPr>
          <w:rFonts w:hint="cs"/>
          <w:rtl/>
          <w:lang w:val="it-IT"/>
        </w:rPr>
        <w:t xml:space="preserve">واستحدث </w:t>
      </w:r>
      <w:r w:rsidR="007E34E6" w:rsidRPr="007E34E6">
        <w:rPr>
          <w:rtl/>
          <w:lang w:val="it-IT"/>
        </w:rPr>
        <w:t>مكتب الولايات المتحدة للبراءات والعلامات التجارية</w:t>
      </w:r>
      <w:r w:rsidR="007E34E6" w:rsidRPr="007E34E6">
        <w:rPr>
          <w:rFonts w:hint="cs"/>
          <w:rtl/>
          <w:lang w:val="it-IT"/>
        </w:rPr>
        <w:t xml:space="preserve"> قاعدة بيانات شاملة لتتضمن الشارات الرسمية لجميع القبائل الأمريكية الأصلية المعترف بها على مستوى الولايات وعلى المستوى الاتحادي.</w:t>
      </w:r>
      <w:r w:rsidR="007E34E6" w:rsidRPr="007E34E6">
        <w:rPr>
          <w:vertAlign w:val="superscript"/>
          <w:rtl/>
          <w:lang w:val="it-IT"/>
        </w:rPr>
        <w:footnoteReference w:id="73"/>
      </w:r>
      <w:r w:rsidR="007E34E6" w:rsidRPr="007E34E6">
        <w:rPr>
          <w:rFonts w:hint="cs"/>
          <w:rtl/>
          <w:lang w:val="it-IT"/>
        </w:rPr>
        <w:t>ويجوز لهذا المكتب أن يرفض تسجيل علامة مقترحة فيها ادعاء زائف بأنها ذات صلة بقبيلة من مجتمع أصلي أو بمعتقدات تؤمن بها تلك القبيلة؛</w:t>
      </w:r>
      <w:r w:rsidR="007E34E6" w:rsidRPr="007E34E6">
        <w:rPr>
          <w:vertAlign w:val="superscript"/>
          <w:rtl/>
          <w:lang w:val="it-IT"/>
        </w:rPr>
        <w:footnoteReference w:id="74"/>
      </w:r>
    </w:p>
    <w:p w14:paraId="0A217826" w14:textId="38335636" w:rsidR="007E34E6" w:rsidRPr="007E34E6" w:rsidRDefault="00DE49AF" w:rsidP="00DE49AF">
      <w:pPr>
        <w:pStyle w:val="BodyText"/>
        <w:ind w:left="1134" w:hanging="567"/>
        <w:rPr>
          <w:rtl/>
          <w:lang w:val="it-IT"/>
        </w:rPr>
      </w:pPr>
      <w:r>
        <w:rPr>
          <w:rFonts w:hint="cs"/>
          <w:rtl/>
          <w:lang w:val="it-IT"/>
        </w:rPr>
        <w:t>(ج)</w:t>
      </w:r>
      <w:r>
        <w:rPr>
          <w:rtl/>
          <w:lang w:val="it-IT"/>
        </w:rPr>
        <w:tab/>
      </w:r>
      <w:r w:rsidR="007E34E6" w:rsidRPr="007E34E6">
        <w:rPr>
          <w:rFonts w:hint="cs"/>
          <w:rtl/>
          <w:lang w:val="it-IT"/>
        </w:rPr>
        <w:t xml:space="preserve">ويقضي قانون العلامات التجارية في نيوزيلندا برفض تسجيل علامة تجارية (أو جزء من علامة تجارية) إذا كان في استخدامها أو تسجيلها احتمال إلحاق الضرر بفئة مهمة من المجتمع، لا سيما الأشخاص الأصليون في هذا البلد، وهم </w:t>
      </w:r>
      <w:proofErr w:type="spellStart"/>
      <w:r w:rsidR="007E34E6" w:rsidRPr="007E34E6">
        <w:rPr>
          <w:rtl/>
          <w:lang w:val="it-IT"/>
        </w:rPr>
        <w:t>ماووري</w:t>
      </w:r>
      <w:proofErr w:type="spellEnd"/>
      <w:r w:rsidR="007E34E6" w:rsidRPr="007E34E6">
        <w:rPr>
          <w:rFonts w:hint="cs"/>
          <w:rtl/>
          <w:lang w:val="it-IT"/>
        </w:rPr>
        <w:t>.</w:t>
      </w:r>
      <w:r w:rsidR="007E34E6" w:rsidRPr="007E34E6">
        <w:rPr>
          <w:vertAlign w:val="superscript"/>
          <w:rtl/>
          <w:lang w:val="it-IT"/>
        </w:rPr>
        <w:footnoteReference w:id="75"/>
      </w:r>
      <w:r w:rsidR="007E34E6" w:rsidRPr="007E34E6">
        <w:rPr>
          <w:rFonts w:hint="cs"/>
          <w:rtl/>
          <w:lang w:val="it-IT"/>
        </w:rPr>
        <w:t xml:space="preserve"> </w:t>
      </w:r>
    </w:p>
    <w:p w14:paraId="410AFAE2" w14:textId="77777777" w:rsidR="007E34E6" w:rsidRPr="007E34E6" w:rsidRDefault="007E34E6" w:rsidP="00DE49AF">
      <w:pPr>
        <w:pStyle w:val="Endofdocument-Annex"/>
        <w:rPr>
          <w:rtl/>
          <w:lang w:val="it-IT"/>
        </w:rPr>
      </w:pPr>
      <w:r w:rsidRPr="007E34E6">
        <w:rPr>
          <w:rFonts w:hint="cs"/>
          <w:rtl/>
          <w:lang w:val="it-IT"/>
        </w:rPr>
        <w:t>[يلي ذلك المرفق الثاني]</w:t>
      </w:r>
    </w:p>
    <w:p w14:paraId="5D4788F7" w14:textId="77777777" w:rsidR="007E34E6" w:rsidRPr="007E34E6" w:rsidRDefault="007E34E6" w:rsidP="007E34E6">
      <w:pPr>
        <w:pStyle w:val="BodyText"/>
        <w:rPr>
          <w:rtl/>
          <w:lang w:val="it-IT" w:bidi="ar-EG"/>
        </w:rPr>
      </w:pPr>
    </w:p>
    <w:p w14:paraId="1C5E55E8" w14:textId="77777777" w:rsidR="007E34E6" w:rsidRPr="007E34E6" w:rsidRDefault="007E34E6" w:rsidP="007E34E6">
      <w:pPr>
        <w:pStyle w:val="BodyText"/>
        <w:rPr>
          <w:i/>
          <w:iCs/>
          <w:u w:val="single"/>
          <w:lang w:bidi="ar-EG"/>
        </w:rPr>
        <w:sectPr w:rsidR="007E34E6" w:rsidRPr="007E34E6" w:rsidSect="009B4A92">
          <w:headerReference w:type="default" r:id="rId17"/>
          <w:headerReference w:type="first" r:id="rId18"/>
          <w:footnotePr>
            <w:numRestart w:val="eachSect"/>
          </w:footnotePr>
          <w:endnotePr>
            <w:numFmt w:val="decimal"/>
          </w:endnotePr>
          <w:type w:val="continuous"/>
          <w:pgSz w:w="11906" w:h="16838" w:code="9"/>
          <w:pgMar w:top="510" w:right="1418" w:bottom="1418" w:left="1134" w:header="510" w:footer="1021" w:gutter="0"/>
          <w:pgNumType w:start="1"/>
          <w:cols w:space="720"/>
          <w:titlePg/>
          <w:bidi/>
          <w:rtlGutter/>
        </w:sectPr>
      </w:pPr>
    </w:p>
    <w:p w14:paraId="47644A1C" w14:textId="781E53E7" w:rsidR="007E34E6" w:rsidRPr="00FB4407" w:rsidRDefault="00DE49AF" w:rsidP="00FB4407">
      <w:pPr>
        <w:pStyle w:val="BodyText"/>
        <w:jc w:val="center"/>
        <w:rPr>
          <w:b/>
          <w:bCs/>
          <w:rtl/>
          <w:lang w:val="it-IT" w:bidi="ar-EG"/>
        </w:rPr>
      </w:pPr>
      <w:r w:rsidRPr="00FB4407">
        <w:rPr>
          <w:rFonts w:hint="cs"/>
          <w:b/>
          <w:bCs/>
          <w:rtl/>
          <w:lang w:val="it-IT" w:bidi="ar-EG"/>
        </w:rPr>
        <w:lastRenderedPageBreak/>
        <w:t>المرفق الثاني</w:t>
      </w:r>
    </w:p>
    <w:tbl>
      <w:tblPr>
        <w:tblStyle w:val="TableGrid"/>
        <w:tblpPr w:leftFromText="180" w:rightFromText="180" w:vertAnchor="text" w:tblpXSpec="center" w:tblpY="1"/>
        <w:tblOverlap w:val="never"/>
        <w:bidiVisual/>
        <w:tblW w:w="0" w:type="auto"/>
        <w:tblLook w:val="04A0" w:firstRow="1" w:lastRow="0" w:firstColumn="1" w:lastColumn="0" w:noHBand="0" w:noVBand="1"/>
      </w:tblPr>
      <w:tblGrid>
        <w:gridCol w:w="3701"/>
        <w:gridCol w:w="3702"/>
        <w:gridCol w:w="3702"/>
        <w:gridCol w:w="3702"/>
      </w:tblGrid>
      <w:tr w:rsidR="00DE49AF" w:rsidRPr="00DE49AF" w14:paraId="415E28C5" w14:textId="77777777" w:rsidTr="00F27241">
        <w:trPr>
          <w:trHeight w:val="552"/>
          <w:tblHeader/>
        </w:trPr>
        <w:tc>
          <w:tcPr>
            <w:tcW w:w="3701" w:type="dxa"/>
            <w:vAlign w:val="center"/>
          </w:tcPr>
          <w:p w14:paraId="6BCDAB6E" w14:textId="36135E6A" w:rsidR="00DE49AF" w:rsidRPr="00DE49AF" w:rsidRDefault="00DE49AF" w:rsidP="00DE49AF">
            <w:pPr>
              <w:jc w:val="both"/>
              <w:rPr>
                <w:rFonts w:ascii="Calibri" w:hAnsi="Calibri"/>
                <w:bCs/>
                <w:i/>
              </w:rPr>
            </w:pPr>
            <w:r w:rsidRPr="00DE49AF">
              <w:rPr>
                <w:rFonts w:ascii="Calibri" w:hAnsi="Calibri" w:hint="cs"/>
                <w:bCs/>
                <w:i/>
                <w:rtl/>
              </w:rPr>
              <w:t>الحماية المرغوب فيها</w:t>
            </w:r>
          </w:p>
        </w:tc>
        <w:tc>
          <w:tcPr>
            <w:tcW w:w="3702" w:type="dxa"/>
            <w:vAlign w:val="center"/>
          </w:tcPr>
          <w:p w14:paraId="4C368A01" w14:textId="7154DBB6" w:rsidR="00DE49AF" w:rsidRPr="00DE49AF" w:rsidRDefault="00DE49AF" w:rsidP="00DE49AF">
            <w:pPr>
              <w:jc w:val="both"/>
              <w:rPr>
                <w:rFonts w:ascii="Calibri" w:hAnsi="Calibri"/>
                <w:i/>
              </w:rPr>
            </w:pPr>
            <w:r>
              <w:rPr>
                <w:rFonts w:ascii="Calibri" w:hAnsi="Calibri" w:hint="cs"/>
                <w:b/>
                <w:bCs/>
                <w:i/>
                <w:rtl/>
              </w:rPr>
              <w:t xml:space="preserve">ألف. </w:t>
            </w:r>
            <w:r>
              <w:rPr>
                <w:rFonts w:ascii="Calibri" w:hAnsi="Calibri"/>
                <w:b/>
                <w:bCs/>
                <w:i/>
                <w:rtl/>
              </w:rPr>
              <w:tab/>
            </w:r>
            <w:r>
              <w:rPr>
                <w:rFonts w:ascii="Calibri" w:hAnsi="Calibri" w:hint="cs"/>
                <w:b/>
                <w:bCs/>
                <w:i/>
                <w:rtl/>
              </w:rPr>
              <w:t>الحماية الحالية</w:t>
            </w:r>
          </w:p>
        </w:tc>
        <w:tc>
          <w:tcPr>
            <w:tcW w:w="3702" w:type="dxa"/>
            <w:vAlign w:val="center"/>
          </w:tcPr>
          <w:p w14:paraId="635929B1" w14:textId="4F7D74DB" w:rsidR="00DE49AF" w:rsidRPr="00DE49AF" w:rsidRDefault="00DE49AF" w:rsidP="00DE49AF">
            <w:pPr>
              <w:jc w:val="both"/>
              <w:rPr>
                <w:rFonts w:ascii="Calibri" w:hAnsi="Calibri"/>
                <w:i/>
              </w:rPr>
            </w:pPr>
            <w:r>
              <w:rPr>
                <w:rFonts w:ascii="Calibri" w:hAnsi="Calibri" w:hint="cs"/>
                <w:b/>
                <w:bCs/>
                <w:i/>
                <w:rtl/>
              </w:rPr>
              <w:t>باء.</w:t>
            </w:r>
            <w:r>
              <w:rPr>
                <w:rFonts w:ascii="Calibri" w:hAnsi="Calibri"/>
                <w:b/>
                <w:bCs/>
                <w:i/>
                <w:rtl/>
              </w:rPr>
              <w:tab/>
            </w:r>
            <w:r>
              <w:rPr>
                <w:rFonts w:ascii="Calibri" w:hAnsi="Calibri" w:hint="cs"/>
                <w:b/>
                <w:bCs/>
                <w:i/>
                <w:rtl/>
              </w:rPr>
              <w:t>الثغرات</w:t>
            </w:r>
          </w:p>
        </w:tc>
        <w:tc>
          <w:tcPr>
            <w:tcW w:w="3702" w:type="dxa"/>
            <w:vAlign w:val="center"/>
          </w:tcPr>
          <w:p w14:paraId="6EA169A1" w14:textId="16C0B51F" w:rsidR="00DE49AF" w:rsidRPr="00DE49AF" w:rsidRDefault="00DE49AF" w:rsidP="00DE49AF">
            <w:pPr>
              <w:ind w:firstLine="145"/>
              <w:jc w:val="both"/>
              <w:rPr>
                <w:rFonts w:ascii="Calibri" w:hAnsi="Calibri"/>
                <w:i/>
              </w:rPr>
            </w:pPr>
            <w:r>
              <w:rPr>
                <w:rFonts w:ascii="Calibri" w:hAnsi="Calibri" w:hint="cs"/>
                <w:b/>
                <w:bCs/>
                <w:i/>
                <w:rtl/>
              </w:rPr>
              <w:t>دال.</w:t>
            </w:r>
            <w:r>
              <w:rPr>
                <w:rFonts w:ascii="Calibri" w:hAnsi="Calibri"/>
                <w:b/>
                <w:bCs/>
                <w:i/>
                <w:rtl/>
              </w:rPr>
              <w:tab/>
            </w:r>
            <w:r>
              <w:rPr>
                <w:rFonts w:ascii="Calibri" w:hAnsi="Calibri" w:hint="cs"/>
                <w:b/>
                <w:bCs/>
                <w:i/>
                <w:rtl/>
              </w:rPr>
              <w:t>الخيارات</w:t>
            </w:r>
          </w:p>
        </w:tc>
      </w:tr>
      <w:tr w:rsidR="00DE49AF" w:rsidRPr="00DE49AF" w14:paraId="2BC2FB87" w14:textId="77777777" w:rsidTr="00F27241">
        <w:trPr>
          <w:trHeight w:val="7632"/>
        </w:trPr>
        <w:tc>
          <w:tcPr>
            <w:tcW w:w="3701" w:type="dxa"/>
          </w:tcPr>
          <w:p w14:paraId="60C46D8B" w14:textId="77777777" w:rsidR="00DE49AF" w:rsidRDefault="00DE49AF" w:rsidP="00DE49AF">
            <w:pPr>
              <w:rPr>
                <w:rFonts w:ascii="Calibri" w:hAnsi="Calibri" w:cs="Arabic Typesetting"/>
                <w:sz w:val="36"/>
                <w:szCs w:val="36"/>
                <w:rtl/>
              </w:rPr>
            </w:pPr>
          </w:p>
          <w:p w14:paraId="703327EB" w14:textId="19316585" w:rsidR="00DE49AF" w:rsidRPr="00DE49AF" w:rsidRDefault="00DE49AF" w:rsidP="00DE49AF">
            <w:pPr>
              <w:rPr>
                <w:rFonts w:ascii="Calibri" w:hAnsi="Calibri"/>
                <w:i/>
              </w:rPr>
            </w:pPr>
            <w:r w:rsidRPr="00DE49AF">
              <w:rPr>
                <w:rFonts w:ascii="Calibri" w:hAnsi="Calibri"/>
                <w:i/>
                <w:rtl/>
              </w:rPr>
              <w:t>المنتجات الأدبية والفنية</w:t>
            </w:r>
          </w:p>
        </w:tc>
        <w:tc>
          <w:tcPr>
            <w:tcW w:w="3702" w:type="dxa"/>
          </w:tcPr>
          <w:p w14:paraId="5AEF2126" w14:textId="0B856CEE" w:rsidR="00DE49AF" w:rsidRDefault="00DE49AF" w:rsidP="00DE49AF">
            <w:pPr>
              <w:numPr>
                <w:ilvl w:val="0"/>
                <w:numId w:val="34"/>
              </w:numPr>
              <w:contextualSpacing/>
              <w:rPr>
                <w:rFonts w:ascii="Calibri" w:hAnsi="Calibri"/>
              </w:rPr>
            </w:pPr>
            <w:r w:rsidRPr="00DE49AF">
              <w:rPr>
                <w:rFonts w:ascii="Calibri" w:hAnsi="Calibri"/>
                <w:rtl/>
              </w:rPr>
              <w:t xml:space="preserve">الحماية بموجب حق المؤلف لأشكال التعبير الثقافي التقليدي المعاصرة </w:t>
            </w:r>
          </w:p>
          <w:p w14:paraId="18B0A195" w14:textId="77777777" w:rsidR="00A506A6" w:rsidRPr="00DE49AF" w:rsidRDefault="00A506A6" w:rsidP="00A506A6">
            <w:pPr>
              <w:ind w:left="450"/>
              <w:contextualSpacing/>
              <w:rPr>
                <w:rFonts w:ascii="Calibri" w:hAnsi="Calibri"/>
                <w:rtl/>
              </w:rPr>
            </w:pPr>
          </w:p>
          <w:p w14:paraId="22D7916A" w14:textId="0D446EB1" w:rsidR="00DE49AF" w:rsidRDefault="00DE49AF" w:rsidP="00DE49AF">
            <w:pPr>
              <w:numPr>
                <w:ilvl w:val="0"/>
                <w:numId w:val="34"/>
              </w:numPr>
              <w:contextualSpacing/>
              <w:rPr>
                <w:rFonts w:ascii="Calibri" w:hAnsi="Calibri"/>
              </w:rPr>
            </w:pPr>
            <w:r w:rsidRPr="00DE49AF">
              <w:rPr>
                <w:rFonts w:ascii="Calibri" w:hAnsi="Calibri"/>
                <w:rtl/>
              </w:rPr>
              <w:t>المادة 15(4) من اتفاقية برن- الحماية بموجب حق المؤلف للمصنفات غير المنشورة أو التي تكون شخصية مؤلفها مجهولة</w:t>
            </w:r>
          </w:p>
          <w:p w14:paraId="15573AA5" w14:textId="63DCEC49" w:rsidR="00A506A6" w:rsidRPr="00DE49AF" w:rsidRDefault="00A506A6" w:rsidP="00A506A6">
            <w:pPr>
              <w:contextualSpacing/>
              <w:rPr>
                <w:rFonts w:ascii="Calibri" w:hAnsi="Calibri"/>
                <w:rtl/>
              </w:rPr>
            </w:pPr>
          </w:p>
          <w:p w14:paraId="42F2447B" w14:textId="3CEF1331" w:rsidR="00DE49AF" w:rsidRDefault="00DE49AF" w:rsidP="00DE49AF">
            <w:pPr>
              <w:numPr>
                <w:ilvl w:val="0"/>
                <w:numId w:val="34"/>
              </w:numPr>
              <w:contextualSpacing/>
              <w:rPr>
                <w:rFonts w:ascii="Calibri" w:hAnsi="Calibri"/>
              </w:rPr>
            </w:pPr>
            <w:r w:rsidRPr="00DE49AF">
              <w:rPr>
                <w:rFonts w:ascii="Calibri" w:hAnsi="Calibri"/>
                <w:rtl/>
              </w:rPr>
              <w:t>المجموعات وقواعد البيانات الخاصة بأشكال التعبير الثقافي التقليدي</w:t>
            </w:r>
          </w:p>
          <w:p w14:paraId="3AC0218F" w14:textId="6EF61285" w:rsidR="00A506A6" w:rsidRPr="00DE49AF" w:rsidRDefault="00A506A6" w:rsidP="00A506A6">
            <w:pPr>
              <w:contextualSpacing/>
              <w:rPr>
                <w:rFonts w:ascii="Calibri" w:hAnsi="Calibri"/>
                <w:rtl/>
              </w:rPr>
            </w:pPr>
          </w:p>
          <w:p w14:paraId="633A0CA1" w14:textId="64B0F567" w:rsidR="00DE49AF" w:rsidRDefault="00DE49AF" w:rsidP="00DE49AF">
            <w:pPr>
              <w:numPr>
                <w:ilvl w:val="0"/>
                <w:numId w:val="34"/>
              </w:numPr>
              <w:contextualSpacing/>
              <w:rPr>
                <w:rFonts w:ascii="Calibri" w:hAnsi="Calibri"/>
              </w:rPr>
            </w:pPr>
            <w:r w:rsidRPr="00DE49AF">
              <w:rPr>
                <w:rFonts w:ascii="Calibri" w:hAnsi="Calibri"/>
                <w:rtl/>
              </w:rPr>
              <w:t>تدوين وتوثيق أشكال التعبير الثقافي التقليدي</w:t>
            </w:r>
          </w:p>
          <w:p w14:paraId="73C3568B" w14:textId="5C683705" w:rsidR="00A506A6" w:rsidRPr="00DE49AF" w:rsidRDefault="00A506A6" w:rsidP="00A506A6">
            <w:pPr>
              <w:contextualSpacing/>
              <w:rPr>
                <w:rFonts w:ascii="Calibri" w:hAnsi="Calibri"/>
                <w:rtl/>
              </w:rPr>
            </w:pPr>
          </w:p>
          <w:p w14:paraId="4503768C" w14:textId="7B601A91" w:rsidR="00DE49AF" w:rsidRDefault="00DE49AF" w:rsidP="00DE49AF">
            <w:pPr>
              <w:numPr>
                <w:ilvl w:val="0"/>
                <w:numId w:val="34"/>
              </w:numPr>
              <w:contextualSpacing/>
              <w:rPr>
                <w:rFonts w:ascii="Calibri" w:hAnsi="Calibri"/>
              </w:rPr>
            </w:pPr>
            <w:r w:rsidRPr="00DE49AF">
              <w:rPr>
                <w:rFonts w:ascii="Calibri" w:hAnsi="Calibri"/>
                <w:rtl/>
              </w:rPr>
              <w:t>المجموعات وقواعد البيانات الخاصة بأشكال التعبير الثقافي التقليدي</w:t>
            </w:r>
          </w:p>
          <w:p w14:paraId="30E82BE8" w14:textId="37EFFB3B" w:rsidR="00A506A6" w:rsidRPr="00DE49AF" w:rsidRDefault="00A506A6" w:rsidP="00A506A6">
            <w:pPr>
              <w:contextualSpacing/>
              <w:rPr>
                <w:rFonts w:ascii="Calibri" w:hAnsi="Calibri"/>
                <w:rtl/>
              </w:rPr>
            </w:pPr>
          </w:p>
          <w:p w14:paraId="30E7AE94" w14:textId="77777777" w:rsidR="00DE49AF" w:rsidRPr="00DE49AF" w:rsidRDefault="00DE49AF" w:rsidP="00DE49AF">
            <w:pPr>
              <w:numPr>
                <w:ilvl w:val="0"/>
                <w:numId w:val="34"/>
              </w:numPr>
              <w:contextualSpacing/>
              <w:rPr>
                <w:rFonts w:ascii="Calibri" w:hAnsi="Calibri"/>
                <w:rtl/>
              </w:rPr>
            </w:pPr>
            <w:r w:rsidRPr="00DE49AF">
              <w:rPr>
                <w:rFonts w:ascii="Calibri" w:hAnsi="Calibri"/>
                <w:rtl/>
              </w:rPr>
              <w:t>تدوين وتوثيق أشكال التعبير الثقافي التقليدي</w:t>
            </w:r>
          </w:p>
          <w:p w14:paraId="1DA8D570" w14:textId="2990717A" w:rsidR="00DE49AF" w:rsidRPr="00DE49AF" w:rsidRDefault="00DE49AF" w:rsidP="00DE49AF">
            <w:pPr>
              <w:ind w:left="439"/>
              <w:contextualSpacing/>
              <w:rPr>
                <w:rFonts w:ascii="Calibri" w:hAnsi="Calibri"/>
              </w:rPr>
            </w:pPr>
          </w:p>
        </w:tc>
        <w:tc>
          <w:tcPr>
            <w:tcW w:w="3702" w:type="dxa"/>
          </w:tcPr>
          <w:p w14:paraId="6D695E8C" w14:textId="71F95EF4" w:rsidR="00A506A6" w:rsidRDefault="00A506A6" w:rsidP="00A506A6">
            <w:pPr>
              <w:numPr>
                <w:ilvl w:val="0"/>
                <w:numId w:val="40"/>
              </w:numPr>
              <w:contextualSpacing/>
              <w:rPr>
                <w:rFonts w:ascii="Calibri" w:hAnsi="Calibri"/>
              </w:rPr>
            </w:pPr>
            <w:r w:rsidRPr="00A506A6">
              <w:rPr>
                <w:rFonts w:ascii="Calibri" w:hAnsi="Calibri"/>
                <w:rtl/>
              </w:rPr>
              <w:t>قد لا تستجيب أشكال التعبير الثقافي التقليدي الجديدة المستندة إلى أشكال التعبير الثقافي التقليدي الموجودة من قبل لشرط’ الأصالة‘</w:t>
            </w:r>
          </w:p>
          <w:p w14:paraId="06BCA35E" w14:textId="77777777" w:rsidR="00A506A6" w:rsidRPr="00A506A6" w:rsidRDefault="00A506A6" w:rsidP="00A506A6">
            <w:pPr>
              <w:ind w:left="180"/>
              <w:contextualSpacing/>
              <w:rPr>
                <w:rFonts w:ascii="Calibri" w:hAnsi="Calibri"/>
                <w:rtl/>
              </w:rPr>
            </w:pPr>
          </w:p>
          <w:p w14:paraId="7E5D1D16" w14:textId="72144F66" w:rsidR="00A506A6" w:rsidRDefault="00A506A6" w:rsidP="00A506A6">
            <w:pPr>
              <w:numPr>
                <w:ilvl w:val="0"/>
                <w:numId w:val="40"/>
              </w:numPr>
              <w:contextualSpacing/>
              <w:rPr>
                <w:rFonts w:ascii="Calibri" w:hAnsi="Calibri"/>
              </w:rPr>
            </w:pPr>
            <w:r w:rsidRPr="00A506A6">
              <w:rPr>
                <w:rFonts w:ascii="Calibri" w:hAnsi="Calibri"/>
                <w:rtl/>
              </w:rPr>
              <w:t>يوفر قانون حق المؤلف الحماية للتعبير الخاص عن المصنف، ولكن ليس للأفكار الأساسية، والتي قد تجعل حماية "الأنماط" صعبة</w:t>
            </w:r>
          </w:p>
          <w:p w14:paraId="1036E70E" w14:textId="73982C38" w:rsidR="00A506A6" w:rsidRPr="00A506A6" w:rsidRDefault="00A506A6" w:rsidP="00A506A6">
            <w:pPr>
              <w:contextualSpacing/>
              <w:rPr>
                <w:rFonts w:ascii="Calibri" w:hAnsi="Calibri"/>
                <w:rtl/>
              </w:rPr>
            </w:pPr>
          </w:p>
          <w:p w14:paraId="5531DB7D" w14:textId="3061F4AF" w:rsidR="00A506A6" w:rsidRDefault="00A506A6" w:rsidP="00A506A6">
            <w:pPr>
              <w:numPr>
                <w:ilvl w:val="0"/>
                <w:numId w:val="40"/>
              </w:numPr>
              <w:contextualSpacing/>
              <w:rPr>
                <w:rFonts w:ascii="Calibri" w:hAnsi="Calibri"/>
              </w:rPr>
            </w:pPr>
            <w:r w:rsidRPr="00A506A6">
              <w:rPr>
                <w:rFonts w:ascii="Calibri" w:hAnsi="Calibri"/>
                <w:rtl/>
              </w:rPr>
              <w:t>لا حماية واضحة لحقوق المجتمعات المحلية.</w:t>
            </w:r>
          </w:p>
          <w:p w14:paraId="38F4A38F" w14:textId="37C8B0AB" w:rsidR="00A506A6" w:rsidRPr="00A506A6" w:rsidRDefault="00A506A6" w:rsidP="00A506A6">
            <w:pPr>
              <w:contextualSpacing/>
              <w:rPr>
                <w:rFonts w:ascii="Calibri" w:hAnsi="Calibri"/>
                <w:rtl/>
              </w:rPr>
            </w:pPr>
          </w:p>
          <w:p w14:paraId="74BE260B" w14:textId="55E3B722" w:rsidR="00A506A6" w:rsidRDefault="00A506A6" w:rsidP="00A506A6">
            <w:pPr>
              <w:numPr>
                <w:ilvl w:val="0"/>
                <w:numId w:val="40"/>
              </w:numPr>
              <w:contextualSpacing/>
              <w:rPr>
                <w:rFonts w:ascii="Calibri" w:hAnsi="Calibri"/>
              </w:rPr>
            </w:pPr>
            <w:r w:rsidRPr="00A506A6">
              <w:rPr>
                <w:rFonts w:ascii="Calibri" w:hAnsi="Calibri"/>
                <w:rtl/>
              </w:rPr>
              <w:t xml:space="preserve">مدة الحماية محدودة </w:t>
            </w:r>
          </w:p>
          <w:p w14:paraId="1BF5804D" w14:textId="36CC77B4" w:rsidR="00A506A6" w:rsidRPr="00A506A6" w:rsidRDefault="00A506A6" w:rsidP="00A506A6">
            <w:pPr>
              <w:contextualSpacing/>
              <w:rPr>
                <w:rFonts w:ascii="Calibri" w:hAnsi="Calibri"/>
                <w:rtl/>
              </w:rPr>
            </w:pPr>
          </w:p>
          <w:p w14:paraId="023C30A7" w14:textId="54935FCF" w:rsidR="00A506A6" w:rsidRDefault="00A506A6" w:rsidP="00A506A6">
            <w:pPr>
              <w:numPr>
                <w:ilvl w:val="0"/>
                <w:numId w:val="40"/>
              </w:numPr>
              <w:contextualSpacing/>
              <w:rPr>
                <w:rFonts w:ascii="Calibri" w:hAnsi="Calibri"/>
              </w:rPr>
            </w:pPr>
            <w:r w:rsidRPr="00A506A6">
              <w:rPr>
                <w:rFonts w:ascii="Calibri" w:hAnsi="Calibri"/>
                <w:rtl/>
              </w:rPr>
              <w:t>"الملك العام" والاستثناءات والتقييدات الأخرى</w:t>
            </w:r>
          </w:p>
          <w:p w14:paraId="34CF7047" w14:textId="72FD2C65" w:rsidR="00A506A6" w:rsidRPr="00A506A6" w:rsidRDefault="00A506A6" w:rsidP="00A506A6">
            <w:pPr>
              <w:contextualSpacing/>
              <w:rPr>
                <w:rFonts w:ascii="Calibri" w:hAnsi="Calibri"/>
                <w:rtl/>
              </w:rPr>
            </w:pPr>
          </w:p>
          <w:p w14:paraId="5A233575" w14:textId="1CF8F6EC" w:rsidR="00A506A6" w:rsidRDefault="00A506A6" w:rsidP="00A506A6">
            <w:pPr>
              <w:numPr>
                <w:ilvl w:val="0"/>
                <w:numId w:val="40"/>
              </w:numPr>
              <w:contextualSpacing/>
              <w:rPr>
                <w:rFonts w:ascii="Calibri" w:hAnsi="Calibri"/>
              </w:rPr>
            </w:pPr>
            <w:r w:rsidRPr="00A506A6">
              <w:rPr>
                <w:rFonts w:ascii="Calibri" w:hAnsi="Calibri"/>
                <w:rtl/>
              </w:rPr>
              <w:t>المصنفات المشتقة والتحويرات والحماية الدفاعية</w:t>
            </w:r>
          </w:p>
          <w:p w14:paraId="16258F6F" w14:textId="506D0F49" w:rsidR="00A506A6" w:rsidRPr="00A506A6" w:rsidRDefault="00A506A6" w:rsidP="00A506A6">
            <w:pPr>
              <w:contextualSpacing/>
              <w:rPr>
                <w:rFonts w:ascii="Calibri" w:hAnsi="Calibri"/>
                <w:rtl/>
              </w:rPr>
            </w:pPr>
          </w:p>
          <w:p w14:paraId="13C6AB97" w14:textId="77777777" w:rsidR="00A506A6" w:rsidRPr="00A506A6" w:rsidRDefault="00A506A6" w:rsidP="00A506A6">
            <w:pPr>
              <w:numPr>
                <w:ilvl w:val="0"/>
                <w:numId w:val="40"/>
              </w:numPr>
              <w:contextualSpacing/>
              <w:rPr>
                <w:rFonts w:ascii="Calibri" w:hAnsi="Calibri"/>
                <w:rtl/>
              </w:rPr>
            </w:pPr>
            <w:r w:rsidRPr="00A506A6">
              <w:rPr>
                <w:rFonts w:ascii="Calibri" w:hAnsi="Calibri"/>
                <w:rtl/>
              </w:rPr>
              <w:t>الحقوق في التدوين والتوثيق</w:t>
            </w:r>
          </w:p>
          <w:p w14:paraId="4A47D5EF" w14:textId="57737599" w:rsidR="00DE49AF" w:rsidRPr="00A506A6" w:rsidRDefault="00DE49AF" w:rsidP="00A506A6">
            <w:pPr>
              <w:contextualSpacing/>
              <w:rPr>
                <w:rFonts w:ascii="Calibri" w:hAnsi="Calibri"/>
                <w:i/>
              </w:rPr>
            </w:pPr>
          </w:p>
        </w:tc>
        <w:tc>
          <w:tcPr>
            <w:tcW w:w="3702" w:type="dxa"/>
          </w:tcPr>
          <w:p w14:paraId="0830DA68" w14:textId="77777777" w:rsidR="00A506A6" w:rsidRPr="00A506A6" w:rsidRDefault="00A506A6" w:rsidP="00A506A6">
            <w:pPr>
              <w:numPr>
                <w:ilvl w:val="0"/>
                <w:numId w:val="41"/>
              </w:numPr>
              <w:contextualSpacing/>
              <w:rPr>
                <w:rFonts w:ascii="Calibri" w:hAnsi="Calibri"/>
                <w:i/>
                <w:rtl/>
              </w:rPr>
            </w:pPr>
            <w:r w:rsidRPr="00A506A6">
              <w:rPr>
                <w:rFonts w:ascii="Calibri" w:hAnsi="Calibri"/>
                <w:i/>
                <w:rtl/>
              </w:rPr>
              <w:t xml:space="preserve">الاعتراف بحقوق المجتمعات المحلية </w:t>
            </w:r>
          </w:p>
          <w:p w14:paraId="55377543" w14:textId="77777777" w:rsidR="00A506A6" w:rsidRPr="00A506A6" w:rsidRDefault="00A506A6" w:rsidP="00A506A6">
            <w:pPr>
              <w:ind w:left="540"/>
              <w:contextualSpacing/>
              <w:rPr>
                <w:rFonts w:ascii="Calibri" w:hAnsi="Calibri"/>
                <w:i/>
                <w:rtl/>
              </w:rPr>
            </w:pPr>
          </w:p>
          <w:p w14:paraId="4B9A6EFE" w14:textId="4FC67640" w:rsidR="00A506A6" w:rsidRDefault="00A506A6" w:rsidP="00A506A6">
            <w:pPr>
              <w:numPr>
                <w:ilvl w:val="0"/>
                <w:numId w:val="41"/>
              </w:numPr>
              <w:contextualSpacing/>
              <w:rPr>
                <w:rFonts w:ascii="Calibri" w:hAnsi="Calibri"/>
                <w:i/>
              </w:rPr>
            </w:pPr>
            <w:r w:rsidRPr="00A506A6">
              <w:rPr>
                <w:rFonts w:ascii="Calibri" w:hAnsi="Calibri"/>
                <w:i/>
                <w:rtl/>
              </w:rPr>
              <w:t>الحقوق المعنوية للمجتمعات المحلية</w:t>
            </w:r>
          </w:p>
          <w:p w14:paraId="0BB3449A" w14:textId="23CC3BE9" w:rsidR="00A506A6" w:rsidRPr="00A506A6" w:rsidRDefault="00A506A6" w:rsidP="00A506A6">
            <w:pPr>
              <w:contextualSpacing/>
              <w:rPr>
                <w:rFonts w:ascii="Calibri" w:hAnsi="Calibri"/>
                <w:i/>
                <w:rtl/>
              </w:rPr>
            </w:pPr>
          </w:p>
          <w:p w14:paraId="7EA0F670" w14:textId="7F9CBF6B" w:rsidR="00A506A6" w:rsidRDefault="00A506A6" w:rsidP="00A506A6">
            <w:pPr>
              <w:numPr>
                <w:ilvl w:val="0"/>
                <w:numId w:val="41"/>
              </w:numPr>
              <w:contextualSpacing/>
              <w:rPr>
                <w:rFonts w:ascii="Calibri" w:hAnsi="Calibri"/>
                <w:i/>
              </w:rPr>
            </w:pPr>
            <w:r w:rsidRPr="00A506A6">
              <w:rPr>
                <w:rFonts w:ascii="Calibri" w:hAnsi="Calibri"/>
                <w:i/>
                <w:rtl/>
              </w:rPr>
              <w:t>توضيح المادة 15(4) من اتفاقية برن</w:t>
            </w:r>
          </w:p>
          <w:p w14:paraId="3B686927" w14:textId="47FBE72E" w:rsidR="00A506A6" w:rsidRPr="00A506A6" w:rsidRDefault="00A506A6" w:rsidP="00A506A6">
            <w:pPr>
              <w:contextualSpacing/>
              <w:rPr>
                <w:rFonts w:ascii="Calibri" w:hAnsi="Calibri"/>
                <w:i/>
                <w:rtl/>
              </w:rPr>
            </w:pPr>
          </w:p>
          <w:p w14:paraId="001B23AC" w14:textId="5EECE326" w:rsidR="00A506A6" w:rsidRDefault="00A506A6" w:rsidP="00A506A6">
            <w:pPr>
              <w:numPr>
                <w:ilvl w:val="0"/>
                <w:numId w:val="41"/>
              </w:numPr>
              <w:contextualSpacing/>
              <w:rPr>
                <w:rFonts w:ascii="Calibri" w:hAnsi="Calibri"/>
                <w:i/>
              </w:rPr>
            </w:pPr>
            <w:r w:rsidRPr="00A506A6">
              <w:rPr>
                <w:rFonts w:ascii="Calibri" w:hAnsi="Calibri"/>
                <w:i/>
                <w:rtl/>
              </w:rPr>
              <w:t>الملك العام بعوض</w:t>
            </w:r>
          </w:p>
          <w:p w14:paraId="40D30E2F" w14:textId="45AECBCE" w:rsidR="00A506A6" w:rsidRPr="00A506A6" w:rsidRDefault="00A506A6" w:rsidP="00A506A6">
            <w:pPr>
              <w:contextualSpacing/>
              <w:rPr>
                <w:rFonts w:ascii="Calibri" w:hAnsi="Calibri"/>
                <w:i/>
                <w:rtl/>
              </w:rPr>
            </w:pPr>
          </w:p>
          <w:p w14:paraId="2C343010" w14:textId="7E4CF18B" w:rsidR="00A506A6" w:rsidRDefault="00A506A6" w:rsidP="00A506A6">
            <w:pPr>
              <w:numPr>
                <w:ilvl w:val="0"/>
                <w:numId w:val="41"/>
              </w:numPr>
              <w:contextualSpacing/>
              <w:rPr>
                <w:rFonts w:ascii="Calibri" w:hAnsi="Calibri"/>
                <w:i/>
              </w:rPr>
            </w:pPr>
            <w:r w:rsidRPr="00A506A6">
              <w:rPr>
                <w:rFonts w:ascii="Calibri" w:hAnsi="Calibri"/>
                <w:i/>
                <w:rtl/>
              </w:rPr>
              <w:t>المصنفات اليتيمة</w:t>
            </w:r>
          </w:p>
          <w:p w14:paraId="68DB55A2" w14:textId="6C48D0F8" w:rsidR="00A506A6" w:rsidRPr="00A506A6" w:rsidRDefault="00A506A6" w:rsidP="00A506A6">
            <w:pPr>
              <w:contextualSpacing/>
              <w:rPr>
                <w:rFonts w:ascii="Calibri" w:hAnsi="Calibri"/>
                <w:i/>
                <w:rtl/>
              </w:rPr>
            </w:pPr>
          </w:p>
          <w:p w14:paraId="6924A097" w14:textId="47297739" w:rsidR="00A506A6" w:rsidRDefault="00A506A6" w:rsidP="00A506A6">
            <w:pPr>
              <w:numPr>
                <w:ilvl w:val="0"/>
                <w:numId w:val="41"/>
              </w:numPr>
              <w:contextualSpacing/>
              <w:rPr>
                <w:rFonts w:ascii="Calibri" w:hAnsi="Calibri"/>
                <w:i/>
              </w:rPr>
            </w:pPr>
            <w:r w:rsidRPr="00A506A6">
              <w:rPr>
                <w:rFonts w:ascii="Calibri" w:hAnsi="Calibri"/>
                <w:i/>
                <w:rtl/>
              </w:rPr>
              <w:t>حقوق إعادة البيع</w:t>
            </w:r>
          </w:p>
          <w:p w14:paraId="1CCF99A1" w14:textId="4A431A34" w:rsidR="00A506A6" w:rsidRPr="00A506A6" w:rsidRDefault="00A506A6" w:rsidP="00A506A6">
            <w:pPr>
              <w:contextualSpacing/>
              <w:rPr>
                <w:rFonts w:ascii="Calibri" w:hAnsi="Calibri"/>
                <w:i/>
                <w:rtl/>
              </w:rPr>
            </w:pPr>
          </w:p>
          <w:p w14:paraId="3D31B3B9" w14:textId="3575EB05" w:rsidR="00A506A6" w:rsidRDefault="00A506A6" w:rsidP="00A506A6">
            <w:pPr>
              <w:numPr>
                <w:ilvl w:val="0"/>
                <w:numId w:val="41"/>
              </w:numPr>
              <w:contextualSpacing/>
              <w:rPr>
                <w:rFonts w:ascii="Calibri" w:hAnsi="Calibri"/>
                <w:i/>
              </w:rPr>
            </w:pPr>
            <w:r w:rsidRPr="00A506A6">
              <w:rPr>
                <w:rFonts w:ascii="Calibri" w:hAnsi="Calibri"/>
                <w:i/>
                <w:rtl/>
              </w:rPr>
              <w:t>استخدام مبادئ المنافسة غير المشروعة لمكافحة التملك غير المشروع للسمعة المرتبطة بأشكال التعبير الثقافي التقليدي ("النمط")</w:t>
            </w:r>
          </w:p>
          <w:p w14:paraId="07C5F524" w14:textId="46BDBE89" w:rsidR="00A506A6" w:rsidRPr="00A506A6" w:rsidRDefault="00A506A6" w:rsidP="00A506A6">
            <w:pPr>
              <w:contextualSpacing/>
              <w:rPr>
                <w:rFonts w:ascii="Calibri" w:hAnsi="Calibri"/>
                <w:i/>
                <w:rtl/>
              </w:rPr>
            </w:pPr>
          </w:p>
          <w:p w14:paraId="36C88524" w14:textId="6391C071" w:rsidR="00A506A6" w:rsidRDefault="00A506A6" w:rsidP="00A506A6">
            <w:pPr>
              <w:numPr>
                <w:ilvl w:val="0"/>
                <w:numId w:val="41"/>
              </w:numPr>
              <w:contextualSpacing/>
              <w:rPr>
                <w:rFonts w:ascii="Calibri" w:hAnsi="Calibri"/>
                <w:i/>
              </w:rPr>
            </w:pPr>
            <w:r w:rsidRPr="00A506A6">
              <w:rPr>
                <w:rFonts w:ascii="Calibri" w:hAnsi="Calibri"/>
                <w:i/>
                <w:rtl/>
              </w:rPr>
              <w:t>المصنفات المشتقة والحماية الدفاعية للمنتجات الأدبية والفنية</w:t>
            </w:r>
          </w:p>
          <w:p w14:paraId="69908BF6" w14:textId="5A109D13" w:rsidR="00A506A6" w:rsidRPr="00A506A6" w:rsidRDefault="00A506A6" w:rsidP="00A506A6">
            <w:pPr>
              <w:contextualSpacing/>
              <w:rPr>
                <w:rFonts w:ascii="Calibri" w:hAnsi="Calibri"/>
                <w:i/>
                <w:rtl/>
              </w:rPr>
            </w:pPr>
          </w:p>
          <w:p w14:paraId="45A8941D" w14:textId="5B8A6FBB" w:rsidR="00A506A6" w:rsidRDefault="00A506A6" w:rsidP="00A506A6">
            <w:pPr>
              <w:numPr>
                <w:ilvl w:val="0"/>
                <w:numId w:val="41"/>
              </w:numPr>
              <w:contextualSpacing/>
              <w:rPr>
                <w:rFonts w:ascii="Calibri" w:hAnsi="Calibri"/>
                <w:i/>
              </w:rPr>
            </w:pPr>
            <w:r w:rsidRPr="00A506A6">
              <w:rPr>
                <w:rFonts w:ascii="Calibri" w:hAnsi="Calibri"/>
                <w:i/>
                <w:rtl/>
              </w:rPr>
              <w:t>المواثيق وقواعد السلوك والعقود وغيرها من الأدوات العملية</w:t>
            </w:r>
          </w:p>
          <w:p w14:paraId="68ED4B0C" w14:textId="667CB3C0" w:rsidR="00A506A6" w:rsidRPr="00A506A6" w:rsidRDefault="00A506A6" w:rsidP="00A506A6">
            <w:pPr>
              <w:contextualSpacing/>
              <w:rPr>
                <w:rFonts w:ascii="Calibri" w:hAnsi="Calibri"/>
                <w:i/>
                <w:rtl/>
              </w:rPr>
            </w:pPr>
          </w:p>
          <w:p w14:paraId="6F46F4CC" w14:textId="78B6E91C" w:rsidR="00A506A6" w:rsidRDefault="00A506A6" w:rsidP="00A506A6">
            <w:pPr>
              <w:numPr>
                <w:ilvl w:val="0"/>
                <w:numId w:val="41"/>
              </w:numPr>
              <w:contextualSpacing/>
              <w:rPr>
                <w:rFonts w:ascii="Calibri" w:hAnsi="Calibri"/>
                <w:i/>
              </w:rPr>
            </w:pPr>
            <w:r w:rsidRPr="00A506A6">
              <w:rPr>
                <w:rFonts w:ascii="Calibri" w:hAnsi="Calibri"/>
                <w:i/>
                <w:rtl/>
              </w:rPr>
              <w:t>قانون خاص قائم بذاته</w:t>
            </w:r>
          </w:p>
          <w:p w14:paraId="1C19CD7C" w14:textId="03874862" w:rsidR="00A506A6" w:rsidRPr="00A506A6" w:rsidRDefault="00A506A6" w:rsidP="00A506A6">
            <w:pPr>
              <w:contextualSpacing/>
              <w:rPr>
                <w:rFonts w:ascii="Calibri" w:hAnsi="Calibri"/>
                <w:i/>
                <w:rtl/>
              </w:rPr>
            </w:pPr>
          </w:p>
          <w:p w14:paraId="102A3544" w14:textId="7C26C2BB" w:rsidR="00A506A6" w:rsidRDefault="00A506A6" w:rsidP="00A506A6">
            <w:pPr>
              <w:numPr>
                <w:ilvl w:val="0"/>
                <w:numId w:val="41"/>
              </w:numPr>
              <w:contextualSpacing/>
              <w:rPr>
                <w:rFonts w:ascii="Calibri" w:hAnsi="Calibri"/>
                <w:i/>
              </w:rPr>
            </w:pPr>
            <w:r w:rsidRPr="00A506A6">
              <w:rPr>
                <w:rFonts w:ascii="Calibri" w:hAnsi="Calibri"/>
                <w:i/>
                <w:rtl/>
              </w:rPr>
              <w:t>السجلات وقواعد البيانات</w:t>
            </w:r>
          </w:p>
          <w:p w14:paraId="76096EE6" w14:textId="72C6574F" w:rsidR="00A506A6" w:rsidRPr="00A506A6" w:rsidRDefault="00A506A6" w:rsidP="00A506A6">
            <w:pPr>
              <w:contextualSpacing/>
              <w:rPr>
                <w:rFonts w:ascii="Calibri" w:hAnsi="Calibri"/>
                <w:i/>
                <w:rtl/>
              </w:rPr>
            </w:pPr>
          </w:p>
          <w:p w14:paraId="0CDA3F81" w14:textId="0BCFA269" w:rsidR="00DE49AF" w:rsidRPr="00A506A6" w:rsidRDefault="00A506A6" w:rsidP="00A506A6">
            <w:pPr>
              <w:numPr>
                <w:ilvl w:val="0"/>
                <w:numId w:val="41"/>
              </w:numPr>
              <w:contextualSpacing/>
              <w:rPr>
                <w:rFonts w:ascii="Calibri" w:hAnsi="Calibri"/>
                <w:i/>
              </w:rPr>
            </w:pPr>
            <w:r w:rsidRPr="00A506A6">
              <w:rPr>
                <w:rFonts w:ascii="Calibri" w:hAnsi="Calibri"/>
                <w:i/>
                <w:rtl/>
              </w:rPr>
              <w:t>الإدارة الجماعية</w:t>
            </w:r>
          </w:p>
        </w:tc>
      </w:tr>
    </w:tbl>
    <w:p w14:paraId="213AA0E3" w14:textId="77777777" w:rsidR="00DE49AF" w:rsidRPr="007E34E6" w:rsidRDefault="00DE49AF" w:rsidP="00A506A6">
      <w:pPr>
        <w:pStyle w:val="BodyText"/>
        <w:rPr>
          <w:rtl/>
          <w:lang w:val="it-IT" w:bidi="ar-EG"/>
        </w:rPr>
      </w:pPr>
    </w:p>
    <w:tbl>
      <w:tblPr>
        <w:tblStyle w:val="Grilledutableau3"/>
        <w:tblpPr w:leftFromText="180" w:rightFromText="180" w:horzAnchor="margin" w:tblpY="1579"/>
        <w:bidiVisual/>
        <w:tblW w:w="0" w:type="auto"/>
        <w:tblLook w:val="04A0" w:firstRow="1" w:lastRow="0" w:firstColumn="1" w:lastColumn="0" w:noHBand="0" w:noVBand="1"/>
      </w:tblPr>
      <w:tblGrid>
        <w:gridCol w:w="2630"/>
        <w:gridCol w:w="3702"/>
        <w:gridCol w:w="3702"/>
        <w:gridCol w:w="3702"/>
      </w:tblGrid>
      <w:tr w:rsidR="007E34E6" w:rsidRPr="007E34E6" w14:paraId="16293DB0" w14:textId="77777777" w:rsidTr="00DE49AF">
        <w:trPr>
          <w:trHeight w:val="480"/>
        </w:trPr>
        <w:tc>
          <w:tcPr>
            <w:tcW w:w="2630" w:type="dxa"/>
          </w:tcPr>
          <w:p w14:paraId="6895F892" w14:textId="77777777" w:rsidR="007E34E6" w:rsidRPr="007E34E6" w:rsidRDefault="007E34E6" w:rsidP="00DE49AF">
            <w:pPr>
              <w:pStyle w:val="BodyText"/>
              <w:rPr>
                <w:lang w:bidi="ar-EG"/>
              </w:rPr>
            </w:pPr>
            <w:r w:rsidRPr="007E34E6">
              <w:rPr>
                <w:b/>
                <w:bCs/>
                <w:rtl/>
                <w:lang w:val="it-IT"/>
              </w:rPr>
              <w:t>الحماية المرغوب فيها</w:t>
            </w:r>
          </w:p>
        </w:tc>
        <w:tc>
          <w:tcPr>
            <w:tcW w:w="3702" w:type="dxa"/>
          </w:tcPr>
          <w:p w14:paraId="5C6DE8E8" w14:textId="77777777" w:rsidR="007E34E6" w:rsidRPr="007E34E6" w:rsidRDefault="007E34E6" w:rsidP="00DE49AF">
            <w:pPr>
              <w:pStyle w:val="BodyText"/>
              <w:rPr>
                <w:lang w:bidi="ar-EG"/>
              </w:rPr>
            </w:pPr>
            <w:r w:rsidRPr="007E34E6">
              <w:rPr>
                <w:b/>
                <w:bCs/>
                <w:rtl/>
                <w:lang w:val="it-IT"/>
              </w:rPr>
              <w:t>ألف. الحماية الحالية</w:t>
            </w:r>
          </w:p>
        </w:tc>
        <w:tc>
          <w:tcPr>
            <w:tcW w:w="3702" w:type="dxa"/>
          </w:tcPr>
          <w:p w14:paraId="7F8CED62" w14:textId="77777777" w:rsidR="007E34E6" w:rsidRPr="007E34E6" w:rsidRDefault="007E34E6" w:rsidP="00DE49AF">
            <w:pPr>
              <w:pStyle w:val="BodyText"/>
              <w:rPr>
                <w:b/>
                <w:bCs/>
                <w:i/>
                <w:iCs/>
                <w:rtl/>
                <w:lang w:val="it-IT"/>
              </w:rPr>
            </w:pPr>
            <w:r w:rsidRPr="007E34E6">
              <w:rPr>
                <w:rFonts w:hint="cs"/>
                <w:b/>
                <w:bCs/>
                <w:rtl/>
                <w:lang w:val="it-IT"/>
              </w:rPr>
              <w:t>باء. الثغرات</w:t>
            </w:r>
          </w:p>
        </w:tc>
        <w:tc>
          <w:tcPr>
            <w:tcW w:w="3702" w:type="dxa"/>
          </w:tcPr>
          <w:p w14:paraId="5C7BD863" w14:textId="77777777" w:rsidR="007E34E6" w:rsidRPr="007E34E6" w:rsidRDefault="007E34E6" w:rsidP="00DE49AF">
            <w:pPr>
              <w:pStyle w:val="BodyText"/>
              <w:rPr>
                <w:b/>
                <w:bCs/>
                <w:lang w:bidi="ar-EG"/>
              </w:rPr>
            </w:pPr>
            <w:r w:rsidRPr="007E34E6">
              <w:rPr>
                <w:b/>
                <w:bCs/>
                <w:rtl/>
                <w:lang w:val="it-IT"/>
              </w:rPr>
              <w:t>دال. الخيارات</w:t>
            </w:r>
          </w:p>
        </w:tc>
      </w:tr>
      <w:tr w:rsidR="007E34E6" w:rsidRPr="007E34E6" w14:paraId="617A40D9" w14:textId="77777777" w:rsidTr="00DE49AF">
        <w:trPr>
          <w:trHeight w:val="2388"/>
        </w:trPr>
        <w:tc>
          <w:tcPr>
            <w:tcW w:w="2630" w:type="dxa"/>
          </w:tcPr>
          <w:p w14:paraId="473035BF" w14:textId="77777777" w:rsidR="007E34E6" w:rsidRPr="007E34E6" w:rsidRDefault="007E34E6" w:rsidP="00DE49AF">
            <w:pPr>
              <w:pStyle w:val="BodyText"/>
              <w:rPr>
                <w:lang w:bidi="ar-EG"/>
              </w:rPr>
            </w:pPr>
            <w:r w:rsidRPr="007E34E6">
              <w:rPr>
                <w:rtl/>
                <w:lang w:val="it-IT"/>
              </w:rPr>
              <w:t>أداء أشكال التعبير الثقافي التقليدي</w:t>
            </w:r>
          </w:p>
        </w:tc>
        <w:tc>
          <w:tcPr>
            <w:tcW w:w="3702" w:type="dxa"/>
          </w:tcPr>
          <w:p w14:paraId="1F8AABB1" w14:textId="77777777" w:rsidR="007E34E6" w:rsidRPr="007E34E6" w:rsidRDefault="007E34E6" w:rsidP="00DE49AF">
            <w:pPr>
              <w:pStyle w:val="BodyText"/>
              <w:numPr>
                <w:ilvl w:val="0"/>
                <w:numId w:val="35"/>
              </w:numPr>
              <w:rPr>
                <w:b/>
                <w:lang w:bidi="ar-EG"/>
              </w:rPr>
            </w:pPr>
            <w:r w:rsidRPr="007E34E6">
              <w:rPr>
                <w:b/>
                <w:rtl/>
                <w:lang w:val="it-IT"/>
              </w:rPr>
              <w:t xml:space="preserve">الحماية المنصوص عليها في معاهدة الويبو بشأن الأداء والتسجيل الصوتي لسنة </w:t>
            </w:r>
            <w:r w:rsidRPr="007E34E6">
              <w:rPr>
                <w:rFonts w:hint="cs"/>
                <w:b/>
                <w:rtl/>
                <w:lang w:val="it-IT"/>
              </w:rPr>
              <w:t>1996</w:t>
            </w:r>
          </w:p>
          <w:p w14:paraId="25E96DD5" w14:textId="77777777" w:rsidR="007E34E6" w:rsidRPr="007E34E6" w:rsidRDefault="007E34E6" w:rsidP="00DE49AF">
            <w:pPr>
              <w:pStyle w:val="BodyText"/>
              <w:numPr>
                <w:ilvl w:val="0"/>
                <w:numId w:val="35"/>
              </w:numPr>
              <w:rPr>
                <w:lang w:bidi="ar-EG"/>
              </w:rPr>
            </w:pPr>
            <w:r w:rsidRPr="007E34E6">
              <w:rPr>
                <w:b/>
                <w:rtl/>
                <w:lang w:val="it-IT"/>
              </w:rPr>
              <w:t>الحماية ستقدمها معاهدة بيجين</w:t>
            </w:r>
            <w:r w:rsidRPr="007E34E6">
              <w:rPr>
                <w:rFonts w:hint="cs"/>
                <w:b/>
                <w:rtl/>
                <w:lang w:val="it-IT"/>
              </w:rPr>
              <w:t xml:space="preserve"> لسنة </w:t>
            </w:r>
            <w:r w:rsidRPr="007E34E6">
              <w:rPr>
                <w:b/>
                <w:rtl/>
                <w:lang w:val="it-IT"/>
              </w:rPr>
              <w:t>2012 (</w:t>
            </w:r>
            <w:r w:rsidRPr="007E34E6">
              <w:rPr>
                <w:rFonts w:hint="cs"/>
                <w:b/>
                <w:rtl/>
                <w:lang w:val="it-IT"/>
              </w:rPr>
              <w:t xml:space="preserve">لم تدخل هذه </w:t>
            </w:r>
            <w:r w:rsidRPr="007E34E6">
              <w:rPr>
                <w:b/>
                <w:rtl/>
                <w:lang w:val="it-IT"/>
              </w:rPr>
              <w:t xml:space="preserve">المعاهدة </w:t>
            </w:r>
            <w:r w:rsidRPr="007E34E6">
              <w:rPr>
                <w:rFonts w:hint="cs"/>
                <w:b/>
                <w:rtl/>
                <w:lang w:val="it-IT"/>
              </w:rPr>
              <w:t>حيز النفاذ</w:t>
            </w:r>
            <w:r w:rsidRPr="007E34E6">
              <w:rPr>
                <w:b/>
                <w:rtl/>
                <w:lang w:val="it-IT"/>
              </w:rPr>
              <w:t xml:space="preserve"> بعد</w:t>
            </w:r>
            <w:r w:rsidRPr="007E34E6">
              <w:rPr>
                <w:rFonts w:hint="cs"/>
                <w:b/>
                <w:rtl/>
                <w:lang w:val="it-IT"/>
              </w:rPr>
              <w:t>)</w:t>
            </w:r>
          </w:p>
        </w:tc>
        <w:tc>
          <w:tcPr>
            <w:tcW w:w="3702" w:type="dxa"/>
          </w:tcPr>
          <w:p w14:paraId="072757A1" w14:textId="77777777" w:rsidR="007E34E6" w:rsidRPr="007E34E6" w:rsidRDefault="007E34E6" w:rsidP="00DE49AF">
            <w:pPr>
              <w:pStyle w:val="BodyText"/>
              <w:numPr>
                <w:ilvl w:val="0"/>
                <w:numId w:val="35"/>
              </w:numPr>
              <w:rPr>
                <w:lang w:bidi="ar-EG"/>
              </w:rPr>
            </w:pPr>
            <w:r w:rsidRPr="007E34E6">
              <w:rPr>
                <w:rtl/>
                <w:lang w:val="it-IT"/>
              </w:rPr>
              <w:t xml:space="preserve">مدة الحماية محددة بالنسبة للأداء المثبت </w:t>
            </w:r>
          </w:p>
        </w:tc>
        <w:tc>
          <w:tcPr>
            <w:tcW w:w="3702" w:type="dxa"/>
          </w:tcPr>
          <w:p w14:paraId="0B596766" w14:textId="77777777" w:rsidR="007E34E6" w:rsidRPr="007E34E6" w:rsidRDefault="007E34E6" w:rsidP="00DE49AF">
            <w:pPr>
              <w:pStyle w:val="BodyText"/>
              <w:numPr>
                <w:ilvl w:val="0"/>
                <w:numId w:val="35"/>
              </w:numPr>
              <w:rPr>
                <w:lang w:bidi="ar-EG"/>
              </w:rPr>
            </w:pPr>
            <w:r w:rsidRPr="007E34E6">
              <w:rPr>
                <w:rtl/>
                <w:lang w:val="it-IT"/>
              </w:rPr>
              <w:t>المواثيق وقواعد السلوك والعقود وغيرها من الأدوات العملية</w:t>
            </w:r>
          </w:p>
          <w:p w14:paraId="7FE07876" w14:textId="77777777" w:rsidR="007E34E6" w:rsidRPr="007E34E6" w:rsidRDefault="007E34E6" w:rsidP="00DE49AF">
            <w:pPr>
              <w:pStyle w:val="BodyText"/>
              <w:numPr>
                <w:ilvl w:val="0"/>
                <w:numId w:val="35"/>
              </w:numPr>
              <w:rPr>
                <w:lang w:bidi="ar-EG"/>
              </w:rPr>
            </w:pPr>
            <w:r w:rsidRPr="007E34E6">
              <w:rPr>
                <w:rtl/>
                <w:lang w:val="it-IT"/>
              </w:rPr>
              <w:t>قانون خاص قائم بذاته</w:t>
            </w:r>
          </w:p>
        </w:tc>
      </w:tr>
      <w:tr w:rsidR="007E34E6" w:rsidRPr="007E34E6" w14:paraId="7FAA319E" w14:textId="77777777" w:rsidTr="00DE49AF">
        <w:trPr>
          <w:trHeight w:val="2856"/>
        </w:trPr>
        <w:tc>
          <w:tcPr>
            <w:tcW w:w="2630" w:type="dxa"/>
          </w:tcPr>
          <w:p w14:paraId="2A16B9F2" w14:textId="77777777" w:rsidR="007E34E6" w:rsidRPr="007E34E6" w:rsidRDefault="007E34E6" w:rsidP="00DE49AF">
            <w:pPr>
              <w:pStyle w:val="BodyText"/>
              <w:rPr>
                <w:lang w:bidi="ar-EG"/>
              </w:rPr>
            </w:pPr>
            <w:r w:rsidRPr="007E34E6">
              <w:rPr>
                <w:rFonts w:hint="cs"/>
                <w:rtl/>
                <w:lang w:val="it-IT"/>
              </w:rPr>
              <w:t>التصاميم</w:t>
            </w:r>
          </w:p>
        </w:tc>
        <w:tc>
          <w:tcPr>
            <w:tcW w:w="3702" w:type="dxa"/>
          </w:tcPr>
          <w:p w14:paraId="44E84F15" w14:textId="77777777" w:rsidR="007E34E6" w:rsidRPr="007E34E6" w:rsidRDefault="007E34E6" w:rsidP="00DE49AF">
            <w:pPr>
              <w:pStyle w:val="BodyText"/>
              <w:numPr>
                <w:ilvl w:val="0"/>
                <w:numId w:val="35"/>
              </w:numPr>
              <w:rPr>
                <w:b/>
                <w:lang w:bidi="ar-EG"/>
              </w:rPr>
            </w:pPr>
            <w:r w:rsidRPr="007E34E6">
              <w:rPr>
                <w:b/>
                <w:rtl/>
                <w:lang w:val="it-IT"/>
              </w:rPr>
              <w:t xml:space="preserve">حماية </w:t>
            </w:r>
            <w:r w:rsidRPr="007E34E6">
              <w:rPr>
                <w:rFonts w:hint="cs"/>
                <w:b/>
                <w:rtl/>
                <w:lang w:val="it-IT"/>
              </w:rPr>
              <w:t>التصاميم</w:t>
            </w:r>
            <w:r w:rsidRPr="007E34E6">
              <w:rPr>
                <w:b/>
                <w:rtl/>
                <w:lang w:val="it-IT"/>
              </w:rPr>
              <w:t xml:space="preserve"> الصناعية للتصاميم المعاصرة</w:t>
            </w:r>
          </w:p>
          <w:p w14:paraId="1F2EAE20" w14:textId="77777777" w:rsidR="007E34E6" w:rsidRPr="007E34E6" w:rsidRDefault="007E34E6" w:rsidP="00DE49AF">
            <w:pPr>
              <w:pStyle w:val="BodyText"/>
              <w:numPr>
                <w:ilvl w:val="0"/>
                <w:numId w:val="35"/>
              </w:numPr>
              <w:rPr>
                <w:b/>
                <w:bCs/>
                <w:lang w:bidi="ar-EG"/>
              </w:rPr>
            </w:pPr>
            <w:r w:rsidRPr="007E34E6">
              <w:rPr>
                <w:b/>
                <w:rtl/>
                <w:lang w:val="it-IT"/>
              </w:rPr>
              <w:t xml:space="preserve">المجموعات وقواعد البيانات الخاصة </w:t>
            </w:r>
            <w:r w:rsidRPr="007E34E6">
              <w:rPr>
                <w:rFonts w:hint="cs"/>
                <w:b/>
                <w:rtl/>
                <w:lang w:val="it-IT"/>
              </w:rPr>
              <w:t>بالتصاميم</w:t>
            </w:r>
            <w:r w:rsidRPr="007E34E6">
              <w:rPr>
                <w:b/>
                <w:rtl/>
                <w:lang w:val="it-IT"/>
              </w:rPr>
              <w:t xml:space="preserve"> التقليدية</w:t>
            </w:r>
          </w:p>
        </w:tc>
        <w:tc>
          <w:tcPr>
            <w:tcW w:w="3702" w:type="dxa"/>
          </w:tcPr>
          <w:p w14:paraId="5CDABEC4" w14:textId="77777777" w:rsidR="007E34E6" w:rsidRPr="007E34E6" w:rsidRDefault="007E34E6" w:rsidP="00DE49AF">
            <w:pPr>
              <w:pStyle w:val="BodyText"/>
              <w:numPr>
                <w:ilvl w:val="0"/>
                <w:numId w:val="35"/>
              </w:numPr>
              <w:rPr>
                <w:b/>
                <w:lang w:bidi="ar-EG"/>
              </w:rPr>
            </w:pPr>
            <w:r w:rsidRPr="007E34E6">
              <w:rPr>
                <w:b/>
                <w:rtl/>
                <w:lang w:val="it-IT"/>
              </w:rPr>
              <w:t>التصاميم الموجودة من قبل ليست محمية</w:t>
            </w:r>
          </w:p>
          <w:p w14:paraId="4ED5476F" w14:textId="77777777" w:rsidR="007E34E6" w:rsidRPr="007E34E6" w:rsidRDefault="007E34E6" w:rsidP="00DE49AF">
            <w:pPr>
              <w:pStyle w:val="BodyText"/>
              <w:numPr>
                <w:ilvl w:val="0"/>
                <w:numId w:val="35"/>
              </w:numPr>
              <w:rPr>
                <w:b/>
                <w:lang w:bidi="ar-EG"/>
              </w:rPr>
            </w:pPr>
            <w:r w:rsidRPr="007E34E6">
              <w:rPr>
                <w:b/>
                <w:rtl/>
                <w:lang w:val="it-IT"/>
              </w:rPr>
              <w:t xml:space="preserve">مدة الحماية محددة للرسوم والنماذج </w:t>
            </w:r>
          </w:p>
          <w:p w14:paraId="67224C2E" w14:textId="77777777" w:rsidR="007E34E6" w:rsidRPr="007E34E6" w:rsidRDefault="007E34E6" w:rsidP="00DE49AF">
            <w:pPr>
              <w:pStyle w:val="BodyText"/>
              <w:numPr>
                <w:ilvl w:val="0"/>
                <w:numId w:val="35"/>
              </w:numPr>
              <w:rPr>
                <w:lang w:bidi="ar-EG"/>
              </w:rPr>
            </w:pPr>
            <w:r w:rsidRPr="007E34E6">
              <w:rPr>
                <w:b/>
                <w:rtl/>
                <w:lang w:val="it-IT"/>
              </w:rPr>
              <w:t>الشروط الشكلية</w:t>
            </w:r>
          </w:p>
        </w:tc>
        <w:tc>
          <w:tcPr>
            <w:tcW w:w="3702" w:type="dxa"/>
          </w:tcPr>
          <w:p w14:paraId="29D17F44" w14:textId="77777777" w:rsidR="007E34E6" w:rsidRPr="007E34E6" w:rsidRDefault="007E34E6" w:rsidP="00DE49AF">
            <w:pPr>
              <w:pStyle w:val="BodyText"/>
              <w:numPr>
                <w:ilvl w:val="0"/>
                <w:numId w:val="35"/>
              </w:numPr>
              <w:rPr>
                <w:b/>
                <w:lang w:bidi="ar-EG"/>
              </w:rPr>
            </w:pPr>
            <w:r w:rsidRPr="007E34E6">
              <w:rPr>
                <w:b/>
                <w:rtl/>
                <w:lang w:val="it-IT"/>
              </w:rPr>
              <w:t>استخدام مبادئ المنافسة غير المشروعة لمكافحة التملك غير المشروع للسمعة المرتبطة بأشكال التعبير الثقافي التقليدي ("النمط")</w:t>
            </w:r>
          </w:p>
          <w:p w14:paraId="650C2586" w14:textId="77777777" w:rsidR="007E34E6" w:rsidRPr="007E34E6" w:rsidRDefault="007E34E6" w:rsidP="00DE49AF">
            <w:pPr>
              <w:pStyle w:val="BodyText"/>
              <w:numPr>
                <w:ilvl w:val="0"/>
                <w:numId w:val="35"/>
              </w:numPr>
              <w:rPr>
                <w:b/>
                <w:lang w:bidi="ar-EG"/>
              </w:rPr>
            </w:pPr>
            <w:r w:rsidRPr="007E34E6">
              <w:rPr>
                <w:b/>
                <w:rtl/>
                <w:lang w:val="it-IT"/>
              </w:rPr>
              <w:t>المواثيق وقواعد السلوك والعقود وغيرها من الأدوات العملية</w:t>
            </w:r>
          </w:p>
          <w:p w14:paraId="1E086D02" w14:textId="77777777" w:rsidR="007E34E6" w:rsidRPr="007E34E6" w:rsidRDefault="007E34E6" w:rsidP="00DE49AF">
            <w:pPr>
              <w:pStyle w:val="BodyText"/>
              <w:numPr>
                <w:ilvl w:val="0"/>
                <w:numId w:val="35"/>
              </w:numPr>
              <w:rPr>
                <w:b/>
                <w:lang w:bidi="ar-EG"/>
              </w:rPr>
            </w:pPr>
            <w:r w:rsidRPr="007E34E6">
              <w:rPr>
                <w:b/>
                <w:rtl/>
                <w:lang w:val="it-IT"/>
              </w:rPr>
              <w:t>قانون خاص قائم بذاته</w:t>
            </w:r>
          </w:p>
          <w:p w14:paraId="444AABB6" w14:textId="77777777" w:rsidR="007E34E6" w:rsidRPr="007E34E6" w:rsidRDefault="007E34E6" w:rsidP="00DE49AF">
            <w:pPr>
              <w:pStyle w:val="BodyText"/>
              <w:numPr>
                <w:ilvl w:val="0"/>
                <w:numId w:val="35"/>
              </w:numPr>
              <w:rPr>
                <w:b/>
                <w:lang w:bidi="ar-EG"/>
              </w:rPr>
            </w:pPr>
            <w:r w:rsidRPr="007E34E6">
              <w:rPr>
                <w:b/>
                <w:rtl/>
                <w:lang w:val="it-IT"/>
              </w:rPr>
              <w:t>السجلات وقواعد البيانات</w:t>
            </w:r>
          </w:p>
        </w:tc>
      </w:tr>
    </w:tbl>
    <w:p w14:paraId="28D947E5" w14:textId="6C9DF0A5" w:rsidR="00F27241" w:rsidRDefault="00F27241" w:rsidP="007E34E6">
      <w:pPr>
        <w:pStyle w:val="BodyText"/>
        <w:rPr>
          <w:rtl/>
          <w:lang w:val="it-IT" w:bidi="ar-EG"/>
        </w:rPr>
      </w:pPr>
      <w:r>
        <w:rPr>
          <w:rtl/>
          <w:lang w:val="it-IT" w:bidi="ar-EG"/>
        </w:rPr>
        <w:br w:type="page"/>
      </w:r>
    </w:p>
    <w:p w14:paraId="0225D5EB" w14:textId="347A9EA8" w:rsidR="00F27241" w:rsidRDefault="00F27241" w:rsidP="007E34E6">
      <w:pPr>
        <w:pStyle w:val="BodyText"/>
        <w:rPr>
          <w:lang w:val="it-IT" w:bidi="ar-EG"/>
        </w:rPr>
      </w:pPr>
    </w:p>
    <w:p w14:paraId="5F2571E4" w14:textId="77777777" w:rsidR="00F27241" w:rsidRPr="007E34E6" w:rsidRDefault="00F27241" w:rsidP="007E34E6">
      <w:pPr>
        <w:pStyle w:val="BodyText"/>
        <w:rPr>
          <w:rtl/>
          <w:lang w:val="it-IT" w:bidi="ar-EG"/>
        </w:rPr>
      </w:pPr>
    </w:p>
    <w:tbl>
      <w:tblPr>
        <w:tblStyle w:val="Grilledutableau4"/>
        <w:bidiVisual/>
        <w:tblW w:w="0" w:type="auto"/>
        <w:tblInd w:w="646" w:type="dxa"/>
        <w:tblLook w:val="04A0" w:firstRow="1" w:lastRow="0" w:firstColumn="1" w:lastColumn="0" w:noHBand="0" w:noVBand="1"/>
      </w:tblPr>
      <w:tblGrid>
        <w:gridCol w:w="3055"/>
        <w:gridCol w:w="3702"/>
        <w:gridCol w:w="3702"/>
        <w:gridCol w:w="3702"/>
      </w:tblGrid>
      <w:tr w:rsidR="007E34E6" w:rsidRPr="007E34E6" w14:paraId="62EEB630" w14:textId="77777777" w:rsidTr="006A772A">
        <w:trPr>
          <w:trHeight w:val="266"/>
        </w:trPr>
        <w:tc>
          <w:tcPr>
            <w:tcW w:w="3055" w:type="dxa"/>
          </w:tcPr>
          <w:p w14:paraId="6A8F1A4A" w14:textId="77777777" w:rsidR="007E34E6" w:rsidRPr="007E34E6" w:rsidRDefault="007E34E6" w:rsidP="007E34E6">
            <w:pPr>
              <w:pStyle w:val="BodyText"/>
              <w:rPr>
                <w:lang w:bidi="ar-EG"/>
              </w:rPr>
            </w:pPr>
            <w:r w:rsidRPr="007E34E6">
              <w:rPr>
                <w:b/>
                <w:bCs/>
                <w:rtl/>
                <w:lang w:val="it-IT"/>
              </w:rPr>
              <w:t>الحماية المرغوب فيها</w:t>
            </w:r>
          </w:p>
        </w:tc>
        <w:tc>
          <w:tcPr>
            <w:tcW w:w="3702" w:type="dxa"/>
          </w:tcPr>
          <w:p w14:paraId="0EF0880A" w14:textId="77777777" w:rsidR="007E34E6" w:rsidRPr="007E34E6" w:rsidRDefault="007E34E6" w:rsidP="007E34E6">
            <w:pPr>
              <w:pStyle w:val="BodyText"/>
              <w:rPr>
                <w:lang w:bidi="ar-EG"/>
              </w:rPr>
            </w:pPr>
            <w:r w:rsidRPr="007E34E6">
              <w:rPr>
                <w:b/>
                <w:bCs/>
                <w:rtl/>
                <w:lang w:val="it-IT"/>
              </w:rPr>
              <w:t>ألف. الحماية الحالية</w:t>
            </w:r>
          </w:p>
        </w:tc>
        <w:tc>
          <w:tcPr>
            <w:tcW w:w="3702" w:type="dxa"/>
          </w:tcPr>
          <w:p w14:paraId="3C9FA47A" w14:textId="77777777" w:rsidR="007E34E6" w:rsidRPr="007E34E6" w:rsidRDefault="007E34E6" w:rsidP="007E34E6">
            <w:pPr>
              <w:pStyle w:val="BodyText"/>
              <w:rPr>
                <w:b/>
                <w:bCs/>
                <w:i/>
                <w:iCs/>
                <w:rtl/>
                <w:lang w:val="it-IT"/>
              </w:rPr>
            </w:pPr>
            <w:r w:rsidRPr="007E34E6">
              <w:rPr>
                <w:b/>
                <w:bCs/>
                <w:rtl/>
                <w:lang w:val="it-IT"/>
              </w:rPr>
              <w:t>باء. الثغرات</w:t>
            </w:r>
          </w:p>
        </w:tc>
        <w:tc>
          <w:tcPr>
            <w:tcW w:w="3702" w:type="dxa"/>
          </w:tcPr>
          <w:p w14:paraId="5375A2AD" w14:textId="77777777" w:rsidR="007E34E6" w:rsidRPr="007E34E6" w:rsidRDefault="007E34E6" w:rsidP="007E34E6">
            <w:pPr>
              <w:pStyle w:val="BodyText"/>
              <w:rPr>
                <w:b/>
                <w:bCs/>
                <w:lang w:bidi="ar-EG"/>
              </w:rPr>
            </w:pPr>
            <w:r w:rsidRPr="007E34E6">
              <w:rPr>
                <w:b/>
                <w:bCs/>
                <w:rtl/>
                <w:lang w:val="it-IT"/>
              </w:rPr>
              <w:t>دال. الخيارات</w:t>
            </w:r>
          </w:p>
        </w:tc>
      </w:tr>
      <w:tr w:rsidR="007E34E6" w:rsidRPr="007E34E6" w14:paraId="074C7937" w14:textId="77777777" w:rsidTr="006A772A">
        <w:trPr>
          <w:trHeight w:val="2784"/>
        </w:trPr>
        <w:tc>
          <w:tcPr>
            <w:tcW w:w="3055" w:type="dxa"/>
          </w:tcPr>
          <w:p w14:paraId="7AD04C7D" w14:textId="77777777" w:rsidR="007E34E6" w:rsidRPr="007E34E6" w:rsidRDefault="007E34E6" w:rsidP="007E34E6">
            <w:pPr>
              <w:pStyle w:val="BodyText"/>
              <w:rPr>
                <w:lang w:bidi="ar-EG"/>
              </w:rPr>
            </w:pPr>
          </w:p>
          <w:p w14:paraId="24135DAF" w14:textId="77777777" w:rsidR="007E34E6" w:rsidRPr="007E34E6" w:rsidRDefault="007E34E6" w:rsidP="007E34E6">
            <w:pPr>
              <w:pStyle w:val="BodyText"/>
              <w:rPr>
                <w:lang w:bidi="ar-EG"/>
              </w:rPr>
            </w:pPr>
            <w:r w:rsidRPr="007E34E6">
              <w:rPr>
                <w:rtl/>
                <w:lang w:val="it-IT"/>
              </w:rPr>
              <w:t xml:space="preserve">أشكال التعبير الثقافي التقليدي السرية </w:t>
            </w:r>
          </w:p>
          <w:p w14:paraId="15FDC93C" w14:textId="77777777" w:rsidR="007E34E6" w:rsidRPr="007E34E6" w:rsidRDefault="007E34E6" w:rsidP="007E34E6">
            <w:pPr>
              <w:pStyle w:val="BodyText"/>
              <w:rPr>
                <w:lang w:bidi="ar-EG"/>
              </w:rPr>
            </w:pPr>
          </w:p>
          <w:p w14:paraId="441DC14A" w14:textId="77777777" w:rsidR="007E34E6" w:rsidRPr="007E34E6" w:rsidRDefault="007E34E6" w:rsidP="007E34E6">
            <w:pPr>
              <w:pStyle w:val="BodyText"/>
              <w:rPr>
                <w:lang w:bidi="ar-EG"/>
              </w:rPr>
            </w:pPr>
          </w:p>
          <w:p w14:paraId="448CFA17" w14:textId="77777777" w:rsidR="007E34E6" w:rsidRPr="007E34E6" w:rsidRDefault="007E34E6" w:rsidP="007E34E6">
            <w:pPr>
              <w:pStyle w:val="BodyText"/>
              <w:rPr>
                <w:lang w:bidi="ar-EG"/>
              </w:rPr>
            </w:pPr>
          </w:p>
        </w:tc>
        <w:tc>
          <w:tcPr>
            <w:tcW w:w="3702" w:type="dxa"/>
          </w:tcPr>
          <w:p w14:paraId="6F6325C2" w14:textId="77777777" w:rsidR="007E34E6" w:rsidRPr="007E34E6" w:rsidRDefault="007E34E6" w:rsidP="007E34E6">
            <w:pPr>
              <w:pStyle w:val="BodyText"/>
              <w:numPr>
                <w:ilvl w:val="0"/>
                <w:numId w:val="35"/>
              </w:numPr>
              <w:rPr>
                <w:lang w:bidi="ar-EG"/>
              </w:rPr>
            </w:pPr>
            <w:r w:rsidRPr="007E34E6">
              <w:rPr>
                <w:rFonts w:hint="cs"/>
                <w:rtl/>
                <w:lang w:val="it-IT"/>
              </w:rPr>
              <w:t xml:space="preserve">أحكام في اتفاق </w:t>
            </w:r>
            <w:proofErr w:type="spellStart"/>
            <w:r w:rsidRPr="007E34E6">
              <w:rPr>
                <w:rFonts w:hint="cs"/>
                <w:rtl/>
                <w:lang w:val="it-IT"/>
              </w:rPr>
              <w:t>تريبس</w:t>
            </w:r>
            <w:proofErr w:type="spellEnd"/>
            <w:r w:rsidRPr="007E34E6">
              <w:rPr>
                <w:rFonts w:hint="cs"/>
                <w:rtl/>
                <w:lang w:val="it-IT"/>
              </w:rPr>
              <w:t xml:space="preserve"> واتفاقية باريس للحماية من المنافسة غير المشروعة </w:t>
            </w:r>
            <w:r w:rsidRPr="007E34E6">
              <w:rPr>
                <w:rtl/>
                <w:lang w:val="it-IT"/>
              </w:rPr>
              <w:t>و</w:t>
            </w:r>
            <w:r w:rsidRPr="007E34E6">
              <w:rPr>
                <w:rFonts w:hint="cs"/>
                <w:rtl/>
                <w:lang w:val="it-IT"/>
              </w:rPr>
              <w:t xml:space="preserve">حماية </w:t>
            </w:r>
            <w:r w:rsidRPr="007E34E6">
              <w:rPr>
                <w:rtl/>
                <w:lang w:val="it-IT"/>
              </w:rPr>
              <w:t>المعلومات غير المكشوف عنها</w:t>
            </w:r>
          </w:p>
          <w:p w14:paraId="49AC88C6" w14:textId="77777777" w:rsidR="007E34E6" w:rsidRPr="007E34E6" w:rsidRDefault="007E34E6" w:rsidP="007E34E6">
            <w:pPr>
              <w:pStyle w:val="BodyText"/>
              <w:numPr>
                <w:ilvl w:val="0"/>
                <w:numId w:val="35"/>
              </w:numPr>
              <w:rPr>
                <w:b/>
                <w:bCs/>
                <w:lang w:bidi="ar-EG"/>
              </w:rPr>
            </w:pPr>
            <w:r w:rsidRPr="007E34E6">
              <w:rPr>
                <w:rFonts w:hint="cs"/>
                <w:rtl/>
                <w:lang w:val="it-IT"/>
              </w:rPr>
              <w:t>حماية المعلومات السرية بموجب قانون السوابق</w:t>
            </w:r>
          </w:p>
        </w:tc>
        <w:tc>
          <w:tcPr>
            <w:tcW w:w="3702" w:type="dxa"/>
          </w:tcPr>
          <w:p w14:paraId="7B07F329" w14:textId="77777777" w:rsidR="007E34E6" w:rsidRPr="007E34E6" w:rsidRDefault="007E34E6" w:rsidP="007E34E6">
            <w:pPr>
              <w:pStyle w:val="BodyText"/>
              <w:numPr>
                <w:ilvl w:val="0"/>
                <w:numId w:val="35"/>
              </w:numPr>
              <w:rPr>
                <w:lang w:bidi="ar-EG"/>
              </w:rPr>
            </w:pPr>
            <w:r w:rsidRPr="007E34E6">
              <w:rPr>
                <w:rtl/>
                <w:lang w:val="it-IT"/>
              </w:rPr>
              <w:t>تنطبق أحكام المنافسة غير المشروعة بالأساس على المعلومات الصناعية والتجارية</w:t>
            </w:r>
          </w:p>
          <w:p w14:paraId="7B0866EC" w14:textId="77777777" w:rsidR="007E34E6" w:rsidRPr="007E34E6" w:rsidRDefault="007E34E6" w:rsidP="007E34E6">
            <w:pPr>
              <w:pStyle w:val="BodyText"/>
              <w:numPr>
                <w:ilvl w:val="0"/>
                <w:numId w:val="35"/>
              </w:numPr>
              <w:rPr>
                <w:lang w:bidi="ar-EG"/>
              </w:rPr>
            </w:pPr>
            <w:r w:rsidRPr="007E34E6">
              <w:rPr>
                <w:rtl/>
                <w:lang w:val="it-IT"/>
              </w:rPr>
              <w:t>تعريف عبارة "غير المكشوف عنها" وعبارة "السرية"</w:t>
            </w:r>
          </w:p>
        </w:tc>
        <w:tc>
          <w:tcPr>
            <w:tcW w:w="3702" w:type="dxa"/>
          </w:tcPr>
          <w:p w14:paraId="11F216DE" w14:textId="18AC481C" w:rsidR="007E34E6" w:rsidRPr="00A506A6" w:rsidRDefault="007E34E6" w:rsidP="00A506A6">
            <w:pPr>
              <w:pStyle w:val="BodyText"/>
              <w:numPr>
                <w:ilvl w:val="0"/>
                <w:numId w:val="35"/>
              </w:numPr>
              <w:rPr>
                <w:rtl/>
                <w:lang w:bidi="ar-EG"/>
              </w:rPr>
            </w:pPr>
            <w:r w:rsidRPr="007E34E6">
              <w:rPr>
                <w:rtl/>
                <w:lang w:val="it-IT"/>
              </w:rPr>
              <w:t>الوعد الملزم</w:t>
            </w:r>
          </w:p>
          <w:p w14:paraId="0F63F5C1" w14:textId="77777777" w:rsidR="007E34E6" w:rsidRPr="007E34E6" w:rsidRDefault="007E34E6" w:rsidP="007E34E6">
            <w:pPr>
              <w:pStyle w:val="BodyText"/>
              <w:numPr>
                <w:ilvl w:val="0"/>
                <w:numId w:val="35"/>
              </w:numPr>
              <w:rPr>
                <w:lang w:bidi="ar-EG"/>
              </w:rPr>
            </w:pPr>
            <w:r w:rsidRPr="007E34E6">
              <w:rPr>
                <w:rtl/>
                <w:lang w:val="it-IT"/>
              </w:rPr>
              <w:t>المواثيق وقواعد السلوك والعقود وغيرها من الأدوات العملية</w:t>
            </w:r>
          </w:p>
          <w:p w14:paraId="08D79BF2" w14:textId="77777777" w:rsidR="007E34E6" w:rsidRPr="007E34E6" w:rsidRDefault="007E34E6" w:rsidP="007E34E6">
            <w:pPr>
              <w:pStyle w:val="BodyText"/>
              <w:numPr>
                <w:ilvl w:val="0"/>
                <w:numId w:val="35"/>
              </w:numPr>
              <w:rPr>
                <w:lang w:bidi="ar-EG"/>
              </w:rPr>
            </w:pPr>
            <w:r w:rsidRPr="007E34E6">
              <w:rPr>
                <w:rtl/>
                <w:lang w:val="it-IT"/>
              </w:rPr>
              <w:t>قانون خاص قائم بذاته</w:t>
            </w:r>
          </w:p>
          <w:p w14:paraId="52865A8B" w14:textId="77777777" w:rsidR="007E34E6" w:rsidRPr="007E34E6" w:rsidRDefault="007E34E6" w:rsidP="007E34E6">
            <w:pPr>
              <w:pStyle w:val="BodyText"/>
              <w:numPr>
                <w:ilvl w:val="0"/>
                <w:numId w:val="35"/>
              </w:numPr>
              <w:rPr>
                <w:lang w:bidi="ar-EG"/>
              </w:rPr>
            </w:pPr>
            <w:r w:rsidRPr="007E34E6">
              <w:rPr>
                <w:rtl/>
                <w:lang w:val="it-IT"/>
              </w:rPr>
              <w:t>السجلات وقواعد البيانات</w:t>
            </w:r>
          </w:p>
        </w:tc>
      </w:tr>
      <w:tr w:rsidR="007E34E6" w:rsidRPr="007E34E6" w14:paraId="11220666" w14:textId="77777777" w:rsidTr="006A772A">
        <w:trPr>
          <w:trHeight w:val="4125"/>
        </w:trPr>
        <w:tc>
          <w:tcPr>
            <w:tcW w:w="3055" w:type="dxa"/>
          </w:tcPr>
          <w:p w14:paraId="1BD2E9FB" w14:textId="77777777" w:rsidR="007E34E6" w:rsidRPr="007E34E6" w:rsidRDefault="007E34E6" w:rsidP="007E34E6">
            <w:pPr>
              <w:pStyle w:val="BodyText"/>
              <w:rPr>
                <w:rtl/>
                <w:lang w:val="it-IT"/>
              </w:rPr>
            </w:pPr>
            <w:r w:rsidRPr="007E34E6">
              <w:rPr>
                <w:rFonts w:hint="cs"/>
                <w:rtl/>
                <w:lang w:val="it-IT"/>
              </w:rPr>
              <w:t>الأسماء والكلمات والرموز الأصلية والتقليدية</w:t>
            </w:r>
          </w:p>
        </w:tc>
        <w:tc>
          <w:tcPr>
            <w:tcW w:w="3702" w:type="dxa"/>
          </w:tcPr>
          <w:p w14:paraId="0567021A" w14:textId="77777777" w:rsidR="007E34E6" w:rsidRPr="007E34E6" w:rsidRDefault="007E34E6" w:rsidP="007E34E6">
            <w:pPr>
              <w:pStyle w:val="BodyText"/>
              <w:numPr>
                <w:ilvl w:val="0"/>
                <w:numId w:val="35"/>
              </w:numPr>
              <w:rPr>
                <w:lang w:bidi="ar-EG"/>
              </w:rPr>
            </w:pPr>
            <w:r w:rsidRPr="007E34E6">
              <w:rPr>
                <w:rFonts w:hint="cs"/>
                <w:rtl/>
                <w:lang w:val="it-IT"/>
              </w:rPr>
              <w:t>الحماية الدفاعية - الأحكام المتعلقة بالحماية من المنافسة غير المشروعة والحماية من العلامات ال</w:t>
            </w:r>
            <w:r w:rsidRPr="007E34E6">
              <w:rPr>
                <w:rtl/>
                <w:lang w:val="it-IT"/>
              </w:rPr>
              <w:t xml:space="preserve">مخالفة للآداب أو النظام العام </w:t>
            </w:r>
            <w:r w:rsidRPr="007E34E6">
              <w:rPr>
                <w:rFonts w:hint="cs"/>
                <w:rtl/>
                <w:lang w:val="it-IT"/>
              </w:rPr>
              <w:t>ومن ال</w:t>
            </w:r>
            <w:r w:rsidRPr="007E34E6">
              <w:rPr>
                <w:rtl/>
                <w:lang w:val="it-IT"/>
              </w:rPr>
              <w:t>تضليل</w:t>
            </w:r>
          </w:p>
          <w:p w14:paraId="5BC85099" w14:textId="77777777" w:rsidR="007E34E6" w:rsidRPr="007E34E6" w:rsidRDefault="007E34E6" w:rsidP="007E34E6">
            <w:pPr>
              <w:pStyle w:val="BodyText"/>
              <w:numPr>
                <w:ilvl w:val="0"/>
                <w:numId w:val="35"/>
              </w:numPr>
              <w:rPr>
                <w:rtl/>
                <w:lang w:val="it-IT"/>
              </w:rPr>
            </w:pPr>
            <w:r w:rsidRPr="007E34E6">
              <w:rPr>
                <w:rFonts w:hint="cs"/>
                <w:rtl/>
                <w:lang w:val="it-IT"/>
              </w:rPr>
              <w:t>الحماية الموجبة - استخدام قوانين العلامات التجارية</w:t>
            </w:r>
          </w:p>
        </w:tc>
        <w:tc>
          <w:tcPr>
            <w:tcW w:w="3702" w:type="dxa"/>
          </w:tcPr>
          <w:p w14:paraId="2EC8DD6B" w14:textId="77777777" w:rsidR="007E34E6" w:rsidRPr="007E34E6" w:rsidRDefault="007E34E6" w:rsidP="007E34E6">
            <w:pPr>
              <w:pStyle w:val="BodyText"/>
              <w:numPr>
                <w:ilvl w:val="0"/>
                <w:numId w:val="35"/>
              </w:numPr>
              <w:rPr>
                <w:rtl/>
                <w:lang w:val="it-IT"/>
              </w:rPr>
            </w:pPr>
            <w:r w:rsidRPr="007E34E6">
              <w:rPr>
                <w:rFonts w:hint="cs"/>
                <w:rtl/>
                <w:lang w:val="it-IT"/>
              </w:rPr>
              <w:t>يُحكم أساسا على مفهوم "</w:t>
            </w:r>
            <w:r w:rsidRPr="007E34E6">
              <w:rPr>
                <w:rtl/>
                <w:lang w:val="it-IT"/>
              </w:rPr>
              <w:t>مخالفة للآداب</w:t>
            </w:r>
            <w:r w:rsidRPr="007E34E6">
              <w:rPr>
                <w:rFonts w:hint="cs"/>
                <w:rtl/>
                <w:lang w:val="it-IT"/>
              </w:rPr>
              <w:t>" ومفهوم "</w:t>
            </w:r>
            <w:r w:rsidRPr="007E34E6">
              <w:rPr>
                <w:rtl/>
                <w:lang w:val="it-IT"/>
              </w:rPr>
              <w:t xml:space="preserve">مخالفة </w:t>
            </w:r>
            <w:r w:rsidRPr="007E34E6">
              <w:rPr>
                <w:rFonts w:hint="cs"/>
                <w:rtl/>
                <w:lang w:val="it-IT"/>
              </w:rPr>
              <w:t>ل</w:t>
            </w:r>
            <w:r w:rsidRPr="007E34E6">
              <w:rPr>
                <w:rtl/>
                <w:lang w:val="it-IT"/>
              </w:rPr>
              <w:t>لنظام العام</w:t>
            </w:r>
            <w:r w:rsidRPr="007E34E6">
              <w:rPr>
                <w:rFonts w:hint="cs"/>
                <w:rtl/>
                <w:lang w:val="it-IT"/>
              </w:rPr>
              <w:t xml:space="preserve">" من منظور الجمهور العام وليس المفهومان مصممين بالضرورة من أجل أشكال التعبير الثقافي التقليدي </w:t>
            </w:r>
          </w:p>
        </w:tc>
        <w:tc>
          <w:tcPr>
            <w:tcW w:w="3702" w:type="dxa"/>
          </w:tcPr>
          <w:p w14:paraId="6AE3118F" w14:textId="77777777" w:rsidR="007E34E6" w:rsidRPr="007E34E6" w:rsidRDefault="007E34E6" w:rsidP="007E34E6">
            <w:pPr>
              <w:pStyle w:val="BodyText"/>
              <w:numPr>
                <w:ilvl w:val="0"/>
                <w:numId w:val="35"/>
              </w:numPr>
              <w:rPr>
                <w:lang w:bidi="ar-EG"/>
              </w:rPr>
            </w:pPr>
            <w:r w:rsidRPr="007E34E6">
              <w:rPr>
                <w:rFonts w:hint="cs"/>
                <w:rtl/>
                <w:lang w:val="it-IT"/>
              </w:rPr>
              <w:t xml:space="preserve">أحكام "خاصة" في القوانين الوطنية للعلامات التجارية (نيوزيلندا، </w:t>
            </w:r>
            <w:r w:rsidRPr="007E34E6">
              <w:rPr>
                <w:rtl/>
                <w:lang w:val="it-IT"/>
              </w:rPr>
              <w:t xml:space="preserve">جماعة </w:t>
            </w:r>
            <w:r w:rsidRPr="007E34E6">
              <w:rPr>
                <w:rFonts w:hint="cs"/>
                <w:rtl/>
                <w:lang w:val="it-IT"/>
              </w:rPr>
              <w:t>البلدان</w:t>
            </w:r>
            <w:r w:rsidRPr="007E34E6">
              <w:rPr>
                <w:rtl/>
                <w:lang w:val="it-IT"/>
              </w:rPr>
              <w:t xml:space="preserve"> الأندية</w:t>
            </w:r>
            <w:r w:rsidRPr="007E34E6">
              <w:rPr>
                <w:rFonts w:hint="cs"/>
                <w:rtl/>
                <w:lang w:val="it-IT"/>
              </w:rPr>
              <w:t>، الولايات المتحدة الأمريكية)</w:t>
            </w:r>
          </w:p>
          <w:p w14:paraId="242583ED" w14:textId="77777777" w:rsidR="007E34E6" w:rsidRPr="007E34E6" w:rsidRDefault="007E34E6" w:rsidP="007E34E6">
            <w:pPr>
              <w:pStyle w:val="BodyText"/>
              <w:numPr>
                <w:ilvl w:val="0"/>
                <w:numId w:val="35"/>
              </w:numPr>
              <w:rPr>
                <w:lang w:bidi="ar-EG"/>
              </w:rPr>
            </w:pPr>
            <w:r w:rsidRPr="007E34E6">
              <w:rPr>
                <w:rFonts w:hint="cs"/>
                <w:rtl/>
                <w:lang w:val="it-IT"/>
              </w:rPr>
              <w:t>المواثيق وقواعد السلوك والعقود وغيرها من الأدوات العملية</w:t>
            </w:r>
          </w:p>
          <w:p w14:paraId="4E42E101" w14:textId="77777777" w:rsidR="007E34E6" w:rsidRPr="007E34E6" w:rsidRDefault="007E34E6" w:rsidP="007E34E6">
            <w:pPr>
              <w:pStyle w:val="BodyText"/>
              <w:numPr>
                <w:ilvl w:val="0"/>
                <w:numId w:val="35"/>
              </w:numPr>
              <w:rPr>
                <w:lang w:bidi="ar-EG"/>
              </w:rPr>
            </w:pPr>
            <w:r w:rsidRPr="007E34E6">
              <w:rPr>
                <w:rFonts w:hint="cs"/>
                <w:rtl/>
                <w:lang w:val="it-IT"/>
              </w:rPr>
              <w:t>قانون خاص قائم بذاته</w:t>
            </w:r>
          </w:p>
          <w:p w14:paraId="76BECF42" w14:textId="77777777" w:rsidR="007E34E6" w:rsidRPr="007E34E6" w:rsidRDefault="007E34E6" w:rsidP="007E34E6">
            <w:pPr>
              <w:pStyle w:val="BodyText"/>
              <w:numPr>
                <w:ilvl w:val="0"/>
                <w:numId w:val="35"/>
              </w:numPr>
              <w:rPr>
                <w:rtl/>
                <w:lang w:val="it-IT"/>
              </w:rPr>
            </w:pPr>
            <w:r w:rsidRPr="007E34E6">
              <w:rPr>
                <w:rFonts w:hint="cs"/>
                <w:rtl/>
                <w:lang w:val="it-IT"/>
              </w:rPr>
              <w:t>السجلات وقواعد البيانات</w:t>
            </w:r>
          </w:p>
        </w:tc>
      </w:tr>
    </w:tbl>
    <w:p w14:paraId="615C2E6D" w14:textId="77777777" w:rsidR="007E34E6" w:rsidRPr="007E34E6" w:rsidRDefault="007E34E6" w:rsidP="007E34E6">
      <w:pPr>
        <w:pStyle w:val="BodyText"/>
        <w:rPr>
          <w:rtl/>
          <w:lang w:val="it-IT" w:bidi="ar-EG"/>
        </w:rPr>
      </w:pPr>
    </w:p>
    <w:p w14:paraId="286DEE5B" w14:textId="77777777" w:rsidR="007E34E6" w:rsidRPr="007E34E6" w:rsidRDefault="007E34E6" w:rsidP="007E34E6">
      <w:pPr>
        <w:pStyle w:val="BodyText"/>
        <w:rPr>
          <w:lang w:bidi="ar-EG"/>
        </w:rPr>
      </w:pPr>
    </w:p>
    <w:p w14:paraId="1C5DDBF9" w14:textId="1237FA79" w:rsidR="007E34E6" w:rsidRPr="007E34E6" w:rsidRDefault="007E34E6" w:rsidP="007E34E6">
      <w:pPr>
        <w:pStyle w:val="BodyText"/>
        <w:rPr>
          <w:rtl/>
          <w:lang w:val="it-IT"/>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69"/>
      </w:tblGrid>
      <w:tr w:rsidR="007E34E6" w:rsidRPr="007E34E6" w14:paraId="5F5B7EEA" w14:textId="77777777" w:rsidTr="00FB4407">
        <w:trPr>
          <w:jc w:val="center"/>
        </w:trPr>
        <w:tc>
          <w:tcPr>
            <w:tcW w:w="11369" w:type="dxa"/>
          </w:tcPr>
          <w:p w14:paraId="57CC9ACD" w14:textId="77777777" w:rsidR="007E34E6" w:rsidRPr="007E34E6" w:rsidRDefault="007E34E6" w:rsidP="00A506A6">
            <w:pPr>
              <w:pStyle w:val="BodyText"/>
              <w:rPr>
                <w:b/>
                <w:bCs/>
                <w:lang w:bidi="ar-EG"/>
              </w:rPr>
            </w:pPr>
            <w:r w:rsidRPr="007E34E6">
              <w:rPr>
                <w:rFonts w:hint="cs"/>
                <w:b/>
                <w:bCs/>
                <w:rtl/>
                <w:lang w:val="it-IT"/>
              </w:rPr>
              <w:t>جيم. الاعتبارات المناسبة</w:t>
            </w:r>
          </w:p>
        </w:tc>
      </w:tr>
      <w:tr w:rsidR="007E34E6" w:rsidRPr="007E34E6" w14:paraId="39FBED82" w14:textId="77777777" w:rsidTr="00FB4407">
        <w:trPr>
          <w:jc w:val="center"/>
        </w:trPr>
        <w:tc>
          <w:tcPr>
            <w:tcW w:w="11369" w:type="dxa"/>
          </w:tcPr>
          <w:p w14:paraId="5420CC0B" w14:textId="77777777" w:rsidR="007E34E6" w:rsidRPr="007E34E6" w:rsidRDefault="007E34E6" w:rsidP="00A506A6">
            <w:pPr>
              <w:pStyle w:val="BodyText"/>
              <w:numPr>
                <w:ilvl w:val="0"/>
                <w:numId w:val="36"/>
              </w:numPr>
              <w:rPr>
                <w:lang w:bidi="ar-EG"/>
              </w:rPr>
            </w:pPr>
            <w:r w:rsidRPr="007E34E6">
              <w:rPr>
                <w:rFonts w:hint="cs"/>
                <w:rtl/>
                <w:lang w:val="it-IT" w:bidi="ar-EG"/>
              </w:rPr>
              <w:t xml:space="preserve">المستوى الذي </w:t>
            </w:r>
            <w:r w:rsidRPr="007E34E6">
              <w:rPr>
                <w:rFonts w:hint="cs"/>
                <w:rtl/>
                <w:lang w:val="it-IT"/>
              </w:rPr>
              <w:t>يمكن أو ينبغي معالجة ثغرة عليه (المستويات الدولية أو الإقليمية أو الوطنية أو المحلية أو تشكيلة منها</w:t>
            </w:r>
          </w:p>
          <w:p w14:paraId="0940B790" w14:textId="77777777" w:rsidR="007E34E6" w:rsidRPr="007E34E6" w:rsidRDefault="007E34E6" w:rsidP="00A506A6">
            <w:pPr>
              <w:pStyle w:val="BodyText"/>
              <w:numPr>
                <w:ilvl w:val="0"/>
                <w:numId w:val="36"/>
              </w:numPr>
              <w:rPr>
                <w:lang w:bidi="ar-EG"/>
              </w:rPr>
            </w:pPr>
            <w:r w:rsidRPr="007E34E6">
              <w:rPr>
                <w:rFonts w:hint="cs"/>
                <w:rtl/>
                <w:lang w:val="it-IT"/>
              </w:rPr>
              <w:t>اختيار التدابير التي ينبغي استخدامها لمعالجة الثغرات (الإجراءات التشريعية، وضع أدوات عملية، تكوين الكفاءات)</w:t>
            </w:r>
          </w:p>
          <w:p w14:paraId="12CEC291" w14:textId="77777777" w:rsidR="007E34E6" w:rsidRPr="007E34E6" w:rsidRDefault="007E34E6" w:rsidP="00A506A6">
            <w:pPr>
              <w:pStyle w:val="BodyText"/>
              <w:numPr>
                <w:ilvl w:val="0"/>
                <w:numId w:val="36"/>
              </w:numPr>
              <w:rPr>
                <w:lang w:bidi="ar-EG"/>
              </w:rPr>
            </w:pPr>
            <w:r w:rsidRPr="007E34E6">
              <w:rPr>
                <w:rFonts w:hint="cs"/>
                <w:rtl/>
                <w:lang w:val="it-IT"/>
              </w:rPr>
              <w:t>المستوى الذي وصلت إليه مناقشة موضوع حماية أشكال التعبير الثقافي التقليدي في منتديات دولية أخرى ومدى حماية أشكال التعبير الثقافي التقليدي حاليا بموجب صكوك قانونية في مجالات أخرى من مجالات السياسة العامة</w:t>
            </w:r>
          </w:p>
          <w:p w14:paraId="210AF172" w14:textId="77777777" w:rsidR="007E34E6" w:rsidRPr="007E34E6" w:rsidRDefault="007E34E6" w:rsidP="00A506A6">
            <w:pPr>
              <w:pStyle w:val="BodyText"/>
              <w:numPr>
                <w:ilvl w:val="0"/>
                <w:numId w:val="36"/>
              </w:numPr>
              <w:rPr>
                <w:lang w:bidi="ar-EG"/>
              </w:rPr>
            </w:pPr>
            <w:r w:rsidRPr="007E34E6">
              <w:rPr>
                <w:rFonts w:hint="cs"/>
                <w:rtl/>
                <w:lang w:val="it-IT"/>
              </w:rPr>
              <w:t>الانعكاسات السياسية</w:t>
            </w:r>
          </w:p>
          <w:p w14:paraId="3BDD61CE" w14:textId="77777777" w:rsidR="007E34E6" w:rsidRPr="007E34E6" w:rsidRDefault="007E34E6" w:rsidP="00A506A6">
            <w:pPr>
              <w:pStyle w:val="BodyText"/>
              <w:numPr>
                <w:ilvl w:val="0"/>
                <w:numId w:val="36"/>
              </w:numPr>
              <w:rPr>
                <w:lang w:bidi="ar-EG"/>
              </w:rPr>
            </w:pPr>
            <w:r w:rsidRPr="007E34E6">
              <w:rPr>
                <w:rFonts w:hint="cs"/>
                <w:rtl/>
                <w:lang w:val="it-IT"/>
              </w:rPr>
              <w:t>الأهداف الاقتصادية والثقافية والاجتماعية</w:t>
            </w:r>
          </w:p>
          <w:p w14:paraId="36FDE8F0" w14:textId="77777777" w:rsidR="007E34E6" w:rsidRPr="007E34E6" w:rsidRDefault="007E34E6" w:rsidP="00A506A6">
            <w:pPr>
              <w:pStyle w:val="BodyText"/>
              <w:numPr>
                <w:ilvl w:val="0"/>
                <w:numId w:val="36"/>
              </w:numPr>
              <w:rPr>
                <w:lang w:bidi="ar-EG"/>
              </w:rPr>
            </w:pPr>
            <w:r w:rsidRPr="007E34E6">
              <w:rPr>
                <w:rFonts w:hint="cs"/>
                <w:rtl/>
                <w:lang w:val="it-IT"/>
              </w:rPr>
              <w:t>القضايا التقنية والقانونية المعينة</w:t>
            </w:r>
          </w:p>
          <w:p w14:paraId="45DE1581" w14:textId="77777777" w:rsidR="007E34E6" w:rsidRPr="007E34E6" w:rsidRDefault="007E34E6" w:rsidP="00A506A6">
            <w:pPr>
              <w:pStyle w:val="BodyText"/>
              <w:numPr>
                <w:ilvl w:val="0"/>
                <w:numId w:val="36"/>
              </w:numPr>
              <w:rPr>
                <w:lang w:bidi="ar-EG"/>
              </w:rPr>
            </w:pPr>
            <w:r w:rsidRPr="007E34E6">
              <w:rPr>
                <w:rFonts w:hint="cs"/>
                <w:rtl/>
                <w:lang w:val="it-IT"/>
              </w:rPr>
              <w:t>القضايا العملية: إدارة الحقوق والتقيد بها</w:t>
            </w:r>
          </w:p>
          <w:p w14:paraId="73EBD94A" w14:textId="77777777" w:rsidR="007E34E6" w:rsidRPr="007E34E6" w:rsidRDefault="007E34E6" w:rsidP="00A506A6">
            <w:pPr>
              <w:pStyle w:val="BodyText"/>
              <w:rPr>
                <w:bCs/>
                <w:lang w:bidi="ar-EG"/>
              </w:rPr>
            </w:pPr>
          </w:p>
        </w:tc>
      </w:tr>
    </w:tbl>
    <w:p w14:paraId="10D3775C" w14:textId="44BB5ADE" w:rsidR="007E34E6" w:rsidRDefault="007E34E6" w:rsidP="007E34E6">
      <w:pPr>
        <w:pStyle w:val="BodyText"/>
        <w:rPr>
          <w:lang w:val="it-IT"/>
        </w:rPr>
      </w:pPr>
    </w:p>
    <w:p w14:paraId="6299CB3E" w14:textId="77777777" w:rsidR="009F15B7" w:rsidRPr="007E34E6" w:rsidRDefault="009F15B7" w:rsidP="007E34E6">
      <w:pPr>
        <w:pStyle w:val="BodyText"/>
        <w:rPr>
          <w:rtl/>
          <w:lang w:val="it-IT"/>
        </w:rPr>
      </w:pPr>
    </w:p>
    <w:p w14:paraId="1B96C3D0" w14:textId="77777777" w:rsidR="007E34E6" w:rsidRPr="007E34E6" w:rsidRDefault="007E34E6" w:rsidP="00A506A6">
      <w:pPr>
        <w:pStyle w:val="Endofdocument-Annex"/>
        <w:ind w:left="10637" w:firstLine="136"/>
        <w:rPr>
          <w:rtl/>
          <w:lang w:val="it-IT"/>
        </w:rPr>
      </w:pPr>
      <w:r w:rsidRPr="007E34E6">
        <w:rPr>
          <w:rFonts w:hint="cs"/>
          <w:rtl/>
          <w:lang w:val="it-IT"/>
        </w:rPr>
        <w:t xml:space="preserve">[نهاية المرفق </w:t>
      </w:r>
      <w:proofErr w:type="spellStart"/>
      <w:r w:rsidRPr="007E34E6">
        <w:rPr>
          <w:rFonts w:hint="cs"/>
          <w:rtl/>
          <w:lang w:val="it-IT"/>
        </w:rPr>
        <w:t>الثا</w:t>
      </w:r>
      <w:proofErr w:type="spellEnd"/>
      <w:r w:rsidRPr="007E34E6">
        <w:rPr>
          <w:rFonts w:hint="cs"/>
          <w:rtl/>
          <w:lang w:val="it-IT" w:bidi="ar-EG"/>
        </w:rPr>
        <w:t>ن</w:t>
      </w:r>
      <w:r w:rsidRPr="007E34E6">
        <w:rPr>
          <w:rFonts w:hint="cs"/>
          <w:rtl/>
          <w:lang w:val="it-IT"/>
        </w:rPr>
        <w:t>ي والوثيقة]</w:t>
      </w:r>
    </w:p>
    <w:p w14:paraId="5D94B22D" w14:textId="5A2683D4" w:rsidR="0095258F" w:rsidRPr="0095258F" w:rsidRDefault="0095258F" w:rsidP="00592CEB">
      <w:pPr>
        <w:pStyle w:val="BodyText"/>
        <w:rPr>
          <w:rtl/>
          <w:lang w:bidi="ar-EG"/>
        </w:rPr>
      </w:pPr>
    </w:p>
    <w:sectPr w:rsidR="0095258F" w:rsidRPr="0095258F" w:rsidSect="00E2110B">
      <w:headerReference w:type="default" r:id="rId19"/>
      <w:headerReference w:type="first" r:id="rId20"/>
      <w:footnotePr>
        <w:numRestart w:val="eachSect"/>
      </w:footnotePr>
      <w:endnotePr>
        <w:numFmt w:val="decimal"/>
      </w:endnotePr>
      <w:pgSz w:w="16838" w:h="11906" w:orient="landscape" w:code="9"/>
      <w:pgMar w:top="1418" w:right="510" w:bottom="1418" w:left="1418" w:header="510" w:footer="1021" w:gutter="0"/>
      <w:pgNumType w:start="1"/>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BEF0DF" w14:textId="77777777" w:rsidR="00DB5E58" w:rsidRDefault="00DB5E58">
      <w:r>
        <w:separator/>
      </w:r>
    </w:p>
  </w:endnote>
  <w:endnote w:type="continuationSeparator" w:id="0">
    <w:p w14:paraId="55C0E340" w14:textId="77777777" w:rsidR="00DB5E58" w:rsidRDefault="00DB5E58" w:rsidP="003B38C1">
      <w:r>
        <w:separator/>
      </w:r>
    </w:p>
    <w:p w14:paraId="63DAF6FF" w14:textId="77777777" w:rsidR="00DB5E58" w:rsidRPr="003B38C1" w:rsidRDefault="00DB5E58" w:rsidP="003B38C1">
      <w:pPr>
        <w:spacing w:after="60"/>
        <w:rPr>
          <w:sz w:val="17"/>
        </w:rPr>
      </w:pPr>
      <w:r>
        <w:rPr>
          <w:sz w:val="17"/>
        </w:rPr>
        <w:t>[Endnote continued from previous page]</w:t>
      </w:r>
    </w:p>
  </w:endnote>
  <w:endnote w:type="continuationNotice" w:id="1">
    <w:p w14:paraId="2EF3122D" w14:textId="77777777" w:rsidR="00DB5E58" w:rsidRPr="003B38C1" w:rsidRDefault="00DB5E5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abic Typesetting">
    <w:altName w:val="Courier New"/>
    <w:panose1 w:val="03020402040406030203"/>
    <w:charset w:val="00"/>
    <w:family w:val="script"/>
    <w:pitch w:val="variable"/>
    <w:sig w:usb0="A000206F" w:usb1="C0000000" w:usb2="00000008" w:usb3="00000000" w:csb0="000000D3"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Traditional Arabic">
    <w:altName w:val="Times New Roman"/>
    <w:charset w:val="00"/>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12A1EB" w14:textId="77777777" w:rsidR="00DB5E58" w:rsidRDefault="00DB5E58">
      <w:r>
        <w:separator/>
      </w:r>
    </w:p>
  </w:footnote>
  <w:footnote w:type="continuationSeparator" w:id="0">
    <w:p w14:paraId="4D9D35A9" w14:textId="77777777" w:rsidR="00DB5E58" w:rsidRDefault="00DB5E58" w:rsidP="008B60B2">
      <w:r>
        <w:separator/>
      </w:r>
    </w:p>
    <w:p w14:paraId="23208431" w14:textId="77777777" w:rsidR="00DB5E58" w:rsidRPr="00ED77FB" w:rsidRDefault="00DB5E58" w:rsidP="008B60B2">
      <w:pPr>
        <w:spacing w:after="60"/>
        <w:rPr>
          <w:sz w:val="17"/>
          <w:szCs w:val="17"/>
        </w:rPr>
      </w:pPr>
      <w:r w:rsidRPr="00ED77FB">
        <w:rPr>
          <w:sz w:val="17"/>
          <w:szCs w:val="17"/>
        </w:rPr>
        <w:t>[Footnote continued from previous page]</w:t>
      </w:r>
    </w:p>
  </w:footnote>
  <w:footnote w:type="continuationNotice" w:id="1">
    <w:p w14:paraId="7D0897F2" w14:textId="77777777" w:rsidR="00DB5E58" w:rsidRPr="00ED77FB" w:rsidRDefault="00DB5E58" w:rsidP="008B60B2">
      <w:pPr>
        <w:spacing w:before="60"/>
        <w:jc w:val="right"/>
        <w:rPr>
          <w:sz w:val="17"/>
          <w:szCs w:val="17"/>
        </w:rPr>
      </w:pPr>
      <w:r w:rsidRPr="00ED77FB">
        <w:rPr>
          <w:sz w:val="17"/>
          <w:szCs w:val="17"/>
        </w:rPr>
        <w:t>[Footnote continued on next page]</w:t>
      </w:r>
    </w:p>
  </w:footnote>
  <w:footnote w:id="2">
    <w:p w14:paraId="219E41A0" w14:textId="457019FB" w:rsidR="000A0201" w:rsidRPr="001A7DDC" w:rsidRDefault="000A0201" w:rsidP="001A7DDC">
      <w:pPr>
        <w:pStyle w:val="FootnoteText"/>
        <w:rPr>
          <w:rFonts w:hint="cs"/>
          <w:rtl/>
          <w:lang w:val="fr-CH" w:bidi="ar-SY"/>
        </w:rPr>
      </w:pPr>
      <w:r w:rsidRPr="00F13D2D">
        <w:rPr>
          <w:rStyle w:val="FootnoteReference"/>
          <w:sz w:val="28"/>
          <w:szCs w:val="28"/>
        </w:rPr>
        <w:footnoteRef/>
      </w:r>
      <w:r w:rsidRPr="00F13D2D">
        <w:rPr>
          <w:rtl/>
        </w:rPr>
        <w:t xml:space="preserve"> </w:t>
      </w:r>
      <w:r w:rsidRPr="00F13D2D">
        <w:rPr>
          <w:rFonts w:hint="cs"/>
          <w:rtl/>
        </w:rPr>
        <w:t>لا تزال</w:t>
      </w:r>
      <w:r w:rsidRPr="00F13D2D">
        <w:rPr>
          <w:rtl/>
        </w:rPr>
        <w:t xml:space="preserve"> التعليقات </w:t>
      </w:r>
      <w:r w:rsidRPr="00F13D2D">
        <w:rPr>
          <w:rFonts w:hint="cs"/>
          <w:rtl/>
        </w:rPr>
        <w:t>الواردة</w:t>
      </w:r>
      <w:r w:rsidRPr="00F13D2D">
        <w:rPr>
          <w:rtl/>
        </w:rPr>
        <w:t xml:space="preserve"> في ذلك الوقت متاحة على موقع الويبو </w:t>
      </w:r>
      <w:r w:rsidR="001A7DDC">
        <w:rPr>
          <w:rFonts w:hint="cs"/>
          <w:rtl/>
        </w:rPr>
        <w:t>الإلكترو</w:t>
      </w:r>
      <w:proofErr w:type="spellStart"/>
      <w:r w:rsidR="001A7DDC">
        <w:rPr>
          <w:rFonts w:hint="cs"/>
          <w:rtl/>
          <w:lang w:val="fr-CH" w:bidi="ar-SY"/>
        </w:rPr>
        <w:t>ني</w:t>
      </w:r>
      <w:proofErr w:type="spellEnd"/>
      <w:r w:rsidR="001A7DDC">
        <w:rPr>
          <w:rFonts w:hint="cs"/>
          <w:rtl/>
          <w:lang w:val="fr-CH" w:bidi="ar-SY"/>
        </w:rPr>
        <w:t xml:space="preserve"> </w:t>
      </w:r>
      <w:hyperlink r:id="rId1" w:history="1">
        <w:r w:rsidR="001A7DDC" w:rsidRPr="002531C5">
          <w:rPr>
            <w:rStyle w:val="Hyperlink"/>
            <w:lang w:val="fr-CH" w:bidi="ar-SY"/>
          </w:rPr>
          <w:t>https://www.wipo.int/tk/en/igc/gap-analyses.htm</w:t>
        </w:r>
        <w:r w:rsidR="001A7DDC" w:rsidRPr="002531C5">
          <w:rPr>
            <w:rStyle w:val="Hyperlink"/>
            <w:lang w:bidi="ar-SY"/>
          </w:rPr>
          <w:t>l</w:t>
        </w:r>
      </w:hyperlink>
      <w:r w:rsidR="001A7DDC">
        <w:rPr>
          <w:rFonts w:hint="cs"/>
          <w:rtl/>
          <w:lang w:bidi="ar-SY"/>
        </w:rPr>
        <w:t>.</w:t>
      </w:r>
    </w:p>
  </w:footnote>
  <w:footnote w:id="3">
    <w:p w14:paraId="4F48504B" w14:textId="77777777" w:rsidR="000A0201" w:rsidRPr="00DD1DF4" w:rsidRDefault="000A0201" w:rsidP="00BC726D">
      <w:pPr>
        <w:pStyle w:val="FootnoteText"/>
        <w:rPr>
          <w:lang w:bidi="ar-MA"/>
        </w:rPr>
      </w:pPr>
      <w:r w:rsidRPr="00DD1DF4">
        <w:rPr>
          <w:rStyle w:val="FootnoteReference"/>
          <w:rFonts w:ascii="Arial" w:hAnsi="Arial" w:cs="Calibri"/>
          <w:sz w:val="18"/>
          <w:szCs w:val="18"/>
        </w:rPr>
        <w:footnoteRef/>
      </w:r>
      <w:r w:rsidRPr="00DD1DF4">
        <w:rPr>
          <w:rtl/>
        </w:rPr>
        <w:t xml:space="preserve"> </w:t>
      </w:r>
      <w:r w:rsidRPr="00DD1DF4">
        <w:t>WIPO/GRTKF/IC/13/11</w:t>
      </w:r>
      <w:r w:rsidRPr="00DD1DF4">
        <w:rPr>
          <w:rtl/>
        </w:rPr>
        <w:t>.</w:t>
      </w:r>
    </w:p>
  </w:footnote>
  <w:footnote w:id="4">
    <w:p w14:paraId="243D3DCA" w14:textId="77777777" w:rsidR="000A0201" w:rsidRPr="00F13D2D" w:rsidRDefault="000A0201" w:rsidP="00BC726D">
      <w:pPr>
        <w:pStyle w:val="FootnoteText"/>
        <w:rPr>
          <w:lang w:bidi="ar-MA"/>
        </w:rPr>
      </w:pPr>
      <w:r w:rsidRPr="00DD1DF4">
        <w:rPr>
          <w:rStyle w:val="FootnoteReference"/>
          <w:rFonts w:ascii="Arial" w:hAnsi="Arial" w:cs="Calibri"/>
          <w:sz w:val="18"/>
          <w:szCs w:val="18"/>
        </w:rPr>
        <w:footnoteRef/>
      </w:r>
      <w:r w:rsidRPr="00DD1DF4">
        <w:rPr>
          <w:rtl/>
        </w:rPr>
        <w:t xml:space="preserve"> </w:t>
      </w:r>
      <w:r w:rsidRPr="00DD1DF4">
        <w:t>WIPO/GRTKF/IC/13/DECISIONS</w:t>
      </w:r>
      <w:r w:rsidRPr="00DD1DF4">
        <w:rPr>
          <w:rtl/>
        </w:rPr>
        <w:t>.</w:t>
      </w:r>
    </w:p>
  </w:footnote>
  <w:footnote w:id="5">
    <w:p w14:paraId="01E2CFAB" w14:textId="77777777" w:rsidR="000A0201" w:rsidRPr="0083549D" w:rsidRDefault="000A0201" w:rsidP="007E34E6">
      <w:pPr>
        <w:pStyle w:val="FootnoteText"/>
      </w:pPr>
      <w:r w:rsidRPr="0083549D">
        <w:rPr>
          <w:rStyle w:val="FootnoteReference"/>
          <w:rFonts w:ascii="Arial" w:hAnsi="Arial" w:cs="Calibri"/>
          <w:sz w:val="18"/>
          <w:szCs w:val="18"/>
        </w:rPr>
        <w:footnoteRef/>
      </w:r>
      <w:r w:rsidRPr="0083549D">
        <w:rPr>
          <w:rtl/>
        </w:rPr>
        <w:t xml:space="preserve"> </w:t>
      </w:r>
      <w:r w:rsidRPr="0083549D">
        <w:t>WIPO/GRTKF/IC/3/10</w:t>
      </w:r>
      <w:r w:rsidRPr="0083549D">
        <w:rPr>
          <w:rFonts w:hint="cs"/>
          <w:rtl/>
        </w:rPr>
        <w:t xml:space="preserve">؛ </w:t>
      </w:r>
      <w:r w:rsidRPr="0083549D">
        <w:t>WIPO/GRTKF/IC/5/3</w:t>
      </w:r>
      <w:r w:rsidRPr="0083549D">
        <w:rPr>
          <w:rFonts w:hint="cs"/>
          <w:rtl/>
        </w:rPr>
        <w:t xml:space="preserve">؛ </w:t>
      </w:r>
      <w:r w:rsidRPr="0083549D">
        <w:t>WIPO/GRTKF/IC/5/INF/3</w:t>
      </w:r>
      <w:r w:rsidRPr="0083549D">
        <w:rPr>
          <w:rFonts w:hint="cs"/>
          <w:rtl/>
        </w:rPr>
        <w:t xml:space="preserve">؛ </w:t>
      </w:r>
      <w:r w:rsidRPr="0083549D">
        <w:t>WIPO/GRTKF/IC/6/3</w:t>
      </w:r>
      <w:r w:rsidRPr="0083549D">
        <w:rPr>
          <w:rFonts w:hint="cs"/>
          <w:rtl/>
        </w:rPr>
        <w:t xml:space="preserve"> و</w:t>
      </w:r>
      <w:r w:rsidRPr="0083549D">
        <w:t>6/3 Add.</w:t>
      </w:r>
      <w:r w:rsidRPr="0083549D">
        <w:rPr>
          <w:rFonts w:hint="cs"/>
          <w:rtl/>
        </w:rPr>
        <w:t xml:space="preserve">؛ </w:t>
      </w:r>
      <w:r w:rsidRPr="0083549D">
        <w:t>WIPO/GRTKF/IC/7/3</w:t>
      </w:r>
      <w:r w:rsidRPr="0083549D">
        <w:rPr>
          <w:rFonts w:hint="cs"/>
          <w:rtl/>
        </w:rPr>
        <w:t xml:space="preserve">؛ </w:t>
      </w:r>
      <w:r w:rsidRPr="0083549D">
        <w:t>WIPO/GRTKF/IC/9/INF/4</w:t>
      </w:r>
      <w:r w:rsidRPr="0083549D">
        <w:rPr>
          <w:rFonts w:hint="cs"/>
          <w:rtl/>
        </w:rPr>
        <w:t xml:space="preserve">؛ </w:t>
      </w:r>
      <w:r w:rsidRPr="0083549D">
        <w:t>WIPO/GRTKF/IC/11/4(a)</w:t>
      </w:r>
      <w:r w:rsidRPr="0083549D">
        <w:rPr>
          <w:rFonts w:hint="cs"/>
          <w:rtl/>
        </w:rPr>
        <w:t xml:space="preserve"> </w:t>
      </w:r>
      <w:proofErr w:type="gramStart"/>
      <w:r w:rsidRPr="0083549D">
        <w:rPr>
          <w:rFonts w:hint="cs"/>
          <w:rtl/>
        </w:rPr>
        <w:t>و</w:t>
      </w:r>
      <w:r w:rsidRPr="0083549D">
        <w:t>(</w:t>
      </w:r>
      <w:proofErr w:type="gramEnd"/>
      <w:r w:rsidRPr="0083549D">
        <w:t>a) Add.</w:t>
      </w:r>
      <w:r w:rsidRPr="0083549D">
        <w:rPr>
          <w:rFonts w:hint="cs"/>
          <w:rtl/>
        </w:rPr>
        <w:t xml:space="preserve"> و</w:t>
      </w:r>
      <w:r w:rsidRPr="0083549D">
        <w:t>(a) Add. 2</w:t>
      </w:r>
      <w:r w:rsidRPr="0083549D">
        <w:rPr>
          <w:rFonts w:hint="cs"/>
          <w:rtl/>
        </w:rPr>
        <w:t xml:space="preserve">؛ </w:t>
      </w:r>
      <w:r w:rsidRPr="0083549D">
        <w:t>WIPO/GRTKF/IC/11/4(b</w:t>
      </w:r>
      <w:proofErr w:type="gramStart"/>
      <w:r w:rsidRPr="0083549D">
        <w:t>)</w:t>
      </w:r>
      <w:r w:rsidRPr="0083549D">
        <w:rPr>
          <w:rFonts w:hint="cs"/>
          <w:rtl/>
        </w:rPr>
        <w:t>؛</w:t>
      </w:r>
      <w:proofErr w:type="gramEnd"/>
      <w:r w:rsidRPr="0083549D">
        <w:rPr>
          <w:rFonts w:hint="cs"/>
          <w:rtl/>
        </w:rPr>
        <w:t xml:space="preserve"> </w:t>
      </w:r>
      <w:r w:rsidRPr="0083549D">
        <w:t>WIPO/GRTKF/IC/12/4(a)</w:t>
      </w:r>
      <w:r w:rsidRPr="0083549D">
        <w:rPr>
          <w:rFonts w:hint="cs"/>
          <w:rtl/>
        </w:rPr>
        <w:t xml:space="preserve"> و</w:t>
      </w:r>
      <w:r w:rsidRPr="0083549D">
        <w:t xml:space="preserve"> (b)</w:t>
      </w:r>
      <w:r w:rsidRPr="0083549D">
        <w:rPr>
          <w:rFonts w:hint="cs"/>
          <w:rtl/>
        </w:rPr>
        <w:t xml:space="preserve"> و</w:t>
      </w:r>
      <w:r w:rsidRPr="0083549D">
        <w:t>(c)</w:t>
      </w:r>
      <w:r w:rsidRPr="0083549D">
        <w:rPr>
          <w:rFonts w:hint="cs"/>
          <w:rtl/>
        </w:rPr>
        <w:t>.</w:t>
      </w:r>
    </w:p>
  </w:footnote>
  <w:footnote w:id="6">
    <w:p w14:paraId="75458313" w14:textId="6B0E447A" w:rsidR="000A0201" w:rsidRPr="0083549D" w:rsidRDefault="000A0201" w:rsidP="009F15B7">
      <w:pPr>
        <w:pStyle w:val="FootnoteText"/>
        <w:rPr>
          <w:rtl/>
        </w:rPr>
      </w:pPr>
      <w:r w:rsidRPr="0083549D">
        <w:t>WIPO, Consolidated Analysis of the Legal Protection of Traditional Cultural Expressions/Expressions of Folklore,</w:t>
      </w:r>
      <w:r w:rsidRPr="0083549D">
        <w:rPr>
          <w:vertAlign w:val="superscript"/>
        </w:rPr>
        <w:footnoteRef/>
      </w:r>
    </w:p>
    <w:p w14:paraId="06C25357" w14:textId="77777777" w:rsidR="000A0201" w:rsidRPr="0083549D" w:rsidRDefault="000A0201" w:rsidP="007E34E6">
      <w:pPr>
        <w:pStyle w:val="FootnoteText"/>
        <w:rPr>
          <w:rtl/>
          <w:lang w:val="en-GB"/>
        </w:rPr>
      </w:pPr>
      <w:proofErr w:type="gramStart"/>
      <w:r w:rsidRPr="0083549D">
        <w:t>2004</w:t>
      </w:r>
      <w:proofErr w:type="gramEnd"/>
      <w:r w:rsidRPr="0083549D">
        <w:t xml:space="preserve">; </w:t>
      </w:r>
      <w:proofErr w:type="spellStart"/>
      <w:r w:rsidRPr="0083549D">
        <w:t>Janke</w:t>
      </w:r>
      <w:proofErr w:type="spellEnd"/>
      <w:r w:rsidRPr="0083549D">
        <w:t xml:space="preserve">, “Minding Culture: Case Studies on Intellectual Property and Traditional Cultural Expressions”, WIPO, 2003; </w:t>
      </w:r>
      <w:proofErr w:type="spellStart"/>
      <w:r w:rsidRPr="0083549D">
        <w:t>Kutty</w:t>
      </w:r>
      <w:proofErr w:type="spellEnd"/>
      <w:r w:rsidRPr="0083549D">
        <w:t>, “National Experiences with the Protection of Expressions of Folklore/Traditional Cultural Expressions – India, Indonesia, the Philippines”, WIPO, 2004</w:t>
      </w:r>
      <w:r w:rsidRPr="0083549D">
        <w:rPr>
          <w:lang w:val="en-GB"/>
        </w:rPr>
        <w:t>.</w:t>
      </w:r>
    </w:p>
  </w:footnote>
  <w:footnote w:id="7">
    <w:p w14:paraId="6803D624" w14:textId="77C8667D" w:rsidR="000A0201" w:rsidRPr="0083549D" w:rsidRDefault="000A0201" w:rsidP="009F15B7">
      <w:pPr>
        <w:pStyle w:val="FootnoteText"/>
        <w:jc w:val="both"/>
      </w:pPr>
      <w:r w:rsidRPr="0083549D">
        <w:rPr>
          <w:rStyle w:val="FootnoteReference"/>
          <w:rFonts w:ascii="Arial" w:hAnsi="Arial" w:cs="Calibri"/>
          <w:sz w:val="18"/>
          <w:szCs w:val="18"/>
        </w:rPr>
        <w:footnoteRef/>
      </w:r>
      <w:proofErr w:type="gramStart"/>
      <w:r w:rsidRPr="0083549D">
        <w:t xml:space="preserve">McDonald, I., Protecting Indigenous Intellectual Property (Australian Copyright Council, Sydney, 1997, 1998); </w:t>
      </w:r>
      <w:proofErr w:type="spellStart"/>
      <w:r w:rsidRPr="0083549D">
        <w:t>Palethorpe</w:t>
      </w:r>
      <w:proofErr w:type="spellEnd"/>
      <w:r w:rsidRPr="0083549D">
        <w:t xml:space="preserve"> and </w:t>
      </w:r>
      <w:proofErr w:type="spellStart"/>
      <w:r w:rsidRPr="0083549D">
        <w:t>Verhulst</w:t>
      </w:r>
      <w:proofErr w:type="spellEnd"/>
      <w:r w:rsidRPr="0083549D">
        <w:t xml:space="preserve">, “Report on the International Protection of Expressions of Folklore Under Intellectual Property Law” </w:t>
      </w:r>
      <w:r w:rsidRPr="0083549D">
        <w:rPr>
          <w:rFonts w:hint="cs"/>
          <w:rtl/>
        </w:rPr>
        <w:t xml:space="preserve">(دراسة أجريت بتكليف من المفوضية الأوروبية)، أكتوبر 2000؛ </w:t>
      </w:r>
      <w:r w:rsidRPr="0083549D">
        <w:t>“Protecting Traditional Cultural Expressions: Policy Issues and Considerations from a Copyright Perspective”,</w:t>
      </w:r>
      <w:r w:rsidRPr="0083549D">
        <w:rPr>
          <w:rFonts w:hint="cs"/>
          <w:rtl/>
        </w:rPr>
        <w:t xml:space="preserve"> وثيقة توجيهية من إعداد وزارة التراث في كندا، 2004؛ </w:t>
      </w:r>
      <w:r w:rsidRPr="0083549D">
        <w:t>Lucas-</w:t>
      </w:r>
      <w:proofErr w:type="spellStart"/>
      <w:r w:rsidRPr="0083549D">
        <w:t>Schloetter</w:t>
      </w:r>
      <w:proofErr w:type="spellEnd"/>
      <w:r w:rsidRPr="0083549D">
        <w:t>, A., ‘Folklore’ in von Lewinski, S. (Ed.), Indigenous Heritage and Intellectual Property, 2004.</w:t>
      </w:r>
      <w:r w:rsidRPr="0083549D">
        <w:rPr>
          <w:rFonts w:hint="cs"/>
          <w:rtl/>
        </w:rPr>
        <w:t xml:space="preserve">؛ مذكرة الرئيس الإعلامية بشأن أشكال التعبير الثقافي التقليدي المتاحة على الرابط التالي: </w:t>
      </w:r>
      <w:hyperlink r:id="rId2" w:history="1">
        <w:r w:rsidRPr="001A7DDC">
          <w:rPr>
            <w:rStyle w:val="Hyperlink"/>
          </w:rPr>
          <w:t>https://www.wipo.int/meetings/en/doc_details.jsp?doc_id=373916</w:t>
        </w:r>
      </w:hyperlink>
      <w:bookmarkStart w:id="20" w:name="_GoBack"/>
      <w:bookmarkEnd w:id="20"/>
      <w:r w:rsidRPr="0083549D">
        <w:rPr>
          <w:rFonts w:hint="cs"/>
          <w:rtl/>
        </w:rPr>
        <w:t>.</w:t>
      </w:r>
      <w:proofErr w:type="gramEnd"/>
    </w:p>
  </w:footnote>
  <w:footnote w:id="8">
    <w:p w14:paraId="763B235A" w14:textId="78A19011" w:rsidR="000A0201" w:rsidRPr="0083549D" w:rsidRDefault="000A0201" w:rsidP="007E34E6">
      <w:pPr>
        <w:pStyle w:val="FootnoteText"/>
        <w:jc w:val="both"/>
        <w:rPr>
          <w:rtl/>
        </w:rPr>
      </w:pPr>
      <w:r w:rsidRPr="0083549D">
        <w:rPr>
          <w:rStyle w:val="FootnoteReference"/>
          <w:rFonts w:ascii="Arial" w:hAnsi="Arial" w:cs="Calibri"/>
          <w:sz w:val="18"/>
          <w:szCs w:val="18"/>
        </w:rPr>
        <w:footnoteRef/>
      </w:r>
      <w:r w:rsidRPr="0083549D">
        <w:rPr>
          <w:rtl/>
        </w:rPr>
        <w:t xml:space="preserve"> </w:t>
      </w:r>
      <w:r w:rsidRPr="0083549D">
        <w:t>WIPO/GRTKF/IC/3/9</w:t>
      </w:r>
      <w:r w:rsidRPr="0083549D">
        <w:rPr>
          <w:rFonts w:hint="cs"/>
          <w:rtl/>
        </w:rPr>
        <w:t xml:space="preserve">؛ </w:t>
      </w:r>
      <w:r w:rsidRPr="0083549D">
        <w:t>WIPO/GRTKF/IC/9/INF/4</w:t>
      </w:r>
      <w:r w:rsidRPr="0083549D">
        <w:rPr>
          <w:rFonts w:hint="cs"/>
          <w:rtl/>
        </w:rPr>
        <w:t xml:space="preserve">. انظر أيضا قاعدة البيانات المتعلقة بالقوانين على الموقع التالي: </w:t>
      </w:r>
      <w:hyperlink r:id="rId3" w:history="1">
        <w:r w:rsidRPr="009F15B7">
          <w:rPr>
            <w:rStyle w:val="Hyperlink"/>
            <w:color w:val="auto"/>
            <w:u w:val="none"/>
          </w:rPr>
          <w:t>https://www.wipo.int/tk/en/databases/tklaws/</w:t>
        </w:r>
      </w:hyperlink>
      <w:r w:rsidRPr="0083549D">
        <w:rPr>
          <w:rFonts w:hint="cs"/>
          <w:rtl/>
        </w:rPr>
        <w:t>.</w:t>
      </w:r>
    </w:p>
  </w:footnote>
  <w:footnote w:id="9">
    <w:p w14:paraId="55C832B3" w14:textId="77777777" w:rsidR="000A0201" w:rsidRPr="005018EB" w:rsidRDefault="000A0201" w:rsidP="007E34E6">
      <w:pPr>
        <w:pStyle w:val="FootnoteText"/>
      </w:pPr>
      <w:r w:rsidRPr="0083549D">
        <w:rPr>
          <w:rStyle w:val="FootnoteReference"/>
          <w:rFonts w:ascii="Arial" w:hAnsi="Arial" w:cs="Calibri"/>
          <w:sz w:val="18"/>
          <w:szCs w:val="18"/>
        </w:rPr>
        <w:footnoteRef/>
      </w:r>
      <w:r w:rsidRPr="0083549D">
        <w:rPr>
          <w:rtl/>
        </w:rPr>
        <w:t xml:space="preserve"> </w:t>
      </w:r>
      <w:r w:rsidRPr="0083549D">
        <w:t>WIPO/GRTKF/IC/6/3</w:t>
      </w:r>
      <w:r w:rsidRPr="0083549D">
        <w:rPr>
          <w:rFonts w:hint="cs"/>
          <w:rtl/>
        </w:rPr>
        <w:t>؛ الويبو، التحليل الشامل.</w:t>
      </w:r>
    </w:p>
  </w:footnote>
  <w:footnote w:id="10">
    <w:p w14:paraId="7C4DD25E" w14:textId="77777777" w:rsidR="000A0201" w:rsidRPr="009F15B7" w:rsidRDefault="000A0201" w:rsidP="007E34E6">
      <w:pPr>
        <w:pStyle w:val="FootnoteText"/>
      </w:pPr>
      <w:r w:rsidRPr="009F15B7">
        <w:rPr>
          <w:rStyle w:val="FootnoteReference"/>
          <w:rFonts w:ascii="Arial" w:hAnsi="Arial" w:cs="Calibri"/>
          <w:sz w:val="18"/>
          <w:szCs w:val="18"/>
        </w:rPr>
        <w:footnoteRef/>
      </w:r>
      <w:r w:rsidRPr="009F15B7">
        <w:rPr>
          <w:rtl/>
        </w:rPr>
        <w:t xml:space="preserve"> </w:t>
      </w:r>
      <w:r w:rsidRPr="009F15B7">
        <w:rPr>
          <w:rFonts w:hint="cs"/>
          <w:rtl/>
        </w:rPr>
        <w:t xml:space="preserve">المادة 1، </w:t>
      </w:r>
      <w:r w:rsidRPr="009F15B7">
        <w:t>WIPO/GRTKF/IC/12/4(c)</w:t>
      </w:r>
      <w:r w:rsidRPr="009F15B7">
        <w:rPr>
          <w:rFonts w:hint="cs"/>
          <w:rtl/>
        </w:rPr>
        <w:t>.</w:t>
      </w:r>
    </w:p>
  </w:footnote>
  <w:footnote w:id="11">
    <w:p w14:paraId="508C5C14" w14:textId="77777777" w:rsidR="000A0201" w:rsidRPr="005018EB" w:rsidRDefault="000A0201" w:rsidP="007E34E6">
      <w:pPr>
        <w:pStyle w:val="FootnoteText"/>
      </w:pPr>
      <w:r w:rsidRPr="009F15B7">
        <w:rPr>
          <w:rStyle w:val="FootnoteReference"/>
          <w:rFonts w:ascii="Arial" w:hAnsi="Arial" w:cs="Calibri"/>
          <w:sz w:val="18"/>
          <w:szCs w:val="18"/>
        </w:rPr>
        <w:footnoteRef/>
      </w:r>
      <w:r w:rsidRPr="009F15B7">
        <w:rPr>
          <w:rtl/>
        </w:rPr>
        <w:t xml:space="preserve"> </w:t>
      </w:r>
      <w:r w:rsidRPr="009F15B7">
        <w:t>WIPO/GRTKF/IC/5/3</w:t>
      </w:r>
      <w:r w:rsidRPr="009F15B7">
        <w:rPr>
          <w:rFonts w:hint="cs"/>
          <w:rtl/>
        </w:rPr>
        <w:t>؛ الويبو، التحليل الشامل.</w:t>
      </w:r>
    </w:p>
  </w:footnote>
  <w:footnote w:id="12">
    <w:p w14:paraId="33B555E4" w14:textId="77777777" w:rsidR="000A0201" w:rsidRPr="009F15B7" w:rsidRDefault="000A0201" w:rsidP="007E34E6">
      <w:pPr>
        <w:pStyle w:val="FootnoteText"/>
        <w:rPr>
          <w:lang w:bidi="ar-MA"/>
        </w:rPr>
      </w:pPr>
      <w:r w:rsidRPr="009F15B7">
        <w:rPr>
          <w:rStyle w:val="FootnoteReference"/>
          <w:rFonts w:ascii="Arial" w:hAnsi="Arial" w:cs="Calibri"/>
          <w:sz w:val="18"/>
          <w:szCs w:val="18"/>
        </w:rPr>
        <w:footnoteRef/>
      </w:r>
      <w:r w:rsidRPr="009F15B7">
        <w:rPr>
          <w:rtl/>
        </w:rPr>
        <w:t xml:space="preserve"> وفقا للمادة 2 من اتفاقية برن لحماية المصنفات الأدبية والفنية </w:t>
      </w:r>
      <w:r w:rsidRPr="009F15B7">
        <w:rPr>
          <w:rFonts w:hint="cs"/>
          <w:rtl/>
        </w:rPr>
        <w:t>"</w:t>
      </w:r>
      <w:r w:rsidRPr="009F15B7">
        <w:rPr>
          <w:rtl/>
        </w:rPr>
        <w:t>"المصنفات الأدبية والفنية" كل إنتاج في المجال الأدبي والعلمي والفني أيا كانت طريقة أو شكل التعبير عنه مثل الكتب والكتيبات وغيرها من المحررات، والمحاضرات والخطب والمواعظ والأعمال الأخرى التي تتسم بنفس الطبيعة، والمصنفات المسرحية أو المسرحيات الموسيقية، والمصنفات التي تؤدى بحركات أو خطوات فنية والتمثيليات الإيمائية، والمؤلفات الموسيقية سواء اقترنت بالألفاظ أم لم تقترن بها، والمصنفات السينمائية ويقاس عليها المصنفات التي يعبر عنها بأسلوب مماثل للأسلوب السينمائي، والمصنفات الخاصة بالرسم وبالتصوير بالخطوط أو بالألوان وبالعمارة وبالنحت وبالحفر وبالطباعة على الحجر، والمصنفات الفوتوغرافية ويقاس عليها المصنفات التي يعبر عنها بأسلوب مماثل للأسلوب الفوتوغرافي، والمصنفات الخاصة بالفنون التطبيقية، والصور التوضيحية والخرائط الجغرافية والتصميمات والرسومات التخطيطية والمصنفات المجسمة المتعلقة بالجغرافيا أو الطبوغرافيا أو العمارة أو العلوم.</w:t>
      </w:r>
      <w:r w:rsidRPr="009F15B7">
        <w:rPr>
          <w:rFonts w:hint="cs"/>
          <w:rtl/>
        </w:rPr>
        <w:t>"</w:t>
      </w:r>
    </w:p>
  </w:footnote>
  <w:footnote w:id="13">
    <w:p w14:paraId="4EACD183" w14:textId="77777777" w:rsidR="000A0201" w:rsidRPr="00560BB4" w:rsidRDefault="000A0201" w:rsidP="007E34E6">
      <w:pPr>
        <w:pStyle w:val="FootnoteText"/>
      </w:pPr>
      <w:r w:rsidRPr="009F15B7">
        <w:rPr>
          <w:rStyle w:val="FootnoteReference"/>
          <w:rFonts w:ascii="Arial" w:hAnsi="Arial" w:cs="Calibri"/>
          <w:sz w:val="18"/>
          <w:szCs w:val="18"/>
        </w:rPr>
        <w:footnoteRef/>
      </w:r>
      <w:r w:rsidRPr="009F15B7">
        <w:rPr>
          <w:rFonts w:hint="cs"/>
          <w:rtl/>
        </w:rPr>
        <w:t xml:space="preserve"> </w:t>
      </w:r>
      <w:r w:rsidRPr="009F15B7">
        <w:rPr>
          <w:rtl/>
        </w:rPr>
        <w:t xml:space="preserve">تحدد الوثائق السابقة المبادئ الأساسية لحق المؤلف والحقوق المجاورة وتطبيقها على أشكال التعبير الثقافي التقليدي. انظر </w:t>
      </w:r>
      <w:r w:rsidRPr="009F15B7">
        <w:rPr>
          <w:rFonts w:hint="cs"/>
          <w:rtl/>
        </w:rPr>
        <w:t>الوثيقة</w:t>
      </w:r>
      <w:r w:rsidRPr="009F15B7">
        <w:rPr>
          <w:rtl/>
        </w:rPr>
        <w:t xml:space="preserve"> </w:t>
      </w:r>
      <w:r w:rsidRPr="009F15B7">
        <w:t>WIPO/GRTKF/IC/6/3</w:t>
      </w:r>
      <w:r w:rsidRPr="009F15B7">
        <w:rPr>
          <w:rFonts w:hint="cs"/>
          <w:rtl/>
        </w:rPr>
        <w:t>.</w:t>
      </w:r>
    </w:p>
  </w:footnote>
  <w:footnote w:id="14">
    <w:p w14:paraId="56EE6595" w14:textId="77777777" w:rsidR="000A0201" w:rsidRPr="00FB4407" w:rsidRDefault="000A0201" w:rsidP="007E34E6">
      <w:pPr>
        <w:pStyle w:val="FootnoteText"/>
        <w:rPr>
          <w:lang w:bidi="ar-MA"/>
        </w:rPr>
      </w:pPr>
      <w:r w:rsidRPr="00FB4407">
        <w:rPr>
          <w:rStyle w:val="FootnoteReference"/>
          <w:sz w:val="18"/>
          <w:szCs w:val="18"/>
        </w:rPr>
        <w:footnoteRef/>
      </w:r>
      <w:r w:rsidRPr="00FB4407">
        <w:rPr>
          <w:rtl/>
        </w:rPr>
        <w:t xml:space="preserve"> </w:t>
      </w:r>
      <w:r w:rsidRPr="00FB4407">
        <w:rPr>
          <w:rFonts w:hint="cs"/>
          <w:rtl/>
        </w:rPr>
        <w:t>يُحاط علما</w:t>
      </w:r>
      <w:r w:rsidRPr="00FB4407">
        <w:rPr>
          <w:rtl/>
        </w:rPr>
        <w:t xml:space="preserve"> أن معاهدة مراكش لتيسير النفاذ إلى المصنفات المنشورة لفائدة الأشخاص المكفوفين أو معاقي البصر أو ذوي إعاقات أخرى، 2013، لم يتم ذكرها لأنها لا تؤثر على أشكال التعبير الثقافي التقليدي.</w:t>
      </w:r>
    </w:p>
  </w:footnote>
  <w:footnote w:id="15">
    <w:p w14:paraId="12BBDA8D" w14:textId="77777777" w:rsidR="000A0201" w:rsidRPr="00FC52CC" w:rsidRDefault="000A0201" w:rsidP="007E34E6">
      <w:pPr>
        <w:pStyle w:val="FootnoteText"/>
      </w:pPr>
      <w:r w:rsidRPr="00FB4407">
        <w:rPr>
          <w:rStyle w:val="FootnoteReference"/>
          <w:sz w:val="18"/>
          <w:szCs w:val="18"/>
        </w:rPr>
        <w:footnoteRef/>
      </w:r>
      <w:r w:rsidRPr="00FB4407">
        <w:rPr>
          <w:rtl/>
        </w:rPr>
        <w:t xml:space="preserve"> </w:t>
      </w:r>
      <w:r w:rsidRPr="00FB4407">
        <w:t>WIPO/GRTKF/IC/6/3</w:t>
      </w:r>
      <w:r w:rsidRPr="00FB4407">
        <w:rPr>
          <w:rFonts w:hint="cs"/>
          <w:rtl/>
        </w:rPr>
        <w:t>.</w:t>
      </w:r>
    </w:p>
  </w:footnote>
  <w:footnote w:id="16">
    <w:p w14:paraId="4BBC0965" w14:textId="77777777" w:rsidR="000A0201" w:rsidRPr="00FB4407" w:rsidRDefault="000A0201" w:rsidP="007E34E6">
      <w:pPr>
        <w:pStyle w:val="FootnoteText"/>
      </w:pPr>
      <w:r w:rsidRPr="00FB4407">
        <w:rPr>
          <w:rStyle w:val="FootnoteReference"/>
          <w:sz w:val="18"/>
          <w:szCs w:val="18"/>
        </w:rPr>
        <w:footnoteRef/>
      </w:r>
      <w:r w:rsidRPr="00FB4407">
        <w:rPr>
          <w:rtl/>
        </w:rPr>
        <w:t xml:space="preserve"> </w:t>
      </w:r>
      <w:r w:rsidRPr="00FB4407">
        <w:t>WIPO/GRTKF/IC/5/3</w:t>
      </w:r>
      <w:r w:rsidRPr="00FB4407">
        <w:rPr>
          <w:rFonts w:hint="cs"/>
          <w:rtl/>
        </w:rPr>
        <w:t xml:space="preserve"> و</w:t>
      </w:r>
      <w:r w:rsidRPr="00FB4407">
        <w:t xml:space="preserve"> WIPO/GRTKF/IC/6/3</w:t>
      </w:r>
      <w:r w:rsidRPr="00FB4407">
        <w:rPr>
          <w:rFonts w:hint="cs"/>
          <w:rtl/>
        </w:rPr>
        <w:t>.</w:t>
      </w:r>
    </w:p>
  </w:footnote>
  <w:footnote w:id="17">
    <w:p w14:paraId="07C14E0C" w14:textId="77777777" w:rsidR="000A0201" w:rsidRPr="00FB4407" w:rsidRDefault="000A0201" w:rsidP="007E34E6">
      <w:pPr>
        <w:pStyle w:val="FootnoteText"/>
      </w:pPr>
      <w:r w:rsidRPr="00FB4407">
        <w:rPr>
          <w:rStyle w:val="FootnoteReference"/>
          <w:sz w:val="18"/>
          <w:szCs w:val="18"/>
        </w:rPr>
        <w:footnoteRef/>
      </w:r>
      <w:r w:rsidRPr="00FB4407">
        <w:rPr>
          <w:rtl/>
        </w:rPr>
        <w:t xml:space="preserve"> </w:t>
      </w:r>
      <w:r w:rsidRPr="00FB4407">
        <w:rPr>
          <w:rFonts w:hint="cs"/>
          <w:rtl/>
        </w:rPr>
        <w:t xml:space="preserve">على سبيل المثال: </w:t>
      </w:r>
      <w:r w:rsidRPr="00FB4407">
        <w:t>WIPO/GRTKF/IC/1/5</w:t>
      </w:r>
      <w:r w:rsidRPr="00FB4407">
        <w:rPr>
          <w:rFonts w:hint="cs"/>
          <w:rtl/>
        </w:rPr>
        <w:t xml:space="preserve">؛ </w:t>
      </w:r>
      <w:r w:rsidRPr="00FB4407">
        <w:t>WIPO/GRTKF/IC/3/11</w:t>
      </w:r>
      <w:r w:rsidRPr="00FB4407">
        <w:rPr>
          <w:rFonts w:hint="cs"/>
          <w:rtl/>
        </w:rPr>
        <w:t xml:space="preserve">؛ </w:t>
      </w:r>
      <w:r w:rsidRPr="00FB4407">
        <w:t>WIPO/GRTKF/IC/5/3</w:t>
      </w:r>
      <w:r w:rsidRPr="00FB4407">
        <w:rPr>
          <w:rFonts w:hint="cs"/>
          <w:rtl/>
        </w:rPr>
        <w:t xml:space="preserve">؛ </w:t>
      </w:r>
      <w:r w:rsidRPr="00FB4407">
        <w:t>WIPO/GRTKF/IC/6/3</w:t>
      </w:r>
      <w:r w:rsidRPr="00FB4407">
        <w:rPr>
          <w:rFonts w:hint="cs"/>
          <w:rtl/>
        </w:rPr>
        <w:t>.</w:t>
      </w:r>
    </w:p>
  </w:footnote>
  <w:footnote w:id="18">
    <w:p w14:paraId="1DDBDA7C" w14:textId="77777777" w:rsidR="000A0201" w:rsidRPr="009F15B7" w:rsidRDefault="000A0201" w:rsidP="007E34E6">
      <w:pPr>
        <w:pStyle w:val="FootnoteText"/>
      </w:pPr>
      <w:r w:rsidRPr="009F15B7">
        <w:rPr>
          <w:rStyle w:val="FootnoteReference"/>
          <w:rFonts w:ascii="Arial" w:hAnsi="Arial" w:cs="Calibri"/>
          <w:sz w:val="18"/>
          <w:szCs w:val="18"/>
        </w:rPr>
        <w:footnoteRef/>
      </w:r>
      <w:r w:rsidRPr="009F15B7">
        <w:rPr>
          <w:rtl/>
        </w:rPr>
        <w:t xml:space="preserve"> </w:t>
      </w:r>
      <w:r w:rsidRPr="009F15B7">
        <w:rPr>
          <w:rFonts w:hint="cs"/>
          <w:rtl/>
        </w:rPr>
        <w:t xml:space="preserve">انظر </w:t>
      </w:r>
      <w:r w:rsidRPr="009F15B7">
        <w:t>WIPO/GRTKF/IC/3/11</w:t>
      </w:r>
      <w:r w:rsidRPr="009F15B7">
        <w:rPr>
          <w:rFonts w:hint="cs"/>
          <w:rtl/>
        </w:rPr>
        <w:t xml:space="preserve">، الصفحة 3؛ </w:t>
      </w:r>
      <w:r w:rsidRPr="009F15B7">
        <w:t>McDonald</w:t>
      </w:r>
      <w:r w:rsidRPr="009F15B7">
        <w:rPr>
          <w:rFonts w:hint="cs"/>
          <w:rtl/>
        </w:rPr>
        <w:t>، الصفحة 45</w:t>
      </w:r>
      <w:r w:rsidRPr="009F15B7">
        <w:t xml:space="preserve"> </w:t>
      </w:r>
    </w:p>
  </w:footnote>
  <w:footnote w:id="19">
    <w:p w14:paraId="16597C66" w14:textId="77777777" w:rsidR="000A0201" w:rsidRPr="009F15B7" w:rsidRDefault="000A0201" w:rsidP="007E34E6">
      <w:pPr>
        <w:pStyle w:val="FootnoteText"/>
      </w:pPr>
      <w:r w:rsidRPr="009F15B7">
        <w:rPr>
          <w:rStyle w:val="FootnoteReference"/>
          <w:rFonts w:ascii="Arial" w:hAnsi="Arial" w:cs="Calibri"/>
          <w:sz w:val="18"/>
          <w:szCs w:val="18"/>
        </w:rPr>
        <w:footnoteRef/>
      </w:r>
      <w:r w:rsidRPr="009F15B7">
        <w:rPr>
          <w:rtl/>
        </w:rPr>
        <w:t xml:space="preserve"> </w:t>
      </w:r>
      <w:r w:rsidRPr="009F15B7">
        <w:t>WIPO/GRTKF/IC/5/3</w:t>
      </w:r>
      <w:r w:rsidRPr="009F15B7">
        <w:rPr>
          <w:rFonts w:hint="cs"/>
          <w:rtl/>
        </w:rPr>
        <w:t xml:space="preserve"> و</w:t>
      </w:r>
      <w:r w:rsidRPr="009F15B7">
        <w:t xml:space="preserve"> WIPO/GRTKF/IC/6/3</w:t>
      </w:r>
      <w:r w:rsidRPr="009F15B7">
        <w:rPr>
          <w:rFonts w:hint="cs"/>
          <w:rtl/>
        </w:rPr>
        <w:t>.</w:t>
      </w:r>
    </w:p>
  </w:footnote>
  <w:footnote w:id="20">
    <w:p w14:paraId="0206151F" w14:textId="77777777" w:rsidR="000A0201" w:rsidRPr="009F15B7" w:rsidRDefault="000A0201" w:rsidP="007E34E6">
      <w:pPr>
        <w:pStyle w:val="FootnoteText"/>
        <w:rPr>
          <w:lang w:val="en-GB"/>
        </w:rPr>
      </w:pPr>
      <w:r w:rsidRPr="009F15B7">
        <w:rPr>
          <w:rStyle w:val="FootnoteReference"/>
          <w:rFonts w:ascii="Arial" w:hAnsi="Arial" w:cs="Calibri"/>
          <w:sz w:val="18"/>
          <w:szCs w:val="18"/>
        </w:rPr>
        <w:footnoteRef/>
      </w:r>
      <w:r w:rsidRPr="009F15B7">
        <w:rPr>
          <w:rFonts w:hint="cs"/>
          <w:rtl/>
        </w:rPr>
        <w:t xml:space="preserve"> الويبو، تقرير بعثة تقصي الحقائق؛ </w:t>
      </w:r>
      <w:r w:rsidRPr="009F15B7">
        <w:t>WIPO/GRTKF/IC/3/10</w:t>
      </w:r>
      <w:r w:rsidRPr="009F15B7">
        <w:rPr>
          <w:rFonts w:hint="cs"/>
          <w:rtl/>
        </w:rPr>
        <w:t xml:space="preserve"> </w:t>
      </w:r>
      <w:proofErr w:type="gramStart"/>
      <w:r w:rsidRPr="009F15B7">
        <w:rPr>
          <w:rFonts w:hint="cs"/>
          <w:rtl/>
        </w:rPr>
        <w:t>و</w:t>
      </w:r>
      <w:r w:rsidRPr="009F15B7">
        <w:t xml:space="preserve"> WIPO</w:t>
      </w:r>
      <w:proofErr w:type="gramEnd"/>
      <w:r w:rsidRPr="009F15B7">
        <w:t>/GRTKF/IC/5/3</w:t>
      </w:r>
      <w:r w:rsidRPr="009F15B7">
        <w:rPr>
          <w:rFonts w:hint="cs"/>
          <w:rtl/>
        </w:rPr>
        <w:t>.</w:t>
      </w:r>
    </w:p>
  </w:footnote>
  <w:footnote w:id="21">
    <w:p w14:paraId="3E65055A" w14:textId="77777777" w:rsidR="000A0201" w:rsidRDefault="000A0201" w:rsidP="007E34E6">
      <w:pPr>
        <w:pStyle w:val="FootnoteText"/>
      </w:pPr>
      <w:r w:rsidRPr="009F15B7">
        <w:rPr>
          <w:rStyle w:val="FootnoteReference"/>
          <w:rFonts w:ascii="Arial" w:hAnsi="Arial" w:cs="Calibri"/>
          <w:sz w:val="18"/>
          <w:szCs w:val="18"/>
        </w:rPr>
        <w:footnoteRef/>
      </w:r>
      <w:r w:rsidRPr="009F15B7">
        <w:rPr>
          <w:rFonts w:hint="cs"/>
          <w:rtl/>
        </w:rPr>
        <w:t xml:space="preserve"> الويبو، تقرير بعثة تقصي الحقائق؛ </w:t>
      </w:r>
      <w:r w:rsidRPr="009F15B7">
        <w:t>WIPO/GRTKF/IC/3/10</w:t>
      </w:r>
      <w:r w:rsidRPr="009F15B7">
        <w:rPr>
          <w:rFonts w:hint="cs"/>
          <w:rtl/>
        </w:rPr>
        <w:t xml:space="preserve"> و</w:t>
      </w:r>
      <w:r w:rsidRPr="009F15B7">
        <w:t>WIPO/GRTKF/IC/5/</w:t>
      </w:r>
      <w:proofErr w:type="gramStart"/>
      <w:r w:rsidRPr="009F15B7">
        <w:t>3</w:t>
      </w:r>
      <w:r w:rsidRPr="009F15B7">
        <w:rPr>
          <w:rFonts w:hint="cs"/>
          <w:rtl/>
        </w:rPr>
        <w:t>؛</w:t>
      </w:r>
      <w:r w:rsidRPr="009F15B7">
        <w:t>WIPO</w:t>
      </w:r>
      <w:proofErr w:type="gramEnd"/>
      <w:r w:rsidRPr="009F15B7">
        <w:t>/GRTKF/IC/2/10 WIPO/GRTKF/IC/3/15</w:t>
      </w:r>
      <w:r w:rsidRPr="009F15B7">
        <w:rPr>
          <w:rFonts w:hint="cs"/>
          <w:rtl/>
        </w:rPr>
        <w:t>.</w:t>
      </w:r>
    </w:p>
  </w:footnote>
  <w:footnote w:id="22">
    <w:p w14:paraId="448B254A" w14:textId="77777777" w:rsidR="000A0201" w:rsidRPr="009F15B7" w:rsidRDefault="000A0201" w:rsidP="007E34E6">
      <w:pPr>
        <w:pStyle w:val="FootnoteText"/>
        <w:jc w:val="both"/>
        <w:rPr>
          <w:rtl/>
        </w:rPr>
      </w:pPr>
      <w:r w:rsidRPr="009F15B7">
        <w:rPr>
          <w:rStyle w:val="FootnoteReference"/>
          <w:rFonts w:ascii="Arial" w:hAnsi="Arial" w:cs="Calibri"/>
          <w:sz w:val="18"/>
          <w:szCs w:val="18"/>
        </w:rPr>
        <w:footnoteRef/>
      </w:r>
      <w:r w:rsidRPr="009F15B7">
        <w:rPr>
          <w:rtl/>
        </w:rPr>
        <w:t xml:space="preserve"> </w:t>
      </w:r>
      <w:proofErr w:type="spellStart"/>
      <w:r w:rsidRPr="009F15B7">
        <w:t>Palethorpe</w:t>
      </w:r>
      <w:proofErr w:type="spellEnd"/>
      <w:r w:rsidRPr="009F15B7">
        <w:t xml:space="preserve"> and </w:t>
      </w:r>
      <w:proofErr w:type="spellStart"/>
      <w:r w:rsidRPr="009F15B7">
        <w:t>Verhulst</w:t>
      </w:r>
      <w:proofErr w:type="spellEnd"/>
      <w:r w:rsidRPr="009F15B7">
        <w:rPr>
          <w:rFonts w:hint="cs"/>
          <w:rtl/>
        </w:rPr>
        <w:t xml:space="preserve">، الصفحة 28؛ انظر أيضا </w:t>
      </w:r>
      <w:proofErr w:type="spellStart"/>
      <w:r w:rsidRPr="009F15B7">
        <w:t>Ricketson</w:t>
      </w:r>
      <w:proofErr w:type="spellEnd"/>
      <w:r w:rsidRPr="009F15B7">
        <w:t xml:space="preserve">, S. and Ginsburg, J., International Copyright and </w:t>
      </w:r>
      <w:proofErr w:type="spellStart"/>
      <w:r w:rsidRPr="009F15B7">
        <w:t>Neighbouring</w:t>
      </w:r>
      <w:proofErr w:type="spellEnd"/>
      <w:r w:rsidRPr="009F15B7">
        <w:t xml:space="preserve"> Rights: The Berne Convention and Beyond (New York, 2005),</w:t>
      </w:r>
      <w:r w:rsidRPr="009F15B7">
        <w:rPr>
          <w:rFonts w:hint="cs"/>
          <w:rtl/>
        </w:rPr>
        <w:t xml:space="preserve"> الصفحات من 511 إلى 514.</w:t>
      </w:r>
    </w:p>
  </w:footnote>
  <w:footnote w:id="23">
    <w:p w14:paraId="29225F53" w14:textId="77777777" w:rsidR="000A0201" w:rsidRPr="009F15B7" w:rsidRDefault="000A0201" w:rsidP="007E34E6">
      <w:pPr>
        <w:pStyle w:val="FootnoteText"/>
      </w:pPr>
      <w:r w:rsidRPr="009F15B7">
        <w:rPr>
          <w:rStyle w:val="FootnoteReference"/>
          <w:rFonts w:ascii="Arial" w:hAnsi="Arial" w:cs="Calibri"/>
          <w:sz w:val="18"/>
          <w:szCs w:val="18"/>
        </w:rPr>
        <w:footnoteRef/>
      </w:r>
      <w:r w:rsidRPr="009F15B7">
        <w:rPr>
          <w:rtl/>
        </w:rPr>
        <w:t xml:space="preserve"> </w:t>
      </w:r>
      <w:r w:rsidRPr="009F15B7">
        <w:rPr>
          <w:rFonts w:hint="cs"/>
          <w:rtl/>
        </w:rPr>
        <w:t xml:space="preserve">م. </w:t>
      </w:r>
      <w:proofErr w:type="spellStart"/>
      <w:r w:rsidRPr="009F15B7">
        <w:rPr>
          <w:rFonts w:hint="cs"/>
          <w:rtl/>
        </w:rPr>
        <w:t>بايونكا</w:t>
      </w:r>
      <w:proofErr w:type="spellEnd"/>
      <w:r w:rsidRPr="009F15B7">
        <w:rPr>
          <w:rFonts w:hint="cs"/>
          <w:rtl/>
        </w:rPr>
        <w:t xml:space="preserve"> </w:t>
      </w:r>
      <w:proofErr w:type="spellStart"/>
      <w:r w:rsidRPr="009F15B7">
        <w:rPr>
          <w:rFonts w:hint="cs"/>
          <w:rtl/>
        </w:rPr>
        <w:t>وماريكا</w:t>
      </w:r>
      <w:proofErr w:type="spellEnd"/>
      <w:r w:rsidRPr="009F15B7">
        <w:rPr>
          <w:rFonts w:hint="cs"/>
          <w:rtl/>
        </w:rPr>
        <w:t xml:space="preserve"> وآخرون ضد شركة </w:t>
      </w:r>
      <w:proofErr w:type="spellStart"/>
      <w:r w:rsidRPr="009F15B7">
        <w:rPr>
          <w:rFonts w:hint="cs"/>
          <w:rtl/>
        </w:rPr>
        <w:t>أندوفورن</w:t>
      </w:r>
      <w:proofErr w:type="spellEnd"/>
      <w:r w:rsidRPr="009F15B7">
        <w:rPr>
          <w:rFonts w:hint="cs"/>
          <w:rtl/>
        </w:rPr>
        <w:t xml:space="preserve"> المحدودة، </w:t>
      </w:r>
      <w:r w:rsidRPr="009F15B7">
        <w:t>30 IPR 209</w:t>
      </w:r>
      <w:r w:rsidRPr="009F15B7">
        <w:rPr>
          <w:rFonts w:hint="cs"/>
          <w:rtl/>
        </w:rPr>
        <w:t xml:space="preserve">؛ </w:t>
      </w:r>
      <w:proofErr w:type="spellStart"/>
      <w:r w:rsidRPr="009F15B7">
        <w:rPr>
          <w:rFonts w:hint="cs"/>
          <w:rtl/>
        </w:rPr>
        <w:t>بولون</w:t>
      </w:r>
      <w:proofErr w:type="spellEnd"/>
      <w:r w:rsidRPr="009F15B7">
        <w:rPr>
          <w:rFonts w:hint="cs"/>
          <w:rtl/>
        </w:rPr>
        <w:t xml:space="preserve"> </w:t>
      </w:r>
      <w:proofErr w:type="spellStart"/>
      <w:r w:rsidRPr="009F15B7">
        <w:rPr>
          <w:rFonts w:hint="cs"/>
          <w:rtl/>
        </w:rPr>
        <w:t>بولون</w:t>
      </w:r>
      <w:proofErr w:type="spellEnd"/>
      <w:r w:rsidRPr="009F15B7">
        <w:rPr>
          <w:rFonts w:hint="cs"/>
          <w:rtl/>
        </w:rPr>
        <w:t xml:space="preserve"> ضد شركة آر أند تي المحدودة للمنسوجات (1998) </w:t>
      </w:r>
      <w:r w:rsidRPr="009F15B7">
        <w:t>41 IPR 513</w:t>
      </w:r>
      <w:r w:rsidRPr="009F15B7">
        <w:rPr>
          <w:rFonts w:hint="cs"/>
          <w:rtl/>
        </w:rPr>
        <w:t>.</w:t>
      </w:r>
    </w:p>
  </w:footnote>
  <w:footnote w:id="24">
    <w:p w14:paraId="26AFCC05" w14:textId="77777777" w:rsidR="000A0201" w:rsidRPr="009F15B7" w:rsidRDefault="000A0201" w:rsidP="007E34E6">
      <w:pPr>
        <w:pStyle w:val="FootnoteText"/>
      </w:pPr>
      <w:r w:rsidRPr="009F15B7">
        <w:rPr>
          <w:rStyle w:val="FootnoteReference"/>
          <w:rFonts w:ascii="Arial" w:hAnsi="Arial" w:cs="Calibri"/>
          <w:sz w:val="18"/>
          <w:szCs w:val="18"/>
        </w:rPr>
        <w:footnoteRef/>
      </w:r>
      <w:r w:rsidRPr="009F15B7">
        <w:rPr>
          <w:rtl/>
        </w:rPr>
        <w:t xml:space="preserve"> </w:t>
      </w:r>
      <w:r w:rsidRPr="009F15B7">
        <w:rPr>
          <w:rFonts w:hint="cs"/>
          <w:rtl/>
        </w:rPr>
        <w:t xml:space="preserve">قرار أصدرته المحكمة الشعبية العليا في </w:t>
      </w:r>
      <w:proofErr w:type="spellStart"/>
      <w:r w:rsidRPr="009F15B7">
        <w:rPr>
          <w:rFonts w:hint="cs"/>
          <w:rtl/>
        </w:rPr>
        <w:t>بييجين</w:t>
      </w:r>
      <w:proofErr w:type="spellEnd"/>
      <w:r w:rsidRPr="009F15B7">
        <w:rPr>
          <w:rFonts w:hint="cs"/>
          <w:rtl/>
        </w:rPr>
        <w:t>، القضية رقم 246، 17 ديسمبر 2003.</w:t>
      </w:r>
    </w:p>
  </w:footnote>
  <w:footnote w:id="25">
    <w:p w14:paraId="41329FA0" w14:textId="77777777" w:rsidR="000A0201" w:rsidRPr="009F15B7" w:rsidRDefault="000A0201" w:rsidP="007E34E6">
      <w:pPr>
        <w:pStyle w:val="FootnoteText"/>
      </w:pPr>
      <w:r w:rsidRPr="009F15B7">
        <w:rPr>
          <w:rStyle w:val="FootnoteReference"/>
          <w:rFonts w:ascii="Arial" w:hAnsi="Arial" w:cs="Calibri"/>
          <w:sz w:val="18"/>
          <w:szCs w:val="18"/>
        </w:rPr>
        <w:footnoteRef/>
      </w:r>
      <w:r w:rsidRPr="009F15B7">
        <w:rPr>
          <w:rtl/>
        </w:rPr>
        <w:t xml:space="preserve"> </w:t>
      </w:r>
      <w:r w:rsidRPr="009F15B7">
        <w:t>Lucas-</w:t>
      </w:r>
      <w:proofErr w:type="spellStart"/>
      <w:r w:rsidRPr="009F15B7">
        <w:t>Schloetter</w:t>
      </w:r>
      <w:proofErr w:type="spellEnd"/>
      <w:r w:rsidRPr="009F15B7">
        <w:rPr>
          <w:rFonts w:hint="cs"/>
          <w:rtl/>
        </w:rPr>
        <w:t xml:space="preserve">، مصدر سابق، القضايا المشار إليها في الحاشية </w:t>
      </w:r>
      <w:proofErr w:type="gramStart"/>
      <w:r w:rsidRPr="009F15B7">
        <w:rPr>
          <w:rFonts w:hint="cs"/>
          <w:rtl/>
        </w:rPr>
        <w:t>238 وفي</w:t>
      </w:r>
      <w:proofErr w:type="gramEnd"/>
      <w:r w:rsidRPr="009F15B7">
        <w:rPr>
          <w:rFonts w:hint="cs"/>
          <w:rtl/>
        </w:rPr>
        <w:t xml:space="preserve"> الصفحات من 301 إلى 304.</w:t>
      </w:r>
    </w:p>
  </w:footnote>
  <w:footnote w:id="26">
    <w:p w14:paraId="4E22A5B9" w14:textId="77777777" w:rsidR="000A0201" w:rsidRPr="009F15B7" w:rsidRDefault="000A0201" w:rsidP="007E34E6">
      <w:pPr>
        <w:pStyle w:val="FootnoteText"/>
      </w:pPr>
      <w:r w:rsidRPr="009F15B7">
        <w:rPr>
          <w:rStyle w:val="FootnoteReference"/>
          <w:rFonts w:ascii="Arial" w:hAnsi="Arial" w:cs="Calibri"/>
          <w:sz w:val="18"/>
          <w:szCs w:val="18"/>
        </w:rPr>
        <w:footnoteRef/>
      </w:r>
      <w:r w:rsidRPr="009F15B7">
        <w:rPr>
          <w:rtl/>
        </w:rPr>
        <w:t xml:space="preserve"> </w:t>
      </w:r>
      <w:r w:rsidRPr="009F15B7">
        <w:t>WIPO/GRTKF/IC/5/3</w:t>
      </w:r>
      <w:r w:rsidRPr="009F15B7">
        <w:rPr>
          <w:rFonts w:hint="cs"/>
          <w:rtl/>
        </w:rPr>
        <w:t xml:space="preserve"> و</w:t>
      </w:r>
      <w:r w:rsidRPr="009F15B7">
        <w:t xml:space="preserve"> WIPO/GRTKF/IC/6/3</w:t>
      </w:r>
      <w:r w:rsidRPr="009F15B7">
        <w:rPr>
          <w:rFonts w:hint="cs"/>
          <w:rtl/>
        </w:rPr>
        <w:t>.</w:t>
      </w:r>
    </w:p>
  </w:footnote>
  <w:footnote w:id="27">
    <w:p w14:paraId="223C99ED" w14:textId="77777777" w:rsidR="000A0201" w:rsidRPr="001634EA" w:rsidRDefault="000A0201" w:rsidP="007E34E6">
      <w:pPr>
        <w:pStyle w:val="FootnoteText"/>
      </w:pPr>
      <w:r w:rsidRPr="009F15B7">
        <w:rPr>
          <w:rStyle w:val="FootnoteReference"/>
          <w:rFonts w:ascii="Arial" w:hAnsi="Arial" w:cs="Calibri"/>
          <w:sz w:val="18"/>
          <w:szCs w:val="18"/>
        </w:rPr>
        <w:footnoteRef/>
      </w:r>
      <w:r w:rsidRPr="009F15B7">
        <w:rPr>
          <w:rtl/>
        </w:rPr>
        <w:t xml:space="preserve"> </w:t>
      </w:r>
      <w:r w:rsidRPr="009F15B7">
        <w:rPr>
          <w:rFonts w:hint="cs"/>
          <w:rtl/>
        </w:rPr>
        <w:t>يمكن التذكير هنا بأن حق المؤلف هو حق تلقائي ولا يتوقف على أية شروط شكلية.</w:t>
      </w:r>
    </w:p>
  </w:footnote>
  <w:footnote w:id="28">
    <w:p w14:paraId="09E9EC46" w14:textId="77777777" w:rsidR="000A0201" w:rsidRPr="009F15B7" w:rsidRDefault="000A0201" w:rsidP="007E34E6">
      <w:pPr>
        <w:pStyle w:val="FootnoteText"/>
      </w:pPr>
      <w:r w:rsidRPr="009F15B7">
        <w:rPr>
          <w:rStyle w:val="FootnoteReference"/>
          <w:rFonts w:ascii="Arial" w:hAnsi="Arial" w:cs="Calibri"/>
          <w:sz w:val="18"/>
          <w:szCs w:val="18"/>
        </w:rPr>
        <w:footnoteRef/>
      </w:r>
      <w:r w:rsidRPr="009F15B7">
        <w:rPr>
          <w:rtl/>
        </w:rPr>
        <w:t xml:space="preserve"> </w:t>
      </w:r>
      <w:r w:rsidRPr="009F15B7">
        <w:rPr>
          <w:rFonts w:hint="cs"/>
          <w:rtl/>
        </w:rPr>
        <w:t xml:space="preserve">المادتان 5 و6 من </w:t>
      </w:r>
      <w:r w:rsidRPr="009F15B7">
        <w:rPr>
          <w:rtl/>
        </w:rPr>
        <w:t>معاهدة الويبو</w:t>
      </w:r>
      <w:r w:rsidRPr="009F15B7">
        <w:rPr>
          <w:rFonts w:hint="cs"/>
          <w:rtl/>
        </w:rPr>
        <w:t xml:space="preserve"> </w:t>
      </w:r>
      <w:r w:rsidRPr="009F15B7">
        <w:rPr>
          <w:rtl/>
        </w:rPr>
        <w:t>بشأن الأداء والتسجيل الصوتي</w:t>
      </w:r>
      <w:r w:rsidRPr="009F15B7">
        <w:rPr>
          <w:rFonts w:hint="cs"/>
          <w:rtl/>
        </w:rPr>
        <w:t xml:space="preserve"> لسنة 1996.</w:t>
      </w:r>
    </w:p>
  </w:footnote>
  <w:footnote w:id="29">
    <w:p w14:paraId="6E19DE5E" w14:textId="77777777" w:rsidR="000A0201" w:rsidRPr="009F15B7" w:rsidRDefault="000A0201" w:rsidP="007E34E6">
      <w:pPr>
        <w:pStyle w:val="FootnoteText"/>
      </w:pPr>
      <w:r w:rsidRPr="009F15B7">
        <w:rPr>
          <w:rStyle w:val="FootnoteReference"/>
          <w:rFonts w:ascii="Arial" w:hAnsi="Arial" w:cs="Calibri"/>
          <w:sz w:val="18"/>
          <w:szCs w:val="18"/>
        </w:rPr>
        <w:footnoteRef/>
      </w:r>
      <w:r w:rsidRPr="009F15B7">
        <w:rPr>
          <w:rtl/>
        </w:rPr>
        <w:t xml:space="preserve"> </w:t>
      </w:r>
      <w:r w:rsidRPr="009F15B7">
        <w:rPr>
          <w:rFonts w:hint="cs"/>
          <w:rtl/>
        </w:rPr>
        <w:t>المواد من 5 إلى 11 من معاهدة بيجين لسنة 2012.</w:t>
      </w:r>
    </w:p>
  </w:footnote>
  <w:footnote w:id="30">
    <w:p w14:paraId="7174AB0A" w14:textId="77777777" w:rsidR="000A0201" w:rsidRPr="009F15B7" w:rsidRDefault="000A0201" w:rsidP="007E34E6">
      <w:pPr>
        <w:pStyle w:val="FootnoteText"/>
      </w:pPr>
      <w:r w:rsidRPr="009F15B7">
        <w:rPr>
          <w:rStyle w:val="FootnoteReference"/>
          <w:rFonts w:ascii="Arial" w:hAnsi="Arial" w:cs="Calibri"/>
          <w:sz w:val="18"/>
          <w:szCs w:val="18"/>
        </w:rPr>
        <w:footnoteRef/>
      </w:r>
      <w:r w:rsidRPr="009F15B7">
        <w:rPr>
          <w:rtl/>
        </w:rPr>
        <w:t xml:space="preserve"> </w:t>
      </w:r>
      <w:r w:rsidRPr="009F15B7">
        <w:rPr>
          <w:rFonts w:hint="cs"/>
          <w:rtl/>
        </w:rPr>
        <w:t>المادة 14 من معاهدة بيجين لسنة 2012.</w:t>
      </w:r>
    </w:p>
  </w:footnote>
  <w:footnote w:id="31">
    <w:p w14:paraId="23D2983E" w14:textId="77777777" w:rsidR="000A0201" w:rsidRPr="009F15B7" w:rsidRDefault="000A0201" w:rsidP="007E34E6">
      <w:pPr>
        <w:pStyle w:val="FootnoteText"/>
      </w:pPr>
      <w:r w:rsidRPr="009F15B7">
        <w:rPr>
          <w:rStyle w:val="FootnoteReference"/>
          <w:rFonts w:ascii="Arial" w:hAnsi="Arial" w:cs="Calibri"/>
          <w:sz w:val="18"/>
          <w:szCs w:val="18"/>
        </w:rPr>
        <w:footnoteRef/>
      </w:r>
      <w:r w:rsidRPr="009F15B7">
        <w:rPr>
          <w:rtl/>
        </w:rPr>
        <w:t xml:space="preserve"> تدخل معاهدة بكين حيز </w:t>
      </w:r>
      <w:r w:rsidRPr="009F15B7">
        <w:rPr>
          <w:rFonts w:hint="cs"/>
          <w:rtl/>
        </w:rPr>
        <w:t>النفاذ</w:t>
      </w:r>
      <w:r w:rsidRPr="009F15B7">
        <w:rPr>
          <w:rtl/>
        </w:rPr>
        <w:t xml:space="preserve"> بعد ثلاثة أشهر من إيداع 30 طرفًا مؤهلاً وثائق التصديق أو الانضمام الخاصة بها. </w:t>
      </w:r>
      <w:r w:rsidRPr="009F15B7">
        <w:rPr>
          <w:rFonts w:hint="cs"/>
          <w:rtl/>
        </w:rPr>
        <w:t xml:space="preserve">وقد قامت بذلك 20 دولة </w:t>
      </w:r>
      <w:r w:rsidRPr="009F15B7">
        <w:rPr>
          <w:rtl/>
        </w:rPr>
        <w:t>في 25 يونيو 2018</w:t>
      </w:r>
      <w:r w:rsidRPr="009F15B7">
        <w:rPr>
          <w:rFonts w:hint="cs"/>
          <w:rtl/>
        </w:rPr>
        <w:t>.</w:t>
      </w:r>
    </w:p>
  </w:footnote>
  <w:footnote w:id="32">
    <w:p w14:paraId="612754DE" w14:textId="77777777" w:rsidR="000A0201" w:rsidRPr="009F15B7" w:rsidRDefault="000A0201" w:rsidP="007E34E6">
      <w:pPr>
        <w:pStyle w:val="FootnoteText"/>
      </w:pPr>
      <w:r w:rsidRPr="009F15B7">
        <w:rPr>
          <w:rStyle w:val="FootnoteReference"/>
          <w:rFonts w:ascii="Arial" w:hAnsi="Arial" w:cs="Calibri"/>
          <w:sz w:val="18"/>
          <w:szCs w:val="18"/>
        </w:rPr>
        <w:footnoteRef/>
      </w:r>
      <w:r w:rsidRPr="009F15B7">
        <w:rPr>
          <w:rtl/>
        </w:rPr>
        <w:t xml:space="preserve"> </w:t>
      </w:r>
      <w:r w:rsidRPr="009F15B7">
        <w:rPr>
          <w:rFonts w:hint="cs"/>
          <w:rtl/>
        </w:rPr>
        <w:t xml:space="preserve">قامت 96 دولة بذلك </w:t>
      </w:r>
      <w:r w:rsidRPr="009F15B7">
        <w:rPr>
          <w:rtl/>
        </w:rPr>
        <w:t>في 25 يونيو 2018.</w:t>
      </w:r>
    </w:p>
  </w:footnote>
  <w:footnote w:id="33">
    <w:p w14:paraId="3CEFBA64" w14:textId="77777777" w:rsidR="000A0201" w:rsidRPr="00B94A16" w:rsidRDefault="000A0201" w:rsidP="007E34E6">
      <w:pPr>
        <w:pStyle w:val="FootnoteText"/>
      </w:pPr>
      <w:r w:rsidRPr="009F15B7">
        <w:rPr>
          <w:rStyle w:val="FootnoteReference"/>
          <w:rFonts w:ascii="Arial" w:hAnsi="Arial" w:cs="Calibri"/>
          <w:sz w:val="18"/>
          <w:szCs w:val="18"/>
        </w:rPr>
        <w:footnoteRef/>
      </w:r>
      <w:r w:rsidRPr="009F15B7">
        <w:rPr>
          <w:rtl/>
        </w:rPr>
        <w:t xml:space="preserve"> </w:t>
      </w:r>
      <w:r w:rsidRPr="009F15B7">
        <w:t>WIPO/GRTKF/IC/5/3</w:t>
      </w:r>
      <w:r w:rsidRPr="009F15B7">
        <w:rPr>
          <w:rFonts w:hint="cs"/>
          <w:rtl/>
        </w:rPr>
        <w:t>؛ الويبو، التحليل الشامل.</w:t>
      </w:r>
    </w:p>
  </w:footnote>
  <w:footnote w:id="34">
    <w:p w14:paraId="53CE5DD3" w14:textId="77777777" w:rsidR="000A0201" w:rsidRPr="00FB4407" w:rsidRDefault="000A0201" w:rsidP="007E34E6">
      <w:pPr>
        <w:pStyle w:val="FootnoteText"/>
        <w:rPr>
          <w:lang w:bidi="ar-MA"/>
        </w:rPr>
      </w:pPr>
      <w:r w:rsidRPr="00FB4407">
        <w:rPr>
          <w:rStyle w:val="FootnoteReference"/>
          <w:sz w:val="18"/>
          <w:szCs w:val="18"/>
        </w:rPr>
        <w:footnoteRef/>
      </w:r>
      <w:r w:rsidRPr="00FB4407">
        <w:rPr>
          <w:rtl/>
        </w:rPr>
        <w:t xml:space="preserve"> </w:t>
      </w:r>
      <w:r w:rsidRPr="00FB4407">
        <w:rPr>
          <w:rFonts w:hint="cs"/>
          <w:rtl/>
        </w:rPr>
        <w:t xml:space="preserve">الوثيقة </w:t>
      </w:r>
      <w:r w:rsidRPr="00FB4407">
        <w:t>SCT/35/2</w:t>
      </w:r>
      <w:r w:rsidRPr="00FB4407">
        <w:rPr>
          <w:rFonts w:hint="cs"/>
          <w:rtl/>
        </w:rPr>
        <w:t>.</w:t>
      </w:r>
    </w:p>
  </w:footnote>
  <w:footnote w:id="35">
    <w:p w14:paraId="2EF25D24" w14:textId="77777777" w:rsidR="000A0201" w:rsidRPr="009F15B7" w:rsidRDefault="000A0201" w:rsidP="007E34E6">
      <w:pPr>
        <w:pStyle w:val="FootnoteText"/>
      </w:pPr>
      <w:r w:rsidRPr="009F15B7">
        <w:rPr>
          <w:rStyle w:val="FootnoteReference"/>
          <w:rFonts w:ascii="Arial" w:hAnsi="Arial" w:cs="Calibri"/>
          <w:sz w:val="18"/>
          <w:szCs w:val="18"/>
        </w:rPr>
        <w:footnoteRef/>
      </w:r>
      <w:r w:rsidRPr="009F15B7">
        <w:rPr>
          <w:rtl/>
        </w:rPr>
        <w:t xml:space="preserve"> </w:t>
      </w:r>
      <w:r w:rsidRPr="009F15B7">
        <w:rPr>
          <w:rFonts w:hint="cs"/>
          <w:rtl/>
        </w:rPr>
        <w:t>الويبو، التحليل الشامل.</w:t>
      </w:r>
    </w:p>
  </w:footnote>
  <w:footnote w:id="36">
    <w:p w14:paraId="22EC00BA" w14:textId="77777777" w:rsidR="000A0201" w:rsidRPr="009F15B7" w:rsidRDefault="000A0201" w:rsidP="007E34E6">
      <w:pPr>
        <w:pStyle w:val="FootnoteText"/>
      </w:pPr>
      <w:r w:rsidRPr="009F15B7">
        <w:rPr>
          <w:rStyle w:val="FootnoteReference"/>
          <w:rFonts w:ascii="Arial" w:hAnsi="Arial" w:cs="Calibri"/>
          <w:sz w:val="18"/>
          <w:szCs w:val="18"/>
        </w:rPr>
        <w:footnoteRef/>
      </w:r>
      <w:r w:rsidRPr="009F15B7">
        <w:rPr>
          <w:rtl/>
        </w:rPr>
        <w:t xml:space="preserve"> </w:t>
      </w:r>
      <w:r w:rsidRPr="009F15B7">
        <w:rPr>
          <w:rFonts w:hint="cs"/>
          <w:rtl/>
        </w:rPr>
        <w:t xml:space="preserve">الحاشية 10 في اتفاق </w:t>
      </w:r>
      <w:proofErr w:type="spellStart"/>
      <w:r w:rsidRPr="009F15B7">
        <w:rPr>
          <w:rFonts w:hint="cs"/>
          <w:rtl/>
        </w:rPr>
        <w:t>تريبس</w:t>
      </w:r>
      <w:proofErr w:type="spellEnd"/>
      <w:r w:rsidRPr="009F15B7">
        <w:rPr>
          <w:rFonts w:hint="cs"/>
          <w:rtl/>
        </w:rPr>
        <w:t>.</w:t>
      </w:r>
    </w:p>
  </w:footnote>
  <w:footnote w:id="37">
    <w:p w14:paraId="52E4A075" w14:textId="275E12C7" w:rsidR="000A0201" w:rsidRPr="00FB4407" w:rsidRDefault="000A0201" w:rsidP="007E34E6">
      <w:pPr>
        <w:pStyle w:val="FootnoteText"/>
      </w:pPr>
      <w:r w:rsidRPr="009F15B7">
        <w:rPr>
          <w:rStyle w:val="FootnoteReference"/>
          <w:rFonts w:ascii="Arial" w:hAnsi="Arial" w:cs="Calibri"/>
          <w:sz w:val="18"/>
          <w:szCs w:val="18"/>
        </w:rPr>
        <w:footnoteRef/>
      </w:r>
      <w:r w:rsidRPr="009F15B7">
        <w:rPr>
          <w:rtl/>
        </w:rPr>
        <w:t xml:space="preserve"> بوجه </w:t>
      </w:r>
      <w:r w:rsidRPr="009F15B7">
        <w:rPr>
          <w:rFonts w:hint="cs"/>
          <w:rtl/>
        </w:rPr>
        <w:t>عام،</w:t>
      </w:r>
      <w:r w:rsidRPr="009F15B7">
        <w:rPr>
          <w:rtl/>
        </w:rPr>
        <w:t xml:space="preserve"> </w:t>
      </w:r>
      <w:r w:rsidRPr="009F15B7">
        <w:rPr>
          <w:rFonts w:hint="cs"/>
          <w:rtl/>
        </w:rPr>
        <w:t>فيما يخص</w:t>
      </w:r>
      <w:r w:rsidRPr="009F15B7">
        <w:rPr>
          <w:rtl/>
        </w:rPr>
        <w:t xml:space="preserve"> استخدام أدوات الملكية الفكرية القائمة لحماية وتعزيز</w:t>
      </w:r>
      <w:r w:rsidRPr="009F15B7">
        <w:rPr>
          <w:rFonts w:hint="cs"/>
          <w:rtl/>
        </w:rPr>
        <w:t xml:space="preserve"> المعارف التقليدية</w:t>
      </w:r>
      <w:r w:rsidRPr="009F15B7">
        <w:rPr>
          <w:rtl/>
        </w:rPr>
        <w:t xml:space="preserve"> </w:t>
      </w:r>
      <w:r w:rsidRPr="009F15B7">
        <w:rPr>
          <w:rFonts w:hint="cs"/>
          <w:rtl/>
        </w:rPr>
        <w:t>و</w:t>
      </w:r>
      <w:r w:rsidRPr="009F15B7">
        <w:rPr>
          <w:rtl/>
        </w:rPr>
        <w:t>أشكال التعبير الثقافي التقليدي،</w:t>
      </w:r>
      <w:r w:rsidRPr="009F15B7">
        <w:rPr>
          <w:rFonts w:hint="cs"/>
          <w:rtl/>
        </w:rPr>
        <w:t xml:space="preserve"> انظر</w:t>
      </w:r>
      <w:r>
        <w:t xml:space="preserve"> </w:t>
      </w:r>
      <w:r w:rsidRPr="009F15B7">
        <w:rPr>
          <w:rFonts w:hint="cs"/>
          <w:rtl/>
        </w:rPr>
        <w:t>دليل المنظمة لسنة 2017 الذي يحمل عنوان</w:t>
      </w:r>
      <w:r w:rsidRPr="009F15B7">
        <w:rPr>
          <w:rtl/>
        </w:rPr>
        <w:t xml:space="preserve"> </w:t>
      </w:r>
      <w:r w:rsidRPr="009F15B7">
        <w:rPr>
          <w:rFonts w:hint="cs"/>
          <w:rtl/>
        </w:rPr>
        <w:t>"</w:t>
      </w:r>
      <w:r w:rsidRPr="009F15B7">
        <w:rPr>
          <w:rtl/>
        </w:rPr>
        <w:t>حماية ثقافتكم وتعزيزها: دليل عملي عن الملكية الفكرية للشعوب الأصلية والمجتمعات المحلية</w:t>
      </w:r>
      <w:r w:rsidRPr="009F15B7">
        <w:rPr>
          <w:rFonts w:hint="cs"/>
          <w:rtl/>
        </w:rPr>
        <w:t>".</w:t>
      </w:r>
    </w:p>
  </w:footnote>
  <w:footnote w:id="38">
    <w:p w14:paraId="27EC8DE2" w14:textId="77777777" w:rsidR="000A0201" w:rsidRPr="009F15B7" w:rsidRDefault="000A0201" w:rsidP="007E34E6">
      <w:pPr>
        <w:pStyle w:val="FootnoteText"/>
      </w:pPr>
      <w:r w:rsidRPr="009F15B7">
        <w:rPr>
          <w:rStyle w:val="FootnoteReference"/>
          <w:rFonts w:ascii="Arial" w:hAnsi="Arial" w:cs="Calibri"/>
          <w:sz w:val="18"/>
          <w:szCs w:val="18"/>
        </w:rPr>
        <w:footnoteRef/>
      </w:r>
      <w:r w:rsidRPr="009F15B7">
        <w:rPr>
          <w:rtl/>
        </w:rPr>
        <w:t xml:space="preserve"> </w:t>
      </w:r>
      <w:r w:rsidRPr="009F15B7">
        <w:rPr>
          <w:rFonts w:hint="cs"/>
          <w:rtl/>
        </w:rPr>
        <w:t xml:space="preserve">لا يُعالج شرط التثبيت هنا باعتباره "ثغرة" لأنه ليس شرطا من الشروط التي ينص عليها القانون الدولي لحق المؤلف. </w:t>
      </w:r>
    </w:p>
  </w:footnote>
  <w:footnote w:id="39">
    <w:p w14:paraId="390BE7BA" w14:textId="77777777" w:rsidR="000A0201" w:rsidRPr="009F15B7" w:rsidRDefault="000A0201" w:rsidP="007E34E6">
      <w:pPr>
        <w:pStyle w:val="FootnoteText"/>
        <w:jc w:val="both"/>
      </w:pPr>
      <w:r w:rsidRPr="009F15B7">
        <w:rPr>
          <w:rStyle w:val="FootnoteReference"/>
          <w:rFonts w:ascii="Arial" w:hAnsi="Arial" w:cs="Calibri"/>
          <w:sz w:val="18"/>
          <w:szCs w:val="18"/>
        </w:rPr>
        <w:footnoteRef/>
      </w:r>
      <w:r w:rsidRPr="009F15B7">
        <w:rPr>
          <w:rtl/>
        </w:rPr>
        <w:t xml:space="preserve"> </w:t>
      </w:r>
      <w:r w:rsidRPr="009F15B7">
        <w:rPr>
          <w:rFonts w:hint="cs"/>
          <w:rtl/>
        </w:rPr>
        <w:t xml:space="preserve">الإمكانيات الأخرى التي كثيرا ما تُناقش لمعالجة مسألة الملكية هي الحماية المتاحة بموجب حق المؤلف للمصنفات التي لا تحمل اسم مؤلفها والمصنفات المشتركة أو الجماعية. لكن هذه الخيارات تعتبر غير لائقة عموما، ولم تواصل مناقشتها. انظر </w:t>
      </w:r>
      <w:r w:rsidRPr="009F15B7">
        <w:t>WIPO/GRTKF/IC/5/3</w:t>
      </w:r>
      <w:r w:rsidRPr="009F15B7">
        <w:rPr>
          <w:rFonts w:hint="cs"/>
          <w:rtl/>
        </w:rPr>
        <w:t xml:space="preserve"> و</w:t>
      </w:r>
      <w:r w:rsidRPr="009F15B7">
        <w:t>WIPO/GRTKF/IC/6/3</w:t>
      </w:r>
      <w:r w:rsidRPr="009F15B7">
        <w:rPr>
          <w:rFonts w:hint="cs"/>
          <w:rtl/>
        </w:rPr>
        <w:t>.</w:t>
      </w:r>
    </w:p>
  </w:footnote>
  <w:footnote w:id="40">
    <w:p w14:paraId="18C58F22" w14:textId="77777777" w:rsidR="000A0201" w:rsidRPr="00F347F8" w:rsidRDefault="000A0201" w:rsidP="007E34E6">
      <w:pPr>
        <w:pStyle w:val="FootnoteText"/>
      </w:pPr>
      <w:r w:rsidRPr="009F15B7">
        <w:rPr>
          <w:rStyle w:val="FootnoteReference"/>
          <w:rFonts w:ascii="Arial" w:hAnsi="Arial" w:cs="Calibri"/>
          <w:sz w:val="18"/>
          <w:szCs w:val="18"/>
        </w:rPr>
        <w:footnoteRef/>
      </w:r>
      <w:r w:rsidRPr="009F15B7">
        <w:rPr>
          <w:rtl/>
        </w:rPr>
        <w:t xml:space="preserve"> </w:t>
      </w:r>
      <w:r w:rsidRPr="009F15B7">
        <w:rPr>
          <w:rFonts w:hint="cs"/>
          <w:rtl/>
        </w:rPr>
        <w:t xml:space="preserve">انظر </w:t>
      </w:r>
      <w:r w:rsidRPr="009F15B7">
        <w:rPr>
          <w:rtl/>
        </w:rPr>
        <w:t>مذكرة عن معاني مصطلح "الملك العام" في نظام الملكية الفكرية مع إشارة خاصة إلى حماية المعارف التقليدية وأشكال التعبير الثقافي التقليدي/الفولكلور</w:t>
      </w:r>
      <w:r w:rsidRPr="009F15B7">
        <w:rPr>
          <w:rFonts w:hint="cs"/>
          <w:rtl/>
        </w:rPr>
        <w:t xml:space="preserve">، الوثيقة </w:t>
      </w:r>
      <w:r w:rsidRPr="009F15B7">
        <w:t>WIPO/GRTKF/IC/17/INF/8</w:t>
      </w:r>
      <w:r w:rsidRPr="009F15B7">
        <w:rPr>
          <w:rFonts w:hint="cs"/>
          <w:rtl/>
        </w:rPr>
        <w:t>.</w:t>
      </w:r>
    </w:p>
  </w:footnote>
  <w:footnote w:id="41">
    <w:p w14:paraId="6E10C68B" w14:textId="77777777" w:rsidR="000A0201" w:rsidRPr="009F15B7" w:rsidRDefault="000A0201" w:rsidP="007E34E6">
      <w:pPr>
        <w:pStyle w:val="FootnoteText"/>
      </w:pPr>
      <w:r w:rsidRPr="009F15B7">
        <w:rPr>
          <w:rStyle w:val="FootnoteReference"/>
          <w:rFonts w:ascii="Arial" w:hAnsi="Arial" w:cs="Calibri"/>
          <w:sz w:val="18"/>
          <w:szCs w:val="18"/>
        </w:rPr>
        <w:footnoteRef/>
      </w:r>
      <w:r w:rsidRPr="009F15B7">
        <w:rPr>
          <w:rFonts w:hint="cs"/>
          <w:rtl/>
          <w:lang w:val="nl-NL"/>
        </w:rPr>
        <w:t xml:space="preserve"> </w:t>
      </w:r>
      <w:r w:rsidRPr="009F15B7">
        <w:rPr>
          <w:lang w:val="nl-NL"/>
        </w:rPr>
        <w:t>McDonald, I</w:t>
      </w:r>
      <w:r w:rsidRPr="009F15B7">
        <w:rPr>
          <w:rFonts w:hint="cs"/>
          <w:rtl/>
          <w:lang w:val="nl-NL"/>
        </w:rPr>
        <w:t xml:space="preserve"> ، </w:t>
      </w:r>
      <w:r w:rsidRPr="009F15B7">
        <w:rPr>
          <w:rFonts w:hint="cs"/>
          <w:rtl/>
        </w:rPr>
        <w:t>مصدر سابق، الصفحة 44.</w:t>
      </w:r>
    </w:p>
  </w:footnote>
  <w:footnote w:id="42">
    <w:p w14:paraId="149DAF5F" w14:textId="0E9C43B7" w:rsidR="000A0201" w:rsidRPr="009F15B7" w:rsidRDefault="000A0201" w:rsidP="009F15B7">
      <w:pPr>
        <w:pStyle w:val="FootnoteText"/>
        <w:rPr>
          <w:lang w:val="en-GB"/>
        </w:rPr>
      </w:pPr>
      <w:r w:rsidRPr="009F15B7">
        <w:rPr>
          <w:rStyle w:val="FootnoteReference"/>
          <w:rFonts w:ascii="Arial" w:hAnsi="Arial" w:cs="Calibri"/>
          <w:sz w:val="18"/>
          <w:szCs w:val="18"/>
        </w:rPr>
        <w:footnoteRef/>
      </w:r>
      <w:r w:rsidRPr="009F15B7">
        <w:rPr>
          <w:rtl/>
        </w:rPr>
        <w:t xml:space="preserve"> </w:t>
      </w:r>
      <w:r w:rsidRPr="009F15B7">
        <w:rPr>
          <w:rFonts w:hint="cs"/>
          <w:rtl/>
        </w:rPr>
        <w:t xml:space="preserve">انظر بالأخص </w:t>
      </w:r>
      <w:r w:rsidRPr="009F15B7">
        <w:t>WIPO/GRTKF/IC/5/3</w:t>
      </w:r>
      <w:r w:rsidRPr="009F15B7">
        <w:rPr>
          <w:rFonts w:hint="cs"/>
          <w:rtl/>
        </w:rPr>
        <w:t xml:space="preserve"> و</w:t>
      </w:r>
      <w:r w:rsidRPr="009F15B7">
        <w:t>WIPO/GRTKF/IC/6/3</w:t>
      </w:r>
      <w:r w:rsidRPr="009F15B7">
        <w:rPr>
          <w:rFonts w:hint="cs"/>
          <w:rtl/>
        </w:rPr>
        <w:t>.</w:t>
      </w:r>
    </w:p>
  </w:footnote>
  <w:footnote w:id="43">
    <w:p w14:paraId="005D8025" w14:textId="77777777" w:rsidR="000A0201" w:rsidRPr="00AA4FA4" w:rsidRDefault="000A0201" w:rsidP="007E34E6">
      <w:pPr>
        <w:pStyle w:val="FootnoteText"/>
        <w:rPr>
          <w:rtl/>
          <w:lang w:val="fr-FR" w:bidi="ar-MA"/>
        </w:rPr>
      </w:pPr>
      <w:r w:rsidRPr="009F15B7">
        <w:rPr>
          <w:rStyle w:val="FootnoteReference"/>
          <w:rFonts w:ascii="Arial" w:hAnsi="Arial" w:cs="Calibri"/>
          <w:sz w:val="18"/>
          <w:szCs w:val="18"/>
        </w:rPr>
        <w:footnoteRef/>
      </w:r>
      <w:r w:rsidRPr="009F15B7">
        <w:rPr>
          <w:rtl/>
        </w:rPr>
        <w:t xml:space="preserve"> ويمكن الاطلاع على معلومات إضافية حول القضايا المرتبطة بتوثيق أشكال التعبير الثقافي التقليدي في المنشورات التالية،</w:t>
      </w:r>
      <w:r w:rsidRPr="009F15B7">
        <w:rPr>
          <w:rFonts w:hint="cs"/>
          <w:rtl/>
        </w:rPr>
        <w:t xml:space="preserve"> </w:t>
      </w:r>
      <w:proofErr w:type="spellStart"/>
      <w:r w:rsidRPr="009F15B7">
        <w:t>Torsen</w:t>
      </w:r>
      <w:proofErr w:type="spellEnd"/>
      <w:r w:rsidRPr="009F15B7">
        <w:t xml:space="preserve"> and Anderson, “Intellectual Property and the Safeguarding of Traditional Cultures, Legal Issues and Practical Options for Museums, Libraries and Archives</w:t>
      </w:r>
      <w:r w:rsidRPr="009F15B7">
        <w:rPr>
          <w:rtl/>
        </w:rPr>
        <w:t>”</w:t>
      </w:r>
      <w:r w:rsidRPr="009F15B7">
        <w:rPr>
          <w:rFonts w:hint="cs"/>
          <w:rtl/>
        </w:rPr>
        <w:t>، الويبو، سنة 2010، و"</w:t>
      </w:r>
      <w:r w:rsidRPr="009F15B7">
        <w:rPr>
          <w:rtl/>
        </w:rPr>
        <w:t>توثيق المعارف التقليدية – مجموعة أدوات"</w:t>
      </w:r>
      <w:r w:rsidRPr="009F15B7">
        <w:rPr>
          <w:rFonts w:hint="cs"/>
          <w:rtl/>
        </w:rPr>
        <w:t>، الويبو، سنة 2017.</w:t>
      </w:r>
    </w:p>
  </w:footnote>
  <w:footnote w:id="44">
    <w:p w14:paraId="1E09BA80" w14:textId="77777777" w:rsidR="000A0201" w:rsidRPr="009F15B7" w:rsidRDefault="000A0201" w:rsidP="007E34E6">
      <w:pPr>
        <w:pStyle w:val="FootnoteText"/>
        <w:rPr>
          <w:lang w:val="en-GB"/>
        </w:rPr>
      </w:pPr>
      <w:r w:rsidRPr="009F15B7">
        <w:rPr>
          <w:rStyle w:val="FootnoteReference"/>
          <w:rFonts w:ascii="Arial" w:hAnsi="Arial" w:cs="Calibri"/>
          <w:sz w:val="18"/>
          <w:szCs w:val="18"/>
        </w:rPr>
        <w:footnoteRef/>
      </w:r>
      <w:r w:rsidRPr="009F15B7">
        <w:rPr>
          <w:rtl/>
        </w:rPr>
        <w:t xml:space="preserve"> </w:t>
      </w:r>
      <w:r w:rsidRPr="009F15B7">
        <w:rPr>
          <w:rFonts w:hint="cs"/>
          <w:rtl/>
        </w:rPr>
        <w:t xml:space="preserve">انظر </w:t>
      </w:r>
      <w:r w:rsidRPr="009F15B7">
        <w:t>WIPO/GRTKF/IC/12/6</w:t>
      </w:r>
      <w:r w:rsidRPr="009F15B7">
        <w:rPr>
          <w:rFonts w:hint="cs"/>
          <w:rtl/>
        </w:rPr>
        <w:t xml:space="preserve"> للاطلاع على مجموعة من الخيارات بشأن الأشكال التي يمكن أن يأخذها صك دولي.</w:t>
      </w:r>
    </w:p>
  </w:footnote>
  <w:footnote w:id="45">
    <w:p w14:paraId="764476AC" w14:textId="77777777" w:rsidR="000A0201" w:rsidRPr="00F347F8" w:rsidRDefault="000A0201" w:rsidP="007E34E6">
      <w:pPr>
        <w:pStyle w:val="FootnoteText"/>
      </w:pPr>
      <w:r w:rsidRPr="00F347F8">
        <w:rPr>
          <w:rStyle w:val="FootnoteReference"/>
          <w:sz w:val="18"/>
          <w:szCs w:val="18"/>
        </w:rPr>
        <w:footnoteRef/>
      </w:r>
      <w:r w:rsidRPr="00F347F8">
        <w:rPr>
          <w:rtl/>
        </w:rPr>
        <w:t xml:space="preserve"> </w:t>
      </w:r>
      <w:r w:rsidRPr="00F347F8">
        <w:rPr>
          <w:rFonts w:hint="cs"/>
          <w:rtl/>
        </w:rPr>
        <w:t xml:space="preserve">متاح للجنة في الوثيقة </w:t>
      </w:r>
      <w:r w:rsidRPr="00F347F8">
        <w:t>WIPO/GRTKF/IC/12/INF/6</w:t>
      </w:r>
      <w:r w:rsidRPr="00F347F8">
        <w:rPr>
          <w:rFonts w:hint="cs"/>
          <w:rtl/>
        </w:rPr>
        <w:t>.</w:t>
      </w:r>
    </w:p>
  </w:footnote>
  <w:footnote w:id="46">
    <w:p w14:paraId="3B899939" w14:textId="77777777" w:rsidR="000A0201" w:rsidRPr="00F347F8" w:rsidRDefault="000A0201" w:rsidP="007E34E6">
      <w:pPr>
        <w:pStyle w:val="FootnoteText"/>
      </w:pPr>
      <w:r w:rsidRPr="00F347F8">
        <w:rPr>
          <w:rStyle w:val="FootnoteReference"/>
          <w:sz w:val="18"/>
          <w:szCs w:val="18"/>
        </w:rPr>
        <w:footnoteRef/>
      </w:r>
      <w:r w:rsidRPr="00F347F8">
        <w:rPr>
          <w:rtl/>
        </w:rPr>
        <w:t xml:space="preserve"> </w:t>
      </w:r>
      <w:r w:rsidRPr="00F347F8">
        <w:t>WIPO/GRTKF/IC/5/3</w:t>
      </w:r>
      <w:r w:rsidRPr="00F347F8">
        <w:rPr>
          <w:rFonts w:hint="cs"/>
          <w:rtl/>
        </w:rPr>
        <w:t xml:space="preserve"> و</w:t>
      </w:r>
      <w:r w:rsidRPr="00F347F8">
        <w:t xml:space="preserve"> WIPO/GRTKF/IC/6/3</w:t>
      </w:r>
      <w:r w:rsidRPr="00F347F8">
        <w:rPr>
          <w:rFonts w:hint="cs"/>
          <w:rtl/>
        </w:rPr>
        <w:t xml:space="preserve"> و</w:t>
      </w:r>
      <w:r w:rsidRPr="00F347F8">
        <w:t xml:space="preserve"> WIPO/GRTKF/IC/7/3</w:t>
      </w:r>
      <w:r w:rsidRPr="00F347F8">
        <w:rPr>
          <w:rFonts w:hint="cs"/>
          <w:rtl/>
        </w:rPr>
        <w:t>.</w:t>
      </w:r>
    </w:p>
  </w:footnote>
  <w:footnote w:id="47">
    <w:p w14:paraId="28C7F98C" w14:textId="77777777" w:rsidR="000A0201" w:rsidRDefault="000A0201" w:rsidP="007E34E6">
      <w:pPr>
        <w:pStyle w:val="FootnoteText"/>
        <w:rPr>
          <w:rtl/>
        </w:rPr>
      </w:pPr>
      <w:r w:rsidRPr="00F347F8">
        <w:rPr>
          <w:rStyle w:val="FootnoteReference"/>
          <w:sz w:val="18"/>
          <w:szCs w:val="18"/>
        </w:rPr>
        <w:footnoteRef/>
      </w:r>
      <w:r w:rsidRPr="00F347F8">
        <w:rPr>
          <w:rtl/>
        </w:rPr>
        <w:t xml:space="preserve"> </w:t>
      </w:r>
      <w:r w:rsidRPr="00F347F8">
        <w:rPr>
          <w:rFonts w:hint="cs"/>
          <w:rtl/>
        </w:rPr>
        <w:t xml:space="preserve">انظر وثيقة الويبو </w:t>
      </w:r>
      <w:r w:rsidRPr="00F347F8">
        <w:t>WIPO/GRTKF/IC/5/3</w:t>
      </w:r>
      <w:r w:rsidRPr="00F347F8">
        <w:rPr>
          <w:rFonts w:hint="cs"/>
          <w:rtl/>
        </w:rPr>
        <w:t>، الفقرات من 22 إلى 33، والوثائق اللاحقة.</w:t>
      </w:r>
    </w:p>
  </w:footnote>
  <w:footnote w:id="48">
    <w:p w14:paraId="1ABD4189" w14:textId="6920CCDE" w:rsidR="000A0201" w:rsidRPr="009F15B7" w:rsidRDefault="000A0201" w:rsidP="007E34E6">
      <w:pPr>
        <w:pStyle w:val="FootnoteText"/>
      </w:pPr>
      <w:r w:rsidRPr="009F15B7">
        <w:rPr>
          <w:rStyle w:val="FootnoteReference"/>
          <w:rFonts w:ascii="Arial" w:hAnsi="Arial" w:cs="Calibri"/>
          <w:sz w:val="18"/>
          <w:szCs w:val="18"/>
        </w:rPr>
        <w:footnoteRef/>
      </w:r>
      <w:r w:rsidRPr="009F15B7">
        <w:rPr>
          <w:rtl/>
        </w:rPr>
        <w:t xml:space="preserve"> </w:t>
      </w:r>
      <w:hyperlink r:id="rId4" w:history="1">
        <w:r w:rsidRPr="00CA24DF">
          <w:rPr>
            <w:rStyle w:val="Hyperlink"/>
            <w:color w:val="auto"/>
            <w:u w:val="none"/>
          </w:rPr>
          <w:t>https://www.wipo.int/tk/en/databases/tklaws</w:t>
        </w:r>
      </w:hyperlink>
      <w:r w:rsidRPr="00CA24DF">
        <w:rPr>
          <w:rFonts w:hint="cs"/>
          <w:rtl/>
        </w:rPr>
        <w:t>.</w:t>
      </w:r>
    </w:p>
  </w:footnote>
  <w:footnote w:id="49">
    <w:p w14:paraId="6987D7CB" w14:textId="77777777" w:rsidR="000A0201" w:rsidRPr="009F15B7" w:rsidRDefault="000A0201" w:rsidP="007E34E6">
      <w:pPr>
        <w:pStyle w:val="FootnoteText"/>
      </w:pPr>
      <w:r w:rsidRPr="009F15B7">
        <w:rPr>
          <w:rStyle w:val="FootnoteReference"/>
          <w:rFonts w:ascii="Arial" w:hAnsi="Arial" w:cs="Calibri"/>
          <w:sz w:val="18"/>
          <w:szCs w:val="18"/>
        </w:rPr>
        <w:footnoteRef/>
      </w:r>
      <w:r w:rsidRPr="009F15B7">
        <w:rPr>
          <w:rtl/>
        </w:rPr>
        <w:t xml:space="preserve"> </w:t>
      </w:r>
      <w:r w:rsidRPr="009F15B7">
        <w:t>WIPO/GRTKF/IC/5/INF 3</w:t>
      </w:r>
      <w:r w:rsidRPr="009F15B7">
        <w:rPr>
          <w:rFonts w:hint="cs"/>
          <w:rtl/>
        </w:rPr>
        <w:t xml:space="preserve"> و</w:t>
      </w:r>
      <w:r w:rsidRPr="009F15B7">
        <w:t>WIPO/GRTKF/IC/5/3</w:t>
      </w:r>
      <w:r w:rsidRPr="009F15B7">
        <w:rPr>
          <w:rFonts w:hint="cs"/>
          <w:rtl/>
        </w:rPr>
        <w:t>، التحليل الشامل للويبو.</w:t>
      </w:r>
    </w:p>
  </w:footnote>
  <w:footnote w:id="50">
    <w:p w14:paraId="1B6E7B56" w14:textId="77777777" w:rsidR="000A0201" w:rsidRPr="009F15B7" w:rsidRDefault="000A0201" w:rsidP="007E34E6">
      <w:pPr>
        <w:pStyle w:val="FootnoteText"/>
      </w:pPr>
      <w:r w:rsidRPr="009F15B7">
        <w:rPr>
          <w:rStyle w:val="FootnoteReference"/>
          <w:rFonts w:ascii="Arial" w:hAnsi="Arial" w:cs="Calibri"/>
          <w:sz w:val="18"/>
          <w:szCs w:val="18"/>
        </w:rPr>
        <w:footnoteRef/>
      </w:r>
      <w:r w:rsidRPr="009F15B7">
        <w:rPr>
          <w:rFonts w:hint="cs"/>
          <w:rtl/>
        </w:rPr>
        <w:t xml:space="preserve">انظر </w:t>
      </w:r>
      <w:proofErr w:type="spellStart"/>
      <w:r w:rsidRPr="009F15B7">
        <w:t>Janke</w:t>
      </w:r>
      <w:proofErr w:type="spellEnd"/>
      <w:r w:rsidRPr="009F15B7">
        <w:t>, Terri, ‘Minding Culture – The Protection of Traditional Cultural Expressions’</w:t>
      </w:r>
      <w:r w:rsidRPr="009F15B7">
        <w:rPr>
          <w:rFonts w:hint="cs"/>
          <w:rtl/>
        </w:rPr>
        <w:t>، بتكليف من الويبو.</w:t>
      </w:r>
    </w:p>
  </w:footnote>
  <w:footnote w:id="51">
    <w:p w14:paraId="787E5DFE" w14:textId="77777777" w:rsidR="000A0201" w:rsidRPr="009F15B7" w:rsidRDefault="000A0201" w:rsidP="007E34E6">
      <w:pPr>
        <w:pStyle w:val="FootnoteText"/>
      </w:pPr>
      <w:r w:rsidRPr="009F15B7">
        <w:rPr>
          <w:rStyle w:val="FootnoteReference"/>
          <w:rFonts w:ascii="Arial" w:hAnsi="Arial" w:cs="Calibri"/>
          <w:sz w:val="18"/>
          <w:szCs w:val="18"/>
        </w:rPr>
        <w:footnoteRef/>
      </w:r>
      <w:r w:rsidRPr="009F15B7">
        <w:rPr>
          <w:rtl/>
        </w:rPr>
        <w:t xml:space="preserve"> </w:t>
      </w:r>
      <w:r w:rsidRPr="009F15B7">
        <w:rPr>
          <w:rFonts w:hint="cs"/>
          <w:rtl/>
        </w:rPr>
        <w:t>بيان وفد أستراليا (</w:t>
      </w:r>
      <w:r w:rsidRPr="009F15B7">
        <w:t>WIPO/GRTKF/IC/5/15</w:t>
      </w:r>
      <w:r w:rsidRPr="009F15B7">
        <w:rPr>
          <w:rFonts w:hint="cs"/>
          <w:rtl/>
        </w:rPr>
        <w:t>، الفقرة 131).</w:t>
      </w:r>
    </w:p>
  </w:footnote>
  <w:footnote w:id="52">
    <w:p w14:paraId="22E8CB9E" w14:textId="77777777" w:rsidR="000A0201" w:rsidRPr="00066294" w:rsidRDefault="000A0201" w:rsidP="007E34E6">
      <w:pPr>
        <w:pStyle w:val="FootnoteText"/>
      </w:pPr>
      <w:r w:rsidRPr="009F15B7">
        <w:rPr>
          <w:rStyle w:val="FootnoteReference"/>
          <w:rFonts w:ascii="Arial" w:hAnsi="Arial" w:cs="Calibri"/>
          <w:sz w:val="18"/>
          <w:szCs w:val="18"/>
        </w:rPr>
        <w:footnoteRef/>
      </w:r>
      <w:r w:rsidRPr="009F15B7">
        <w:rPr>
          <w:rtl/>
        </w:rPr>
        <w:t xml:space="preserve"> </w:t>
      </w:r>
      <w:r w:rsidRPr="009F15B7">
        <w:rPr>
          <w:rFonts w:hint="cs"/>
          <w:rtl/>
        </w:rPr>
        <w:t>بيانا وفدي إيطاليا والبرازيل في الدورة الثانية عشرة للجنة الحكومية الدولية.</w:t>
      </w:r>
    </w:p>
  </w:footnote>
  <w:footnote w:id="53">
    <w:p w14:paraId="57D82711" w14:textId="77777777" w:rsidR="000A0201" w:rsidRPr="009F15B7" w:rsidRDefault="000A0201" w:rsidP="007E34E6">
      <w:pPr>
        <w:pStyle w:val="FootnoteText"/>
      </w:pPr>
      <w:r w:rsidRPr="009F15B7">
        <w:rPr>
          <w:rStyle w:val="FootnoteReference"/>
          <w:rFonts w:ascii="Arial" w:hAnsi="Arial" w:cs="Calibri"/>
          <w:sz w:val="28"/>
          <w:szCs w:val="28"/>
        </w:rPr>
        <w:footnoteRef/>
      </w:r>
      <w:r w:rsidRPr="009F15B7">
        <w:rPr>
          <w:rtl/>
        </w:rPr>
        <w:t xml:space="preserve"> </w:t>
      </w:r>
      <w:r w:rsidRPr="009F15B7">
        <w:rPr>
          <w:rFonts w:hint="cs"/>
          <w:rtl/>
        </w:rPr>
        <w:t xml:space="preserve">توجيه الاتحاد الأوروبي </w:t>
      </w:r>
      <w:r w:rsidRPr="009F15B7">
        <w:t>93/98/EEC</w:t>
      </w:r>
      <w:r w:rsidRPr="009F15B7">
        <w:rPr>
          <w:rFonts w:hint="cs"/>
          <w:rtl/>
        </w:rPr>
        <w:t>، الديباجة 6 والمادة 4.</w:t>
      </w:r>
    </w:p>
  </w:footnote>
  <w:footnote w:id="54">
    <w:p w14:paraId="1A5F99A2" w14:textId="77777777" w:rsidR="000A0201" w:rsidRPr="009F15B7" w:rsidRDefault="000A0201" w:rsidP="007E34E6">
      <w:pPr>
        <w:pStyle w:val="FootnoteText"/>
      </w:pPr>
      <w:r w:rsidRPr="009F15B7">
        <w:rPr>
          <w:rStyle w:val="FootnoteReference"/>
          <w:rFonts w:ascii="Arial" w:hAnsi="Arial" w:cs="Calibri"/>
          <w:sz w:val="28"/>
          <w:szCs w:val="28"/>
        </w:rPr>
        <w:footnoteRef/>
      </w:r>
      <w:r w:rsidRPr="009F15B7">
        <w:rPr>
          <w:rtl/>
        </w:rPr>
        <w:t xml:space="preserve"> </w:t>
      </w:r>
      <w:r w:rsidRPr="009F15B7">
        <w:rPr>
          <w:rFonts w:hint="cs"/>
          <w:rtl/>
        </w:rPr>
        <w:t xml:space="preserve">انظر </w:t>
      </w:r>
      <w:r w:rsidRPr="009F15B7">
        <w:t>WIPO/GRTKF/IC/5/15</w:t>
      </w:r>
      <w:r w:rsidRPr="009F15B7">
        <w:rPr>
          <w:rFonts w:hint="cs"/>
          <w:rtl/>
        </w:rPr>
        <w:t>، الفقرة 37.</w:t>
      </w:r>
    </w:p>
  </w:footnote>
  <w:footnote w:id="55">
    <w:p w14:paraId="6095A940" w14:textId="77777777" w:rsidR="000A0201" w:rsidRPr="00CA24DF" w:rsidRDefault="000A0201" w:rsidP="007E34E6">
      <w:pPr>
        <w:pStyle w:val="FootnoteText"/>
      </w:pPr>
      <w:r w:rsidRPr="009F15B7">
        <w:rPr>
          <w:rStyle w:val="FootnoteReference"/>
          <w:rFonts w:ascii="Arial" w:hAnsi="Arial" w:cs="Calibri"/>
          <w:sz w:val="28"/>
          <w:szCs w:val="28"/>
        </w:rPr>
        <w:footnoteRef/>
      </w:r>
      <w:r w:rsidRPr="009F15B7">
        <w:rPr>
          <w:rtl/>
        </w:rPr>
        <w:t xml:space="preserve"> </w:t>
      </w:r>
      <w:proofErr w:type="spellStart"/>
      <w:r w:rsidRPr="009F15B7">
        <w:t>Scafidi</w:t>
      </w:r>
      <w:proofErr w:type="spellEnd"/>
      <w:r w:rsidRPr="009F15B7">
        <w:t xml:space="preserve">, S., ‘Intellectual Property </w:t>
      </w:r>
      <w:r w:rsidRPr="00CA24DF">
        <w:t xml:space="preserve">and Cultural Products,’ 81 </w:t>
      </w:r>
      <w:r w:rsidRPr="00CA24DF">
        <w:rPr>
          <w:i/>
        </w:rPr>
        <w:t>B.U.L. Rev</w:t>
      </w:r>
      <w:r w:rsidRPr="00CA24DF">
        <w:t>. 793</w:t>
      </w:r>
      <w:r w:rsidRPr="00CA24DF">
        <w:rPr>
          <w:rFonts w:hint="cs"/>
          <w:rtl/>
        </w:rPr>
        <w:t>.</w:t>
      </w:r>
    </w:p>
  </w:footnote>
  <w:footnote w:id="56">
    <w:p w14:paraId="688AEE70" w14:textId="2A6041AF" w:rsidR="000A0201" w:rsidRPr="00CA24DF" w:rsidRDefault="000A0201" w:rsidP="007E34E6">
      <w:pPr>
        <w:pStyle w:val="FootnoteText"/>
        <w:rPr>
          <w:rtl/>
        </w:rPr>
      </w:pPr>
      <w:r w:rsidRPr="00CA24DF">
        <w:rPr>
          <w:rStyle w:val="FootnoteReference"/>
          <w:rFonts w:ascii="Arial" w:hAnsi="Arial" w:cs="Calibri"/>
          <w:sz w:val="18"/>
          <w:szCs w:val="18"/>
        </w:rPr>
        <w:footnoteRef/>
      </w:r>
      <w:r w:rsidRPr="00CA24DF">
        <w:rPr>
          <w:rtl/>
        </w:rPr>
        <w:t xml:space="preserve"> </w:t>
      </w:r>
      <w:r w:rsidRPr="00CA24DF">
        <w:rPr>
          <w:rFonts w:hint="cs"/>
          <w:rtl/>
        </w:rPr>
        <w:t>قانون حق المؤلف في كندا، المادة 77، وهو متاح على الموقع التالي:</w:t>
      </w:r>
      <w:r w:rsidRPr="00CA24DF">
        <w:rPr>
          <w:rFonts w:hint="cs"/>
          <w:iCs/>
          <w:rtl/>
        </w:rPr>
        <w:t xml:space="preserve"> </w:t>
      </w:r>
      <w:hyperlink r:id="rId5" w:anchor="h-88" w:history="1">
        <w:r w:rsidRPr="00CA24DF">
          <w:rPr>
            <w:rStyle w:val="Hyperlink"/>
            <w:iCs/>
            <w:color w:val="auto"/>
            <w:u w:val="none"/>
          </w:rPr>
          <w:t>http://laws-lois.justice.gc.ca/eng/acts/c-42/page-32.html#h-88</w:t>
        </w:r>
      </w:hyperlink>
      <w:r w:rsidRPr="00CA24DF">
        <w:rPr>
          <w:rFonts w:hint="cs"/>
          <w:iCs/>
          <w:rtl/>
        </w:rPr>
        <w:t>.</w:t>
      </w:r>
    </w:p>
  </w:footnote>
  <w:footnote w:id="57">
    <w:p w14:paraId="34EA37FF" w14:textId="77777777" w:rsidR="000A0201" w:rsidRPr="009F15B7" w:rsidRDefault="000A0201" w:rsidP="007E34E6">
      <w:pPr>
        <w:pStyle w:val="FootnoteText"/>
      </w:pPr>
      <w:r w:rsidRPr="00CA24DF">
        <w:rPr>
          <w:rStyle w:val="FootnoteReference"/>
          <w:rFonts w:ascii="Arial" w:hAnsi="Arial" w:cs="Calibri"/>
          <w:sz w:val="18"/>
          <w:szCs w:val="18"/>
        </w:rPr>
        <w:footnoteRef/>
      </w:r>
      <w:r w:rsidRPr="00CA24DF">
        <w:rPr>
          <w:rtl/>
        </w:rPr>
        <w:t xml:space="preserve"> </w:t>
      </w:r>
      <w:r w:rsidRPr="00CA24DF">
        <w:rPr>
          <w:rFonts w:hint="cs"/>
          <w:rtl/>
        </w:rPr>
        <w:t xml:space="preserve">توجيه بشأن بعض الاستخدامات المسموح بها للمصنفات اليتيمة، سنة 2012. </w:t>
      </w:r>
      <w:r w:rsidRPr="009F15B7">
        <w:t>http://ec.europa.eu/internal_market/copyright/orphan_works/index_en.htm#maincontentSec1</w:t>
      </w:r>
      <w:r w:rsidRPr="009F15B7">
        <w:rPr>
          <w:rFonts w:hint="cs"/>
          <w:rtl/>
        </w:rPr>
        <w:t>.</w:t>
      </w:r>
    </w:p>
  </w:footnote>
  <w:footnote w:id="58">
    <w:p w14:paraId="18730E67" w14:textId="77777777" w:rsidR="000A0201" w:rsidRPr="009F15B7" w:rsidRDefault="000A0201" w:rsidP="007E34E6">
      <w:pPr>
        <w:pStyle w:val="FootnoteText"/>
      </w:pPr>
      <w:r w:rsidRPr="009F15B7">
        <w:rPr>
          <w:rStyle w:val="FootnoteReference"/>
          <w:rFonts w:ascii="Arial" w:hAnsi="Arial" w:cs="Calibri"/>
          <w:sz w:val="18"/>
          <w:szCs w:val="18"/>
        </w:rPr>
        <w:footnoteRef/>
      </w:r>
      <w:r w:rsidRPr="009F15B7">
        <w:rPr>
          <w:rtl/>
        </w:rPr>
        <w:t xml:space="preserve"> </w:t>
      </w:r>
      <w:r w:rsidRPr="009F15B7">
        <w:t>https://www.copyright.gov/orphan</w:t>
      </w:r>
      <w:r w:rsidRPr="009F15B7">
        <w:rPr>
          <w:rtl/>
        </w:rPr>
        <w:t>/</w:t>
      </w:r>
    </w:p>
  </w:footnote>
  <w:footnote w:id="59">
    <w:p w14:paraId="10FC33F4" w14:textId="77777777" w:rsidR="000A0201" w:rsidRPr="00F37FFB" w:rsidRDefault="000A0201" w:rsidP="007E34E6">
      <w:pPr>
        <w:pStyle w:val="FootnoteText"/>
      </w:pPr>
      <w:r w:rsidRPr="009F15B7">
        <w:rPr>
          <w:rStyle w:val="FootnoteReference"/>
          <w:rFonts w:ascii="Arial" w:hAnsi="Arial" w:cs="Calibri"/>
          <w:sz w:val="18"/>
          <w:szCs w:val="18"/>
        </w:rPr>
        <w:footnoteRef/>
      </w:r>
      <w:r w:rsidRPr="009F15B7">
        <w:rPr>
          <w:rtl/>
        </w:rPr>
        <w:t xml:space="preserve"> </w:t>
      </w:r>
      <w:r w:rsidRPr="009F15B7">
        <w:t>Directive on Resale Rights for the Benefit of the Authors of Original Works of Art, 2001</w:t>
      </w:r>
      <w:r w:rsidRPr="009F15B7">
        <w:rPr>
          <w:rFonts w:hint="cs"/>
          <w:rtl/>
        </w:rPr>
        <w:t>.</w:t>
      </w:r>
    </w:p>
  </w:footnote>
  <w:footnote w:id="60">
    <w:p w14:paraId="3661C366" w14:textId="77777777" w:rsidR="000A0201" w:rsidRPr="009F15B7" w:rsidRDefault="000A0201" w:rsidP="007E34E6">
      <w:pPr>
        <w:pStyle w:val="FootnoteText"/>
        <w:rPr>
          <w:lang w:bidi="ar-MA"/>
        </w:rPr>
      </w:pPr>
      <w:r w:rsidRPr="009F15B7">
        <w:rPr>
          <w:rStyle w:val="FootnoteReference"/>
          <w:rFonts w:ascii="Arial" w:hAnsi="Arial" w:cs="Calibri"/>
          <w:sz w:val="18"/>
          <w:szCs w:val="18"/>
        </w:rPr>
        <w:footnoteRef/>
      </w:r>
      <w:r w:rsidRPr="009F15B7">
        <w:rPr>
          <w:rtl/>
        </w:rPr>
        <w:t xml:space="preserve"> </w:t>
      </w:r>
      <w:proofErr w:type="gramStart"/>
      <w:r w:rsidRPr="009F15B7">
        <w:rPr>
          <w:rtl/>
        </w:rPr>
        <w:t>بشان</w:t>
      </w:r>
      <w:proofErr w:type="gramEnd"/>
      <w:r w:rsidRPr="009F15B7">
        <w:rPr>
          <w:rtl/>
        </w:rPr>
        <w:t xml:space="preserve"> حق إعادة البيع انظر </w:t>
      </w:r>
      <w:proofErr w:type="spellStart"/>
      <w:r w:rsidRPr="009F15B7">
        <w:t>Farchy</w:t>
      </w:r>
      <w:proofErr w:type="spellEnd"/>
      <w:r w:rsidRPr="009F15B7">
        <w:t xml:space="preserve">, J. and </w:t>
      </w:r>
      <w:proofErr w:type="spellStart"/>
      <w:r w:rsidRPr="009F15B7">
        <w:t>Graddy</w:t>
      </w:r>
      <w:proofErr w:type="spellEnd"/>
      <w:r w:rsidRPr="009F15B7">
        <w:t>, K, The Economic Implications of the Artist’s Resale Right SCCR/35/7</w:t>
      </w:r>
      <w:r w:rsidRPr="009F15B7">
        <w:rPr>
          <w:rFonts w:hint="cs"/>
          <w:rtl/>
        </w:rPr>
        <w:t>.</w:t>
      </w:r>
    </w:p>
  </w:footnote>
  <w:footnote w:id="61">
    <w:p w14:paraId="5F91FCE4" w14:textId="77777777" w:rsidR="000A0201" w:rsidRPr="009F15B7" w:rsidRDefault="000A0201" w:rsidP="007E34E6">
      <w:pPr>
        <w:pStyle w:val="FootnoteText"/>
      </w:pPr>
      <w:r w:rsidRPr="009F15B7">
        <w:rPr>
          <w:rStyle w:val="FootnoteReference"/>
          <w:rFonts w:ascii="Arial" w:hAnsi="Arial" w:cs="Calibri"/>
          <w:sz w:val="18"/>
          <w:szCs w:val="18"/>
        </w:rPr>
        <w:footnoteRef/>
      </w:r>
      <w:r w:rsidRPr="009F15B7">
        <w:rPr>
          <w:rFonts w:hint="cs"/>
          <w:rtl/>
        </w:rPr>
        <w:t xml:space="preserve"> مبادرة </w:t>
      </w:r>
      <w:r w:rsidRPr="009F15B7">
        <w:t>One Village One Product</w:t>
      </w:r>
      <w:r w:rsidRPr="009F15B7">
        <w:rPr>
          <w:rFonts w:hint="cs"/>
          <w:rtl/>
        </w:rPr>
        <w:t xml:space="preserve"> في </w:t>
      </w:r>
      <w:r w:rsidRPr="009F15B7">
        <w:rPr>
          <w:rtl/>
        </w:rPr>
        <w:t>أويتا</w:t>
      </w:r>
      <w:r w:rsidRPr="009F15B7">
        <w:rPr>
          <w:rFonts w:hint="cs"/>
          <w:rtl/>
        </w:rPr>
        <w:t xml:space="preserve">، ويستخدم اليابان نظام التصديق. تم العمل بمبادرة </w:t>
      </w:r>
      <w:r w:rsidRPr="009F15B7">
        <w:t>OVOP</w:t>
      </w:r>
      <w:r w:rsidRPr="009F15B7">
        <w:rPr>
          <w:rFonts w:hint="cs"/>
          <w:rtl/>
        </w:rPr>
        <w:t xml:space="preserve"> أيضا في تايلند وإندونيسي</w:t>
      </w:r>
      <w:r w:rsidRPr="009F15B7">
        <w:rPr>
          <w:rFonts w:hint="eastAsia"/>
          <w:rtl/>
        </w:rPr>
        <w:t>ا</w:t>
      </w:r>
      <w:r w:rsidRPr="009F15B7">
        <w:rPr>
          <w:rFonts w:hint="cs"/>
          <w:rtl/>
        </w:rPr>
        <w:t xml:space="preserve"> ولاوس وكمبوديا. </w:t>
      </w:r>
    </w:p>
  </w:footnote>
  <w:footnote w:id="62">
    <w:p w14:paraId="7E9F92B0" w14:textId="77777777" w:rsidR="000A0201" w:rsidRPr="009F15B7" w:rsidRDefault="000A0201" w:rsidP="007E34E6">
      <w:pPr>
        <w:pStyle w:val="FootnoteText"/>
      </w:pPr>
      <w:r w:rsidRPr="009F15B7">
        <w:rPr>
          <w:rStyle w:val="FootnoteReference"/>
          <w:rFonts w:ascii="Arial" w:hAnsi="Arial" w:cs="Calibri"/>
          <w:sz w:val="18"/>
          <w:szCs w:val="18"/>
        </w:rPr>
        <w:footnoteRef/>
      </w:r>
      <w:r w:rsidRPr="009F15B7">
        <w:rPr>
          <w:rtl/>
        </w:rPr>
        <w:t xml:space="preserve"> </w:t>
      </w:r>
      <w:r w:rsidRPr="009F15B7">
        <w:rPr>
          <w:rFonts w:hint="cs"/>
          <w:rtl/>
        </w:rPr>
        <w:t>انظر التحليل الشامل.</w:t>
      </w:r>
    </w:p>
  </w:footnote>
  <w:footnote w:id="63">
    <w:p w14:paraId="4ACB5E4D" w14:textId="77777777" w:rsidR="000A0201" w:rsidRPr="009F15B7" w:rsidRDefault="000A0201" w:rsidP="007E34E6">
      <w:pPr>
        <w:pStyle w:val="FootnoteText"/>
      </w:pPr>
      <w:r w:rsidRPr="009F15B7">
        <w:rPr>
          <w:rStyle w:val="FootnoteReference"/>
          <w:rFonts w:ascii="Arial" w:hAnsi="Arial" w:cs="Calibri"/>
          <w:sz w:val="18"/>
          <w:szCs w:val="18"/>
        </w:rPr>
        <w:footnoteRef/>
      </w:r>
      <w:r w:rsidRPr="009F15B7">
        <w:rPr>
          <w:rtl/>
        </w:rPr>
        <w:t xml:space="preserve"> </w:t>
      </w:r>
      <w:r w:rsidRPr="009F15B7">
        <w:t>WIPO/GRTKF/IC/3/10</w:t>
      </w:r>
      <w:r w:rsidRPr="009F15B7">
        <w:rPr>
          <w:rFonts w:hint="cs"/>
          <w:rtl/>
        </w:rPr>
        <w:t>، الفقرة 122"1".</w:t>
      </w:r>
    </w:p>
  </w:footnote>
  <w:footnote w:id="64">
    <w:p w14:paraId="76ED8D41" w14:textId="77777777" w:rsidR="000A0201" w:rsidRPr="009F15B7" w:rsidRDefault="000A0201" w:rsidP="007E34E6">
      <w:pPr>
        <w:pStyle w:val="FootnoteText"/>
      </w:pPr>
      <w:r w:rsidRPr="009F15B7">
        <w:rPr>
          <w:rStyle w:val="FootnoteReference"/>
          <w:rFonts w:ascii="Arial" w:hAnsi="Arial" w:cs="Calibri"/>
          <w:sz w:val="18"/>
          <w:szCs w:val="18"/>
        </w:rPr>
        <w:footnoteRef/>
      </w:r>
      <w:r w:rsidRPr="009F15B7">
        <w:rPr>
          <w:rtl/>
        </w:rPr>
        <w:t xml:space="preserve"> </w:t>
      </w:r>
      <w:r w:rsidRPr="009F15B7">
        <w:rPr>
          <w:rFonts w:hint="cs"/>
          <w:rtl/>
        </w:rPr>
        <w:t xml:space="preserve">انظر </w:t>
      </w:r>
      <w:r w:rsidRPr="009F15B7">
        <w:t>WIPO/GRTKF/IC/5/3</w:t>
      </w:r>
      <w:r w:rsidRPr="009F15B7">
        <w:rPr>
          <w:rFonts w:hint="cs"/>
          <w:rtl/>
        </w:rPr>
        <w:t>.</w:t>
      </w:r>
    </w:p>
  </w:footnote>
  <w:footnote w:id="65">
    <w:p w14:paraId="1250FC4A" w14:textId="77777777" w:rsidR="000A0201" w:rsidRPr="009F15B7" w:rsidRDefault="000A0201" w:rsidP="007E34E6">
      <w:pPr>
        <w:pStyle w:val="FootnoteText"/>
      </w:pPr>
      <w:r w:rsidRPr="009F15B7">
        <w:rPr>
          <w:rStyle w:val="FootnoteReference"/>
          <w:rFonts w:ascii="Arial" w:hAnsi="Arial" w:cs="Calibri"/>
          <w:sz w:val="18"/>
          <w:szCs w:val="18"/>
        </w:rPr>
        <w:footnoteRef/>
      </w:r>
      <w:r w:rsidRPr="009F15B7">
        <w:rPr>
          <w:rtl/>
        </w:rPr>
        <w:t xml:space="preserve"> </w:t>
      </w:r>
      <w:r w:rsidRPr="009F15B7">
        <w:rPr>
          <w:rFonts w:hint="cs"/>
          <w:rtl/>
        </w:rPr>
        <w:t xml:space="preserve">انظر أيضا </w:t>
      </w:r>
      <w:r w:rsidRPr="009F15B7">
        <w:t>WIPO/GRTKF/IC/5/3</w:t>
      </w:r>
      <w:r w:rsidRPr="009F15B7">
        <w:rPr>
          <w:rFonts w:hint="cs"/>
          <w:rtl/>
        </w:rPr>
        <w:t>.</w:t>
      </w:r>
    </w:p>
  </w:footnote>
  <w:footnote w:id="66">
    <w:p w14:paraId="47EB5828" w14:textId="77777777" w:rsidR="000A0201" w:rsidRPr="0067521A" w:rsidRDefault="000A0201" w:rsidP="007E34E6">
      <w:pPr>
        <w:pStyle w:val="FootnoteText"/>
      </w:pPr>
      <w:r w:rsidRPr="009F15B7">
        <w:rPr>
          <w:rStyle w:val="FootnoteReference"/>
          <w:rFonts w:ascii="Arial" w:hAnsi="Arial" w:cs="Calibri"/>
          <w:sz w:val="18"/>
          <w:szCs w:val="18"/>
        </w:rPr>
        <w:footnoteRef/>
      </w:r>
      <w:r w:rsidRPr="009F15B7">
        <w:rPr>
          <w:rtl/>
        </w:rPr>
        <w:t xml:space="preserve"> </w:t>
      </w:r>
      <w:r w:rsidRPr="009F15B7">
        <w:rPr>
          <w:rFonts w:hint="cs"/>
          <w:rtl/>
        </w:rPr>
        <w:t xml:space="preserve">انظر بالأخص </w:t>
      </w:r>
      <w:r w:rsidRPr="009F15B7">
        <w:t>WIPO/GRTKF/IC/5/3</w:t>
      </w:r>
      <w:r w:rsidRPr="009F15B7">
        <w:rPr>
          <w:rtl/>
        </w:rPr>
        <w:t xml:space="preserve"> </w:t>
      </w:r>
      <w:r w:rsidRPr="009F15B7">
        <w:rPr>
          <w:rFonts w:hint="cs"/>
          <w:rtl/>
        </w:rPr>
        <w:t>و</w:t>
      </w:r>
      <w:r w:rsidRPr="009F15B7">
        <w:t>WIPO/GRTKF/IC/6/3</w:t>
      </w:r>
      <w:r w:rsidRPr="009F15B7">
        <w:rPr>
          <w:rFonts w:hint="cs"/>
          <w:rtl/>
        </w:rPr>
        <w:t>.</w:t>
      </w:r>
    </w:p>
  </w:footnote>
  <w:footnote w:id="67">
    <w:p w14:paraId="2AA1D5FE" w14:textId="77777777" w:rsidR="000A0201" w:rsidRPr="009F15B7" w:rsidRDefault="000A0201" w:rsidP="007E34E6">
      <w:pPr>
        <w:pStyle w:val="FootnoteText"/>
        <w:rPr>
          <w:lang w:bidi="ar-MA"/>
        </w:rPr>
      </w:pPr>
      <w:r w:rsidRPr="009F15B7">
        <w:rPr>
          <w:rStyle w:val="FootnoteReference"/>
          <w:rFonts w:ascii="Arial" w:hAnsi="Arial" w:cs="Calibri"/>
          <w:sz w:val="18"/>
          <w:szCs w:val="18"/>
        </w:rPr>
        <w:footnoteRef/>
      </w:r>
      <w:r w:rsidRPr="009F15B7">
        <w:rPr>
          <w:rtl/>
        </w:rPr>
        <w:t xml:space="preserve"> </w:t>
      </w:r>
      <w:r w:rsidRPr="009F15B7">
        <w:rPr>
          <w:rFonts w:hint="cs"/>
          <w:rtl/>
        </w:rPr>
        <w:t xml:space="preserve">انظر </w:t>
      </w:r>
      <w:r w:rsidRPr="009F15B7">
        <w:rPr>
          <w:iCs/>
        </w:rPr>
        <w:t>https://www.wipo.int/tk/en/resources/training.html</w:t>
      </w:r>
      <w:r w:rsidRPr="009F15B7">
        <w:rPr>
          <w:rFonts w:hint="cs"/>
          <w:iCs/>
          <w:rtl/>
          <w:lang w:val="fr-FR"/>
        </w:rPr>
        <w:t>.</w:t>
      </w:r>
      <w:r w:rsidRPr="009F15B7">
        <w:rPr>
          <w:i/>
          <w:rtl/>
        </w:rPr>
        <w:t xml:space="preserve"> </w:t>
      </w:r>
    </w:p>
  </w:footnote>
  <w:footnote w:id="68">
    <w:p w14:paraId="1D9B347D" w14:textId="77777777" w:rsidR="000A0201" w:rsidRPr="009F15B7" w:rsidRDefault="000A0201" w:rsidP="007E34E6">
      <w:pPr>
        <w:pStyle w:val="FootnoteText"/>
      </w:pPr>
      <w:r w:rsidRPr="009F15B7">
        <w:rPr>
          <w:rStyle w:val="FootnoteReference"/>
          <w:rFonts w:ascii="Arial" w:hAnsi="Arial" w:cs="Calibri"/>
          <w:sz w:val="18"/>
          <w:szCs w:val="18"/>
        </w:rPr>
        <w:footnoteRef/>
      </w:r>
      <w:r w:rsidRPr="009F15B7">
        <w:rPr>
          <w:rtl/>
        </w:rPr>
        <w:t xml:space="preserve"> </w:t>
      </w:r>
      <w:r w:rsidRPr="009F15B7">
        <w:t>https://www.wipo.int/edocs/pubdocs/en/tk/1023/wipo_pub_1023.pdf</w:t>
      </w:r>
      <w:r w:rsidRPr="009F15B7">
        <w:rPr>
          <w:rFonts w:hint="cs"/>
          <w:rtl/>
        </w:rPr>
        <w:t>.</w:t>
      </w:r>
    </w:p>
  </w:footnote>
  <w:footnote w:id="69">
    <w:p w14:paraId="66395043" w14:textId="77777777" w:rsidR="000A0201" w:rsidRPr="009F15B7" w:rsidRDefault="000A0201" w:rsidP="007E34E6">
      <w:pPr>
        <w:pStyle w:val="FootnoteText"/>
      </w:pPr>
      <w:r w:rsidRPr="009F15B7">
        <w:rPr>
          <w:rStyle w:val="FootnoteReference"/>
          <w:rFonts w:ascii="Arial" w:hAnsi="Arial" w:cs="Calibri"/>
          <w:sz w:val="18"/>
          <w:szCs w:val="18"/>
        </w:rPr>
        <w:footnoteRef/>
      </w:r>
      <w:r w:rsidRPr="009F15B7">
        <w:rPr>
          <w:rtl/>
        </w:rPr>
        <w:t xml:space="preserve"> </w:t>
      </w:r>
      <w:r w:rsidRPr="009F15B7">
        <w:rPr>
          <w:rFonts w:hint="cs"/>
          <w:rtl/>
        </w:rPr>
        <w:t xml:space="preserve">انظر </w:t>
      </w:r>
      <w:proofErr w:type="spellStart"/>
      <w:r w:rsidRPr="009F15B7">
        <w:t>Wendland</w:t>
      </w:r>
      <w:proofErr w:type="spellEnd"/>
      <w:r w:rsidRPr="009F15B7">
        <w:t>, “Managing Rights in Digitized Indigenous Music</w:t>
      </w:r>
      <w:r w:rsidRPr="009F15B7">
        <w:rPr>
          <w:rtl/>
        </w:rPr>
        <w:t>”</w:t>
      </w:r>
      <w:r w:rsidRPr="009F15B7">
        <w:rPr>
          <w:rFonts w:hint="cs"/>
          <w:rtl/>
        </w:rPr>
        <w:t xml:space="preserve">، مجلة الويبو، أكتوبر 2016. </w:t>
      </w:r>
      <w:r w:rsidRPr="009F15B7">
        <w:t>https://www.wipo.int/wipo_magazine/en/2016/05/article_0003.html</w:t>
      </w:r>
      <w:r w:rsidRPr="009F15B7">
        <w:rPr>
          <w:rFonts w:hint="cs"/>
          <w:rtl/>
        </w:rPr>
        <w:t>.</w:t>
      </w:r>
    </w:p>
  </w:footnote>
  <w:footnote w:id="70">
    <w:p w14:paraId="3FC904AA" w14:textId="77777777" w:rsidR="000A0201" w:rsidRPr="0067521A" w:rsidRDefault="000A0201" w:rsidP="007E34E6">
      <w:pPr>
        <w:pStyle w:val="FootnoteText"/>
      </w:pPr>
      <w:r w:rsidRPr="009F15B7">
        <w:rPr>
          <w:rStyle w:val="FootnoteReference"/>
          <w:rFonts w:ascii="Arial" w:hAnsi="Arial" w:cs="Calibri"/>
          <w:sz w:val="18"/>
          <w:szCs w:val="18"/>
        </w:rPr>
        <w:footnoteRef/>
      </w:r>
      <w:r w:rsidRPr="009F15B7">
        <w:rPr>
          <w:rtl/>
        </w:rPr>
        <w:t xml:space="preserve"> </w:t>
      </w:r>
      <w:r w:rsidRPr="009F15B7">
        <w:t>https://www.wipo.int/tk/en/resources/surveys.html</w:t>
      </w:r>
      <w:r w:rsidRPr="009F15B7">
        <w:rPr>
          <w:rtl/>
        </w:rPr>
        <w:t>.</w:t>
      </w:r>
    </w:p>
  </w:footnote>
  <w:footnote w:id="71">
    <w:p w14:paraId="1DC4BDEF" w14:textId="77777777" w:rsidR="000A0201" w:rsidRPr="009F15B7" w:rsidRDefault="000A0201" w:rsidP="007E34E6">
      <w:pPr>
        <w:pStyle w:val="FootnoteText"/>
      </w:pPr>
      <w:r w:rsidRPr="009F15B7">
        <w:rPr>
          <w:rStyle w:val="FootnoteReference"/>
          <w:rFonts w:ascii="Arial" w:hAnsi="Arial" w:cs="Calibri"/>
          <w:sz w:val="18"/>
          <w:szCs w:val="18"/>
        </w:rPr>
        <w:footnoteRef/>
      </w:r>
      <w:r w:rsidRPr="009F15B7">
        <w:rPr>
          <w:rtl/>
        </w:rPr>
        <w:t xml:space="preserve"> مجموعة بلدان أمريكا اللاتينية والكاريبي</w:t>
      </w:r>
      <w:r w:rsidRPr="009F15B7">
        <w:rPr>
          <w:rFonts w:hint="cs"/>
          <w:rtl/>
        </w:rPr>
        <w:t xml:space="preserve"> (</w:t>
      </w:r>
      <w:r w:rsidRPr="009F15B7">
        <w:t>WIPO/GRTKF/IC/1/5, Annex II, p. 5</w:t>
      </w:r>
      <w:r w:rsidRPr="009F15B7">
        <w:rPr>
          <w:rFonts w:hint="cs"/>
          <w:rtl/>
        </w:rPr>
        <w:t>).</w:t>
      </w:r>
    </w:p>
  </w:footnote>
  <w:footnote w:id="72">
    <w:p w14:paraId="1FB73AF0" w14:textId="77777777" w:rsidR="000A0201" w:rsidRDefault="000A0201" w:rsidP="007E34E6">
      <w:pPr>
        <w:pStyle w:val="FootnoteText"/>
      </w:pPr>
      <w:r w:rsidRPr="009F15B7">
        <w:rPr>
          <w:rStyle w:val="FootnoteReference"/>
          <w:rFonts w:ascii="Arial" w:hAnsi="Arial" w:cs="Calibri"/>
          <w:sz w:val="18"/>
          <w:szCs w:val="18"/>
        </w:rPr>
        <w:footnoteRef/>
      </w:r>
      <w:r w:rsidRPr="009F15B7">
        <w:rPr>
          <w:rtl/>
        </w:rPr>
        <w:t xml:space="preserve"> </w:t>
      </w:r>
      <w:r w:rsidRPr="009F15B7">
        <w:rPr>
          <w:rFonts w:hint="cs"/>
          <w:rtl/>
        </w:rPr>
        <w:t xml:space="preserve">مثل </w:t>
      </w:r>
      <w:r w:rsidRPr="009F15B7">
        <w:rPr>
          <w:rtl/>
        </w:rPr>
        <w:t>الاتحاد الدولي للمنظمات المعنية بالنسخ الآلي</w:t>
      </w:r>
      <w:r w:rsidRPr="009F15B7">
        <w:rPr>
          <w:rFonts w:hint="cs"/>
          <w:rtl/>
        </w:rPr>
        <w:t>.</w:t>
      </w:r>
    </w:p>
  </w:footnote>
  <w:footnote w:id="73">
    <w:p w14:paraId="535CDD1B" w14:textId="77777777" w:rsidR="000A0201" w:rsidRPr="009F15B7" w:rsidRDefault="000A0201" w:rsidP="007E34E6">
      <w:pPr>
        <w:pStyle w:val="FootnoteText"/>
      </w:pPr>
      <w:r w:rsidRPr="00DE49AF">
        <w:rPr>
          <w:rStyle w:val="FootnoteReference"/>
          <w:sz w:val="18"/>
          <w:szCs w:val="18"/>
        </w:rPr>
        <w:footnoteRef/>
      </w:r>
      <w:r w:rsidRPr="00DE49AF">
        <w:rPr>
          <w:rtl/>
        </w:rPr>
        <w:t xml:space="preserve"> </w:t>
      </w:r>
      <w:r w:rsidRPr="009F15B7">
        <w:rPr>
          <w:rFonts w:hint="cs"/>
          <w:rtl/>
        </w:rPr>
        <w:t xml:space="preserve">انظر </w:t>
      </w:r>
      <w:r w:rsidRPr="009F15B7">
        <w:t>“Report on the Official Insignia of Native American Tribes”</w:t>
      </w:r>
      <w:r w:rsidRPr="009F15B7">
        <w:rPr>
          <w:rFonts w:hint="cs"/>
          <w:rtl/>
        </w:rPr>
        <w:t xml:space="preserve">، 30 سبتمبر 1999. </w:t>
      </w:r>
    </w:p>
  </w:footnote>
  <w:footnote w:id="74">
    <w:p w14:paraId="2C9B3F6F" w14:textId="77777777" w:rsidR="000A0201" w:rsidRPr="009F15B7" w:rsidRDefault="000A0201" w:rsidP="007E34E6">
      <w:pPr>
        <w:pStyle w:val="FootnoteText"/>
      </w:pPr>
      <w:r w:rsidRPr="009F15B7">
        <w:rPr>
          <w:rStyle w:val="FootnoteReference"/>
          <w:rFonts w:ascii="Arial" w:hAnsi="Arial" w:cs="Calibri"/>
          <w:sz w:val="18"/>
          <w:szCs w:val="18"/>
        </w:rPr>
        <w:footnoteRef/>
      </w:r>
      <w:r w:rsidRPr="009F15B7">
        <w:rPr>
          <w:rtl/>
        </w:rPr>
        <w:t xml:space="preserve"> </w:t>
      </w:r>
      <w:r w:rsidRPr="009F15B7">
        <w:rPr>
          <w:rFonts w:hint="cs"/>
          <w:rtl/>
        </w:rPr>
        <w:t xml:space="preserve">المرجع نفسه، الصفحات من 24 إلى 26. </w:t>
      </w:r>
    </w:p>
  </w:footnote>
  <w:footnote w:id="75">
    <w:p w14:paraId="5ADD4B02" w14:textId="77777777" w:rsidR="000A0201" w:rsidRPr="002811AF" w:rsidRDefault="000A0201" w:rsidP="007E34E6">
      <w:pPr>
        <w:pStyle w:val="FootnoteText"/>
        <w:ind w:right="-142"/>
      </w:pPr>
      <w:r w:rsidRPr="009F15B7">
        <w:rPr>
          <w:rStyle w:val="FootnoteReference"/>
          <w:rFonts w:ascii="Arial" w:hAnsi="Arial" w:cs="Calibri"/>
          <w:sz w:val="18"/>
          <w:szCs w:val="18"/>
        </w:rPr>
        <w:footnoteRef/>
      </w:r>
      <w:r w:rsidRPr="009F15B7">
        <w:rPr>
          <w:rtl/>
        </w:rPr>
        <w:t xml:space="preserve"> </w:t>
      </w:r>
      <w:r w:rsidRPr="009F15B7">
        <w:rPr>
          <w:rFonts w:hint="cs"/>
          <w:rtl/>
        </w:rPr>
        <w:t xml:space="preserve">القانون متاح على الموقع التالي: </w:t>
      </w:r>
      <w:r w:rsidRPr="009F15B7">
        <w:t>&lt;http://rangi.knowledge</w:t>
      </w:r>
      <w:r w:rsidRPr="009F15B7">
        <w:noBreakHyphen/>
        <w:t>basket.co.nz/gpacts/public/text/2002/an/049.html&gt;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4FAB57" w14:textId="577D0279" w:rsidR="000A0201" w:rsidRPr="002326AB" w:rsidRDefault="000A0201" w:rsidP="000A0201">
    <w:pPr>
      <w:bidi w:val="0"/>
      <w:rPr>
        <w:caps/>
      </w:rPr>
    </w:pPr>
    <w:bookmarkStart w:id="17" w:name="Code2"/>
    <w:bookmarkEnd w:id="17"/>
    <w:r>
      <w:rPr>
        <w:caps/>
      </w:rPr>
      <w:t>WIPO/GRTKf/IC/45/</w:t>
    </w:r>
    <w:r>
      <w:rPr>
        <w:rFonts w:hint="cs"/>
        <w:caps/>
        <w:rtl/>
      </w:rPr>
      <w:t>7</w:t>
    </w:r>
  </w:p>
  <w:p w14:paraId="126CEFA4" w14:textId="1EDBEB9F" w:rsidR="000A0201" w:rsidRDefault="000A0201" w:rsidP="00210D5F">
    <w:pPr>
      <w:bidi w:val="0"/>
    </w:pPr>
    <w:r>
      <w:fldChar w:fldCharType="begin"/>
    </w:r>
    <w:r>
      <w:instrText xml:space="preserve"> PAGE  \* MERGEFORMAT </w:instrText>
    </w:r>
    <w:r>
      <w:fldChar w:fldCharType="separate"/>
    </w:r>
    <w:r w:rsidR="00BE57BB">
      <w:rPr>
        <w:noProof/>
      </w:rPr>
      <w:t>2</w:t>
    </w:r>
    <w:r>
      <w:fldChar w:fldCharType="end"/>
    </w:r>
  </w:p>
  <w:p w14:paraId="7832218B" w14:textId="77777777" w:rsidR="000A0201" w:rsidRDefault="000A0201" w:rsidP="00210D5F">
    <w:pPr>
      <w:bidi w:val="0"/>
    </w:pPr>
  </w:p>
  <w:p w14:paraId="363DCFD3" w14:textId="77777777" w:rsidR="000A0201" w:rsidRDefault="000A0201" w:rsidP="00210D5F">
    <w:pPr>
      <w:bidi w:val="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9362B7" w14:textId="62FE6D9A" w:rsidR="000A0201" w:rsidRPr="007E34E6" w:rsidRDefault="000A0201" w:rsidP="000A0201">
    <w:pPr>
      <w:bidi w:val="0"/>
      <w:rPr>
        <w:rFonts w:cs="Arial"/>
        <w:rtl/>
        <w:lang w:val="fr-CH"/>
      </w:rPr>
    </w:pPr>
    <w:r w:rsidRPr="00D1252B">
      <w:rPr>
        <w:rFonts w:cs="Arial"/>
      </w:rPr>
      <w:t>WIPO/GRTKF/</w:t>
    </w:r>
    <w:r w:rsidRPr="00694409">
      <w:rPr>
        <w:rFonts w:cs="Arial"/>
      </w:rPr>
      <w:t>IC/</w:t>
    </w:r>
    <w:r>
      <w:rPr>
        <w:rFonts w:cs="Arial"/>
      </w:rPr>
      <w:t>45</w:t>
    </w:r>
    <w:r w:rsidRPr="00694409">
      <w:rPr>
        <w:rFonts w:cs="Arial"/>
      </w:rPr>
      <w:t>/7</w:t>
    </w:r>
  </w:p>
  <w:p w14:paraId="0F3F0244" w14:textId="77777777" w:rsidR="000A0201" w:rsidRPr="00AB259D" w:rsidRDefault="000A0201" w:rsidP="006A772A">
    <w:pPr>
      <w:bidi w:val="0"/>
      <w:rPr>
        <w:rFonts w:cs="Arial"/>
        <w:szCs w:val="20"/>
      </w:rPr>
    </w:pPr>
    <w:r w:rsidRPr="00AB259D">
      <w:rPr>
        <w:rFonts w:cs="Arial"/>
        <w:szCs w:val="20"/>
      </w:rPr>
      <w:t>Annex</w:t>
    </w:r>
    <w:r>
      <w:rPr>
        <w:rFonts w:cs="Arial"/>
        <w:szCs w:val="20"/>
      </w:rPr>
      <w:t xml:space="preserve"> I</w:t>
    </w:r>
  </w:p>
  <w:p w14:paraId="7F46A0DF" w14:textId="659B7363" w:rsidR="000A0201" w:rsidRPr="00AB259D" w:rsidRDefault="000A0201" w:rsidP="006A772A">
    <w:pPr>
      <w:bidi w:val="0"/>
      <w:rPr>
        <w:rFonts w:cs="Arial"/>
        <w:szCs w:val="20"/>
      </w:rPr>
    </w:pPr>
    <w:r w:rsidRPr="00AB259D">
      <w:rPr>
        <w:rFonts w:cs="Arial"/>
        <w:szCs w:val="20"/>
      </w:rPr>
      <w:fldChar w:fldCharType="begin"/>
    </w:r>
    <w:r w:rsidRPr="00AB259D">
      <w:rPr>
        <w:rFonts w:cs="Arial"/>
        <w:szCs w:val="20"/>
      </w:rPr>
      <w:instrText xml:space="preserve"> PAGE  \* MERGEFORMAT </w:instrText>
    </w:r>
    <w:r w:rsidRPr="00AB259D">
      <w:rPr>
        <w:rFonts w:cs="Arial"/>
        <w:szCs w:val="20"/>
      </w:rPr>
      <w:fldChar w:fldCharType="separate"/>
    </w:r>
    <w:r w:rsidR="00BE57BB">
      <w:rPr>
        <w:rFonts w:cs="Arial"/>
        <w:noProof/>
        <w:szCs w:val="20"/>
      </w:rPr>
      <w:t>4</w:t>
    </w:r>
    <w:r w:rsidRPr="00AB259D">
      <w:rPr>
        <w:rFonts w:cs="Arial"/>
        <w:szCs w:val="20"/>
      </w:rPr>
      <w:fldChar w:fldCharType="end"/>
    </w:r>
  </w:p>
  <w:p w14:paraId="539697BA" w14:textId="77777777" w:rsidR="000A0201" w:rsidRPr="00AB259D" w:rsidRDefault="000A0201" w:rsidP="006A772A">
    <w:pPr>
      <w:pStyle w:val="Header"/>
      <w:jc w:val="right"/>
      <w:rPr>
        <w:rtl/>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CD4989" w14:textId="40C7C0DC" w:rsidR="000A0201" w:rsidRPr="00167ADF" w:rsidRDefault="000A0201" w:rsidP="000A0201">
    <w:pPr>
      <w:tabs>
        <w:tab w:val="center" w:pos="4323"/>
        <w:tab w:val="center" w:pos="4536"/>
        <w:tab w:val="left" w:pos="5971"/>
      </w:tabs>
      <w:bidi w:val="0"/>
      <w:rPr>
        <w:rFonts w:cs="Arial"/>
        <w:szCs w:val="20"/>
      </w:rPr>
    </w:pPr>
    <w:r w:rsidRPr="00167ADF">
      <w:rPr>
        <w:rFonts w:cs="Arial"/>
        <w:szCs w:val="20"/>
      </w:rPr>
      <w:t>WIPO/GRTKF/IC/</w:t>
    </w:r>
    <w:r>
      <w:rPr>
        <w:rFonts w:cs="Arial"/>
        <w:szCs w:val="20"/>
      </w:rPr>
      <w:t>45/7</w:t>
    </w:r>
  </w:p>
  <w:p w14:paraId="6A8B1151" w14:textId="77777777" w:rsidR="000A0201" w:rsidRPr="00AB259D" w:rsidRDefault="000A0201" w:rsidP="006A772A">
    <w:pPr>
      <w:bidi w:val="0"/>
      <w:jc w:val="both"/>
      <w:rPr>
        <w:rFonts w:cs="Arial"/>
        <w:szCs w:val="20"/>
        <w:lang w:val="fr-FR"/>
      </w:rPr>
    </w:pPr>
    <w:r w:rsidRPr="00AB259D">
      <w:rPr>
        <w:rFonts w:cs="Arial"/>
      </w:rPr>
      <w:t>ANNEX</w:t>
    </w:r>
    <w:r>
      <w:rPr>
        <w:rFonts w:cs="Arial"/>
        <w:lang w:val="fr-FR"/>
      </w:rPr>
      <w:t xml:space="preserve"> I</w:t>
    </w:r>
  </w:p>
  <w:p w14:paraId="742436B3" w14:textId="77777777" w:rsidR="000A0201" w:rsidRPr="00AB259D" w:rsidRDefault="000A0201" w:rsidP="006A772A">
    <w:pPr>
      <w:jc w:val="right"/>
      <w:rPr>
        <w:lang w:bidi="ar-MA"/>
      </w:rPr>
    </w:pPr>
    <w:r w:rsidRPr="00AB259D">
      <w:rPr>
        <w:rtl/>
      </w:rPr>
      <w:t>المرفق</w:t>
    </w:r>
    <w:r>
      <w:rPr>
        <w:rFonts w:hint="cs"/>
        <w:rtl/>
        <w:lang w:bidi="ar-MA"/>
      </w:rPr>
      <w:t xml:space="preserve"> الأول</w:t>
    </w:r>
  </w:p>
  <w:p w14:paraId="2C536EE9" w14:textId="77777777" w:rsidR="000A0201" w:rsidRPr="00CA1E2B" w:rsidRDefault="000A0201" w:rsidP="006A772A">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3173624"/>
      <w:docPartObj>
        <w:docPartGallery w:val="Page Numbers (Top of Page)"/>
        <w:docPartUnique/>
      </w:docPartObj>
    </w:sdtPr>
    <w:sdtEndPr>
      <w:rPr>
        <w:noProof/>
        <w:rtl/>
      </w:rPr>
    </w:sdtEndPr>
    <w:sdtContent>
      <w:bookmarkStart w:id="127" w:name="Code3" w:displacedByCustomXml="prev"/>
      <w:bookmarkEnd w:id="127" w:displacedByCustomXml="prev"/>
      <w:p w14:paraId="6C608CBA" w14:textId="7D6EE421" w:rsidR="000A0201" w:rsidRDefault="000A0201" w:rsidP="000A0201">
        <w:pPr>
          <w:bidi w:val="0"/>
          <w:rPr>
            <w:rFonts w:cs="Arial"/>
          </w:rPr>
        </w:pPr>
        <w:r>
          <w:rPr>
            <w:rFonts w:cs="Arial"/>
          </w:rPr>
          <w:t>WIPO/GRTKF/IC/45/7</w:t>
        </w:r>
      </w:p>
      <w:p w14:paraId="651B9A9B" w14:textId="02A0A0AA" w:rsidR="000A0201" w:rsidRPr="00654E41" w:rsidRDefault="000A0201" w:rsidP="00654E41">
        <w:pPr>
          <w:bidi w:val="0"/>
          <w:rPr>
            <w:rFonts w:cs="Arial"/>
          </w:rPr>
        </w:pPr>
        <w:r>
          <w:rPr>
            <w:rFonts w:cs="Arial"/>
          </w:rPr>
          <w:t>Annex II</w:t>
        </w:r>
      </w:p>
      <w:p w14:paraId="2C48BAC2" w14:textId="44FAA715" w:rsidR="000A0201" w:rsidRDefault="000A0201">
        <w:pPr>
          <w:pStyle w:val="Header"/>
          <w:jc w:val="right"/>
        </w:pPr>
        <w:r>
          <w:fldChar w:fldCharType="begin"/>
        </w:r>
        <w:r>
          <w:instrText xml:space="preserve"> PAGE   \* MERGEFORMAT </w:instrText>
        </w:r>
        <w:r>
          <w:fldChar w:fldCharType="separate"/>
        </w:r>
        <w:r w:rsidR="00BE57BB">
          <w:rPr>
            <w:noProof/>
            <w:rtl/>
          </w:rPr>
          <w:t>4</w:t>
        </w:r>
        <w:r>
          <w:rPr>
            <w:noProof/>
          </w:rPr>
          <w:fldChar w:fldCharType="end"/>
        </w:r>
      </w:p>
    </w:sdtContent>
  </w:sdt>
  <w:p w14:paraId="1FEABD5B" w14:textId="77777777" w:rsidR="000A0201" w:rsidRPr="00C50A61" w:rsidRDefault="000A0201" w:rsidP="00E84621">
    <w:pPr>
      <w:bidi w:val="0"/>
      <w:rPr>
        <w:rFonts w:cs="Arial"/>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0940749"/>
      <w:docPartObj>
        <w:docPartGallery w:val="Page Numbers (Top of Page)"/>
        <w:docPartUnique/>
      </w:docPartObj>
    </w:sdtPr>
    <w:sdtEndPr>
      <w:rPr>
        <w:noProof/>
      </w:rPr>
    </w:sdtEndPr>
    <w:sdtContent>
      <w:p w14:paraId="1697876B" w14:textId="388662B2" w:rsidR="000A0201" w:rsidRPr="00943B5F" w:rsidRDefault="000A0201" w:rsidP="000A0201">
        <w:pPr>
          <w:bidi w:val="0"/>
          <w:rPr>
            <w:rFonts w:cs="Arial"/>
          </w:rPr>
        </w:pPr>
        <w:r w:rsidRPr="00943B5F">
          <w:rPr>
            <w:rFonts w:cs="Arial"/>
          </w:rPr>
          <w:t>WIPO/GRTKF/IC/</w:t>
        </w:r>
        <w:r>
          <w:rPr>
            <w:rFonts w:cs="Arial"/>
          </w:rPr>
          <w:t>45/7</w:t>
        </w:r>
      </w:p>
      <w:p w14:paraId="4E32CD14" w14:textId="77777777" w:rsidR="000A0201" w:rsidRDefault="000A0201" w:rsidP="00654E41">
        <w:pPr>
          <w:bidi w:val="0"/>
          <w:rPr>
            <w:rFonts w:cs="Arial"/>
            <w:lang w:bidi="ar-SY"/>
          </w:rPr>
        </w:pPr>
        <w:r>
          <w:rPr>
            <w:rFonts w:cs="Arial"/>
          </w:rPr>
          <w:t xml:space="preserve">Annex </w:t>
        </w:r>
        <w:r w:rsidRPr="00A829A0">
          <w:rPr>
            <w:rFonts w:cs="Arial"/>
            <w:lang w:bidi="ar-SY"/>
          </w:rPr>
          <w:t>II</w:t>
        </w:r>
      </w:p>
      <w:p w14:paraId="16BCA400" w14:textId="40EF11EF" w:rsidR="000A0201" w:rsidRPr="00654E41" w:rsidRDefault="000A0201" w:rsidP="00654E41">
        <w:pPr>
          <w:bidi w:val="0"/>
          <w:rPr>
            <w:rFonts w:ascii="Calibri" w:hAnsi="Calibri"/>
            <w:lang w:bidi="ar-EG"/>
          </w:rPr>
        </w:pPr>
        <w:r w:rsidRPr="00FB4407">
          <w:rPr>
            <w:rFonts w:ascii="Calibri" w:hAnsi="Calibri"/>
            <w:rtl/>
            <w:lang w:bidi="ar-EG"/>
          </w:rPr>
          <w:t>المرفق الثاني</w:t>
        </w:r>
      </w:p>
    </w:sdtContent>
  </w:sdt>
  <w:p w14:paraId="26EA25F0" w14:textId="3FE93904" w:rsidR="000A0201" w:rsidRDefault="000A0201" w:rsidP="00FB4407">
    <w:pPr>
      <w:bidi w:val="0"/>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9" w15:restartNumberingAfterBreak="0">
    <w:nsid w:val="05037087"/>
    <w:multiLevelType w:val="hybridMultilevel"/>
    <w:tmpl w:val="89C0FB00"/>
    <w:lvl w:ilvl="0" w:tplc="0940501A">
      <w:numFmt w:val="bullet"/>
      <w:lvlText w:val="-"/>
      <w:lvlJc w:val="left"/>
      <w:pPr>
        <w:ind w:left="720" w:hanging="360"/>
      </w:pPr>
      <w:rPr>
        <w:rFonts w:ascii="Calibri" w:eastAsiaTheme="minorHAnsi" w:hAnsi="Calibri" w:cs="Calibri"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09AB2629"/>
    <w:multiLevelType w:val="hybridMultilevel"/>
    <w:tmpl w:val="6160FBF8"/>
    <w:lvl w:ilvl="0" w:tplc="5F5CA06C">
      <w:start w:val="6"/>
      <w:numFmt w:val="bullet"/>
      <w:lvlText w:val="-"/>
      <w:lvlJc w:val="left"/>
      <w:pPr>
        <w:ind w:left="720" w:hanging="360"/>
      </w:pPr>
      <w:rPr>
        <w:rFonts w:ascii="Times New Roman" w:eastAsia="Times New Roman" w:hAnsi="Times New Roman" w:cs="Times New Roman"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2" w15:restartNumberingAfterBreak="0">
    <w:nsid w:val="17526CB9"/>
    <w:multiLevelType w:val="hybridMultilevel"/>
    <w:tmpl w:val="A0205F8E"/>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3" w15:restartNumberingAfterBreak="0">
    <w:nsid w:val="17A71611"/>
    <w:multiLevelType w:val="hybridMultilevel"/>
    <w:tmpl w:val="D55E3380"/>
    <w:lvl w:ilvl="0" w:tplc="DFD0BE7A">
      <w:start w:val="1"/>
      <w:numFmt w:val="arabicAlpha"/>
      <w:lvlText w:val="(%1)"/>
      <w:lvlJc w:val="left"/>
      <w:pPr>
        <w:ind w:left="1137" w:hanging="57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187A4736"/>
    <w:multiLevelType w:val="hybridMultilevel"/>
    <w:tmpl w:val="4942F83A"/>
    <w:lvl w:ilvl="0" w:tplc="7B780F6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6" w15:restartNumberingAfterBreak="0">
    <w:nsid w:val="21E9105C"/>
    <w:multiLevelType w:val="hybridMultilevel"/>
    <w:tmpl w:val="4E9E7D9C"/>
    <w:lvl w:ilvl="0" w:tplc="3D24EAE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280009"/>
    <w:multiLevelType w:val="hybridMultilevel"/>
    <w:tmpl w:val="1256B2D2"/>
    <w:lvl w:ilvl="0" w:tplc="5F5CA06C">
      <w:start w:val="6"/>
      <w:numFmt w:val="bullet"/>
      <w:lvlText w:val="-"/>
      <w:lvlJc w:val="left"/>
      <w:pPr>
        <w:ind w:left="720" w:hanging="360"/>
      </w:pPr>
      <w:rPr>
        <w:rFonts w:ascii="Times New Roman" w:eastAsia="Times New Roman"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8" w15:restartNumberingAfterBreak="0">
    <w:nsid w:val="2ABD6205"/>
    <w:multiLevelType w:val="hybridMultilevel"/>
    <w:tmpl w:val="32F446D2"/>
    <w:lvl w:ilvl="0" w:tplc="5F5CA06C">
      <w:start w:val="6"/>
      <w:numFmt w:val="bullet"/>
      <w:lvlText w:val="-"/>
      <w:lvlJc w:val="left"/>
      <w:pPr>
        <w:ind w:left="720" w:hanging="360"/>
      </w:pPr>
      <w:rPr>
        <w:rFonts w:ascii="Times New Roman" w:eastAsia="Times New Roman"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9" w15:restartNumberingAfterBreak="0">
    <w:nsid w:val="2D277A63"/>
    <w:multiLevelType w:val="hybridMultilevel"/>
    <w:tmpl w:val="F8CE790E"/>
    <w:lvl w:ilvl="0" w:tplc="5F5CA06C">
      <w:start w:val="6"/>
      <w:numFmt w:val="bullet"/>
      <w:lvlText w:val="-"/>
      <w:lvlJc w:val="left"/>
      <w:pPr>
        <w:ind w:left="720" w:hanging="360"/>
      </w:pPr>
      <w:rPr>
        <w:rFonts w:ascii="Times New Roman" w:eastAsia="Times New Roman" w:hAnsi="Times New Roman" w:cs="Times New Roman"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0" w15:restartNumberingAfterBreak="0">
    <w:nsid w:val="2E662C25"/>
    <w:multiLevelType w:val="hybridMultilevel"/>
    <w:tmpl w:val="FB5E06B6"/>
    <w:lvl w:ilvl="0" w:tplc="46580C16">
      <w:start w:val="1"/>
      <w:numFmt w:val="arabicAlpha"/>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1" w15:restartNumberingAfterBreak="0">
    <w:nsid w:val="30637D27"/>
    <w:multiLevelType w:val="hybridMultilevel"/>
    <w:tmpl w:val="43E63516"/>
    <w:lvl w:ilvl="0" w:tplc="9F32E882">
      <w:start w:val="1"/>
      <w:numFmt w:val="decimal"/>
      <w:lvlText w:val="%1."/>
      <w:lvlJc w:val="left"/>
      <w:pPr>
        <w:tabs>
          <w:tab w:val="num" w:pos="567"/>
        </w:tabs>
        <w:ind w:left="0" w:firstLine="0"/>
      </w:pPr>
      <w:rPr>
        <w:rFonts w:ascii="Arabic Typesetting" w:hAnsi="Arabic Typesetting" w:cs="Arabic Typesetting" w:hint="default"/>
        <w:sz w:val="34"/>
        <w:szCs w:val="3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A62082B"/>
    <w:multiLevelType w:val="multilevel"/>
    <w:tmpl w:val="0512D86C"/>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numFmt w:val="bullet"/>
      <w:lvlText w:val="-"/>
      <w:lvlJc w:val="left"/>
      <w:pPr>
        <w:tabs>
          <w:tab w:val="num" w:pos="1197"/>
        </w:tabs>
        <w:ind w:left="630" w:firstLine="0"/>
      </w:pPr>
      <w:rPr>
        <w:rFonts w:ascii="Calibri" w:eastAsiaTheme="minorHAnsi" w:hAnsi="Calibri" w:cs="Calibri"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3" w15:restartNumberingAfterBreak="0">
    <w:nsid w:val="3AD94FBF"/>
    <w:multiLevelType w:val="multilevel"/>
    <w:tmpl w:val="0F1604C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numFmt w:val="bullet"/>
      <w:lvlText w:val="-"/>
      <w:lvlJc w:val="left"/>
      <w:pPr>
        <w:tabs>
          <w:tab w:val="num" w:pos="1197"/>
        </w:tabs>
        <w:ind w:left="630" w:firstLine="0"/>
      </w:pPr>
      <w:rPr>
        <w:rFonts w:ascii="Calibri" w:eastAsiaTheme="minorHAnsi" w:hAnsi="Calibri" w:cs="Calibri"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4" w15:restartNumberingAfterBreak="0">
    <w:nsid w:val="3B9D3373"/>
    <w:multiLevelType w:val="multilevel"/>
    <w:tmpl w:val="A6B4C054"/>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6"/>
      <w:numFmt w:val="bullet"/>
      <w:lvlText w:val="-"/>
      <w:lvlJc w:val="left"/>
      <w:pPr>
        <w:ind w:left="3195" w:hanging="360"/>
      </w:pPr>
      <w:rPr>
        <w:rFonts w:ascii="Times New Roman" w:eastAsia="Times New Roman" w:hAnsi="Times New Roman" w:cs="Times New Roman"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5" w15:restartNumberingAfterBreak="0">
    <w:nsid w:val="4205081D"/>
    <w:multiLevelType w:val="hybridMultilevel"/>
    <w:tmpl w:val="C672BAE8"/>
    <w:lvl w:ilvl="0" w:tplc="0940501A">
      <w:numFmt w:val="bullet"/>
      <w:lvlText w:val="-"/>
      <w:lvlJc w:val="left"/>
      <w:pPr>
        <w:ind w:left="720" w:hanging="360"/>
      </w:pPr>
      <w:rPr>
        <w:rFonts w:ascii="Calibri" w:eastAsiaTheme="minorHAnsi" w:hAnsi="Calibri" w:cs="Calibri"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39549DC"/>
    <w:multiLevelType w:val="hybridMultilevel"/>
    <w:tmpl w:val="D92056F0"/>
    <w:lvl w:ilvl="0" w:tplc="0940501A">
      <w:numFmt w:val="bullet"/>
      <w:lvlText w:val="-"/>
      <w:lvlJc w:val="left"/>
      <w:pPr>
        <w:ind w:left="720" w:hanging="360"/>
      </w:pPr>
      <w:rPr>
        <w:rFonts w:ascii="Calibri" w:eastAsiaTheme="minorHAnsi" w:hAnsi="Calibri" w:cs="Calibri" w:hint="default"/>
      </w:rPr>
    </w:lvl>
    <w:lvl w:ilvl="1" w:tplc="C4A0A128">
      <w:numFmt w:val="bullet"/>
      <w:lvlText w:val="•"/>
      <w:lvlJc w:val="left"/>
      <w:pPr>
        <w:ind w:left="1440" w:hanging="360"/>
      </w:pPr>
      <w:rPr>
        <w:rFonts w:ascii="Arial" w:eastAsia="SimSu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20061B"/>
    <w:multiLevelType w:val="multilevel"/>
    <w:tmpl w:val="948E756E"/>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9" w15:restartNumberingAfterBreak="0">
    <w:nsid w:val="5A7873D8"/>
    <w:multiLevelType w:val="hybridMultilevel"/>
    <w:tmpl w:val="389ABF9E"/>
    <w:lvl w:ilvl="0" w:tplc="98EAE7F0">
      <w:start w:val="1"/>
      <w:numFmt w:val="bullet"/>
      <w:lvlText w:val=""/>
      <w:lvlJc w:val="left"/>
      <w:pPr>
        <w:ind w:left="450" w:hanging="360"/>
      </w:pPr>
      <w:rPr>
        <w:rFonts w:ascii="Symbol" w:hAnsi="Symbol" w:hint="default"/>
        <w:b w:val="0"/>
        <w:bCs w:val="0"/>
        <w:sz w:val="24"/>
        <w:szCs w:val="24"/>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0"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31" w15:restartNumberingAfterBreak="0">
    <w:nsid w:val="63DE076E"/>
    <w:multiLevelType w:val="hybridMultilevel"/>
    <w:tmpl w:val="5672BA9C"/>
    <w:lvl w:ilvl="0" w:tplc="040C0001">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7EB6038"/>
    <w:multiLevelType w:val="hybridMultilevel"/>
    <w:tmpl w:val="3CB2DDE2"/>
    <w:lvl w:ilvl="0" w:tplc="5F5CA06C">
      <w:start w:val="6"/>
      <w:numFmt w:val="bullet"/>
      <w:lvlText w:val="-"/>
      <w:lvlJc w:val="left"/>
      <w:pPr>
        <w:ind w:left="720" w:hanging="360"/>
      </w:pPr>
      <w:rPr>
        <w:rFonts w:ascii="Times New Roman" w:eastAsia="Times New Roman" w:hAnsi="Times New Roman" w:cs="Times New Roman"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3" w15:restartNumberingAfterBreak="0">
    <w:nsid w:val="69FC2E31"/>
    <w:multiLevelType w:val="hybridMultilevel"/>
    <w:tmpl w:val="9EA4997A"/>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4" w15:restartNumberingAfterBreak="0">
    <w:nsid w:val="6AB32F63"/>
    <w:multiLevelType w:val="multilevel"/>
    <w:tmpl w:val="62EE9FEA"/>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bullet"/>
      <w:lvlText w:val=""/>
      <w:lvlJc w:val="left"/>
      <w:pPr>
        <w:tabs>
          <w:tab w:val="num" w:pos="1701"/>
        </w:tabs>
        <w:ind w:left="1134" w:firstLine="0"/>
      </w:pPr>
      <w:rPr>
        <w:rFonts w:ascii="Symbol" w:hAnsi="Symbol"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5" w15:restartNumberingAfterBreak="0">
    <w:nsid w:val="71C731EE"/>
    <w:multiLevelType w:val="hybridMultilevel"/>
    <w:tmpl w:val="84CAB612"/>
    <w:lvl w:ilvl="0" w:tplc="5F5CA06C">
      <w:start w:val="6"/>
      <w:numFmt w:val="bullet"/>
      <w:lvlText w:val="-"/>
      <w:lvlJc w:val="left"/>
      <w:pPr>
        <w:ind w:left="720" w:hanging="360"/>
      </w:pPr>
      <w:rPr>
        <w:rFonts w:ascii="Times New Roman" w:eastAsia="Times New Roman"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6" w15:restartNumberingAfterBreak="0">
    <w:nsid w:val="72742241"/>
    <w:multiLevelType w:val="hybridMultilevel"/>
    <w:tmpl w:val="86F868DC"/>
    <w:lvl w:ilvl="0" w:tplc="5F5CA06C">
      <w:start w:val="6"/>
      <w:numFmt w:val="bullet"/>
      <w:lvlText w:val="-"/>
      <w:lvlJc w:val="left"/>
      <w:pPr>
        <w:ind w:left="720" w:hanging="360"/>
      </w:pPr>
      <w:rPr>
        <w:rFonts w:ascii="Times New Roman" w:eastAsia="Times New Roman"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7" w15:restartNumberingAfterBreak="0">
    <w:nsid w:val="73AE2579"/>
    <w:multiLevelType w:val="hybridMultilevel"/>
    <w:tmpl w:val="7DCA1D98"/>
    <w:lvl w:ilvl="0" w:tplc="B7B05C0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38" w15:restartNumberingAfterBreak="0">
    <w:nsid w:val="7AEF7B0A"/>
    <w:multiLevelType w:val="hybridMultilevel"/>
    <w:tmpl w:val="EF2C11D2"/>
    <w:lvl w:ilvl="0" w:tplc="A4444496">
      <w:start w:val="1"/>
      <w:numFmt w:val="decimal"/>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abstractNum w:abstractNumId="39" w15:restartNumberingAfterBreak="0">
    <w:nsid w:val="7F6754B9"/>
    <w:multiLevelType w:val="multilevel"/>
    <w:tmpl w:val="4D3079A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6"/>
      <w:numFmt w:val="bullet"/>
      <w:lvlText w:val="-"/>
      <w:lvlJc w:val="left"/>
      <w:pPr>
        <w:ind w:left="3195" w:hanging="360"/>
      </w:pPr>
      <w:rPr>
        <w:rFonts w:ascii="Times New Roman" w:eastAsia="Times New Roman" w:hAnsi="Times New Roman" w:cs="Times New Roman"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num w:numId="1">
    <w:abstractNumId w:val="26"/>
  </w:num>
  <w:num w:numId="2">
    <w:abstractNumId w:val="10"/>
  </w:num>
  <w:num w:numId="3">
    <w:abstractNumId w:val="15"/>
  </w:num>
  <w:num w:numId="4">
    <w:abstractNumId w:val="28"/>
  </w:num>
  <w:num w:numId="5">
    <w:abstractNumId w:val="8"/>
  </w:num>
  <w:num w:numId="6">
    <w:abstractNumId w:val="7"/>
  </w:num>
  <w:num w:numId="7">
    <w:abstractNumId w:val="6"/>
  </w:num>
  <w:num w:numId="8">
    <w:abstractNumId w:val="5"/>
  </w:num>
  <w:num w:numId="9">
    <w:abstractNumId w:val="4"/>
  </w:num>
  <w:num w:numId="10">
    <w:abstractNumId w:val="3"/>
  </w:num>
  <w:num w:numId="11">
    <w:abstractNumId w:val="2"/>
  </w:num>
  <w:num w:numId="12">
    <w:abstractNumId w:val="1"/>
  </w:num>
  <w:num w:numId="13">
    <w:abstractNumId w:val="0"/>
  </w:num>
  <w:num w:numId="14">
    <w:abstractNumId w:val="30"/>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27"/>
  </w:num>
  <w:num w:numId="18">
    <w:abstractNumId w:val="22"/>
  </w:num>
  <w:num w:numId="19">
    <w:abstractNumId w:val="23"/>
  </w:num>
  <w:num w:numId="20">
    <w:abstractNumId w:val="24"/>
  </w:num>
  <w:num w:numId="21">
    <w:abstractNumId w:val="39"/>
  </w:num>
  <w:num w:numId="22">
    <w:abstractNumId w:val="11"/>
  </w:num>
  <w:num w:numId="23">
    <w:abstractNumId w:val="19"/>
  </w:num>
  <w:num w:numId="24">
    <w:abstractNumId w:val="32"/>
  </w:num>
  <w:num w:numId="25">
    <w:abstractNumId w:val="17"/>
  </w:num>
  <w:num w:numId="26">
    <w:abstractNumId w:val="36"/>
  </w:num>
  <w:num w:numId="27">
    <w:abstractNumId w:val="35"/>
  </w:num>
  <w:num w:numId="28">
    <w:abstractNumId w:val="25"/>
  </w:num>
  <w:num w:numId="29">
    <w:abstractNumId w:val="9"/>
  </w:num>
  <w:num w:numId="30">
    <w:abstractNumId w:val="18"/>
  </w:num>
  <w:num w:numId="31">
    <w:abstractNumId w:val="20"/>
  </w:num>
  <w:num w:numId="32">
    <w:abstractNumId w:val="38"/>
  </w:num>
  <w:num w:numId="33">
    <w:abstractNumId w:val="31"/>
  </w:num>
  <w:num w:numId="34">
    <w:abstractNumId w:val="29"/>
  </w:num>
  <w:num w:numId="35">
    <w:abstractNumId w:val="16"/>
  </w:num>
  <w:num w:numId="36">
    <w:abstractNumId w:val="14"/>
  </w:num>
  <w:num w:numId="37">
    <w:abstractNumId w:val="34"/>
  </w:num>
  <w:num w:numId="38">
    <w:abstractNumId w:val="13"/>
  </w:num>
  <w:num w:numId="39">
    <w:abstractNumId w:val="37"/>
  </w:num>
  <w:num w:numId="40">
    <w:abstractNumId w:val="33"/>
  </w:num>
  <w:num w:numId="41">
    <w:abstractNumId w:val="12"/>
  </w:num>
  <w:num w:numId="42">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numRestart w:val="eachSect"/>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B95"/>
    <w:rsid w:val="00013CC7"/>
    <w:rsid w:val="00016DCB"/>
    <w:rsid w:val="0002226E"/>
    <w:rsid w:val="00043CAA"/>
    <w:rsid w:val="00045944"/>
    <w:rsid w:val="00056816"/>
    <w:rsid w:val="00071408"/>
    <w:rsid w:val="00075432"/>
    <w:rsid w:val="000912CE"/>
    <w:rsid w:val="000968ED"/>
    <w:rsid w:val="000978FB"/>
    <w:rsid w:val="000A0201"/>
    <w:rsid w:val="000A3D97"/>
    <w:rsid w:val="000C7502"/>
    <w:rsid w:val="000E0994"/>
    <w:rsid w:val="000F5E56"/>
    <w:rsid w:val="00126093"/>
    <w:rsid w:val="001362EE"/>
    <w:rsid w:val="001406E1"/>
    <w:rsid w:val="00155D8A"/>
    <w:rsid w:val="00157FB3"/>
    <w:rsid w:val="00160172"/>
    <w:rsid w:val="001647D5"/>
    <w:rsid w:val="001832A6"/>
    <w:rsid w:val="00186094"/>
    <w:rsid w:val="00187C4F"/>
    <w:rsid w:val="0019592A"/>
    <w:rsid w:val="001A6C3E"/>
    <w:rsid w:val="001A7DDC"/>
    <w:rsid w:val="001B40B8"/>
    <w:rsid w:val="001C5BCB"/>
    <w:rsid w:val="001C6F6B"/>
    <w:rsid w:val="001D4107"/>
    <w:rsid w:val="00203D24"/>
    <w:rsid w:val="00210D5F"/>
    <w:rsid w:val="0021217E"/>
    <w:rsid w:val="002326AB"/>
    <w:rsid w:val="00243430"/>
    <w:rsid w:val="002436F4"/>
    <w:rsid w:val="0024540F"/>
    <w:rsid w:val="00247910"/>
    <w:rsid w:val="002539DF"/>
    <w:rsid w:val="002634C4"/>
    <w:rsid w:val="002928D3"/>
    <w:rsid w:val="002937BA"/>
    <w:rsid w:val="002940AA"/>
    <w:rsid w:val="002A3583"/>
    <w:rsid w:val="002A3D69"/>
    <w:rsid w:val="002B3A32"/>
    <w:rsid w:val="002F1FE6"/>
    <w:rsid w:val="002F4E68"/>
    <w:rsid w:val="00303427"/>
    <w:rsid w:val="0031253F"/>
    <w:rsid w:val="00312F7F"/>
    <w:rsid w:val="00354F51"/>
    <w:rsid w:val="00361450"/>
    <w:rsid w:val="003664AD"/>
    <w:rsid w:val="003673CF"/>
    <w:rsid w:val="003707F0"/>
    <w:rsid w:val="003845C1"/>
    <w:rsid w:val="003A2E1B"/>
    <w:rsid w:val="003A6F89"/>
    <w:rsid w:val="003A7748"/>
    <w:rsid w:val="003B355C"/>
    <w:rsid w:val="003B38C1"/>
    <w:rsid w:val="003B457E"/>
    <w:rsid w:val="003C34E9"/>
    <w:rsid w:val="003D1BA5"/>
    <w:rsid w:val="003E1940"/>
    <w:rsid w:val="003E492C"/>
    <w:rsid w:val="0040443E"/>
    <w:rsid w:val="00423E3E"/>
    <w:rsid w:val="00427AF4"/>
    <w:rsid w:val="004405C4"/>
    <w:rsid w:val="004647DA"/>
    <w:rsid w:val="00474062"/>
    <w:rsid w:val="00477D6B"/>
    <w:rsid w:val="00497613"/>
    <w:rsid w:val="004C4397"/>
    <w:rsid w:val="004F38AC"/>
    <w:rsid w:val="005019FF"/>
    <w:rsid w:val="00513C4E"/>
    <w:rsid w:val="0052161C"/>
    <w:rsid w:val="005264BA"/>
    <w:rsid w:val="00530185"/>
    <w:rsid w:val="0053057A"/>
    <w:rsid w:val="00556076"/>
    <w:rsid w:val="00560458"/>
    <w:rsid w:val="00560A29"/>
    <w:rsid w:val="00563313"/>
    <w:rsid w:val="0057376C"/>
    <w:rsid w:val="00592CEB"/>
    <w:rsid w:val="005A5C77"/>
    <w:rsid w:val="005C1881"/>
    <w:rsid w:val="005C5F8C"/>
    <w:rsid w:val="005C6649"/>
    <w:rsid w:val="005E7B89"/>
    <w:rsid w:val="0060439B"/>
    <w:rsid w:val="00605827"/>
    <w:rsid w:val="00646050"/>
    <w:rsid w:val="0065015F"/>
    <w:rsid w:val="00654E41"/>
    <w:rsid w:val="006713CA"/>
    <w:rsid w:val="00673A8D"/>
    <w:rsid w:val="0067521A"/>
    <w:rsid w:val="00676C5C"/>
    <w:rsid w:val="00687042"/>
    <w:rsid w:val="0069378D"/>
    <w:rsid w:val="00694409"/>
    <w:rsid w:val="006A4C55"/>
    <w:rsid w:val="006A58B5"/>
    <w:rsid w:val="006A6125"/>
    <w:rsid w:val="006A772A"/>
    <w:rsid w:val="006B2894"/>
    <w:rsid w:val="006B5C12"/>
    <w:rsid w:val="006B751D"/>
    <w:rsid w:val="00720EFD"/>
    <w:rsid w:val="00740717"/>
    <w:rsid w:val="007854AF"/>
    <w:rsid w:val="00786074"/>
    <w:rsid w:val="00793A7C"/>
    <w:rsid w:val="007A398A"/>
    <w:rsid w:val="007A5194"/>
    <w:rsid w:val="007C4902"/>
    <w:rsid w:val="007C53FF"/>
    <w:rsid w:val="007D1613"/>
    <w:rsid w:val="007E34E6"/>
    <w:rsid w:val="007E4C0E"/>
    <w:rsid w:val="007F2029"/>
    <w:rsid w:val="007F2EB9"/>
    <w:rsid w:val="00814F42"/>
    <w:rsid w:val="008166C7"/>
    <w:rsid w:val="0083549D"/>
    <w:rsid w:val="00854521"/>
    <w:rsid w:val="00871792"/>
    <w:rsid w:val="00887DB7"/>
    <w:rsid w:val="00890949"/>
    <w:rsid w:val="008A134B"/>
    <w:rsid w:val="008B2CC1"/>
    <w:rsid w:val="008B60B2"/>
    <w:rsid w:val="008D4CE1"/>
    <w:rsid w:val="008E3021"/>
    <w:rsid w:val="008E743A"/>
    <w:rsid w:val="0090731E"/>
    <w:rsid w:val="00916EE2"/>
    <w:rsid w:val="00941E56"/>
    <w:rsid w:val="0095258F"/>
    <w:rsid w:val="00966A22"/>
    <w:rsid w:val="0096722F"/>
    <w:rsid w:val="00980843"/>
    <w:rsid w:val="009B0855"/>
    <w:rsid w:val="009B4A92"/>
    <w:rsid w:val="009C4C16"/>
    <w:rsid w:val="009E2791"/>
    <w:rsid w:val="009E3F6F"/>
    <w:rsid w:val="009F15B7"/>
    <w:rsid w:val="009F25BA"/>
    <w:rsid w:val="009F499F"/>
    <w:rsid w:val="00A02F0F"/>
    <w:rsid w:val="00A37342"/>
    <w:rsid w:val="00A42DAF"/>
    <w:rsid w:val="00A43833"/>
    <w:rsid w:val="00A45BD8"/>
    <w:rsid w:val="00A47C10"/>
    <w:rsid w:val="00A506A6"/>
    <w:rsid w:val="00A5074B"/>
    <w:rsid w:val="00A829A0"/>
    <w:rsid w:val="00A853C4"/>
    <w:rsid w:val="00A869B7"/>
    <w:rsid w:val="00A90F0A"/>
    <w:rsid w:val="00A94DD7"/>
    <w:rsid w:val="00AA283F"/>
    <w:rsid w:val="00AA4217"/>
    <w:rsid w:val="00AC205C"/>
    <w:rsid w:val="00AE50A4"/>
    <w:rsid w:val="00AF0A6B"/>
    <w:rsid w:val="00B01236"/>
    <w:rsid w:val="00B0255F"/>
    <w:rsid w:val="00B05A69"/>
    <w:rsid w:val="00B130F2"/>
    <w:rsid w:val="00B142C7"/>
    <w:rsid w:val="00B15380"/>
    <w:rsid w:val="00B32FDD"/>
    <w:rsid w:val="00B42CA9"/>
    <w:rsid w:val="00B51FF7"/>
    <w:rsid w:val="00B576DD"/>
    <w:rsid w:val="00B75281"/>
    <w:rsid w:val="00B85E65"/>
    <w:rsid w:val="00B92B95"/>
    <w:rsid w:val="00B92F1F"/>
    <w:rsid w:val="00B9734B"/>
    <w:rsid w:val="00BA30E2"/>
    <w:rsid w:val="00BC726D"/>
    <w:rsid w:val="00BD2B24"/>
    <w:rsid w:val="00BE2FF2"/>
    <w:rsid w:val="00BE57BB"/>
    <w:rsid w:val="00BF0277"/>
    <w:rsid w:val="00C05E1B"/>
    <w:rsid w:val="00C11BFE"/>
    <w:rsid w:val="00C5068F"/>
    <w:rsid w:val="00C73E7A"/>
    <w:rsid w:val="00C86D74"/>
    <w:rsid w:val="00CA24DF"/>
    <w:rsid w:val="00CB3DBA"/>
    <w:rsid w:val="00CC3E2D"/>
    <w:rsid w:val="00CD04F1"/>
    <w:rsid w:val="00CD2C6C"/>
    <w:rsid w:val="00CE19F8"/>
    <w:rsid w:val="00CF681A"/>
    <w:rsid w:val="00D07C78"/>
    <w:rsid w:val="00D227B1"/>
    <w:rsid w:val="00D45252"/>
    <w:rsid w:val="00D530E8"/>
    <w:rsid w:val="00D5676F"/>
    <w:rsid w:val="00D60B2C"/>
    <w:rsid w:val="00D67EAE"/>
    <w:rsid w:val="00D71B4D"/>
    <w:rsid w:val="00D90B96"/>
    <w:rsid w:val="00D9393C"/>
    <w:rsid w:val="00D93D55"/>
    <w:rsid w:val="00DB5E58"/>
    <w:rsid w:val="00DD1DF4"/>
    <w:rsid w:val="00DD7B7F"/>
    <w:rsid w:val="00DE445D"/>
    <w:rsid w:val="00DE49AF"/>
    <w:rsid w:val="00DE5F9B"/>
    <w:rsid w:val="00E15015"/>
    <w:rsid w:val="00E2110B"/>
    <w:rsid w:val="00E23EBB"/>
    <w:rsid w:val="00E319DF"/>
    <w:rsid w:val="00E335FE"/>
    <w:rsid w:val="00E60420"/>
    <w:rsid w:val="00E66CC5"/>
    <w:rsid w:val="00E7374D"/>
    <w:rsid w:val="00E84621"/>
    <w:rsid w:val="00E973B2"/>
    <w:rsid w:val="00EA7D6E"/>
    <w:rsid w:val="00EB2F76"/>
    <w:rsid w:val="00EB38A2"/>
    <w:rsid w:val="00EC4E49"/>
    <w:rsid w:val="00ED77FB"/>
    <w:rsid w:val="00EE066C"/>
    <w:rsid w:val="00EE45FA"/>
    <w:rsid w:val="00F043DE"/>
    <w:rsid w:val="00F27241"/>
    <w:rsid w:val="00F31179"/>
    <w:rsid w:val="00F347F8"/>
    <w:rsid w:val="00F37FFB"/>
    <w:rsid w:val="00F62E64"/>
    <w:rsid w:val="00F66152"/>
    <w:rsid w:val="00F9165B"/>
    <w:rsid w:val="00F95B45"/>
    <w:rsid w:val="00FB0052"/>
    <w:rsid w:val="00FB4407"/>
    <w:rsid w:val="00FC482F"/>
    <w:rsid w:val="00FE339E"/>
    <w:rsid w:val="00FE3FD6"/>
    <w:rsid w:val="00FF04BC"/>
    <w:rsid w:val="00FF109B"/>
    <w:rsid w:val="00FF1607"/>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470007"/>
  <w15:docId w15:val="{3C57B1DA-7AE6-4620-AA99-72D760AA6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66C"/>
    <w:pPr>
      <w:bidi/>
    </w:pPr>
    <w:rPr>
      <w:rFonts w:ascii="Arial" w:eastAsia="SimSun" w:hAnsi="Arial" w:cs="Calibri"/>
      <w:sz w:val="22"/>
      <w:szCs w:val="22"/>
      <w:lang w:val="en-US" w:eastAsia="zh-CN"/>
    </w:rPr>
  </w:style>
  <w:style w:type="paragraph" w:styleId="Heading1">
    <w:name w:val="heading 1"/>
    <w:basedOn w:val="Normal"/>
    <w:next w:val="Normal"/>
    <w:link w:val="Heading1Char"/>
    <w:qFormat/>
    <w:rsid w:val="00155D8A"/>
    <w:pPr>
      <w:keepNext/>
      <w:spacing w:after="480"/>
      <w:outlineLvl w:val="0"/>
    </w:pPr>
    <w:rPr>
      <w:b/>
      <w:bCs/>
      <w:caps/>
      <w:kern w:val="32"/>
      <w:sz w:val="32"/>
      <w:szCs w:val="32"/>
    </w:rPr>
  </w:style>
  <w:style w:type="paragraph" w:styleId="Heading2">
    <w:name w:val="heading 2"/>
    <w:basedOn w:val="Normal"/>
    <w:next w:val="Normal"/>
    <w:link w:val="Heading2Char"/>
    <w:qFormat/>
    <w:rsid w:val="00155D8A"/>
    <w:pPr>
      <w:keepNext/>
      <w:spacing w:before="240" w:after="60"/>
      <w:outlineLvl w:val="1"/>
    </w:pPr>
    <w:rPr>
      <w:bCs/>
      <w:iCs/>
      <w:caps/>
      <w:sz w:val="28"/>
      <w:szCs w:val="28"/>
    </w:rPr>
  </w:style>
  <w:style w:type="paragraph" w:styleId="Heading3">
    <w:name w:val="heading 3"/>
    <w:basedOn w:val="Normal"/>
    <w:next w:val="Normal"/>
    <w:link w:val="Heading3Char"/>
    <w:qFormat/>
    <w:rsid w:val="00155D8A"/>
    <w:pPr>
      <w:keepNext/>
      <w:spacing w:before="240" w:after="60"/>
      <w:outlineLvl w:val="2"/>
    </w:pPr>
    <w:rPr>
      <w:bCs/>
      <w:sz w:val="26"/>
      <w:szCs w:val="26"/>
      <w:u w:val="single"/>
    </w:rPr>
  </w:style>
  <w:style w:type="paragraph" w:styleId="Heading4">
    <w:name w:val="heading 4"/>
    <w:basedOn w:val="Normal"/>
    <w:next w:val="Normal"/>
    <w:link w:val="Heading4Char"/>
    <w:qFormat/>
    <w:rsid w:val="00155D8A"/>
    <w:pPr>
      <w:keepNext/>
      <w:spacing w:before="240" w:after="60"/>
      <w:outlineLvl w:val="3"/>
    </w:pPr>
    <w:rPr>
      <w:bCs/>
      <w:i/>
      <w:sz w:val="24"/>
      <w:szCs w:val="24"/>
    </w:rPr>
  </w:style>
  <w:style w:type="paragraph" w:styleId="Heading5">
    <w:name w:val="heading 5"/>
    <w:basedOn w:val="Normal"/>
    <w:next w:val="BodyText"/>
    <w:link w:val="Heading5Char"/>
    <w:qFormat/>
    <w:rsid w:val="00FF1607"/>
    <w:pPr>
      <w:keepNext/>
      <w:spacing w:before="200"/>
      <w:outlineLvl w:val="4"/>
    </w:pPr>
    <w:rPr>
      <w:rFonts w:ascii="Arabic Typesetting" w:eastAsia="Times New Roman" w:hAnsi="Arabic Typesetting" w:cs="Arabic Typesetting"/>
      <w:i/>
      <w:iCs/>
      <w:sz w:val="36"/>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uiPriority w:val="2"/>
    <w:rsid w:val="0053057A"/>
    <w:pPr>
      <w:ind w:left="5534"/>
    </w:pPr>
  </w:style>
  <w:style w:type="paragraph" w:styleId="BodyText">
    <w:name w:val="Body Text"/>
    <w:basedOn w:val="Normal"/>
    <w:link w:val="BodyTextChar1"/>
    <w:uiPriority w:val="1"/>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semiHidden/>
    <w:rsid w:val="00676C5C"/>
    <w:rPr>
      <w:sz w:val="18"/>
    </w:rPr>
  </w:style>
  <w:style w:type="paragraph" w:styleId="EndnoteText">
    <w:name w:val="endnote text"/>
    <w:basedOn w:val="Normal"/>
    <w:link w:val="EndnoteTextChar"/>
    <w:semiHidden/>
    <w:rsid w:val="009B0855"/>
    <w:rPr>
      <w:sz w:val="18"/>
      <w:szCs w:val="18"/>
    </w:rPr>
  </w:style>
  <w:style w:type="paragraph" w:styleId="Footer">
    <w:name w:val="footer"/>
    <w:basedOn w:val="Normal"/>
    <w:link w:val="FooterChar"/>
    <w:rsid w:val="00676C5C"/>
    <w:pPr>
      <w:tabs>
        <w:tab w:val="center" w:pos="4320"/>
        <w:tab w:val="right" w:pos="8640"/>
      </w:tabs>
    </w:pPr>
  </w:style>
  <w:style w:type="paragraph" w:styleId="FootnoteText">
    <w:name w:val="footnote text"/>
    <w:basedOn w:val="Normal"/>
    <w:link w:val="FootnoteTextChar"/>
    <w:semiHidden/>
    <w:rsid w:val="009B0855"/>
    <w:rPr>
      <w:sz w:val="18"/>
      <w:szCs w:val="18"/>
    </w:rPr>
  </w:style>
  <w:style w:type="paragraph" w:styleId="Header">
    <w:name w:val="header"/>
    <w:aliases w:val="Heading"/>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customStyle="1" w:styleId="ONUMA">
    <w:name w:val="ONUM A"/>
    <w:basedOn w:val="BodyText"/>
    <w:rsid w:val="00D60B2C"/>
    <w:pPr>
      <w:numPr>
        <w:numId w:val="4"/>
      </w:numPr>
    </w:pPr>
    <w:rPr>
      <w:rFonts w:eastAsia="Times New Roman"/>
      <w:lang w:eastAsia="en-US"/>
    </w:rPr>
  </w:style>
  <w:style w:type="character" w:customStyle="1" w:styleId="Heading5Char">
    <w:name w:val="Heading 5 Char"/>
    <w:basedOn w:val="DefaultParagraphFont"/>
    <w:link w:val="Heading5"/>
    <w:rsid w:val="00FF1607"/>
    <w:rPr>
      <w:rFonts w:ascii="Arabic Typesetting" w:hAnsi="Arabic Typesetting" w:cs="Arabic Typesetting"/>
      <w:i/>
      <w:iCs/>
      <w:sz w:val="36"/>
      <w:szCs w:val="36"/>
      <w:lang w:val="en-US" w:eastAsia="en-US"/>
    </w:rPr>
  </w:style>
  <w:style w:type="character" w:customStyle="1" w:styleId="Heading1Char">
    <w:name w:val="Heading 1 Char"/>
    <w:basedOn w:val="DefaultParagraphFont"/>
    <w:link w:val="Heading1"/>
    <w:rsid w:val="00FF1607"/>
    <w:rPr>
      <w:rFonts w:ascii="Arial" w:eastAsia="SimSun" w:hAnsi="Arial" w:cs="Calibri"/>
      <w:b/>
      <w:bCs/>
      <w:caps/>
      <w:kern w:val="32"/>
      <w:sz w:val="32"/>
      <w:szCs w:val="32"/>
      <w:lang w:val="en-US" w:eastAsia="zh-CN"/>
    </w:rPr>
  </w:style>
  <w:style w:type="character" w:customStyle="1" w:styleId="Heading2Char">
    <w:name w:val="Heading 2 Char"/>
    <w:basedOn w:val="DefaultParagraphFont"/>
    <w:link w:val="Heading2"/>
    <w:rsid w:val="00FF1607"/>
    <w:rPr>
      <w:rFonts w:ascii="Arial" w:eastAsia="SimSun" w:hAnsi="Arial" w:cs="Calibri"/>
      <w:bCs/>
      <w:iCs/>
      <w:caps/>
      <w:sz w:val="28"/>
      <w:szCs w:val="28"/>
      <w:lang w:val="en-US" w:eastAsia="zh-CN"/>
    </w:rPr>
  </w:style>
  <w:style w:type="table" w:styleId="TableGrid">
    <w:name w:val="Table Grid"/>
    <w:basedOn w:val="TableNormal"/>
    <w:rsid w:val="00FF1607"/>
    <w:rPr>
      <w:rFonts w:ascii="Arabic Typesetting" w:hAnsi="Arabic Typesetting" w:cs="Arabic Typesetting"/>
      <w:sz w:val="36"/>
      <w:szCs w:val="36"/>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FF1607"/>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FF1607"/>
    <w:rPr>
      <w:rFonts w:ascii="Arial" w:eastAsia="SimSun" w:hAnsi="Arial" w:cs="Calibri"/>
      <w:bCs/>
      <w:sz w:val="26"/>
      <w:szCs w:val="26"/>
      <w:u w:val="single"/>
      <w:lang w:val="en-US" w:eastAsia="zh-CN"/>
    </w:rPr>
  </w:style>
  <w:style w:type="character" w:customStyle="1" w:styleId="Heading4Char">
    <w:name w:val="Heading 4 Char"/>
    <w:basedOn w:val="DefaultParagraphFont"/>
    <w:link w:val="Heading4"/>
    <w:rsid w:val="00FF1607"/>
    <w:rPr>
      <w:rFonts w:ascii="Arial" w:eastAsia="SimSun" w:hAnsi="Arial" w:cs="Calibri"/>
      <w:bCs/>
      <w:i/>
      <w:sz w:val="24"/>
      <w:szCs w:val="24"/>
      <w:lang w:val="en-US" w:eastAsia="zh-CN"/>
    </w:rPr>
  </w:style>
  <w:style w:type="paragraph" w:styleId="BalloonText">
    <w:name w:val="Balloon Text"/>
    <w:basedOn w:val="Normal"/>
    <w:link w:val="BalloonTextChar"/>
    <w:rsid w:val="00FF1607"/>
    <w:rPr>
      <w:rFonts w:ascii="Tahoma" w:eastAsia="Times New Roman" w:hAnsi="Tahoma" w:cs="Tahoma"/>
      <w:sz w:val="16"/>
      <w:szCs w:val="16"/>
      <w:lang w:eastAsia="en-US"/>
    </w:rPr>
  </w:style>
  <w:style w:type="character" w:customStyle="1" w:styleId="BalloonTextChar">
    <w:name w:val="Balloon Text Char"/>
    <w:basedOn w:val="DefaultParagraphFont"/>
    <w:link w:val="BalloonText"/>
    <w:rsid w:val="00FF1607"/>
    <w:rPr>
      <w:rFonts w:ascii="Tahoma" w:hAnsi="Tahoma" w:cs="Tahoma"/>
      <w:sz w:val="16"/>
      <w:szCs w:val="16"/>
      <w:lang w:val="en-US" w:eastAsia="en-US"/>
    </w:rPr>
  </w:style>
  <w:style w:type="paragraph" w:customStyle="1" w:styleId="Decision">
    <w:name w:val="Decision"/>
    <w:basedOn w:val="ONUMA"/>
    <w:uiPriority w:val="1"/>
    <w:qFormat/>
    <w:rsid w:val="00FF1607"/>
    <w:pPr>
      <w:numPr>
        <w:numId w:val="0"/>
      </w:numPr>
      <w:tabs>
        <w:tab w:val="num" w:pos="1492"/>
      </w:tabs>
      <w:spacing w:before="200" w:after="0"/>
      <w:ind w:left="5534" w:hanging="360"/>
    </w:pPr>
    <w:rPr>
      <w:rFonts w:ascii="Arabic Typesetting" w:eastAsia="SimSun" w:hAnsi="Arabic Typesetting" w:cs="Arabic Typesetting"/>
      <w:i/>
      <w:iCs/>
      <w:sz w:val="36"/>
      <w:szCs w:val="36"/>
      <w:lang w:eastAsia="zh-CN"/>
    </w:rPr>
  </w:style>
  <w:style w:type="character" w:customStyle="1" w:styleId="BodyTextChar">
    <w:name w:val="Body Text Char"/>
    <w:basedOn w:val="DefaultParagraphFont"/>
    <w:uiPriority w:val="1"/>
    <w:rsid w:val="00FF160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FF1607"/>
    <w:rPr>
      <w:rFonts w:ascii="Arial" w:eastAsia="SimSun" w:hAnsi="Arial" w:cs="Calibri"/>
      <w:sz w:val="18"/>
      <w:szCs w:val="18"/>
      <w:lang w:val="en-US" w:eastAsia="zh-CN"/>
    </w:rPr>
  </w:style>
  <w:style w:type="character" w:styleId="Hyperlink">
    <w:name w:val="Hyperlink"/>
    <w:basedOn w:val="DefaultParagraphFont"/>
    <w:uiPriority w:val="99"/>
    <w:rsid w:val="00FF1607"/>
    <w:rPr>
      <w:color w:val="0000FF" w:themeColor="hyperlink"/>
      <w:u w:val="single"/>
    </w:rPr>
  </w:style>
  <w:style w:type="character" w:customStyle="1" w:styleId="CommentTextChar">
    <w:name w:val="Comment Text Char"/>
    <w:basedOn w:val="DefaultParagraphFont"/>
    <w:semiHidden/>
    <w:rsid w:val="00FF1607"/>
    <w:rPr>
      <w:rFonts w:ascii="Arial" w:hAnsi="Arial" w:cs="Arabic Typesetting"/>
      <w:sz w:val="18"/>
      <w:szCs w:val="36"/>
      <w:lang w:bidi="ar-EG"/>
    </w:rPr>
  </w:style>
  <w:style w:type="paragraph" w:styleId="TOC1">
    <w:name w:val="toc 1"/>
    <w:basedOn w:val="Normal"/>
    <w:next w:val="Normal"/>
    <w:autoRedefine/>
    <w:uiPriority w:val="39"/>
    <w:rsid w:val="00FF1607"/>
    <w:pPr>
      <w:tabs>
        <w:tab w:val="right" w:leader="dot" w:pos="9345"/>
      </w:tabs>
      <w:spacing w:after="120"/>
    </w:pPr>
    <w:rPr>
      <w:rFonts w:ascii="Arabic Typesetting" w:eastAsia="Times New Roman" w:hAnsi="Arabic Typesetting" w:cs="Arabic Typesetting"/>
      <w:b/>
      <w:bCs/>
      <w:noProof/>
      <w:sz w:val="36"/>
      <w:szCs w:val="36"/>
      <w:lang w:eastAsia="en-US"/>
    </w:rPr>
  </w:style>
  <w:style w:type="paragraph" w:styleId="TOC2">
    <w:name w:val="toc 2"/>
    <w:basedOn w:val="Normal"/>
    <w:next w:val="Normal"/>
    <w:autoRedefine/>
    <w:uiPriority w:val="39"/>
    <w:rsid w:val="00C05E1B"/>
    <w:pPr>
      <w:tabs>
        <w:tab w:val="left" w:pos="1760"/>
        <w:tab w:val="right" w:leader="dot" w:pos="9345"/>
      </w:tabs>
      <w:ind w:left="288"/>
    </w:pPr>
    <w:rPr>
      <w:rFonts w:asciiTheme="minorHAnsi" w:eastAsia="Times New Roman" w:hAnsiTheme="minorHAnsi" w:cstheme="minorHAnsi"/>
      <w:b/>
      <w:i/>
      <w:iCs/>
      <w:noProof/>
      <w:lang w:eastAsia="en-US" w:bidi="ar-MA"/>
    </w:rPr>
  </w:style>
  <w:style w:type="paragraph" w:styleId="TOC3">
    <w:name w:val="toc 3"/>
    <w:basedOn w:val="Normal"/>
    <w:next w:val="Normal"/>
    <w:autoRedefine/>
    <w:uiPriority w:val="39"/>
    <w:rsid w:val="00FF1607"/>
    <w:pPr>
      <w:tabs>
        <w:tab w:val="right" w:leader="dot" w:pos="9345"/>
      </w:tabs>
      <w:spacing w:after="120"/>
      <w:ind w:left="567"/>
    </w:pPr>
    <w:rPr>
      <w:rFonts w:ascii="Arabic Typesetting" w:eastAsia="Times New Roman" w:hAnsi="Arabic Typesetting" w:cs="Arabic Typesetting"/>
      <w:sz w:val="36"/>
      <w:szCs w:val="36"/>
      <w:lang w:eastAsia="en-US"/>
    </w:rPr>
  </w:style>
  <w:style w:type="paragraph" w:styleId="TOC4">
    <w:name w:val="toc 4"/>
    <w:basedOn w:val="Normal"/>
    <w:next w:val="Normal"/>
    <w:autoRedefine/>
    <w:uiPriority w:val="39"/>
    <w:rsid w:val="00FF1607"/>
    <w:pPr>
      <w:tabs>
        <w:tab w:val="right" w:leader="dot" w:pos="9345"/>
      </w:tabs>
      <w:spacing w:after="120"/>
      <w:ind w:left="851"/>
    </w:pPr>
    <w:rPr>
      <w:rFonts w:ascii="Arabic Typesetting" w:eastAsia="Times New Roman" w:hAnsi="Arabic Typesetting" w:cs="Arabic Typesetting"/>
      <w:sz w:val="36"/>
      <w:szCs w:val="36"/>
      <w:lang w:eastAsia="en-US"/>
    </w:rPr>
  </w:style>
  <w:style w:type="paragraph" w:styleId="TOC5">
    <w:name w:val="toc 5"/>
    <w:basedOn w:val="Normal"/>
    <w:next w:val="Normal"/>
    <w:autoRedefine/>
    <w:uiPriority w:val="39"/>
    <w:rsid w:val="00FF1607"/>
    <w:pPr>
      <w:tabs>
        <w:tab w:val="right" w:leader="dot" w:pos="9345"/>
      </w:tabs>
      <w:spacing w:after="120"/>
      <w:ind w:left="1134"/>
    </w:pPr>
    <w:rPr>
      <w:rFonts w:ascii="Arabic Typesetting" w:eastAsia="Times New Roman" w:hAnsi="Arabic Typesetting" w:cs="Arabic Typesetting"/>
      <w:sz w:val="36"/>
      <w:szCs w:val="36"/>
      <w:lang w:eastAsia="en-US"/>
    </w:rPr>
  </w:style>
  <w:style w:type="paragraph" w:styleId="TOCHeading">
    <w:name w:val="TOC Heading"/>
    <w:basedOn w:val="Heading1"/>
    <w:next w:val="Normal"/>
    <w:uiPriority w:val="39"/>
    <w:unhideWhenUsed/>
    <w:qFormat/>
    <w:rsid w:val="00FF1607"/>
    <w:pPr>
      <w:keepNext w:val="0"/>
      <w:keepLines/>
      <w:bidi w:val="0"/>
      <w:spacing w:before="480" w:after="0" w:line="276" w:lineRule="auto"/>
      <w:outlineLvl w:val="9"/>
    </w:pPr>
    <w:rPr>
      <w:rFonts w:asciiTheme="majorHAnsi" w:eastAsiaTheme="majorEastAsia" w:hAnsiTheme="majorHAnsi" w:cstheme="majorBidi"/>
      <w:b w:val="0"/>
      <w:bCs w:val="0"/>
      <w:caps w:val="0"/>
      <w:color w:val="365F91" w:themeColor="accent1" w:themeShade="BF"/>
      <w:kern w:val="0"/>
      <w:sz w:val="28"/>
      <w:szCs w:val="28"/>
      <w:lang w:eastAsia="ja-JP"/>
    </w:rPr>
  </w:style>
  <w:style w:type="paragraph" w:styleId="List">
    <w:name w:val="List"/>
    <w:basedOn w:val="Normal"/>
    <w:semiHidden/>
    <w:rsid w:val="00FF1607"/>
    <w:pPr>
      <w:spacing w:before="200"/>
      <w:ind w:left="284" w:hanging="284"/>
    </w:pPr>
    <w:rPr>
      <w:rFonts w:ascii="Arabic Typesetting" w:eastAsia="Times New Roman" w:hAnsi="Arabic Typesetting" w:cs="Arabic Typesetting"/>
      <w:sz w:val="36"/>
      <w:szCs w:val="36"/>
      <w:lang w:eastAsia="en-US"/>
    </w:rPr>
  </w:style>
  <w:style w:type="paragraph" w:styleId="BodyTextFirstIndent">
    <w:name w:val="Body Text First Indent"/>
    <w:basedOn w:val="BodyText"/>
    <w:link w:val="BodyTextFirstIndentChar"/>
    <w:rsid w:val="00FF1607"/>
    <w:pPr>
      <w:spacing w:before="200" w:after="0"/>
      <w:ind w:left="567"/>
    </w:pPr>
    <w:rPr>
      <w:rFonts w:ascii="Arabic Typesetting" w:eastAsia="Times New Roman" w:hAnsi="Arabic Typesetting" w:cs="Arabic Typesetting"/>
      <w:sz w:val="36"/>
      <w:szCs w:val="36"/>
      <w:lang w:eastAsia="en-US" w:bidi="ar-EG"/>
    </w:rPr>
  </w:style>
  <w:style w:type="character" w:customStyle="1" w:styleId="BodyTextChar1">
    <w:name w:val="Body Text Char1"/>
    <w:basedOn w:val="DefaultParagraphFont"/>
    <w:link w:val="BodyText"/>
    <w:rsid w:val="00FF1607"/>
    <w:rPr>
      <w:rFonts w:ascii="Arial" w:eastAsia="SimSun" w:hAnsi="Arial" w:cs="Calibri"/>
      <w:sz w:val="22"/>
      <w:szCs w:val="22"/>
      <w:lang w:val="en-US" w:eastAsia="zh-CN"/>
    </w:rPr>
  </w:style>
  <w:style w:type="character" w:customStyle="1" w:styleId="BodyTextFirstIndentChar">
    <w:name w:val="Body Text First Indent Char"/>
    <w:basedOn w:val="BodyTextChar1"/>
    <w:link w:val="BodyTextFirstIndent"/>
    <w:rsid w:val="00FF1607"/>
    <w:rPr>
      <w:rFonts w:ascii="Arabic Typesetting" w:eastAsia="SimSun" w:hAnsi="Arabic Typesetting" w:cs="Arabic Typesetting"/>
      <w:sz w:val="36"/>
      <w:szCs w:val="36"/>
      <w:lang w:val="en-US" w:eastAsia="en-US" w:bidi="ar-EG"/>
    </w:rPr>
  </w:style>
  <w:style w:type="paragraph" w:styleId="ListBullet">
    <w:name w:val="List Bullet"/>
    <w:basedOn w:val="Normal"/>
    <w:rsid w:val="00FF1607"/>
    <w:pPr>
      <w:numPr>
        <w:numId w:val="5"/>
      </w:numPr>
      <w:tabs>
        <w:tab w:val="clear" w:pos="360"/>
      </w:tabs>
      <w:spacing w:before="200"/>
      <w:ind w:left="1134" w:hanging="567"/>
    </w:pPr>
    <w:rPr>
      <w:rFonts w:ascii="Arabic Typesetting" w:eastAsia="Times New Roman" w:hAnsi="Arabic Typesetting" w:cs="Arabic Typesetting"/>
      <w:sz w:val="36"/>
      <w:szCs w:val="36"/>
      <w:lang w:eastAsia="en-US"/>
    </w:rPr>
  </w:style>
  <w:style w:type="paragraph" w:styleId="BodyTextIndent">
    <w:name w:val="Body Text Indent"/>
    <w:basedOn w:val="Normal"/>
    <w:link w:val="BodyTextIndentChar"/>
    <w:semiHidden/>
    <w:rsid w:val="00FF1607"/>
    <w:pPr>
      <w:spacing w:after="120"/>
      <w:ind w:left="283"/>
    </w:pPr>
    <w:rPr>
      <w:rFonts w:ascii="Arabic Typesetting" w:eastAsia="Times New Roman" w:hAnsi="Arabic Typesetting" w:cs="Arabic Typesetting"/>
      <w:sz w:val="36"/>
      <w:szCs w:val="36"/>
      <w:lang w:eastAsia="en-US"/>
    </w:rPr>
  </w:style>
  <w:style w:type="character" w:customStyle="1" w:styleId="BodyTextIndentChar">
    <w:name w:val="Body Text Indent Char"/>
    <w:basedOn w:val="DefaultParagraphFont"/>
    <w:link w:val="BodyTextIndent"/>
    <w:semiHidden/>
    <w:rsid w:val="00FF1607"/>
    <w:rPr>
      <w:rFonts w:ascii="Arabic Typesetting" w:hAnsi="Arabic Typesetting" w:cs="Arabic Typesetting"/>
      <w:sz w:val="36"/>
      <w:szCs w:val="36"/>
      <w:lang w:val="en-US" w:eastAsia="en-US"/>
    </w:rPr>
  </w:style>
  <w:style w:type="paragraph" w:styleId="BodyTextFirstIndent2">
    <w:name w:val="Body Text First Indent 2"/>
    <w:basedOn w:val="BodyTextIndent"/>
    <w:link w:val="BodyTextFirstIndent2Char"/>
    <w:semiHidden/>
    <w:rsid w:val="00FF1607"/>
    <w:pPr>
      <w:spacing w:before="200" w:after="0"/>
      <w:ind w:left="567"/>
    </w:pPr>
  </w:style>
  <w:style w:type="character" w:customStyle="1" w:styleId="BodyTextFirstIndent2Char">
    <w:name w:val="Body Text First Indent 2 Char"/>
    <w:basedOn w:val="BodyTextIndentChar"/>
    <w:link w:val="BodyTextFirstIndent2"/>
    <w:semiHidden/>
    <w:rsid w:val="00FF1607"/>
    <w:rPr>
      <w:rFonts w:ascii="Arabic Typesetting" w:hAnsi="Arabic Typesetting" w:cs="Arabic Typesetting"/>
      <w:sz w:val="36"/>
      <w:szCs w:val="36"/>
      <w:lang w:val="en-US" w:eastAsia="en-US"/>
    </w:rPr>
  </w:style>
  <w:style w:type="paragraph" w:styleId="ListBullet2">
    <w:name w:val="List Bullet 2"/>
    <w:basedOn w:val="Normal"/>
    <w:semiHidden/>
    <w:rsid w:val="00FF1607"/>
    <w:pPr>
      <w:numPr>
        <w:numId w:val="6"/>
      </w:numPr>
      <w:tabs>
        <w:tab w:val="clear" w:pos="643"/>
      </w:tabs>
      <w:spacing w:before="200"/>
      <w:ind w:left="1701" w:hanging="567"/>
    </w:pPr>
    <w:rPr>
      <w:rFonts w:ascii="Arabic Typesetting" w:eastAsia="Times New Roman" w:hAnsi="Arabic Typesetting" w:cs="Arabic Typesetting"/>
      <w:sz w:val="36"/>
      <w:szCs w:val="36"/>
      <w:lang w:eastAsia="en-US"/>
    </w:rPr>
  </w:style>
  <w:style w:type="paragraph" w:styleId="List2">
    <w:name w:val="List 2"/>
    <w:basedOn w:val="Normal"/>
    <w:semiHidden/>
    <w:rsid w:val="00FF1607"/>
    <w:pPr>
      <w:spacing w:before="200"/>
      <w:ind w:left="568" w:hanging="284"/>
    </w:pPr>
    <w:rPr>
      <w:rFonts w:ascii="Arabic Typesetting" w:eastAsia="Times New Roman" w:hAnsi="Arabic Typesetting" w:cs="Arabic Typesetting"/>
      <w:sz w:val="36"/>
      <w:szCs w:val="36"/>
      <w:lang w:eastAsia="en-US"/>
    </w:rPr>
  </w:style>
  <w:style w:type="paragraph" w:styleId="List3">
    <w:name w:val="List 3"/>
    <w:basedOn w:val="Normal"/>
    <w:semiHidden/>
    <w:rsid w:val="00FF1607"/>
    <w:pPr>
      <w:spacing w:before="200"/>
      <w:ind w:left="1134" w:hanging="567"/>
    </w:pPr>
    <w:rPr>
      <w:rFonts w:ascii="Arabic Typesetting" w:eastAsia="Times New Roman" w:hAnsi="Arabic Typesetting" w:cs="Arabic Typesetting"/>
      <w:sz w:val="36"/>
      <w:szCs w:val="36"/>
      <w:lang w:eastAsia="en-US"/>
    </w:rPr>
  </w:style>
  <w:style w:type="paragraph" w:styleId="List4">
    <w:name w:val="List 4"/>
    <w:basedOn w:val="Normal"/>
    <w:rsid w:val="00FF1607"/>
    <w:pPr>
      <w:spacing w:before="200"/>
      <w:ind w:left="1418" w:hanging="567"/>
    </w:pPr>
    <w:rPr>
      <w:rFonts w:ascii="Arabic Typesetting" w:eastAsia="Times New Roman" w:hAnsi="Arabic Typesetting" w:cs="Arabic Typesetting"/>
      <w:sz w:val="36"/>
      <w:szCs w:val="36"/>
      <w:lang w:eastAsia="en-US"/>
    </w:rPr>
  </w:style>
  <w:style w:type="paragraph" w:styleId="List5">
    <w:name w:val="List 5"/>
    <w:basedOn w:val="Normal"/>
    <w:rsid w:val="00FF1607"/>
    <w:pPr>
      <w:spacing w:before="200"/>
      <w:ind w:left="1701" w:hanging="567"/>
    </w:pPr>
    <w:rPr>
      <w:rFonts w:ascii="Arabic Typesetting" w:eastAsia="Times New Roman" w:hAnsi="Arabic Typesetting" w:cs="Arabic Typesetting"/>
      <w:sz w:val="36"/>
      <w:szCs w:val="36"/>
      <w:lang w:eastAsia="en-US"/>
    </w:rPr>
  </w:style>
  <w:style w:type="paragraph" w:styleId="ListBullet3">
    <w:name w:val="List Bullet 3"/>
    <w:basedOn w:val="Normal"/>
    <w:semiHidden/>
    <w:rsid w:val="00FF1607"/>
    <w:pPr>
      <w:numPr>
        <w:numId w:val="7"/>
      </w:numPr>
      <w:spacing w:before="200"/>
      <w:ind w:left="2268" w:hanging="567"/>
    </w:pPr>
    <w:rPr>
      <w:rFonts w:ascii="Arabic Typesetting" w:eastAsia="Times New Roman" w:hAnsi="Arabic Typesetting" w:cs="Arabic Typesetting"/>
      <w:sz w:val="36"/>
      <w:szCs w:val="36"/>
      <w:lang w:eastAsia="en-US"/>
    </w:rPr>
  </w:style>
  <w:style w:type="paragraph" w:styleId="ListBullet4">
    <w:name w:val="List Bullet 4"/>
    <w:basedOn w:val="Normal"/>
    <w:semiHidden/>
    <w:rsid w:val="00FF1607"/>
    <w:pPr>
      <w:numPr>
        <w:numId w:val="8"/>
      </w:numPr>
      <w:tabs>
        <w:tab w:val="clear" w:pos="1209"/>
      </w:tabs>
      <w:spacing w:before="200"/>
      <w:ind w:left="2835" w:hanging="567"/>
    </w:pPr>
    <w:rPr>
      <w:rFonts w:ascii="Arabic Typesetting" w:eastAsia="Times New Roman" w:hAnsi="Arabic Typesetting" w:cs="Arabic Typesetting"/>
      <w:sz w:val="36"/>
      <w:szCs w:val="36"/>
      <w:lang w:eastAsia="en-US"/>
    </w:rPr>
  </w:style>
  <w:style w:type="paragraph" w:styleId="ListBullet5">
    <w:name w:val="List Bullet 5"/>
    <w:basedOn w:val="Normal"/>
    <w:semiHidden/>
    <w:rsid w:val="00FF1607"/>
    <w:pPr>
      <w:numPr>
        <w:numId w:val="9"/>
      </w:numPr>
      <w:tabs>
        <w:tab w:val="clear" w:pos="1492"/>
      </w:tabs>
      <w:spacing w:before="200"/>
      <w:ind w:left="3402" w:hanging="567"/>
    </w:pPr>
    <w:rPr>
      <w:rFonts w:ascii="Arabic Typesetting" w:eastAsia="Times New Roman" w:hAnsi="Arabic Typesetting" w:cs="Arabic Typesetting"/>
      <w:sz w:val="36"/>
      <w:szCs w:val="36"/>
      <w:lang w:eastAsia="en-US"/>
    </w:rPr>
  </w:style>
  <w:style w:type="paragraph" w:styleId="ListNumber5">
    <w:name w:val="List Number 5"/>
    <w:basedOn w:val="Normal"/>
    <w:semiHidden/>
    <w:rsid w:val="00FF1607"/>
    <w:pPr>
      <w:numPr>
        <w:numId w:val="13"/>
      </w:numPr>
      <w:tabs>
        <w:tab w:val="clear" w:pos="1492"/>
        <w:tab w:val="num" w:pos="720"/>
      </w:tabs>
      <w:spacing w:before="200"/>
      <w:ind w:left="3401" w:hanging="567"/>
    </w:pPr>
    <w:rPr>
      <w:rFonts w:ascii="Arabic Typesetting" w:eastAsia="Times New Roman" w:hAnsi="Arabic Typesetting" w:cs="Arabic Typesetting"/>
      <w:sz w:val="36"/>
      <w:szCs w:val="36"/>
      <w:lang w:eastAsia="en-US"/>
    </w:rPr>
  </w:style>
  <w:style w:type="paragraph" w:styleId="ListContinue">
    <w:name w:val="List Continue"/>
    <w:basedOn w:val="Normal"/>
    <w:semiHidden/>
    <w:rsid w:val="00FF1607"/>
    <w:pPr>
      <w:spacing w:after="120"/>
      <w:ind w:left="283"/>
      <w:contextualSpacing/>
    </w:pPr>
    <w:rPr>
      <w:rFonts w:ascii="Arabic Typesetting" w:eastAsia="Times New Roman" w:hAnsi="Arabic Typesetting" w:cs="Arabic Typesetting"/>
      <w:sz w:val="36"/>
      <w:szCs w:val="36"/>
      <w:lang w:eastAsia="en-US"/>
    </w:rPr>
  </w:style>
  <w:style w:type="paragraph" w:styleId="ListContinue2">
    <w:name w:val="List Continue 2"/>
    <w:basedOn w:val="Normal"/>
    <w:semiHidden/>
    <w:rsid w:val="00FF1607"/>
    <w:pPr>
      <w:spacing w:after="120"/>
      <w:ind w:left="566"/>
      <w:contextualSpacing/>
    </w:pPr>
    <w:rPr>
      <w:rFonts w:ascii="Arabic Typesetting" w:eastAsia="Times New Roman" w:hAnsi="Arabic Typesetting" w:cs="Arabic Typesetting"/>
      <w:sz w:val="36"/>
      <w:szCs w:val="36"/>
      <w:lang w:eastAsia="en-US"/>
    </w:rPr>
  </w:style>
  <w:style w:type="paragraph" w:styleId="ListContinue3">
    <w:name w:val="List Continue 3"/>
    <w:basedOn w:val="Normal"/>
    <w:semiHidden/>
    <w:rsid w:val="00FF1607"/>
    <w:pPr>
      <w:spacing w:after="120"/>
      <w:ind w:left="849"/>
      <w:contextualSpacing/>
    </w:pPr>
    <w:rPr>
      <w:rFonts w:ascii="Arabic Typesetting" w:eastAsia="Times New Roman" w:hAnsi="Arabic Typesetting" w:cs="Arabic Typesetting"/>
      <w:sz w:val="36"/>
      <w:szCs w:val="36"/>
      <w:lang w:eastAsia="en-US"/>
    </w:rPr>
  </w:style>
  <w:style w:type="paragraph" w:styleId="ListContinue4">
    <w:name w:val="List Continue 4"/>
    <w:basedOn w:val="Normal"/>
    <w:semiHidden/>
    <w:rsid w:val="00FF1607"/>
    <w:pPr>
      <w:spacing w:after="120"/>
      <w:ind w:left="1132"/>
      <w:contextualSpacing/>
    </w:pPr>
    <w:rPr>
      <w:rFonts w:ascii="Arabic Typesetting" w:eastAsia="Times New Roman" w:hAnsi="Arabic Typesetting" w:cs="Arabic Typesetting"/>
      <w:sz w:val="36"/>
      <w:szCs w:val="36"/>
      <w:lang w:eastAsia="en-US"/>
    </w:rPr>
  </w:style>
  <w:style w:type="paragraph" w:styleId="ListContinue5">
    <w:name w:val="List Continue 5"/>
    <w:basedOn w:val="Normal"/>
    <w:semiHidden/>
    <w:rsid w:val="00FF1607"/>
    <w:pPr>
      <w:spacing w:after="120"/>
      <w:ind w:left="1415"/>
      <w:contextualSpacing/>
    </w:pPr>
    <w:rPr>
      <w:rFonts w:ascii="Arabic Typesetting" w:eastAsia="Times New Roman" w:hAnsi="Arabic Typesetting" w:cs="Arabic Typesetting"/>
      <w:sz w:val="36"/>
      <w:szCs w:val="36"/>
      <w:lang w:eastAsia="en-US"/>
    </w:rPr>
  </w:style>
  <w:style w:type="paragraph" w:styleId="ListNumber2">
    <w:name w:val="List Number 2"/>
    <w:basedOn w:val="Normal"/>
    <w:semiHidden/>
    <w:rsid w:val="00FF1607"/>
    <w:pPr>
      <w:numPr>
        <w:numId w:val="10"/>
      </w:numPr>
      <w:tabs>
        <w:tab w:val="clear" w:pos="643"/>
      </w:tabs>
      <w:spacing w:before="200"/>
      <w:ind w:left="1701" w:hanging="567"/>
    </w:pPr>
    <w:rPr>
      <w:rFonts w:ascii="Arabic Typesetting" w:eastAsia="Times New Roman" w:hAnsi="Arabic Typesetting" w:cs="Arabic Typesetting"/>
      <w:sz w:val="36"/>
      <w:szCs w:val="36"/>
      <w:lang w:eastAsia="en-US"/>
    </w:rPr>
  </w:style>
  <w:style w:type="paragraph" w:styleId="ListNumber3">
    <w:name w:val="List Number 3"/>
    <w:basedOn w:val="Normal"/>
    <w:semiHidden/>
    <w:rsid w:val="00FF1607"/>
    <w:pPr>
      <w:numPr>
        <w:numId w:val="11"/>
      </w:numPr>
      <w:tabs>
        <w:tab w:val="clear" w:pos="926"/>
      </w:tabs>
      <w:spacing w:before="200"/>
      <w:ind w:left="2267" w:hanging="567"/>
    </w:pPr>
    <w:rPr>
      <w:rFonts w:ascii="Arabic Typesetting" w:eastAsia="Times New Roman" w:hAnsi="Arabic Typesetting" w:cs="Arabic Typesetting"/>
      <w:sz w:val="36"/>
      <w:szCs w:val="36"/>
      <w:lang w:eastAsia="en-US"/>
    </w:rPr>
  </w:style>
  <w:style w:type="paragraph" w:styleId="ListNumber4">
    <w:name w:val="List Number 4"/>
    <w:basedOn w:val="Normal"/>
    <w:semiHidden/>
    <w:rsid w:val="00FF1607"/>
    <w:pPr>
      <w:numPr>
        <w:numId w:val="12"/>
      </w:numPr>
      <w:tabs>
        <w:tab w:val="clear" w:pos="1209"/>
      </w:tabs>
      <w:spacing w:before="200"/>
      <w:ind w:left="2834" w:hanging="567"/>
    </w:pPr>
    <w:rPr>
      <w:rFonts w:ascii="Arabic Typesetting" w:eastAsia="Times New Roman" w:hAnsi="Arabic Typesetting" w:cs="Arabic Typesetting"/>
      <w:sz w:val="36"/>
      <w:szCs w:val="36"/>
      <w:lang w:eastAsia="en-US"/>
    </w:rPr>
  </w:style>
  <w:style w:type="paragraph" w:customStyle="1" w:styleId="indent1">
    <w:name w:val="indent &quot;1&quot;"/>
    <w:basedOn w:val="BodyText"/>
    <w:qFormat/>
    <w:rsid w:val="00FF1607"/>
    <w:pPr>
      <w:numPr>
        <w:numId w:val="14"/>
      </w:numPr>
      <w:spacing w:before="200" w:after="0"/>
    </w:pPr>
    <w:rPr>
      <w:rFonts w:ascii="Arabic Typesetting" w:eastAsia="Times New Roman" w:hAnsi="Arabic Typesetting" w:cs="Arabic Typesetting"/>
      <w:sz w:val="36"/>
      <w:szCs w:val="36"/>
      <w:lang w:eastAsia="en-US" w:bidi="ar-EG"/>
    </w:rPr>
  </w:style>
  <w:style w:type="character" w:customStyle="1" w:styleId="HeaderChar">
    <w:name w:val="Header Char"/>
    <w:aliases w:val="Heading Char"/>
    <w:basedOn w:val="DefaultParagraphFont"/>
    <w:link w:val="Header"/>
    <w:uiPriority w:val="99"/>
    <w:rsid w:val="00FF1607"/>
    <w:rPr>
      <w:rFonts w:ascii="Arial" w:eastAsia="SimSun" w:hAnsi="Arial" w:cs="Calibri"/>
      <w:sz w:val="22"/>
      <w:szCs w:val="22"/>
      <w:lang w:val="en-US" w:eastAsia="zh-CN"/>
    </w:rPr>
  </w:style>
  <w:style w:type="character" w:customStyle="1" w:styleId="FooterChar">
    <w:name w:val="Footer Char"/>
    <w:basedOn w:val="DefaultParagraphFont"/>
    <w:link w:val="Footer"/>
    <w:rsid w:val="00FF1607"/>
    <w:rPr>
      <w:rFonts w:ascii="Arial" w:eastAsia="SimSun" w:hAnsi="Arial" w:cs="Calibri"/>
      <w:sz w:val="22"/>
      <w:szCs w:val="22"/>
      <w:lang w:val="en-US" w:eastAsia="zh-CN"/>
    </w:rPr>
  </w:style>
  <w:style w:type="character" w:customStyle="1" w:styleId="SalutationChar">
    <w:name w:val="Salutation Char"/>
    <w:basedOn w:val="DefaultParagraphFont"/>
    <w:link w:val="Salutation"/>
    <w:semiHidden/>
    <w:rsid w:val="00FF1607"/>
    <w:rPr>
      <w:rFonts w:ascii="Arial" w:eastAsia="SimSun" w:hAnsi="Arial" w:cs="Calibri"/>
      <w:sz w:val="22"/>
      <w:szCs w:val="22"/>
      <w:lang w:val="en-US" w:eastAsia="zh-CN"/>
    </w:rPr>
  </w:style>
  <w:style w:type="character" w:customStyle="1" w:styleId="SignatureChar">
    <w:name w:val="Signature Char"/>
    <w:basedOn w:val="DefaultParagraphFont"/>
    <w:link w:val="Signature"/>
    <w:semiHidden/>
    <w:rsid w:val="00FF1607"/>
    <w:rPr>
      <w:rFonts w:ascii="Arial" w:eastAsia="SimSun" w:hAnsi="Arial" w:cs="Calibri"/>
      <w:sz w:val="22"/>
      <w:szCs w:val="22"/>
      <w:lang w:val="en-US" w:eastAsia="zh-CN"/>
    </w:rPr>
  </w:style>
  <w:style w:type="character" w:customStyle="1" w:styleId="EndnoteTextChar">
    <w:name w:val="Endnote Text Char"/>
    <w:basedOn w:val="DefaultParagraphFont"/>
    <w:link w:val="EndnoteText"/>
    <w:semiHidden/>
    <w:rsid w:val="00FF1607"/>
    <w:rPr>
      <w:rFonts w:ascii="Arial" w:eastAsia="SimSun" w:hAnsi="Arial" w:cs="Calibri"/>
      <w:sz w:val="18"/>
      <w:szCs w:val="18"/>
      <w:lang w:val="en-US" w:eastAsia="zh-CN"/>
    </w:rPr>
  </w:style>
  <w:style w:type="paragraph" w:styleId="ListParagraph">
    <w:name w:val="List Paragraph"/>
    <w:basedOn w:val="Normal"/>
    <w:uiPriority w:val="34"/>
    <w:qFormat/>
    <w:rsid w:val="00FF1607"/>
    <w:pPr>
      <w:ind w:left="720"/>
      <w:contextualSpacing/>
    </w:pPr>
    <w:rPr>
      <w:rFonts w:ascii="Arabic Typesetting" w:eastAsia="Times New Roman" w:hAnsi="Arabic Typesetting" w:cs="Arabic Typesetting"/>
      <w:sz w:val="36"/>
      <w:szCs w:val="36"/>
      <w:lang w:eastAsia="en-US"/>
    </w:rPr>
  </w:style>
  <w:style w:type="character" w:styleId="SubtleEmphasis">
    <w:name w:val="Subtle Emphasis"/>
    <w:basedOn w:val="DefaultParagraphFont"/>
    <w:uiPriority w:val="19"/>
    <w:qFormat/>
    <w:rsid w:val="00FF1607"/>
    <w:rPr>
      <w:i/>
      <w:iCs/>
      <w:color w:val="404040" w:themeColor="text1" w:themeTint="BF"/>
    </w:rPr>
  </w:style>
  <w:style w:type="character" w:styleId="IntenseEmphasis">
    <w:name w:val="Intense Emphasis"/>
    <w:basedOn w:val="DefaultParagraphFont"/>
    <w:uiPriority w:val="21"/>
    <w:qFormat/>
    <w:rsid w:val="00FF1607"/>
    <w:rPr>
      <w:i/>
      <w:iCs/>
      <w:color w:val="4F81BD" w:themeColor="accent1"/>
    </w:rPr>
  </w:style>
  <w:style w:type="character" w:styleId="Strong">
    <w:name w:val="Strong"/>
    <w:basedOn w:val="DefaultParagraphFont"/>
    <w:qFormat/>
    <w:rsid w:val="00FF1607"/>
    <w:rPr>
      <w:b/>
      <w:bCs/>
    </w:rPr>
  </w:style>
  <w:style w:type="paragraph" w:styleId="Quote">
    <w:name w:val="Quote"/>
    <w:basedOn w:val="Normal"/>
    <w:next w:val="Normal"/>
    <w:link w:val="QuoteChar"/>
    <w:uiPriority w:val="29"/>
    <w:qFormat/>
    <w:rsid w:val="00FF1607"/>
    <w:pPr>
      <w:spacing w:before="200" w:after="160"/>
      <w:ind w:left="864" w:right="864"/>
      <w:jc w:val="center"/>
    </w:pPr>
    <w:rPr>
      <w:rFonts w:ascii="Arabic Typesetting" w:eastAsia="Times New Roman" w:hAnsi="Arabic Typesetting" w:cs="Arabic Typesetting"/>
      <w:i/>
      <w:iCs/>
      <w:color w:val="404040" w:themeColor="text1" w:themeTint="BF"/>
      <w:sz w:val="36"/>
      <w:szCs w:val="36"/>
      <w:lang w:eastAsia="en-US"/>
    </w:rPr>
  </w:style>
  <w:style w:type="character" w:customStyle="1" w:styleId="QuoteChar">
    <w:name w:val="Quote Char"/>
    <w:basedOn w:val="DefaultParagraphFont"/>
    <w:link w:val="Quote"/>
    <w:uiPriority w:val="29"/>
    <w:rsid w:val="00FF1607"/>
    <w:rPr>
      <w:rFonts w:ascii="Arabic Typesetting" w:hAnsi="Arabic Typesetting" w:cs="Arabic Typesetting"/>
      <w:i/>
      <w:iCs/>
      <w:color w:val="404040" w:themeColor="text1" w:themeTint="BF"/>
      <w:sz w:val="36"/>
      <w:szCs w:val="36"/>
      <w:lang w:val="en-US" w:eastAsia="en-US"/>
    </w:rPr>
  </w:style>
  <w:style w:type="character" w:styleId="Emphasis">
    <w:name w:val="Emphasis"/>
    <w:basedOn w:val="DefaultParagraphFont"/>
    <w:unhideWhenUsed/>
    <w:qFormat/>
    <w:rsid w:val="00FF1607"/>
    <w:rPr>
      <w:i/>
      <w:iCs/>
    </w:rPr>
  </w:style>
  <w:style w:type="paragraph" w:styleId="IntenseQuote">
    <w:name w:val="Intense Quote"/>
    <w:basedOn w:val="Normal"/>
    <w:next w:val="Normal"/>
    <w:link w:val="IntenseQuoteChar"/>
    <w:uiPriority w:val="30"/>
    <w:qFormat/>
    <w:rsid w:val="00FF1607"/>
    <w:pPr>
      <w:pBdr>
        <w:top w:val="single" w:sz="4" w:space="10" w:color="4F81BD" w:themeColor="accent1"/>
        <w:bottom w:val="single" w:sz="4" w:space="10" w:color="4F81BD" w:themeColor="accent1"/>
      </w:pBdr>
      <w:spacing w:before="360" w:after="360"/>
      <w:ind w:left="864" w:right="864"/>
      <w:jc w:val="center"/>
    </w:pPr>
    <w:rPr>
      <w:rFonts w:ascii="Arabic Typesetting" w:eastAsia="Times New Roman" w:hAnsi="Arabic Typesetting" w:cs="Arabic Typesetting"/>
      <w:i/>
      <w:iCs/>
      <w:color w:val="4F81BD" w:themeColor="accent1"/>
      <w:sz w:val="36"/>
      <w:szCs w:val="36"/>
      <w:lang w:eastAsia="en-US"/>
    </w:rPr>
  </w:style>
  <w:style w:type="character" w:customStyle="1" w:styleId="IntenseQuoteChar">
    <w:name w:val="Intense Quote Char"/>
    <w:basedOn w:val="DefaultParagraphFont"/>
    <w:link w:val="IntenseQuote"/>
    <w:uiPriority w:val="30"/>
    <w:rsid w:val="00FF1607"/>
    <w:rPr>
      <w:rFonts w:ascii="Arabic Typesetting" w:hAnsi="Arabic Typesetting" w:cs="Arabic Typesetting"/>
      <w:i/>
      <w:iCs/>
      <w:color w:val="4F81BD" w:themeColor="accent1"/>
      <w:sz w:val="36"/>
      <w:szCs w:val="36"/>
      <w:lang w:val="en-US" w:eastAsia="en-US"/>
    </w:rPr>
  </w:style>
  <w:style w:type="character" w:styleId="IntenseReference">
    <w:name w:val="Intense Reference"/>
    <w:basedOn w:val="DefaultParagraphFont"/>
    <w:uiPriority w:val="32"/>
    <w:qFormat/>
    <w:rsid w:val="00FF1607"/>
    <w:rPr>
      <w:b/>
      <w:bCs/>
      <w:smallCaps/>
      <w:color w:val="4F81BD" w:themeColor="accent1"/>
      <w:spacing w:val="5"/>
    </w:rPr>
  </w:style>
  <w:style w:type="character" w:styleId="SubtleReference">
    <w:name w:val="Subtle Reference"/>
    <w:basedOn w:val="DefaultParagraphFont"/>
    <w:uiPriority w:val="31"/>
    <w:qFormat/>
    <w:rsid w:val="00FF1607"/>
    <w:rPr>
      <w:smallCaps/>
      <w:color w:val="5A5A5A" w:themeColor="text1" w:themeTint="A5"/>
    </w:rPr>
  </w:style>
  <w:style w:type="paragraph" w:customStyle="1" w:styleId="NormalParaAR">
    <w:name w:val="Normal_Para_AR"/>
    <w:link w:val="NormalParaARChar"/>
    <w:rsid w:val="00FF1607"/>
    <w:pPr>
      <w:bidi/>
      <w:spacing w:after="240" w:line="360" w:lineRule="exact"/>
    </w:pPr>
    <w:rPr>
      <w:rFonts w:ascii="Arabic Typesetting" w:hAnsi="Arabic Typesetting" w:cs="Arabic Typesetting"/>
      <w:sz w:val="36"/>
      <w:szCs w:val="36"/>
      <w:lang w:val="en-US" w:eastAsia="en-US"/>
    </w:rPr>
  </w:style>
  <w:style w:type="character" w:customStyle="1" w:styleId="NormalParaARChar">
    <w:name w:val="Normal_Para_AR Char"/>
    <w:link w:val="NormalParaAR"/>
    <w:rsid w:val="00FF1607"/>
    <w:rPr>
      <w:rFonts w:ascii="Arabic Typesetting" w:hAnsi="Arabic Typesetting" w:cs="Arabic Typesetting"/>
      <w:sz w:val="36"/>
      <w:szCs w:val="36"/>
      <w:lang w:val="en-US" w:eastAsia="en-US"/>
    </w:rPr>
  </w:style>
  <w:style w:type="paragraph" w:styleId="TOC6">
    <w:name w:val="toc 6"/>
    <w:basedOn w:val="Normal"/>
    <w:next w:val="Normal"/>
    <w:autoRedefine/>
    <w:uiPriority w:val="39"/>
    <w:unhideWhenUsed/>
    <w:rsid w:val="00A5074B"/>
    <w:pPr>
      <w:bidi w:val="0"/>
      <w:spacing w:after="100" w:line="259" w:lineRule="auto"/>
      <w:ind w:left="1100"/>
    </w:pPr>
    <w:rPr>
      <w:rFonts w:asciiTheme="minorHAnsi" w:eastAsiaTheme="minorEastAsia" w:hAnsiTheme="minorHAnsi" w:cstheme="minorBidi"/>
      <w:lang w:val="fr-CH" w:eastAsia="fr-CH"/>
    </w:rPr>
  </w:style>
  <w:style w:type="paragraph" w:customStyle="1" w:styleId="NumberedParaAR">
    <w:name w:val="Numbered_Para_AR"/>
    <w:basedOn w:val="NormalParaAR"/>
    <w:rsid w:val="00FF1607"/>
    <w:pPr>
      <w:tabs>
        <w:tab w:val="num" w:pos="567"/>
      </w:tabs>
    </w:pPr>
  </w:style>
  <w:style w:type="table" w:customStyle="1" w:styleId="Grilledutableau1">
    <w:name w:val="Grille du tableau1"/>
    <w:basedOn w:val="TableNormal"/>
    <w:next w:val="TableGrid"/>
    <w:rsid w:val="00FF160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CodeAR">
    <w:name w:val="Document_Code_AR"/>
    <w:basedOn w:val="Normal"/>
    <w:next w:val="DocumentLanguageAR"/>
    <w:rsid w:val="00FF1607"/>
    <w:pPr>
      <w:bidi w:val="0"/>
      <w:jc w:val="right"/>
    </w:pPr>
    <w:rPr>
      <w:rFonts w:ascii="Arial Black" w:eastAsia="Times New Roman" w:hAnsi="Arial Black" w:cs="Arabic Typesetting"/>
      <w:b/>
      <w:bCs/>
      <w:sz w:val="16"/>
      <w:szCs w:val="16"/>
      <w:lang w:eastAsia="en-US"/>
    </w:rPr>
  </w:style>
  <w:style w:type="paragraph" w:customStyle="1" w:styleId="DocumentLanguageAR">
    <w:name w:val="Document_Language_AR"/>
    <w:basedOn w:val="Normal"/>
    <w:next w:val="DocumentDateAR"/>
    <w:rsid w:val="00FF1607"/>
    <w:pPr>
      <w:bidi w:val="0"/>
      <w:spacing w:line="240" w:lineRule="exact"/>
      <w:jc w:val="right"/>
    </w:pPr>
    <w:rPr>
      <w:rFonts w:ascii="Arabic Typesetting" w:eastAsia="Times New Roman" w:hAnsi="Arabic Typesetting" w:cs="Arabic Typesetting"/>
      <w:b/>
      <w:bCs/>
      <w:sz w:val="30"/>
      <w:szCs w:val="30"/>
      <w:lang w:eastAsia="en-US"/>
    </w:rPr>
  </w:style>
  <w:style w:type="paragraph" w:customStyle="1" w:styleId="DocumentDateAR">
    <w:name w:val="Document_Date_AR"/>
    <w:basedOn w:val="Normal"/>
    <w:next w:val="NormalParaAR"/>
    <w:rsid w:val="00FF1607"/>
    <w:pPr>
      <w:bidi w:val="0"/>
      <w:jc w:val="right"/>
    </w:pPr>
    <w:rPr>
      <w:rFonts w:ascii="Arabic Typesetting" w:eastAsia="Times New Roman" w:hAnsi="Arabic Typesetting" w:cs="Arabic Typesetting"/>
      <w:b/>
      <w:bCs/>
      <w:sz w:val="30"/>
      <w:szCs w:val="30"/>
      <w:lang w:eastAsia="en-US"/>
    </w:rPr>
  </w:style>
  <w:style w:type="paragraph" w:customStyle="1" w:styleId="MeetingTitleAR">
    <w:name w:val="Meeting_Title_AR"/>
    <w:basedOn w:val="Normal"/>
    <w:next w:val="NormalParaAR"/>
    <w:rsid w:val="00FF1607"/>
    <w:pPr>
      <w:bidi w:val="0"/>
      <w:spacing w:line="360" w:lineRule="exact"/>
    </w:pPr>
    <w:rPr>
      <w:rFonts w:ascii="Arial Black" w:eastAsia="Times New Roman" w:hAnsi="Arial Black" w:cs="PT Bold Heading"/>
      <w:sz w:val="34"/>
      <w:szCs w:val="34"/>
      <w:lang w:eastAsia="en-US"/>
    </w:rPr>
  </w:style>
  <w:style w:type="paragraph" w:customStyle="1" w:styleId="MeetingSessionAR">
    <w:name w:val="Meeting_Session_AR"/>
    <w:basedOn w:val="Normal"/>
    <w:next w:val="NormalParaAR"/>
    <w:rsid w:val="00FF1607"/>
    <w:pPr>
      <w:bidi w:val="0"/>
      <w:spacing w:line="360" w:lineRule="exact"/>
    </w:pPr>
    <w:rPr>
      <w:rFonts w:ascii="Arial Black" w:eastAsia="Times New Roman" w:hAnsi="Arial Black" w:cs="PT Bold Heading"/>
      <w:sz w:val="30"/>
      <w:szCs w:val="30"/>
      <w:lang w:eastAsia="en-US"/>
    </w:rPr>
  </w:style>
  <w:style w:type="paragraph" w:customStyle="1" w:styleId="MeetingDatesAR">
    <w:name w:val="Meeting_Dates_AR"/>
    <w:basedOn w:val="Normal"/>
    <w:next w:val="NormalParaAR"/>
    <w:rsid w:val="00FF1607"/>
    <w:pPr>
      <w:bidi w:val="0"/>
      <w:spacing w:line="360" w:lineRule="exact"/>
    </w:pPr>
    <w:rPr>
      <w:rFonts w:ascii="Arabic Typesetting" w:eastAsia="Times New Roman" w:hAnsi="Arabic Typesetting" w:cs="Arabic Typesetting"/>
      <w:b/>
      <w:bCs/>
      <w:sz w:val="36"/>
      <w:szCs w:val="36"/>
      <w:lang w:eastAsia="en-US"/>
    </w:rPr>
  </w:style>
  <w:style w:type="paragraph" w:customStyle="1" w:styleId="DocumentTitleAR">
    <w:name w:val="Document_Title_AR"/>
    <w:basedOn w:val="Normal"/>
    <w:next w:val="PreparedbyAR"/>
    <w:rsid w:val="00FF1607"/>
    <w:pPr>
      <w:bidi w:val="0"/>
      <w:spacing w:line="360" w:lineRule="exact"/>
    </w:pPr>
    <w:rPr>
      <w:rFonts w:ascii="Arial Black" w:eastAsia="Times New Roman" w:hAnsi="Arial Black" w:cs="PT Bold Heading"/>
      <w:sz w:val="26"/>
      <w:szCs w:val="26"/>
      <w:lang w:eastAsia="en-US"/>
    </w:rPr>
  </w:style>
  <w:style w:type="paragraph" w:customStyle="1" w:styleId="PreparedbyAR">
    <w:name w:val="Prepared_by_AR"/>
    <w:basedOn w:val="Normal"/>
    <w:next w:val="NormalParaAR"/>
    <w:rsid w:val="00FF1607"/>
    <w:pPr>
      <w:bidi w:val="0"/>
      <w:spacing w:before="240" w:after="840" w:line="360" w:lineRule="exact"/>
    </w:pPr>
    <w:rPr>
      <w:rFonts w:ascii="Arabic Typesetting" w:eastAsia="Times New Roman" w:hAnsi="Arabic Typesetting" w:cs="Arabic Typesetting"/>
      <w:i/>
      <w:iCs/>
      <w:sz w:val="36"/>
      <w:szCs w:val="36"/>
      <w:lang w:eastAsia="en-US"/>
    </w:rPr>
  </w:style>
  <w:style w:type="paragraph" w:customStyle="1" w:styleId="DecisionParaAR">
    <w:name w:val="Decision_Para_AR"/>
    <w:basedOn w:val="NumberedParaAR"/>
    <w:rsid w:val="00FF1607"/>
    <w:pPr>
      <w:ind w:left="5534"/>
    </w:pPr>
    <w:rPr>
      <w:i/>
      <w:iCs/>
    </w:rPr>
  </w:style>
  <w:style w:type="paragraph" w:customStyle="1" w:styleId="EndofDocumentAR">
    <w:name w:val="End_of_Document_AR"/>
    <w:basedOn w:val="NormalParaAR"/>
    <w:next w:val="NormalParaAR"/>
    <w:rsid w:val="00FF1607"/>
    <w:pPr>
      <w:ind w:left="5534"/>
    </w:pPr>
  </w:style>
  <w:style w:type="paragraph" w:styleId="TOC7">
    <w:name w:val="toc 7"/>
    <w:basedOn w:val="Normal"/>
    <w:next w:val="Normal"/>
    <w:autoRedefine/>
    <w:uiPriority w:val="39"/>
    <w:unhideWhenUsed/>
    <w:rsid w:val="00A5074B"/>
    <w:pPr>
      <w:bidi w:val="0"/>
      <w:spacing w:after="100" w:line="259" w:lineRule="auto"/>
      <w:ind w:left="1320"/>
    </w:pPr>
    <w:rPr>
      <w:rFonts w:asciiTheme="minorHAnsi" w:eastAsiaTheme="minorEastAsia" w:hAnsiTheme="minorHAnsi" w:cstheme="minorBidi"/>
      <w:lang w:val="fr-CH" w:eastAsia="fr-CH"/>
    </w:rPr>
  </w:style>
  <w:style w:type="table" w:customStyle="1" w:styleId="TableGrid1">
    <w:name w:val="Table Grid1"/>
    <w:basedOn w:val="TableNormal"/>
    <w:next w:val="TableGrid"/>
    <w:rsid w:val="00FF1607"/>
    <w:rPr>
      <w:rFonts w:ascii="Arabic Typesetting" w:hAnsi="Arabic Typesetting" w:cs="Arabic Typesetting"/>
      <w:sz w:val="36"/>
      <w:szCs w:val="36"/>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8">
    <w:name w:val="toc 8"/>
    <w:basedOn w:val="Normal"/>
    <w:next w:val="Normal"/>
    <w:autoRedefine/>
    <w:uiPriority w:val="39"/>
    <w:unhideWhenUsed/>
    <w:rsid w:val="00A5074B"/>
    <w:pPr>
      <w:bidi w:val="0"/>
      <w:spacing w:after="100" w:line="259" w:lineRule="auto"/>
      <w:ind w:left="1540"/>
    </w:pPr>
    <w:rPr>
      <w:rFonts w:asciiTheme="minorHAnsi" w:eastAsiaTheme="minorEastAsia" w:hAnsiTheme="minorHAnsi" w:cstheme="minorBidi"/>
      <w:lang w:val="fr-CH" w:eastAsia="fr-CH"/>
    </w:rPr>
  </w:style>
  <w:style w:type="table" w:customStyle="1" w:styleId="TableGrid11">
    <w:name w:val="Table Grid11"/>
    <w:basedOn w:val="TableNormal"/>
    <w:next w:val="TableGrid"/>
    <w:rsid w:val="00FF160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FF1607"/>
    <w:rPr>
      <w:color w:val="800080" w:themeColor="followedHyperlink"/>
      <w:u w:val="single"/>
    </w:rPr>
  </w:style>
  <w:style w:type="paragraph" w:customStyle="1" w:styleId="Heading1AR">
    <w:name w:val="Heading_1_AR"/>
    <w:basedOn w:val="NormalParaAR"/>
    <w:next w:val="NormalParaAR"/>
    <w:rsid w:val="00FF1607"/>
    <w:pPr>
      <w:keepNext/>
      <w:spacing w:before="240" w:after="60" w:line="400" w:lineRule="exact"/>
    </w:pPr>
    <w:rPr>
      <w:bCs/>
      <w:sz w:val="40"/>
      <w:szCs w:val="40"/>
    </w:rPr>
  </w:style>
  <w:style w:type="paragraph" w:customStyle="1" w:styleId="Heading2AR">
    <w:name w:val="Heading_2_AR"/>
    <w:basedOn w:val="Heading1AR"/>
    <w:next w:val="NormalParaAR"/>
    <w:rsid w:val="00FF1607"/>
    <w:rPr>
      <w:bCs w:val="0"/>
    </w:rPr>
  </w:style>
  <w:style w:type="paragraph" w:customStyle="1" w:styleId="Heading3AR">
    <w:name w:val="Heading_3_AR"/>
    <w:basedOn w:val="Heading2AR"/>
    <w:next w:val="NormalParaAR"/>
    <w:rsid w:val="00FF1607"/>
    <w:pPr>
      <w:spacing w:before="120" w:line="360" w:lineRule="exact"/>
    </w:pPr>
    <w:rPr>
      <w:sz w:val="36"/>
      <w:szCs w:val="36"/>
      <w:u w:val="single"/>
    </w:rPr>
  </w:style>
  <w:style w:type="paragraph" w:customStyle="1" w:styleId="Heading4AR">
    <w:name w:val="Heading_4_AR"/>
    <w:basedOn w:val="Heading3AR"/>
    <w:next w:val="NormalParaAR"/>
    <w:rsid w:val="00FF1607"/>
    <w:rPr>
      <w:iCs/>
      <w:u w:val="none"/>
    </w:rPr>
  </w:style>
  <w:style w:type="character" w:styleId="CommentReference">
    <w:name w:val="annotation reference"/>
    <w:basedOn w:val="DefaultParagraphFont"/>
    <w:rsid w:val="00FF1607"/>
    <w:rPr>
      <w:sz w:val="16"/>
      <w:szCs w:val="16"/>
    </w:rPr>
  </w:style>
  <w:style w:type="paragraph" w:styleId="CommentSubject">
    <w:name w:val="annotation subject"/>
    <w:basedOn w:val="CommentText"/>
    <w:next w:val="CommentText"/>
    <w:link w:val="CommentSubjectChar"/>
    <w:rsid w:val="00FF1607"/>
    <w:pPr>
      <w:bidi w:val="0"/>
    </w:pPr>
    <w:rPr>
      <w:rFonts w:eastAsia="Times New Roman" w:cs="Arial"/>
      <w:b/>
      <w:bCs/>
      <w:sz w:val="20"/>
      <w:szCs w:val="20"/>
      <w:lang w:eastAsia="en-US"/>
    </w:rPr>
  </w:style>
  <w:style w:type="character" w:customStyle="1" w:styleId="CommentTextChar1">
    <w:name w:val="Comment Text Char1"/>
    <w:basedOn w:val="DefaultParagraphFont"/>
    <w:link w:val="CommentText"/>
    <w:semiHidden/>
    <w:rsid w:val="00FF1607"/>
    <w:rPr>
      <w:rFonts w:ascii="Arial" w:eastAsia="SimSun" w:hAnsi="Arial" w:cs="Calibri"/>
      <w:sz w:val="18"/>
      <w:szCs w:val="22"/>
      <w:lang w:val="en-US" w:eastAsia="zh-CN"/>
    </w:rPr>
  </w:style>
  <w:style w:type="character" w:customStyle="1" w:styleId="CommentSubjectChar">
    <w:name w:val="Comment Subject Char"/>
    <w:basedOn w:val="CommentTextChar1"/>
    <w:link w:val="CommentSubject"/>
    <w:rsid w:val="00FF1607"/>
    <w:rPr>
      <w:rFonts w:ascii="Arial" w:eastAsia="SimSun" w:hAnsi="Arial" w:cs="Arial"/>
      <w:b/>
      <w:bCs/>
      <w:sz w:val="18"/>
      <w:szCs w:val="22"/>
      <w:lang w:val="en-US" w:eastAsia="en-US"/>
    </w:rPr>
  </w:style>
  <w:style w:type="paragraph" w:styleId="TOC9">
    <w:name w:val="toc 9"/>
    <w:basedOn w:val="Normal"/>
    <w:next w:val="Normal"/>
    <w:autoRedefine/>
    <w:uiPriority w:val="39"/>
    <w:unhideWhenUsed/>
    <w:rsid w:val="00A5074B"/>
    <w:pPr>
      <w:bidi w:val="0"/>
      <w:spacing w:after="100" w:line="259" w:lineRule="auto"/>
      <w:ind w:left="1760"/>
    </w:pPr>
    <w:rPr>
      <w:rFonts w:asciiTheme="minorHAnsi" w:eastAsiaTheme="minorEastAsia" w:hAnsiTheme="minorHAnsi" w:cstheme="minorBidi"/>
      <w:lang w:val="fr-CH" w:eastAsia="fr-CH"/>
    </w:rPr>
  </w:style>
  <w:style w:type="paragraph" w:customStyle="1" w:styleId="Char">
    <w:name w:val="Char 字元 字元"/>
    <w:basedOn w:val="Normal"/>
    <w:rsid w:val="00FF1607"/>
    <w:pPr>
      <w:bidi w:val="0"/>
      <w:spacing w:after="160" w:line="240" w:lineRule="exact"/>
    </w:pPr>
    <w:rPr>
      <w:rFonts w:ascii="Verdana" w:eastAsia="PMingLiU" w:hAnsi="Verdana" w:cs="Times New Roman"/>
      <w:sz w:val="20"/>
      <w:szCs w:val="20"/>
      <w:lang w:eastAsia="en-US"/>
    </w:rPr>
  </w:style>
  <w:style w:type="character" w:customStyle="1" w:styleId="ONUMEChar">
    <w:name w:val="ONUM E Char"/>
    <w:link w:val="ONUME"/>
    <w:rsid w:val="00FF1607"/>
    <w:rPr>
      <w:rFonts w:ascii="Arial" w:eastAsia="SimSun" w:hAnsi="Arial" w:cs="Calibri"/>
      <w:sz w:val="22"/>
      <w:szCs w:val="22"/>
      <w:lang w:val="en-US" w:eastAsia="zh-CN"/>
    </w:rPr>
  </w:style>
  <w:style w:type="character" w:styleId="PageNumber">
    <w:name w:val="page number"/>
    <w:basedOn w:val="DefaultParagraphFont"/>
    <w:rsid w:val="00FF1607"/>
  </w:style>
  <w:style w:type="paragraph" w:styleId="BodyText2">
    <w:name w:val="Body Text 2"/>
    <w:basedOn w:val="Normal"/>
    <w:link w:val="BodyText2Char"/>
    <w:rsid w:val="00FF1607"/>
    <w:pPr>
      <w:bidi w:val="0"/>
      <w:spacing w:after="120"/>
    </w:pPr>
    <w:rPr>
      <w:rFonts w:ascii="Times New Roman" w:eastAsia="Times New Roman" w:hAnsi="Times New Roman" w:cs="Times New Roman"/>
      <w:i/>
      <w:sz w:val="24"/>
      <w:szCs w:val="20"/>
      <w:lang w:eastAsia="en-US"/>
    </w:rPr>
  </w:style>
  <w:style w:type="character" w:customStyle="1" w:styleId="BodyText2Char">
    <w:name w:val="Body Text 2 Char"/>
    <w:basedOn w:val="DefaultParagraphFont"/>
    <w:link w:val="BodyText2"/>
    <w:rsid w:val="00FF1607"/>
    <w:rPr>
      <w:i/>
      <w:sz w:val="24"/>
      <w:lang w:val="en-US" w:eastAsia="en-US"/>
    </w:rPr>
  </w:style>
  <w:style w:type="paragraph" w:customStyle="1" w:styleId="CharCharCharChar">
    <w:name w:val="Char Char Char Char"/>
    <w:basedOn w:val="Normal"/>
    <w:rsid w:val="00FF1607"/>
    <w:pPr>
      <w:bidi w:val="0"/>
      <w:spacing w:after="160" w:line="240" w:lineRule="exact"/>
    </w:pPr>
    <w:rPr>
      <w:rFonts w:ascii="Verdana" w:hAnsi="Verdana" w:cs="Times New Roman"/>
      <w:sz w:val="20"/>
      <w:szCs w:val="20"/>
      <w:lang w:val="en-GB" w:eastAsia="en-US"/>
    </w:rPr>
  </w:style>
  <w:style w:type="character" w:customStyle="1" w:styleId="CharChar5">
    <w:name w:val="Char Char5"/>
    <w:locked/>
    <w:rsid w:val="00FF1607"/>
    <w:rPr>
      <w:rFonts w:ascii="Arial" w:eastAsia="SimSun" w:hAnsi="Arial" w:cs="Times New Roman"/>
      <w:sz w:val="18"/>
      <w:lang w:val="en-US" w:eastAsia="zh-CN"/>
    </w:rPr>
  </w:style>
  <w:style w:type="paragraph" w:customStyle="1" w:styleId="DecisionInvitingPara">
    <w:name w:val="Decision Inviting Para."/>
    <w:basedOn w:val="Normal"/>
    <w:rsid w:val="00FF1607"/>
    <w:pPr>
      <w:bidi w:val="0"/>
      <w:ind w:left="5534"/>
    </w:pPr>
    <w:rPr>
      <w:rFonts w:cs="Arial"/>
      <w:i/>
      <w:szCs w:val="20"/>
    </w:rPr>
  </w:style>
  <w:style w:type="paragraph" w:customStyle="1" w:styleId="QueContin1">
    <w:name w:val="Que Contin 1"/>
    <w:basedOn w:val="Normal"/>
    <w:uiPriority w:val="99"/>
    <w:rsid w:val="00FF1607"/>
    <w:pPr>
      <w:widowControl w:val="0"/>
      <w:tabs>
        <w:tab w:val="left" w:pos="1944"/>
      </w:tabs>
      <w:autoSpaceDE w:val="0"/>
      <w:autoSpaceDN w:val="0"/>
      <w:bidi w:val="0"/>
      <w:adjustRightInd w:val="0"/>
      <w:ind w:firstLine="720"/>
    </w:pPr>
    <w:rPr>
      <w:rFonts w:ascii="Courier New" w:eastAsia="Times New Roman" w:hAnsi="Courier New" w:cs="Courier New"/>
      <w:sz w:val="24"/>
      <w:szCs w:val="24"/>
      <w:lang w:eastAsia="en-US"/>
    </w:rPr>
  </w:style>
  <w:style w:type="paragraph" w:customStyle="1" w:styleId="Colloquy">
    <w:name w:val="Colloquy"/>
    <w:basedOn w:val="Normal"/>
    <w:next w:val="Normal"/>
    <w:rsid w:val="00FF1607"/>
    <w:pPr>
      <w:widowControl w:val="0"/>
      <w:autoSpaceDE w:val="0"/>
      <w:autoSpaceDN w:val="0"/>
      <w:bidi w:val="0"/>
      <w:adjustRightInd w:val="0"/>
      <w:spacing w:line="555" w:lineRule="atLeast"/>
      <w:ind w:left="1440" w:firstLine="720"/>
    </w:pPr>
    <w:rPr>
      <w:rFonts w:ascii="Courier New" w:eastAsia="Times New Roman" w:hAnsi="Courier New" w:cs="Courier New"/>
      <w:sz w:val="24"/>
      <w:szCs w:val="24"/>
      <w:lang w:bidi="hi-IN"/>
    </w:rPr>
  </w:style>
  <w:style w:type="paragraph" w:customStyle="1" w:styleId="ContinCol">
    <w:name w:val="Contin Col"/>
    <w:basedOn w:val="Normal"/>
    <w:next w:val="Normal"/>
    <w:rsid w:val="00FF1607"/>
    <w:pPr>
      <w:widowControl w:val="0"/>
      <w:autoSpaceDE w:val="0"/>
      <w:autoSpaceDN w:val="0"/>
      <w:bidi w:val="0"/>
      <w:adjustRightInd w:val="0"/>
      <w:spacing w:line="555" w:lineRule="atLeast"/>
      <w:ind w:left="720" w:firstLine="720"/>
    </w:pPr>
    <w:rPr>
      <w:rFonts w:ascii="Courier New" w:eastAsia="Times New Roman" w:hAnsi="Courier New" w:cs="Courier New"/>
      <w:sz w:val="24"/>
      <w:szCs w:val="24"/>
      <w:lang w:bidi="hi-IN"/>
    </w:rPr>
  </w:style>
  <w:style w:type="paragraph" w:customStyle="1" w:styleId="msolistparagraph0">
    <w:name w:val="msolistparagraph"/>
    <w:basedOn w:val="Normal"/>
    <w:rsid w:val="00FF1607"/>
    <w:pPr>
      <w:bidi w:val="0"/>
      <w:ind w:left="720"/>
    </w:pPr>
    <w:rPr>
      <w:rFonts w:cs="Arial"/>
      <w:szCs w:val="20"/>
    </w:rPr>
  </w:style>
  <w:style w:type="paragraph" w:customStyle="1" w:styleId="msolistparagraphcxspmiddle">
    <w:name w:val="msolistparagraphcxspmiddle"/>
    <w:basedOn w:val="Normal"/>
    <w:rsid w:val="00FF1607"/>
    <w:pPr>
      <w:bidi w:val="0"/>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msolistparagraphcxspmiddlecxspmiddle">
    <w:name w:val="msolistparagraphcxspmiddlecxspmiddle"/>
    <w:basedOn w:val="Normal"/>
    <w:rsid w:val="00FF1607"/>
    <w:pPr>
      <w:bidi w:val="0"/>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ByContin1">
    <w:name w:val="By  Contin 1"/>
    <w:basedOn w:val="Normal"/>
    <w:uiPriority w:val="99"/>
    <w:rsid w:val="00FF1607"/>
    <w:pPr>
      <w:widowControl w:val="0"/>
      <w:tabs>
        <w:tab w:val="left" w:pos="504"/>
      </w:tabs>
      <w:autoSpaceDE w:val="0"/>
      <w:autoSpaceDN w:val="0"/>
      <w:bidi w:val="0"/>
      <w:adjustRightInd w:val="0"/>
      <w:ind w:firstLine="504"/>
    </w:pPr>
    <w:rPr>
      <w:rFonts w:ascii="Courier New" w:eastAsia="Times New Roman" w:hAnsi="Courier New" w:cs="Courier New"/>
      <w:sz w:val="24"/>
      <w:szCs w:val="24"/>
      <w:lang w:eastAsia="en-US"/>
    </w:rPr>
  </w:style>
  <w:style w:type="paragraph" w:customStyle="1" w:styleId="Text">
    <w:name w:val="Text"/>
    <w:rsid w:val="00FF1607"/>
    <w:pPr>
      <w:pBdr>
        <w:top w:val="nil"/>
        <w:left w:val="nil"/>
        <w:bottom w:val="nil"/>
        <w:right w:val="nil"/>
        <w:between w:val="nil"/>
        <w:bar w:val="nil"/>
      </w:pBdr>
    </w:pPr>
    <w:rPr>
      <w:rFonts w:ascii="Helvetica" w:eastAsia="Arial Unicode MS" w:hAnsi="Arial Unicode MS" w:cs="Arial Unicode MS"/>
      <w:color w:val="000000"/>
      <w:sz w:val="22"/>
      <w:szCs w:val="22"/>
      <w:bdr w:val="nil"/>
      <w:lang w:val="de-DE" w:eastAsia="en-US"/>
    </w:rPr>
  </w:style>
  <w:style w:type="paragraph" w:customStyle="1" w:styleId="Default">
    <w:name w:val="Default"/>
    <w:rsid w:val="00FF1607"/>
    <w:pPr>
      <w:autoSpaceDE w:val="0"/>
      <w:autoSpaceDN w:val="0"/>
      <w:adjustRightInd w:val="0"/>
    </w:pPr>
    <w:rPr>
      <w:rFonts w:ascii="Arial" w:hAnsi="Arial" w:cs="Arial"/>
      <w:color w:val="000000"/>
      <w:sz w:val="24"/>
      <w:szCs w:val="24"/>
      <w:lang w:val="en-US" w:eastAsia="en-US"/>
    </w:rPr>
  </w:style>
  <w:style w:type="paragraph" w:customStyle="1" w:styleId="Contenidodelatabla">
    <w:name w:val="Contenido de la tabla"/>
    <w:basedOn w:val="Normal"/>
    <w:rsid w:val="00FF1607"/>
    <w:pPr>
      <w:widowControl w:val="0"/>
      <w:suppressLineNumbers/>
      <w:suppressAutoHyphens/>
      <w:bidi w:val="0"/>
    </w:pPr>
    <w:rPr>
      <w:rFonts w:ascii="Times New Roman" w:eastAsia="Arial Unicode MS" w:hAnsi="Times New Roman" w:cs="Arial Unicode MS"/>
      <w:kern w:val="1"/>
      <w:sz w:val="24"/>
      <w:szCs w:val="24"/>
      <w:lang w:val="es-PE" w:bidi="hi-IN"/>
    </w:rPr>
  </w:style>
  <w:style w:type="character" w:customStyle="1" w:styleId="UnresolvedMention">
    <w:name w:val="Unresolved Mention"/>
    <w:basedOn w:val="DefaultParagraphFont"/>
    <w:uiPriority w:val="99"/>
    <w:semiHidden/>
    <w:unhideWhenUsed/>
    <w:rsid w:val="00A5074B"/>
    <w:rPr>
      <w:color w:val="605E5C"/>
      <w:shd w:val="clear" w:color="auto" w:fill="E1DFDD"/>
    </w:rPr>
  </w:style>
  <w:style w:type="paragraph" w:styleId="Revision">
    <w:name w:val="Revision"/>
    <w:hidden/>
    <w:uiPriority w:val="99"/>
    <w:semiHidden/>
    <w:rsid w:val="00FF1607"/>
    <w:rPr>
      <w:rFonts w:ascii="Arial" w:hAnsi="Arial" w:cs="Arial"/>
      <w:sz w:val="22"/>
      <w:lang w:val="en-US" w:eastAsia="en-US"/>
    </w:rPr>
  </w:style>
  <w:style w:type="paragraph" w:customStyle="1" w:styleId="NormalAR">
    <w:name w:val="Normal AR"/>
    <w:basedOn w:val="Normal"/>
    <w:rsid w:val="00FF1607"/>
    <w:pPr>
      <w:spacing w:after="120" w:line="340" w:lineRule="exact"/>
      <w:ind w:left="1021"/>
    </w:pPr>
    <w:rPr>
      <w:rFonts w:ascii="Arabic Typesetting" w:eastAsia="Times New Roman" w:hAnsi="Arabic Typesetting" w:cs="Arabic Typesetting"/>
      <w:sz w:val="34"/>
      <w:szCs w:val="34"/>
      <w:lang w:eastAsia="en-US" w:bidi="ar-EG"/>
    </w:rPr>
  </w:style>
  <w:style w:type="paragraph" w:styleId="NormalWeb">
    <w:name w:val="Normal (Web)"/>
    <w:basedOn w:val="Normal"/>
    <w:rsid w:val="00FF1607"/>
    <w:pPr>
      <w:bidi w:val="0"/>
      <w:spacing w:before="100" w:beforeAutospacing="1" w:after="100" w:afterAutospacing="1"/>
    </w:pPr>
    <w:rPr>
      <w:rFonts w:ascii="Times New Roman" w:eastAsia="MS Mincho" w:hAnsi="Times New Roman" w:cs="Times New Roman"/>
      <w:sz w:val="24"/>
      <w:szCs w:val="24"/>
      <w:lang w:eastAsia="ja-JP"/>
    </w:rPr>
  </w:style>
  <w:style w:type="table" w:customStyle="1" w:styleId="TableGrid12">
    <w:name w:val="Table Grid12"/>
    <w:basedOn w:val="TableNormal"/>
    <w:next w:val="TableGrid"/>
    <w:rsid w:val="00FF160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FootnoteReferenceLatinArabicTypesettingLatin17pt">
    <w:name w:val="Style Footnote Reference + (Latin) Arabic Typesetting (Latin) 17 pt"/>
    <w:basedOn w:val="FootnoteReference"/>
    <w:rsid w:val="0095258F"/>
    <w:rPr>
      <w:rFonts w:ascii="Arabic Typesetting" w:hAnsi="Arabic Typesetting" w:cs="Arabic Typesetting"/>
      <w:sz w:val="34"/>
      <w:szCs w:val="34"/>
      <w:vertAlign w:val="superscript"/>
    </w:rPr>
  </w:style>
  <w:style w:type="table" w:customStyle="1" w:styleId="Grilledutableau2">
    <w:name w:val="Grille du tableau2"/>
    <w:basedOn w:val="TableNormal"/>
    <w:next w:val="TableGrid"/>
    <w:rsid w:val="0095258F"/>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Normal"/>
    <w:next w:val="TableGrid"/>
    <w:rsid w:val="0095258F"/>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TableNormal"/>
    <w:next w:val="TableGrid"/>
    <w:rsid w:val="0095258F"/>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
    <w:name w:val="Grille du tableau5"/>
    <w:basedOn w:val="TableNormal"/>
    <w:next w:val="TableGrid"/>
    <w:rsid w:val="0095258F"/>
    <w:pPr>
      <w:bidi/>
    </w:pPr>
    <w:rPr>
      <w:rFonts w:cs="Traditional Arab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
    <w:name w:val="Aucune liste1"/>
    <w:next w:val="NoList"/>
    <w:semiHidden/>
    <w:rsid w:val="007E34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wipo.int/tk/en/folklore/"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wipo.int/tk/en/databases/creative_heritage/"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www.wipo.int/tk/en/databases/creative_heritage/" TargetMode="External"/><Relationship Id="rId10" Type="http://schemas.openxmlformats.org/officeDocument/2006/relationships/image" Target="media/image3.jpeg"/><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wipo.int/tk/en/databases/creative_heritage/"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wipo.int/tk/en/databases/tklaws/" TargetMode="External"/><Relationship Id="rId2" Type="http://schemas.openxmlformats.org/officeDocument/2006/relationships/hyperlink" Target="https://www.wipo.int/meetings/en/doc_details.jsp?doc_id=373916" TargetMode="External"/><Relationship Id="rId1" Type="http://schemas.openxmlformats.org/officeDocument/2006/relationships/hyperlink" Target="https://www.wipo.int/tk/en/igc/gap-analyses.html" TargetMode="External"/><Relationship Id="rId5" Type="http://schemas.openxmlformats.org/officeDocument/2006/relationships/hyperlink" Target="http://laws-lois.justice.gc.ca/eng/acts/c-42/page-32.html" TargetMode="External"/><Relationship Id="rId4" Type="http://schemas.openxmlformats.org/officeDocument/2006/relationships/hyperlink" Target="https://www.wipo.int/tk/en/databases/tklaw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Calibri\IGC_42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57E475-D116-4E2F-B6F7-CF2E61280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IGC_42_AR</Template>
  <TotalTime>1</TotalTime>
  <Pages>1</Pages>
  <Words>13897</Words>
  <Characters>79219</Characters>
  <Application>Microsoft Office Word</Application>
  <DocSecurity>0</DocSecurity>
  <Lines>660</Lines>
  <Paragraphs>185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WIPO/GRTK/IC/44/</vt:lpstr>
      <vt:lpstr>WIPO/GRTK/IC/44/</vt:lpstr>
    </vt:vector>
  </TitlesOfParts>
  <Company>WIPO</Company>
  <LinksUpToDate>false</LinksUpToDate>
  <CharactersWithSpaces>92931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WIPO/GRTK/IC/44/</dc:title>
  <dc:creator>IHADADENE Soraya</dc:creator>
  <cp:keywords>FOR OFFICIAL USE ONLY</cp:keywords>
  <cp:lastModifiedBy>ALAKHRAS Basel</cp:lastModifiedBy>
  <cp:revision>5</cp:revision>
  <cp:lastPrinted>2022-09-30T15:58:00Z</cp:lastPrinted>
  <dcterms:created xsi:type="dcterms:W3CDTF">2022-09-30T15:58:00Z</dcterms:created>
  <dcterms:modified xsi:type="dcterms:W3CDTF">2022-09-30T15:59:00Z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c83aa15d-c463-40c8-8554-a1f330f3be03</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