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3B8CA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9A5DD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9A5DD4">
        <w:rPr>
          <w:rFonts w:ascii="Arial Black" w:hAnsi="Arial Black"/>
          <w:caps/>
          <w:sz w:val="15"/>
          <w:szCs w:val="15"/>
        </w:rPr>
        <w:t>45</w:t>
      </w:r>
      <w:r>
        <w:rPr>
          <w:rFonts w:ascii="Arial Black" w:hAnsi="Arial Black"/>
          <w:caps/>
          <w:sz w:val="15"/>
          <w:szCs w:val="15"/>
        </w:rPr>
        <w:t>/</w:t>
      </w:r>
      <w:bookmarkStart w:id="0" w:name="Code"/>
      <w:bookmarkEnd w:id="0"/>
      <w:r w:rsidR="00304B5F">
        <w:rPr>
          <w:rFonts w:ascii="Arial Black" w:hAnsi="Arial Black"/>
          <w:caps/>
          <w:sz w:val="15"/>
          <w:szCs w:val="15"/>
        </w:rPr>
        <w:t>12</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9A5DD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A5DD4">
        <w:rPr>
          <w:rFonts w:asciiTheme="minorHAnsi" w:hAnsiTheme="minorHAnsi" w:cstheme="minorHAnsi" w:hint="cs"/>
          <w:b/>
          <w:bCs/>
          <w:caps/>
          <w:sz w:val="15"/>
          <w:szCs w:val="15"/>
          <w:rtl/>
        </w:rPr>
        <w:t>1</w:t>
      </w:r>
      <w:r w:rsidR="002937BA">
        <w:rPr>
          <w:rFonts w:asciiTheme="minorHAnsi" w:hAnsiTheme="minorHAnsi" w:cstheme="minorHAnsi" w:hint="cs"/>
          <w:b/>
          <w:bCs/>
          <w:caps/>
          <w:sz w:val="15"/>
          <w:szCs w:val="15"/>
          <w:rtl/>
        </w:rPr>
        <w:t xml:space="preserve"> </w:t>
      </w:r>
      <w:r w:rsidR="009A5DD4">
        <w:rPr>
          <w:rFonts w:asciiTheme="minorHAnsi" w:hAnsiTheme="minorHAnsi" w:cstheme="minorHAnsi" w:hint="cs"/>
          <w:b/>
          <w:bCs/>
          <w:caps/>
          <w:sz w:val="15"/>
          <w:szCs w:val="15"/>
          <w:rtl/>
        </w:rPr>
        <w:t>دي</w:t>
      </w:r>
      <w:r w:rsidR="00ED7864">
        <w:rPr>
          <w:rFonts w:asciiTheme="minorHAnsi" w:hAnsiTheme="minorHAnsi" w:cstheme="minorHAnsi" w:hint="cs"/>
          <w:b/>
          <w:bCs/>
          <w:caps/>
          <w:sz w:val="15"/>
          <w:szCs w:val="15"/>
          <w:rtl/>
        </w:rPr>
        <w:t>سمبر</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9A5DD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w:t>
      </w:r>
      <w:r w:rsidR="009A5DD4">
        <w:rPr>
          <w:rFonts w:asciiTheme="minorHAnsi" w:hAnsiTheme="minorHAnsi" w:cstheme="minorHAnsi" w:hint="cs"/>
          <w:bCs/>
          <w:sz w:val="24"/>
          <w:szCs w:val="24"/>
          <w:rtl/>
        </w:rPr>
        <w:t>خامس</w:t>
      </w:r>
      <w:r w:rsidR="00ED7864">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9A5DD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DD4">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9A5DD4">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9A5DD4">
        <w:rPr>
          <w:rFonts w:asciiTheme="minorHAnsi" w:hAnsiTheme="minorHAnsi" w:cstheme="minorHAnsi" w:hint="cs"/>
          <w:bCs/>
          <w:sz w:val="24"/>
          <w:szCs w:val="24"/>
          <w:rtl/>
        </w:rPr>
        <w:t>دي</w:t>
      </w:r>
      <w:r w:rsidR="00ED7864">
        <w:rPr>
          <w:rFonts w:asciiTheme="minorHAnsi" w:hAnsiTheme="minorHAnsi" w:cstheme="minorHAnsi" w:hint="cs"/>
          <w:bCs/>
          <w:sz w:val="24"/>
          <w:szCs w:val="24"/>
          <w:rtl/>
        </w:rPr>
        <w:t>سمبر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304B5F" w:rsidP="00304B5F">
      <w:pPr>
        <w:spacing w:after="360"/>
        <w:outlineLvl w:val="0"/>
        <w:rPr>
          <w:rFonts w:asciiTheme="minorHAnsi" w:hAnsiTheme="minorHAnsi" w:cstheme="minorHAnsi"/>
          <w:caps/>
          <w:sz w:val="24"/>
        </w:rPr>
      </w:pPr>
      <w:bookmarkStart w:id="3" w:name="TitleOfDoc"/>
      <w:r w:rsidRPr="00304B5F">
        <w:rPr>
          <w:rFonts w:asciiTheme="minorHAnsi" w:hAnsiTheme="minorHAnsi" w:hint="cs"/>
          <w:caps/>
          <w:sz w:val="28"/>
          <w:szCs w:val="24"/>
          <w:rtl/>
        </w:rPr>
        <w:t>أشكال التعبير الثقافي التقليدي: ورقة مناقشة</w:t>
      </w:r>
    </w:p>
    <w:p w:rsidR="002928D3" w:rsidRDefault="00304B5F" w:rsidP="00304B5F">
      <w:pPr>
        <w:spacing w:after="1040"/>
        <w:rPr>
          <w:rFonts w:asciiTheme="minorHAnsi" w:hAnsiTheme="minorHAnsi" w:cstheme="minorHAnsi"/>
          <w:iCs/>
          <w:rtl/>
        </w:rPr>
      </w:pPr>
      <w:bookmarkStart w:id="4" w:name="Prepared"/>
      <w:bookmarkEnd w:id="3"/>
      <w:bookmarkEnd w:id="4"/>
      <w:r w:rsidRPr="00304B5F">
        <w:rPr>
          <w:rFonts w:asciiTheme="minorHAnsi" w:hAnsiTheme="minorHAnsi" w:hint="cs"/>
          <w:iCs/>
          <w:rtl/>
        </w:rPr>
        <w:t>وثيقة قدمها وفد الولايات المتحدة الأمريكية</w:t>
      </w:r>
    </w:p>
    <w:p w:rsidR="005B01D9" w:rsidRDefault="00304B5F" w:rsidP="009A5DD4">
      <w:pPr>
        <w:pStyle w:val="ONUMA"/>
        <w:rPr>
          <w:lang w:bidi="ar-EG"/>
        </w:rPr>
      </w:pPr>
      <w:r w:rsidRPr="00304B5F">
        <w:rPr>
          <w:rFonts w:hint="cs"/>
          <w:rtl/>
        </w:rPr>
        <w:t xml:space="preserve">في </w:t>
      </w:r>
      <w:r w:rsidR="009A5DD4">
        <w:rPr>
          <w:rFonts w:hint="cs"/>
          <w:rtl/>
        </w:rPr>
        <w:t>30 نوف</w:t>
      </w:r>
      <w:r w:rsidR="00C77AA6">
        <w:rPr>
          <w:rFonts w:hint="cs"/>
          <w:rtl/>
        </w:rPr>
        <w:t>مبر</w:t>
      </w:r>
      <w:r w:rsidRPr="00304B5F">
        <w:rPr>
          <w:rFonts w:hint="eastAsia"/>
          <w:rtl/>
        </w:rPr>
        <w:t> </w:t>
      </w:r>
      <w:r w:rsidR="00C77AA6">
        <w:rPr>
          <w:rFonts w:hint="cs"/>
          <w:rtl/>
        </w:rPr>
        <w:t>2022</w:t>
      </w:r>
      <w:r w:rsidRPr="00304B5F">
        <w:rPr>
          <w:rFonts w:hint="cs"/>
          <w:rtl/>
        </w:rPr>
        <w:t xml:space="preserve">، تلقى المكتب الدولي للمنظمة العالمية للملكية الفكرية (الويبو) طلباً من البعثة الدائمة للولايات المتحدة الأمريكية لدى </w:t>
      </w:r>
      <w:r w:rsidR="00C77AA6">
        <w:rPr>
          <w:rFonts w:hint="cs"/>
          <w:rtl/>
        </w:rPr>
        <w:t>المنظمات الدولية في جنيف،</w:t>
      </w:r>
      <w:r w:rsidRPr="00304B5F">
        <w:rPr>
          <w:rFonts w:hint="cs"/>
          <w:rtl/>
        </w:rPr>
        <w:t xml:space="preserve"> التمس</w:t>
      </w:r>
      <w:r w:rsidR="00C77AA6">
        <w:rPr>
          <w:rFonts w:hint="cs"/>
          <w:rtl/>
        </w:rPr>
        <w:t>ت</w:t>
      </w:r>
      <w:r w:rsidRPr="00304B5F">
        <w:rPr>
          <w:rFonts w:hint="cs"/>
          <w:rtl/>
        </w:rPr>
        <w:t xml:space="preserve"> فيه أن تقدَّم مجدداً الوثيقة المعنونة "أشكال التعبير الثقافي التقليدي: ورقة مناقشة"، بصيغتها الواردة في الوثيقة </w:t>
      </w:r>
      <w:r w:rsidRPr="00304B5F">
        <w:rPr>
          <w:lang w:bidi="ar-EG"/>
        </w:rPr>
        <w:t>WIPO/GRTKF/IC/</w:t>
      </w:r>
      <w:r w:rsidR="009A5DD4">
        <w:rPr>
          <w:lang w:bidi="ar-EG"/>
        </w:rPr>
        <w:t>44</w:t>
      </w:r>
      <w:r w:rsidRPr="00304B5F">
        <w:rPr>
          <w:lang w:bidi="ar-EG"/>
        </w:rPr>
        <w:t>/</w:t>
      </w:r>
      <w:r w:rsidR="009A5DD4">
        <w:rPr>
          <w:lang w:bidi="ar-EG"/>
        </w:rPr>
        <w:t>12</w:t>
      </w:r>
      <w:r w:rsidRPr="00304B5F">
        <w:rPr>
          <w:rFonts w:hint="cs"/>
          <w:rtl/>
        </w:rPr>
        <w:t xml:space="preserve">، إلى اللجنة الحكومية الدولية المعنية بالملكية الفكرية والموارد الوراثية والمعارف التقليدية والفولكلور (لجنة المعارف) </w:t>
      </w:r>
      <w:r w:rsidR="00C77AA6">
        <w:rPr>
          <w:rFonts w:hint="cs"/>
          <w:rtl/>
        </w:rPr>
        <w:t xml:space="preserve">كي تناقشها في </w:t>
      </w:r>
      <w:r w:rsidRPr="00304B5F">
        <w:rPr>
          <w:rFonts w:hint="cs"/>
          <w:rtl/>
        </w:rPr>
        <w:t xml:space="preserve">دورتها </w:t>
      </w:r>
      <w:r w:rsidR="00C77AA6">
        <w:rPr>
          <w:rFonts w:hint="cs"/>
          <w:rtl/>
        </w:rPr>
        <w:t>ال</w:t>
      </w:r>
      <w:r w:rsidR="009A5DD4">
        <w:rPr>
          <w:rFonts w:hint="cs"/>
          <w:rtl/>
        </w:rPr>
        <w:t>خامس</w:t>
      </w:r>
      <w:bookmarkStart w:id="5" w:name="_GoBack"/>
      <w:bookmarkEnd w:id="5"/>
      <w:r w:rsidR="00C77AA6">
        <w:rPr>
          <w:rFonts w:hint="cs"/>
          <w:rtl/>
        </w:rPr>
        <w:t>ة والأربعين</w:t>
      </w:r>
      <w:r w:rsidRPr="00304B5F">
        <w:rPr>
          <w:rFonts w:hint="cs"/>
          <w:rtl/>
        </w:rPr>
        <w:t>.</w:t>
      </w:r>
    </w:p>
    <w:p w:rsidR="005B01D9" w:rsidRPr="005B01D9" w:rsidRDefault="00304B5F" w:rsidP="00C77AA6">
      <w:pPr>
        <w:pStyle w:val="ONUMA"/>
        <w:rPr>
          <w:rtl/>
          <w:lang w:bidi="ar-EG"/>
        </w:rPr>
      </w:pPr>
      <w:r w:rsidRPr="00304B5F">
        <w:rPr>
          <w:rFonts w:hint="cs"/>
          <w:rtl/>
        </w:rPr>
        <w:t>واستجابة لذلك الطلب، يحتوي مرفق هذه الوثيقة على المساهمة المذكورة.</w:t>
      </w:r>
    </w:p>
    <w:p w:rsidR="005B01D9" w:rsidRPr="005B01D9" w:rsidRDefault="00304B5F" w:rsidP="00304B5F">
      <w:pPr>
        <w:pStyle w:val="ONUMA"/>
        <w:ind w:left="5530"/>
        <w:rPr>
          <w:i/>
          <w:iCs/>
          <w:rtl/>
          <w:lang w:bidi="ar-EG"/>
        </w:rPr>
      </w:pPr>
      <w:r w:rsidRPr="00304B5F">
        <w:rPr>
          <w:rFonts w:hint="cs"/>
          <w:i/>
          <w:iCs/>
          <w:rtl/>
        </w:rPr>
        <w:t>إن اللجنة مدعوة إلى الإحاطة علما بهذه</w:t>
      </w:r>
      <w:r w:rsidRPr="00304B5F">
        <w:rPr>
          <w:rFonts w:hint="eastAsia"/>
          <w:i/>
          <w:iCs/>
          <w:rtl/>
        </w:rPr>
        <w:t> </w:t>
      </w:r>
      <w:r w:rsidRPr="00304B5F">
        <w:rPr>
          <w:rFonts w:hint="cs"/>
          <w:i/>
          <w:iCs/>
          <w:rtl/>
        </w:rPr>
        <w:t>الوثيقة ومرفقها.</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304B5F" w:rsidRPr="00304B5F" w:rsidRDefault="00304B5F" w:rsidP="00304B5F">
      <w:pPr>
        <w:keepNext/>
        <w:spacing w:after="240" w:line="360" w:lineRule="exact"/>
        <w:jc w:val="center"/>
        <w:rPr>
          <w:rFonts w:eastAsia="Times New Roman"/>
          <w:b/>
          <w:bCs/>
          <w:sz w:val="24"/>
          <w:szCs w:val="24"/>
          <w:rtl/>
          <w:lang w:eastAsia="en-US"/>
        </w:rPr>
      </w:pPr>
      <w:r w:rsidRPr="00304B5F">
        <w:rPr>
          <w:rFonts w:eastAsia="Times New Roman" w:hint="cs"/>
          <w:b/>
          <w:bCs/>
          <w:sz w:val="24"/>
          <w:szCs w:val="24"/>
          <w:rtl/>
          <w:lang w:eastAsia="en-US"/>
        </w:rPr>
        <w:lastRenderedPageBreak/>
        <w:t>أشكال التعبير الثقافي التقليدي: ورقة مناقشة</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أولا.</w:t>
      </w:r>
      <w:r w:rsidRPr="00304B5F">
        <w:rPr>
          <w:rFonts w:eastAsia="Times New Roman"/>
          <w:b/>
          <w:bCs/>
          <w:sz w:val="24"/>
          <w:szCs w:val="24"/>
          <w:rtl/>
          <w:lang w:eastAsia="en-US"/>
        </w:rPr>
        <w:tab/>
      </w:r>
      <w:r w:rsidRPr="00304B5F">
        <w:rPr>
          <w:rFonts w:eastAsia="Times New Roman" w:hint="cs"/>
          <w:b/>
          <w:bCs/>
          <w:sz w:val="24"/>
          <w:szCs w:val="24"/>
          <w:rtl/>
          <w:lang w:eastAsia="en-US"/>
        </w:rPr>
        <w:t>مقدمة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بموجب ولاية لجنة المعارف التقليدية التابعة للويبو في الثنائية</w:t>
      </w:r>
      <w:r w:rsidRPr="00304B5F">
        <w:rPr>
          <w:rFonts w:eastAsia="Times New Roman" w:hint="eastAsia"/>
          <w:rtl/>
          <w:lang w:eastAsia="en-US"/>
        </w:rPr>
        <w:t> </w:t>
      </w:r>
      <w:r w:rsidRPr="00304B5F">
        <w:rPr>
          <w:rFonts w:eastAsia="Times New Roman" w:hint="cs"/>
          <w:rtl/>
          <w:lang w:eastAsia="en-US"/>
        </w:rPr>
        <w:t xml:space="preserve">2016/2017، يتمثّل محور تركيز اللجنة الأساسي على التوصل إلى تفاهم مشترك بشأن القضايا الجوهرية، بما في ذلك مدى استفادة بعض أشكال التعبير الثقافي التقليدي من الحماية. ويمكن أن تكون أشكال التعبير الثقافي التقليدي مؤهلة للحماية على الصعيد الدولي ولكن البعض منها لن يكون مؤهلا لتلك الحماية. </w:t>
      </w:r>
      <w:r w:rsidRPr="00304B5F">
        <w:rPr>
          <w:rFonts w:eastAsia="Times New Roman"/>
          <w:rtl/>
          <w:lang w:eastAsia="en-US"/>
        </w:rPr>
        <w:t xml:space="preserve">ويُتوقّع أن تعمل اللجنة، في سعيها إلى المضي قدما بعملها، على استعمال </w:t>
      </w:r>
      <w:r w:rsidRPr="00304B5F">
        <w:rPr>
          <w:rFonts w:eastAsia="Times New Roman" w:hint="cs"/>
          <w:rtl/>
          <w:lang w:eastAsia="en-US"/>
        </w:rPr>
        <w:t>"</w:t>
      </w:r>
      <w:r w:rsidRPr="00304B5F">
        <w:rPr>
          <w:rFonts w:eastAsia="Times New Roman"/>
          <w:rtl/>
          <w:lang w:eastAsia="en-US"/>
        </w:rPr>
        <w:t>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والهدف من هذه الورقة هو تيسير مناقشة مستنيرة في سياق التوصل إلى تفاهم مشترك بخصوص معاملة أشكال التعبير الثقافي التقليدي. وتيسيرا للأمور، وُضعت الأمثلة الواردة في هذه الورقة وفق نظام يتسق مع الفئات المحدّدة في تعريف أشكال التعبير الثقافي التقليدي في مشروع المواد وهي كالتالي: (1) أشكال التعبير بالحركة، (2)</w:t>
      </w:r>
      <w:r w:rsidRPr="00304B5F">
        <w:rPr>
          <w:rFonts w:eastAsia="Times New Roman" w:hint="eastAsia"/>
          <w:rtl/>
          <w:lang w:eastAsia="en-US"/>
        </w:rPr>
        <w:t> </w:t>
      </w:r>
      <w:r w:rsidRPr="00304B5F">
        <w:rPr>
          <w:rFonts w:eastAsia="Times New Roman" w:hint="cs"/>
          <w:rtl/>
          <w:lang w:eastAsia="en-US"/>
        </w:rPr>
        <w:t>وأشكال التعبير المادي، (3)</w:t>
      </w:r>
      <w:r w:rsidRPr="00304B5F">
        <w:rPr>
          <w:rFonts w:eastAsia="Times New Roman" w:hint="eastAsia"/>
          <w:rtl/>
          <w:lang w:eastAsia="en-US"/>
        </w:rPr>
        <w:t> و</w:t>
      </w:r>
      <w:r w:rsidRPr="00304B5F">
        <w:rPr>
          <w:rFonts w:eastAsia="Times New Roman" w:hint="cs"/>
          <w:rtl/>
          <w:lang w:eastAsia="en-US"/>
        </w:rPr>
        <w:t>أشكال التعبير الثقافي الموسيقي والصوتي، (4) وأشكال التعبير اللفظي والمدوّن.</w:t>
      </w:r>
      <w:r w:rsidRPr="00E20B98">
        <w:rPr>
          <w:rStyle w:val="FootnoteReference"/>
          <w:rtl/>
        </w:rPr>
        <w:footnoteReference w:id="2"/>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ثانيا.</w:t>
      </w:r>
      <w:r w:rsidRPr="00304B5F">
        <w:rPr>
          <w:rFonts w:eastAsia="Times New Roman"/>
          <w:b/>
          <w:bCs/>
          <w:sz w:val="24"/>
          <w:szCs w:val="24"/>
          <w:rtl/>
          <w:lang w:eastAsia="en-US"/>
        </w:rPr>
        <w:tab/>
      </w:r>
      <w:r w:rsidRPr="00304B5F">
        <w:rPr>
          <w:rFonts w:eastAsia="Times New Roman" w:hint="cs"/>
          <w:b/>
          <w:bCs/>
          <w:sz w:val="24"/>
          <w:szCs w:val="24"/>
          <w:rtl/>
          <w:lang w:eastAsia="en-US"/>
        </w:rPr>
        <w:t>أمثلة على أشكال التعبير الثقافي التقليدي</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ألف.</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بالحركة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يحدّد مشروع المواد أشكال التعبير بالحركة بأنها تشمل </w:t>
      </w:r>
      <w:r w:rsidRPr="00304B5F">
        <w:rPr>
          <w:rFonts w:eastAsia="Times New Roman"/>
          <w:rtl/>
          <w:lang w:eastAsia="en-US"/>
        </w:rPr>
        <w:t>الرقصات والعروض المسرحية والشعائر والطقوس والألعاب الرياضية التقليدية</w:t>
      </w:r>
      <w:r w:rsidRPr="00304B5F">
        <w:rPr>
          <w:rFonts w:eastAsia="Times New Roman" w:hint="cs"/>
          <w:rtl/>
          <w:lang w:eastAsia="en-US"/>
        </w:rPr>
        <w:t>، وغير ذلك من أشكال الأداء. ويناقش هذا الجزء الطقوس والرقص والألعاب.</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1. الطقوس</w:t>
      </w:r>
    </w:p>
    <w:p w:rsidR="00304B5F" w:rsidRPr="00304B5F" w:rsidRDefault="00304B5F" w:rsidP="00304B5F">
      <w:pPr>
        <w:spacing w:after="240" w:line="360" w:lineRule="exact"/>
        <w:rPr>
          <w:rFonts w:eastAsia="Times New Roman"/>
          <w:lang w:eastAsia="en-US"/>
        </w:rPr>
      </w:pPr>
      <w:r w:rsidRPr="00304B5F">
        <w:rPr>
          <w:rFonts w:eastAsia="Times New Roman" w:hint="cs"/>
          <w:b/>
          <w:bCs/>
          <w:rtl/>
          <w:lang w:eastAsia="en-US"/>
        </w:rPr>
        <w:t>البيكرام يوغا:</w:t>
      </w:r>
      <w:r w:rsidRPr="00304B5F">
        <w:rPr>
          <w:rFonts w:eastAsia="Times New Roman" w:hint="cs"/>
          <w:rtl/>
          <w:lang w:eastAsia="en-US"/>
        </w:rPr>
        <w:t xml:space="preserve"> البيكرام يموغا شكل من أشكال اليوغا طوّره بيكرام شودوري باستخدام تقنيات اليوغا هاثا التقليدية في مجموعة من الوضعيات تُؤدَى في محيط تبلغ درجة الحرارة فيه 105</w:t>
      </w:r>
      <w:r w:rsidRPr="00304B5F">
        <w:rPr>
          <w:rFonts w:eastAsia="Times New Roman" w:hint="eastAsia"/>
          <w:rtl/>
          <w:lang w:eastAsia="en-US"/>
        </w:rPr>
        <w:t> </w:t>
      </w:r>
      <w:r w:rsidRPr="00304B5F">
        <w:rPr>
          <w:rFonts w:eastAsia="Times New Roman" w:hint="cs"/>
          <w:rtl/>
          <w:lang w:eastAsia="en-US"/>
        </w:rPr>
        <w:t>درجات فهرنهايت.</w:t>
      </w:r>
      <w:r w:rsidRPr="00E20B98">
        <w:rPr>
          <w:rStyle w:val="FootnoteReference"/>
          <w:rtl/>
        </w:rPr>
        <w:footnoteReference w:id="3"/>
      </w:r>
      <w:r w:rsidRPr="00304B5F">
        <w:rPr>
          <w:rFonts w:eastAsia="Times New Roman" w:hint="cs"/>
          <w:rtl/>
          <w:lang w:eastAsia="en-US"/>
        </w:rPr>
        <w:t xml:space="preserve"> وتعلّم شودوري اليوغا هاثا من بيشنو غوش ثمّ طوّر سلسلته الخاصة المكوّنة من 26</w:t>
      </w:r>
      <w:r w:rsidRPr="00304B5F">
        <w:rPr>
          <w:rFonts w:eastAsia="Times New Roman" w:hint="eastAsia"/>
          <w:rtl/>
          <w:lang w:eastAsia="en-US"/>
        </w:rPr>
        <w:t> </w:t>
      </w:r>
      <w:r w:rsidRPr="00304B5F">
        <w:rPr>
          <w:rFonts w:eastAsia="Times New Roman" w:hint="cs"/>
          <w:rtl/>
          <w:lang w:eastAsia="en-US"/>
        </w:rPr>
        <w:t>وضعية تُؤدى في تسلسل معيّن لمعالجة أشيع المشاكل الصحية.</w:t>
      </w:r>
      <w:r w:rsidRPr="00E20B98">
        <w:rPr>
          <w:rStyle w:val="FootnoteReference"/>
          <w:rtl/>
        </w:rPr>
        <w:footnoteReference w:id="4"/>
      </w:r>
    </w:p>
    <w:p w:rsidR="00304B5F" w:rsidRPr="00304B5F" w:rsidRDefault="00304B5F" w:rsidP="00304B5F">
      <w:pPr>
        <w:spacing w:after="240" w:line="360" w:lineRule="exact"/>
        <w:rPr>
          <w:rFonts w:eastAsia="Times New Roman"/>
          <w:lang w:eastAsia="en-US"/>
        </w:rPr>
      </w:pP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lastRenderedPageBreak/>
        <w:t>2. الرقص</w:t>
      </w:r>
    </w:p>
    <w:p w:rsidR="00304B5F" w:rsidRPr="00304B5F" w:rsidRDefault="00304B5F" w:rsidP="00304B5F">
      <w:pPr>
        <w:spacing w:after="240" w:line="360" w:lineRule="exact"/>
        <w:rPr>
          <w:rFonts w:eastAsia="Times New Roman"/>
          <w:lang w:eastAsia="en-US"/>
        </w:rPr>
      </w:pPr>
      <w:r w:rsidRPr="00304B5F">
        <w:rPr>
          <w:rFonts w:eastAsia="Times New Roman" w:hint="cs"/>
          <w:b/>
          <w:bCs/>
          <w:rtl/>
          <w:lang w:eastAsia="en-US"/>
        </w:rPr>
        <w:t xml:space="preserve">الجيغ: </w:t>
      </w:r>
      <w:r w:rsidRPr="00304B5F">
        <w:rPr>
          <w:rFonts w:eastAsia="Times New Roman" w:hint="cs"/>
          <w:rtl/>
          <w:lang w:eastAsia="en-US"/>
        </w:rPr>
        <w:t>كان منشأ رقصة الجيغ في القرن السادس عشر في إنكلترا، ثمّ انتقلت إلى إيرلندا واسكتلندا في القرن السابع عشر، حيث تم تكييفها وإدراجها في الرقص التقليدي الإيرلندي والاسكتلندي.</w:t>
      </w:r>
      <w:r w:rsidRPr="00E20B98">
        <w:rPr>
          <w:rStyle w:val="FootnoteReference"/>
          <w:rtl/>
        </w:rPr>
        <w:footnoteReference w:id="5"/>
      </w:r>
      <w:r w:rsidRPr="00304B5F">
        <w:rPr>
          <w:rFonts w:eastAsia="Times New Roman" w:hint="cs"/>
          <w:rtl/>
          <w:lang w:eastAsia="en-US"/>
        </w:rPr>
        <w:t xml:space="preserve"> ولا تزال رقصة الجيغ، حتى اليوم، وثيقة الصلة بإيرلندا واسكتلندا. واجتازت تلك الرقصة المحيط الأطلسي مع جماعات المهاجرين وأصبحت تُؤدى في كندا والولايات المتحدة الأمريكية.</w:t>
      </w:r>
      <w:r w:rsidRPr="00E20B98">
        <w:rPr>
          <w:rStyle w:val="FootnoteReference"/>
          <w:rtl/>
        </w:rPr>
        <w:footnoteReference w:id="6"/>
      </w:r>
      <w:r w:rsidRPr="00304B5F">
        <w:rPr>
          <w:rFonts w:eastAsia="Times New Roman" w:hint="cs"/>
          <w:rtl/>
          <w:lang w:eastAsia="en-US"/>
        </w:rPr>
        <w:t xml:space="preserve"> وأضحت أيضا جزءا معترفا به من ثقافة الأوزارك</w:t>
      </w:r>
      <w:r w:rsidRPr="00E20B98">
        <w:rPr>
          <w:rStyle w:val="FootnoteReference"/>
          <w:rtl/>
        </w:rPr>
        <w:footnoteReference w:id="7"/>
      </w:r>
      <w:r w:rsidRPr="00304B5F">
        <w:rPr>
          <w:rFonts w:eastAsia="Times New Roman" w:hint="cs"/>
          <w:rtl/>
          <w:lang w:eastAsia="en-US"/>
        </w:rPr>
        <w:t xml:space="preserve"> وأسهمت في تطور رقصة التاب الأمريكية.</w:t>
      </w:r>
      <w:r w:rsidRPr="00E20B98">
        <w:rPr>
          <w:rStyle w:val="FootnoteReference"/>
          <w:rtl/>
        </w:rPr>
        <w:footnoteReference w:id="8"/>
      </w:r>
      <w:r w:rsidRPr="00304B5F">
        <w:rPr>
          <w:rFonts w:eastAsia="Times New Roman" w:hint="cs"/>
          <w:rtl/>
          <w:lang w:eastAsia="en-US"/>
        </w:rPr>
        <w:t xml:space="preserve"> وبات الراقصون يؤدون رقصة الجيغ حاليا في مباريات تنافسية عالمية، مما يدلّ على الشعبية العالمية التي اكتسبتها تلك الرقصة التقليدية في القرن الحادي والعشرين.</w:t>
      </w:r>
      <w:r w:rsidRPr="00E20B98">
        <w:rPr>
          <w:rStyle w:val="FootnoteReference"/>
          <w:rtl/>
        </w:rPr>
        <w:footnoteReference w:id="9"/>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w:t>
      </w:r>
      <w:r w:rsidRPr="00304B5F">
        <w:rPr>
          <w:rFonts w:eastAsia="Times New Roman" w:hint="cs"/>
          <w:b/>
          <w:bCs/>
          <w:rtl/>
          <w:lang w:eastAsia="en-US"/>
        </w:rPr>
        <w:t>لتانغو:</w:t>
      </w:r>
      <w:r w:rsidRPr="00304B5F">
        <w:rPr>
          <w:rFonts w:eastAsia="Times New Roman" w:hint="cs"/>
          <w:rtl/>
          <w:lang w:eastAsia="en-US"/>
        </w:rPr>
        <w:t xml:space="preserve"> توجد جذور هذه الرقصة، التي تمزج بين تأثيرات أفريقية وأوروبية، في الأحياء الشعبية لمدينة بوينس آيرس بالأرجنتين ومدينة مونتي فيديو بأوروغواي.</w:t>
      </w:r>
      <w:r w:rsidRPr="00E20B98">
        <w:rPr>
          <w:rStyle w:val="FootnoteReference"/>
          <w:rtl/>
        </w:rPr>
        <w:footnoteReference w:id="10"/>
      </w:r>
      <w:r w:rsidRPr="00304B5F">
        <w:rPr>
          <w:rFonts w:eastAsia="Times New Roman" w:hint="cs"/>
          <w:rtl/>
          <w:lang w:eastAsia="en-US"/>
        </w:rPr>
        <w:t xml:space="preserve"> وفي بداية القرن العشرين، سافرت مجموعات الراقصين والفرق الموسيقية من بوينس آيرس إلى أوروبا واستحدثت صيحة لرقصة التونغو في أهم المدن الأوروبية وبعد ذلك في الولايات المتحدة الأمريكية.</w:t>
      </w:r>
      <w:r w:rsidRPr="00E20B98">
        <w:rPr>
          <w:rStyle w:val="FootnoteReference"/>
          <w:rtl/>
        </w:rPr>
        <w:footnoteReference w:id="11"/>
      </w:r>
      <w:r w:rsidRPr="00304B5F">
        <w:rPr>
          <w:rFonts w:eastAsia="Times New Roman" w:hint="cs"/>
          <w:rtl/>
          <w:lang w:eastAsia="en-US"/>
        </w:rPr>
        <w:t>. وهناك صلة وثيقة أيضا بين التانغو وفئة أخرى من أشكال التعبير الثقافي التقليدي، وهي أشكال التعبير الموسيقي والصوتي.</w:t>
      </w:r>
      <w:r w:rsidRPr="00E20B98">
        <w:rPr>
          <w:rStyle w:val="FootnoteReference"/>
          <w:rtl/>
        </w:rPr>
        <w:footnoteReference w:id="1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البولكا:</w:t>
      </w:r>
      <w:r w:rsidRPr="00304B5F">
        <w:rPr>
          <w:rFonts w:eastAsia="Times New Roman" w:hint="cs"/>
          <w:rtl/>
          <w:lang w:eastAsia="en-US"/>
        </w:rPr>
        <w:t xml:space="preserve"> البولكا رقصة ونمط موسيقي رقصي نشأ في البوهيميا (التي تشكّل الآن جزءا من الجمهورية التشيكية) في منتصف القرن التاسع عشر، وانتشر في الولايات المتحدة الأمريكية مع المهاجرين التشيكيين والبولنديين والألمان.</w:t>
      </w:r>
      <w:r w:rsidRPr="00E20B98">
        <w:rPr>
          <w:rStyle w:val="FootnoteReference"/>
          <w:rtl/>
        </w:rPr>
        <w:footnoteReference w:id="13"/>
      </w:r>
      <w:r w:rsidRPr="00304B5F">
        <w:rPr>
          <w:rFonts w:eastAsia="Times New Roman" w:hint="cs"/>
          <w:rtl/>
          <w:lang w:eastAsia="en-US"/>
        </w:rPr>
        <w:t xml:space="preserve"> ولا تزال البولكا رقصة شعبية في بلدان أوروبا وأمريكا اللاتينية وفي الولايات المتحدة الأمريكية.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الفالس:</w:t>
      </w:r>
      <w:r w:rsidRPr="00304B5F">
        <w:rPr>
          <w:rFonts w:eastAsia="Times New Roman" w:hint="cs"/>
          <w:rtl/>
          <w:lang w:eastAsia="en-US"/>
        </w:rPr>
        <w:t xml:space="preserve"> نشأت رقصة الفالس، وهي نوع من الرقص الثنائي والفولكلوري، في ألمانيا والنمسا ويُحتمل أن يعود تاريخ نشأتها إلى القرن الثالث عشر.</w:t>
      </w:r>
      <w:r w:rsidRPr="00E20B98">
        <w:rPr>
          <w:rStyle w:val="FootnoteReference"/>
          <w:rtl/>
        </w:rPr>
        <w:footnoteReference w:id="14"/>
      </w:r>
      <w:r w:rsidRPr="00304B5F">
        <w:rPr>
          <w:rFonts w:eastAsia="Times New Roman" w:hint="cs"/>
          <w:rtl/>
          <w:lang w:eastAsia="en-US"/>
        </w:rPr>
        <w:t xml:space="preserve"> وبحلول منتصف القرن الثامن عشر، انتقلت رقصة الفالس من الريف إلى أرباض المدينة، وبدء ذلك في فرنسا وانتشر بسرعة في كل أنحاء أوروبا.</w:t>
      </w:r>
      <w:r w:rsidRPr="00E20B98">
        <w:rPr>
          <w:rStyle w:val="FootnoteReference"/>
          <w:rtl/>
        </w:rPr>
        <w:footnoteReference w:id="15"/>
      </w:r>
      <w:r w:rsidRPr="00304B5F">
        <w:rPr>
          <w:rFonts w:eastAsia="Times New Roman" w:hint="cs"/>
          <w:rtl/>
          <w:lang w:eastAsia="en-US"/>
        </w:rPr>
        <w:t xml:space="preserve"> وفي أواخر القرن، أصبحت رقصة الفالس ذات شعبية بالغة في فيينا، حيث لا</w:t>
      </w:r>
      <w:r w:rsidRPr="00304B5F">
        <w:rPr>
          <w:rFonts w:eastAsia="Times New Roman" w:hint="eastAsia"/>
          <w:rtl/>
          <w:lang w:eastAsia="en-US"/>
        </w:rPr>
        <w:t> </w:t>
      </w:r>
      <w:r w:rsidRPr="00304B5F">
        <w:rPr>
          <w:rFonts w:eastAsia="Times New Roman" w:hint="cs"/>
          <w:rtl/>
          <w:lang w:eastAsia="en-US"/>
        </w:rPr>
        <w:t xml:space="preserve">تزال تمثّل حتى الآن أحد </w:t>
      </w:r>
      <w:r w:rsidRPr="00304B5F">
        <w:rPr>
          <w:rFonts w:eastAsia="Times New Roman" w:hint="cs"/>
          <w:rtl/>
          <w:lang w:eastAsia="en-US"/>
        </w:rPr>
        <w:lastRenderedPageBreak/>
        <w:t>المحاور الأساسية للثقافة النمساوية.</w:t>
      </w:r>
      <w:r w:rsidRPr="00E20B98">
        <w:rPr>
          <w:rStyle w:val="FootnoteReference"/>
          <w:rtl/>
        </w:rPr>
        <w:footnoteReference w:id="16"/>
      </w:r>
      <w:r w:rsidRPr="00304B5F">
        <w:rPr>
          <w:rFonts w:eastAsia="Times New Roman" w:hint="cs"/>
          <w:rtl/>
          <w:lang w:eastAsia="en-US"/>
        </w:rPr>
        <w:t xml:space="preserve"> ومع انتشار تلك الرقصة في كل أرجاء العالم، تطوّرت أنماط مميّزة منها في اسكندينافيا والمكسيك والولايات المتحدة الأمريكية وبلدان أخرى.</w:t>
      </w:r>
      <w:r w:rsidRPr="00E20B98">
        <w:rPr>
          <w:rStyle w:val="FootnoteReference"/>
          <w:rtl/>
        </w:rPr>
        <w:footnoteReference w:id="17"/>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الهولا:</w:t>
      </w:r>
      <w:r w:rsidRPr="00304B5F">
        <w:rPr>
          <w:rFonts w:eastAsia="Times New Roman" w:hint="cs"/>
          <w:rtl/>
          <w:lang w:eastAsia="en-US"/>
        </w:rPr>
        <w:t xml:space="preserve"> الهولا عبارة عن رقصة نشأت في ولاية هاواي الأمريكية، ولكنها باتت تحظى اليوم بشعبية عالمية.</w:t>
      </w:r>
      <w:r w:rsidRPr="00E20B98">
        <w:rPr>
          <w:rStyle w:val="FootnoteReference"/>
          <w:rtl/>
        </w:rPr>
        <w:footnoteReference w:id="18"/>
      </w:r>
      <w:r w:rsidRPr="00304B5F">
        <w:rPr>
          <w:rFonts w:eastAsia="Times New Roman" w:hint="cs"/>
          <w:rtl/>
          <w:lang w:eastAsia="en-US"/>
        </w:rPr>
        <w:t xml:space="preserve"> وتعبّر تلك الرقصة عن كلمات أغنية أو </w:t>
      </w:r>
      <w:r w:rsidRPr="00584662">
        <w:rPr>
          <w:rFonts w:eastAsia="Times New Roman" w:hint="cs"/>
          <w:rtl/>
          <w:lang w:eastAsia="en-US"/>
        </w:rPr>
        <w:t>أنشودة</w:t>
      </w:r>
      <w:r w:rsidRPr="00304B5F">
        <w:rPr>
          <w:rFonts w:eastAsia="Times New Roman" w:hint="cs"/>
          <w:rtl/>
          <w:lang w:eastAsia="en-US"/>
        </w:rPr>
        <w:t>.</w:t>
      </w:r>
      <w:r w:rsidRPr="00E20B98">
        <w:rPr>
          <w:rStyle w:val="FootnoteReference"/>
          <w:rtl/>
        </w:rPr>
        <w:footnoteReference w:id="19"/>
      </w:r>
      <w:r w:rsidR="00C77AA6">
        <w:rPr>
          <w:rFonts w:eastAsia="Times New Roman" w:hint="cs"/>
          <w:rtl/>
          <w:lang w:eastAsia="en-US"/>
        </w:rPr>
        <w:t xml:space="preserve"> ويتخذ سكان هاواي الأصليون خطوت نشطة من أجل الحفاظ على سلامتها ومنع استغلالها، بما في ذلك إعلان من قبل مجموعة من كومو هولا </w:t>
      </w:r>
      <w:r w:rsidR="00C77AA6">
        <w:rPr>
          <w:rFonts w:eastAsia="Times New Roman"/>
          <w:rtl/>
          <w:lang w:eastAsia="en-US"/>
        </w:rPr>
        <w:t>–</w:t>
      </w:r>
      <w:r w:rsidR="00C77AA6">
        <w:rPr>
          <w:rFonts w:eastAsia="Times New Roman" w:hint="cs"/>
          <w:rtl/>
          <w:lang w:eastAsia="en-US"/>
        </w:rPr>
        <w:t xml:space="preserve"> معلّم أو مرشد </w:t>
      </w:r>
      <w:r w:rsidR="00C77AA6">
        <w:rPr>
          <w:rFonts w:eastAsia="Times New Roman"/>
          <w:rtl/>
          <w:lang w:eastAsia="en-US"/>
        </w:rPr>
        <w:t>–</w:t>
      </w:r>
      <w:r w:rsidR="00C77AA6">
        <w:rPr>
          <w:rFonts w:eastAsia="Times New Roman" w:hint="cs"/>
          <w:rtl/>
          <w:lang w:eastAsia="en-US"/>
        </w:rPr>
        <w:t xml:space="preserve"> في عام 2020 و، إدراج قانون في الولاية في عام 2022.</w:t>
      </w:r>
      <w:r w:rsidR="00C77AA6" w:rsidRPr="00E20B98">
        <w:rPr>
          <w:rStyle w:val="FootnoteReference"/>
          <w:rtl/>
        </w:rPr>
        <w:footnoteReference w:id="20"/>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الألعاب الرياضية والألعاب</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توجد أدلة على ألعاب رياضية وألعاب وأشكال أخرى من النشاط البدني التنافسي في الصين القديمة (النبالة وتسوجو، وهو شكل من أشكال كرة القدم)،</w:t>
      </w:r>
      <w:r w:rsidRPr="00E20B98">
        <w:rPr>
          <w:rStyle w:val="FootnoteReference"/>
          <w:rtl/>
        </w:rPr>
        <w:footnoteReference w:id="21"/>
      </w:r>
      <w:r w:rsidRPr="00304B5F">
        <w:rPr>
          <w:rFonts w:eastAsia="Times New Roman" w:hint="cs"/>
          <w:rtl/>
          <w:lang w:eastAsia="en-US"/>
        </w:rPr>
        <w:t xml:space="preserve"> ومصر (المصارعة والجري</w:t>
      </w:r>
      <w:r w:rsidRPr="00E20B98">
        <w:rPr>
          <w:rStyle w:val="FootnoteReference"/>
          <w:rtl/>
        </w:rPr>
        <w:footnoteReference w:id="22"/>
      </w:r>
      <w:r w:rsidRPr="00304B5F">
        <w:rPr>
          <w:rFonts w:eastAsia="Times New Roman" w:hint="cs"/>
          <w:rtl/>
          <w:lang w:eastAsia="en-US"/>
        </w:rPr>
        <w:t xml:space="preserve"> وصيد الأسماك)،</w:t>
      </w:r>
      <w:r w:rsidRPr="00E20B98">
        <w:rPr>
          <w:rStyle w:val="FootnoteReference"/>
          <w:rtl/>
        </w:rPr>
        <w:footnoteReference w:id="23"/>
      </w:r>
      <w:r w:rsidRPr="00304B5F">
        <w:rPr>
          <w:rFonts w:eastAsia="Times New Roman" w:hint="cs"/>
          <w:rtl/>
          <w:lang w:eastAsia="en-US"/>
        </w:rPr>
        <w:t xml:space="preserve"> واليونان (رمي القرص ورمي الرمح والجري والملاكمة والمصارعة، وبخاصة في الألعاب الأولمبية القديمة).</w:t>
      </w:r>
      <w:r w:rsidRPr="00E20B98">
        <w:rPr>
          <w:rStyle w:val="FootnoteReference"/>
          <w:rtl/>
        </w:rPr>
        <w:footnoteReference w:id="24"/>
      </w:r>
      <w:r w:rsidRPr="00304B5F">
        <w:rPr>
          <w:rFonts w:eastAsia="Times New Roman" w:hint="cs"/>
          <w:rtl/>
          <w:lang w:eastAsia="en-US"/>
        </w:rPr>
        <w:t xml:space="preserve"> ويوجد في العالم الحديث المئات من الألعاب الرياضية. وهي تتراوح بين ألعاب غير نظامية يمارسها لاعبون هواة ومنافسات احترافية منظمة يشارك فيها رياضيون مدرّبون بشكل جيد من كل أنحاء العالم، مثل الألعاب الأولمبية الحديثة، </w:t>
      </w:r>
      <w:r w:rsidRPr="00E20B98">
        <w:rPr>
          <w:rStyle w:val="FootnoteReference"/>
          <w:rtl/>
        </w:rPr>
        <w:footnoteReference w:id="25"/>
      </w:r>
      <w:r w:rsidRPr="00304B5F">
        <w:rPr>
          <w:rFonts w:eastAsia="Times New Roman" w:hint="cs"/>
          <w:rtl/>
          <w:lang w:eastAsia="en-US"/>
        </w:rPr>
        <w:t xml:space="preserve"> التي يحضرها الجماهير بالآلاف</w:t>
      </w:r>
      <w:r w:rsidRPr="00E20B98">
        <w:rPr>
          <w:rStyle w:val="FootnoteReference"/>
          <w:rtl/>
        </w:rPr>
        <w:footnoteReference w:id="26"/>
      </w:r>
      <w:r w:rsidRPr="00304B5F">
        <w:rPr>
          <w:rFonts w:eastAsia="Times New Roman" w:hint="cs"/>
          <w:rtl/>
          <w:lang w:eastAsia="en-US"/>
        </w:rPr>
        <w:t xml:space="preserve"> ويشاهدها الناس في مختلف أرجاء العالم.</w:t>
      </w:r>
      <w:r w:rsidRPr="00E20B98">
        <w:rPr>
          <w:rStyle w:val="FootnoteReference"/>
          <w:rtl/>
        </w:rPr>
        <w:footnoteReference w:id="27"/>
      </w:r>
      <w:r w:rsidRPr="00304B5F">
        <w:rPr>
          <w:rFonts w:eastAsia="Times New Roman" w:hint="cs"/>
          <w:rtl/>
          <w:lang w:eastAsia="en-US"/>
        </w:rPr>
        <w:t xml:space="preserve"> وهناك، في الوقت ذاته، روابط اقتصادية واجتماعية وثقافية وطيدة بين الألعاب الرياضية الوطنية الشعبية، مثل الكريكت والروغبي والبيسبول، في البلدان التي نشأت فيها أصلا وكذلك في البلدان التي اعتمدتها لاحقا. ويركّز هذا الجزء على مثالي البيسبول واللاكروس.</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lastRenderedPageBreak/>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البيسبول:</w:t>
      </w:r>
      <w:r w:rsidRPr="00304B5F">
        <w:rPr>
          <w:rFonts w:eastAsia="Times New Roman" w:hint="cs"/>
          <w:rtl/>
          <w:lang w:eastAsia="en-US"/>
        </w:rPr>
        <w:t xml:space="preserve"> هي لعبة تُلعب بمضرب وكرة بين فريقين يضمّ كل منهما تسعة لاعبين يتناوبون على ضرب الكرة وإيقافها.</w:t>
      </w:r>
      <w:r w:rsidRPr="00E20B98">
        <w:rPr>
          <w:rStyle w:val="FootnoteReference"/>
          <w:rtl/>
        </w:rPr>
        <w:footnoteReference w:id="28"/>
      </w:r>
      <w:r w:rsidRPr="00304B5F">
        <w:rPr>
          <w:rFonts w:eastAsia="Times New Roman" w:hint="cs"/>
          <w:rtl/>
          <w:lang w:eastAsia="en-US"/>
        </w:rPr>
        <w:t xml:space="preserve"> وفي منتصف القرن التاسع عشر، ظهرت لعبة البيسبول في أمريكا الشمالية، ويُحتمل أنها نشأت من لعبة "الرواندرس"، وهي لعبة أقدم تُلعب أيضا بمضرب وكرة ولها شعبية في بريطانيا العظمى وإيرلندا جلبها إلى الولايات المتحدة مهاجرون كنديون من أصول بريطانية وإيرلندية.</w:t>
      </w:r>
      <w:r w:rsidRPr="00E20B98">
        <w:rPr>
          <w:rStyle w:val="FootnoteReference"/>
          <w:rtl/>
        </w:rPr>
        <w:footnoteReference w:id="29"/>
      </w:r>
      <w:r w:rsidRPr="00304B5F">
        <w:rPr>
          <w:rFonts w:eastAsia="Times New Roman" w:hint="cs"/>
          <w:rtl/>
          <w:lang w:eastAsia="en-US"/>
        </w:rPr>
        <w:t xml:space="preserve"> ومع نيل لعبة البيسبول شعبية بالغة في مدينة نيويورك وضواحيها في خمسينات القرن التاسع</w:t>
      </w:r>
      <w:r w:rsidRPr="00304B5F">
        <w:rPr>
          <w:rFonts w:eastAsia="Times New Roman" w:hint="eastAsia"/>
          <w:rtl/>
          <w:lang w:eastAsia="en-US"/>
        </w:rPr>
        <w:t> </w:t>
      </w:r>
      <w:r w:rsidRPr="00304B5F">
        <w:rPr>
          <w:rFonts w:eastAsia="Times New Roman" w:hint="cs"/>
          <w:rtl/>
          <w:lang w:eastAsia="en-US"/>
        </w:rPr>
        <w:t>عشر، بدأ الصحفيون المحليون يطلقون عليها تسك "التسلية الوطنية" اعتبارا من عام</w:t>
      </w:r>
      <w:r w:rsidRPr="00304B5F">
        <w:rPr>
          <w:rFonts w:eastAsia="Times New Roman" w:hint="eastAsia"/>
          <w:rtl/>
          <w:lang w:eastAsia="en-US"/>
        </w:rPr>
        <w:t> </w:t>
      </w:r>
      <w:r w:rsidRPr="00304B5F">
        <w:rPr>
          <w:rFonts w:eastAsia="Times New Roman" w:hint="cs"/>
          <w:rtl/>
          <w:lang w:eastAsia="en-US"/>
        </w:rPr>
        <w:t>1856.</w:t>
      </w:r>
      <w:r w:rsidRPr="00E20B98">
        <w:rPr>
          <w:rStyle w:val="FootnoteReference"/>
          <w:rtl/>
        </w:rPr>
        <w:footnoteReference w:id="30"/>
      </w:r>
      <w:r w:rsidRPr="00304B5F">
        <w:rPr>
          <w:rFonts w:eastAsia="Times New Roman" w:hint="cs"/>
          <w:rtl/>
          <w:lang w:eastAsia="en-US"/>
        </w:rPr>
        <w:t xml:space="preserve"> وسرعان ما انتقلت تلك اللعبة إلى مدن أخرى وانتشرت فيها (خصوصا المدن التي تؤوي نسبة كبيرة من المهاجرين) في أواخر القرن التاسع</w:t>
      </w:r>
      <w:r w:rsidRPr="00304B5F">
        <w:rPr>
          <w:rFonts w:eastAsia="Times New Roman" w:hint="eastAsia"/>
          <w:rtl/>
          <w:lang w:eastAsia="en-US"/>
        </w:rPr>
        <w:t> </w:t>
      </w:r>
      <w:r w:rsidRPr="00304B5F">
        <w:rPr>
          <w:rFonts w:eastAsia="Times New Roman" w:hint="cs"/>
          <w:rtl/>
          <w:lang w:eastAsia="en-US"/>
        </w:rPr>
        <w:t>عشر.</w:t>
      </w:r>
      <w:r w:rsidRPr="00E20B98">
        <w:rPr>
          <w:rStyle w:val="FootnoteReference"/>
          <w:rtl/>
        </w:rPr>
        <w:footnoteReference w:id="31"/>
      </w:r>
      <w:r w:rsidRPr="00304B5F">
        <w:rPr>
          <w:rFonts w:eastAsia="Times New Roman" w:hint="cs"/>
          <w:rtl/>
          <w:lang w:eastAsia="en-US"/>
        </w:rPr>
        <w:t xml:space="preserve"> ومع اكتساب رياضة البيسبول مركزا احترافيا في الولايات المتحدة، أنشئت بطولات الدوري الوطني.</w:t>
      </w:r>
      <w:r w:rsidRPr="00E20B98">
        <w:rPr>
          <w:rStyle w:val="FootnoteReference"/>
          <w:rtl/>
        </w:rPr>
        <w:footnoteReference w:id="32"/>
      </w:r>
      <w:r w:rsidRPr="00304B5F">
        <w:rPr>
          <w:rFonts w:eastAsia="Times New Roman" w:hint="cs"/>
          <w:rtl/>
          <w:lang w:eastAsia="en-US"/>
        </w:rPr>
        <w:t xml:space="preserve"> وأنشئت بطولة الدوري الوطني في عام</w:t>
      </w:r>
      <w:r w:rsidRPr="00304B5F">
        <w:rPr>
          <w:rFonts w:eastAsia="Times New Roman" w:hint="eastAsia"/>
          <w:rtl/>
          <w:lang w:eastAsia="en-US"/>
        </w:rPr>
        <w:t> </w:t>
      </w:r>
      <w:r w:rsidRPr="00304B5F">
        <w:rPr>
          <w:rFonts w:eastAsia="Times New Roman" w:hint="cs"/>
          <w:rtl/>
          <w:lang w:eastAsia="en-US"/>
        </w:rPr>
        <w:t>1876 وبطولة الدوري الأمريكي في عام</w:t>
      </w:r>
      <w:r w:rsidRPr="00304B5F">
        <w:rPr>
          <w:rFonts w:eastAsia="Times New Roman" w:hint="eastAsia"/>
          <w:rtl/>
          <w:lang w:eastAsia="en-US"/>
        </w:rPr>
        <w:t> </w:t>
      </w:r>
      <w:r w:rsidRPr="00304B5F">
        <w:rPr>
          <w:rFonts w:eastAsia="Times New Roman" w:hint="cs"/>
          <w:rtl/>
          <w:lang w:eastAsia="en-US"/>
        </w:rPr>
        <w:t>1901.</w:t>
      </w:r>
      <w:r w:rsidRPr="00E20B98">
        <w:rPr>
          <w:rStyle w:val="FootnoteReference"/>
          <w:rtl/>
        </w:rPr>
        <w:footnoteReference w:id="33"/>
      </w:r>
      <w:r w:rsidRPr="00304B5F">
        <w:rPr>
          <w:rFonts w:eastAsia="Times New Roman" w:hint="cs"/>
          <w:rtl/>
          <w:lang w:eastAsia="en-US"/>
        </w:rPr>
        <w:t xml:space="preserve"> ونُظمت أول بطولة عالمية تنافس فيها بطلا الدوريين الرئيسيين في عام 1903.</w:t>
      </w:r>
      <w:r w:rsidRPr="00E20B98">
        <w:rPr>
          <w:rStyle w:val="FootnoteReference"/>
          <w:rtl/>
        </w:rPr>
        <w:footnoteReference w:id="34"/>
      </w:r>
      <w:r w:rsidRPr="00304B5F">
        <w:rPr>
          <w:rFonts w:eastAsia="Times New Roman" w:hint="cs"/>
          <w:rtl/>
          <w:lang w:eastAsia="en-US"/>
        </w:rPr>
        <w:t xml:space="preserve"> وطيلة القرن العشرين ظلّت لعبة البيسبول تزداد شعبية في أمريكا. ومما يجسّد تلك الشعبية متابعة زهاء 40</w:t>
      </w:r>
      <w:r w:rsidRPr="00304B5F">
        <w:rPr>
          <w:rFonts w:eastAsia="Times New Roman" w:hint="eastAsia"/>
          <w:rtl/>
          <w:lang w:eastAsia="en-US"/>
        </w:rPr>
        <w:t> </w:t>
      </w:r>
      <w:r w:rsidRPr="00304B5F">
        <w:rPr>
          <w:rFonts w:eastAsia="Times New Roman" w:hint="cs"/>
          <w:rtl/>
          <w:lang w:eastAsia="en-US"/>
        </w:rPr>
        <w:t>مليون نسمة لبثّ المباراة</w:t>
      </w:r>
      <w:r w:rsidRPr="00304B5F">
        <w:rPr>
          <w:rFonts w:eastAsia="Times New Roman" w:hint="eastAsia"/>
          <w:rtl/>
          <w:lang w:eastAsia="en-US"/>
        </w:rPr>
        <w:t> </w:t>
      </w:r>
      <w:r w:rsidRPr="00304B5F">
        <w:rPr>
          <w:rFonts w:eastAsia="Times New Roman" w:hint="cs"/>
          <w:rtl/>
          <w:lang w:eastAsia="en-US"/>
        </w:rPr>
        <w:t>7 من البطولة العالمية لعام</w:t>
      </w:r>
      <w:r w:rsidRPr="00304B5F">
        <w:rPr>
          <w:rFonts w:eastAsia="Times New Roman" w:hint="eastAsia"/>
          <w:rtl/>
          <w:lang w:eastAsia="en-US"/>
        </w:rPr>
        <w:t> </w:t>
      </w:r>
      <w:r w:rsidRPr="00304B5F">
        <w:rPr>
          <w:rFonts w:eastAsia="Times New Roman" w:hint="cs"/>
          <w:rtl/>
          <w:lang w:eastAsia="en-US"/>
        </w:rPr>
        <w:t>2016،</w:t>
      </w:r>
      <w:r w:rsidRPr="00E20B98">
        <w:rPr>
          <w:rStyle w:val="FootnoteReference"/>
          <w:rtl/>
        </w:rPr>
        <w:footnoteReference w:id="35"/>
      </w:r>
      <w:r w:rsidRPr="00304B5F">
        <w:rPr>
          <w:rFonts w:eastAsia="Times New Roman" w:hint="cs"/>
          <w:rtl/>
          <w:lang w:eastAsia="en-US"/>
        </w:rPr>
        <w:t xml:space="preserve"> التي جمعت بين البطلين شيكاغو كلوبس (الذي لم يفز باللقب منذ عام</w:t>
      </w:r>
      <w:r w:rsidRPr="00304B5F">
        <w:rPr>
          <w:rFonts w:eastAsia="Times New Roman" w:hint="eastAsia"/>
          <w:rtl/>
          <w:lang w:eastAsia="en-US"/>
        </w:rPr>
        <w:t> </w:t>
      </w:r>
      <w:r w:rsidRPr="00304B5F">
        <w:rPr>
          <w:rFonts w:eastAsia="Times New Roman" w:hint="cs"/>
          <w:rtl/>
          <w:lang w:eastAsia="en-US"/>
        </w:rPr>
        <w:t>1908) وكليفلند إنديانز (الذي فاز باللقب آخر مرّة في عام</w:t>
      </w:r>
      <w:r w:rsidRPr="00304B5F">
        <w:rPr>
          <w:rFonts w:eastAsia="Times New Roman" w:hint="eastAsia"/>
          <w:rtl/>
          <w:lang w:eastAsia="en-US"/>
        </w:rPr>
        <w:t> </w:t>
      </w:r>
      <w:r w:rsidRPr="00304B5F">
        <w:rPr>
          <w:rFonts w:eastAsia="Times New Roman" w:hint="cs"/>
          <w:rtl/>
          <w:lang w:eastAsia="en-US"/>
        </w:rPr>
        <w:t>1948).</w:t>
      </w:r>
      <w:r w:rsidRPr="00E20B98">
        <w:rPr>
          <w:rStyle w:val="FootnoteReference"/>
          <w:rtl/>
        </w:rPr>
        <w:footnoteReference w:id="36"/>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غير أن شعبية البيسبول ليست محصورة على الإطلاق في الولايات المتحدة الأمريكية. فبعد أن جُلبت تلك اللعبة إلى كوبا واليابان في سبعينات القرن التاسع عشر،</w:t>
      </w:r>
      <w:r w:rsidRPr="00E20B98">
        <w:rPr>
          <w:rStyle w:val="FootnoteReference"/>
          <w:rtl/>
        </w:rPr>
        <w:footnoteReference w:id="37"/>
      </w:r>
      <w:r w:rsidRPr="00304B5F">
        <w:rPr>
          <w:rFonts w:eastAsia="Times New Roman" w:hint="cs"/>
          <w:rtl/>
          <w:lang w:eastAsia="en-US"/>
        </w:rPr>
        <w:t xml:space="preserve"> أصبحت من الرياضات الأكثر شعبية في كلا البلدين.</w:t>
      </w:r>
      <w:r w:rsidRPr="00E20B98">
        <w:rPr>
          <w:rStyle w:val="FootnoteReference"/>
          <w:rtl/>
        </w:rPr>
        <w:footnoteReference w:id="38"/>
      </w:r>
      <w:r w:rsidRPr="00304B5F">
        <w:rPr>
          <w:rFonts w:eastAsia="Times New Roman" w:hint="cs"/>
          <w:rtl/>
          <w:lang w:eastAsia="en-US"/>
        </w:rPr>
        <w:t xml:space="preserve"> وتُمارس لعبة البيسبول أيضا حول العالم بما في ذلك في: إسرائيل والفلبين والمملكة العربية السعودية والإمارات العربية المتحدة وكوريا الجنوبية والصين وتايبيه الصينية وإيطاليا وإسبانيا وهولندا والمملكة المتحدة وكندا والجمهورية الدومينيكية وأستراليا ونيوزيلندا والبرازيل وفنزويلا وأوغندا وغانا وجامايكا.</w:t>
      </w:r>
      <w:r w:rsidRPr="00E20B98">
        <w:rPr>
          <w:rStyle w:val="FootnoteReference"/>
          <w:rtl/>
        </w:rPr>
        <w:footnoteReference w:id="39"/>
      </w:r>
      <w:r w:rsidRPr="00304B5F">
        <w:rPr>
          <w:rFonts w:eastAsia="Times New Roman" w:hint="cs"/>
          <w:rtl/>
          <w:lang w:eastAsia="en-US"/>
        </w:rPr>
        <w:t xml:space="preserve"> وأنشئ الاتحاد العالمي للبيسبول والسوفتبول عن طريق دمج بين الاتحاد الدولي للبيسبول والاتحاد الدولي للسوفتبول،</w:t>
      </w:r>
      <w:r w:rsidRPr="00E20B98">
        <w:rPr>
          <w:rStyle w:val="FootnoteReference"/>
          <w:rtl/>
        </w:rPr>
        <w:footnoteReference w:id="40"/>
      </w:r>
      <w:r w:rsidRPr="00304B5F">
        <w:rPr>
          <w:rFonts w:eastAsia="Times New Roman" w:hint="cs"/>
          <w:rtl/>
          <w:lang w:eastAsia="en-US"/>
        </w:rPr>
        <w:t xml:space="preserve"> وفي عام</w:t>
      </w:r>
      <w:r w:rsidRPr="00304B5F">
        <w:rPr>
          <w:rFonts w:eastAsia="Times New Roman" w:hint="eastAsia"/>
          <w:rtl/>
          <w:lang w:eastAsia="en-US"/>
        </w:rPr>
        <w:t> </w:t>
      </w:r>
      <w:r w:rsidRPr="00304B5F">
        <w:rPr>
          <w:rFonts w:eastAsia="Times New Roman" w:hint="cs"/>
          <w:rtl/>
          <w:lang w:eastAsia="en-US"/>
        </w:rPr>
        <w:t>2013، اعترفت به اللجنة الأولمبية الدولية كالسلطة الوحيدة المعنية بالبيسبول.</w:t>
      </w:r>
      <w:r w:rsidRPr="00E20B98">
        <w:rPr>
          <w:rStyle w:val="FootnoteReference"/>
          <w:rtl/>
        </w:rPr>
        <w:footnoteReference w:id="4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lastRenderedPageBreak/>
        <w:t>اللاكروس:</w:t>
      </w:r>
      <w:r w:rsidRPr="00304B5F">
        <w:rPr>
          <w:rFonts w:eastAsia="Times New Roman" w:hint="cs"/>
          <w:rtl/>
          <w:lang w:eastAsia="en-US"/>
        </w:rPr>
        <w:t xml:space="preserve"> اللاكروس رياضة جماعية أيضا، ولكن لاعبها يستخدم عصا تنتهي بسلة للإمساك بالكرة والاحتفاظ بها بدلا من ضربها.</w:t>
      </w:r>
      <w:r w:rsidRPr="00E20B98">
        <w:rPr>
          <w:rStyle w:val="FootnoteReference"/>
          <w:rtl/>
        </w:rPr>
        <w:footnoteReference w:id="42"/>
      </w:r>
      <w:r w:rsidRPr="00304B5F">
        <w:rPr>
          <w:rFonts w:eastAsia="Times New Roman" w:hint="cs"/>
          <w:rtl/>
          <w:lang w:eastAsia="en-US"/>
        </w:rPr>
        <w:t xml:space="preserve"> ونشأت لعبة اللاكروس لدى الأمريكيين الأصليين، بمن فيهم قبائل الشيروكي والإيروكويس والهورون والتشوكتاو والموهاوك،</w:t>
      </w:r>
      <w:r w:rsidRPr="00E20B98">
        <w:rPr>
          <w:rStyle w:val="FootnoteReference"/>
          <w:rtl/>
        </w:rPr>
        <w:footnoteReference w:id="43"/>
      </w:r>
      <w:r w:rsidRPr="00304B5F">
        <w:rPr>
          <w:rFonts w:eastAsia="Times New Roman" w:hint="cs"/>
          <w:rtl/>
          <w:lang w:eastAsia="en-US"/>
        </w:rPr>
        <w:t xml:space="preserve"> ولكن اسمها ينحدر من الكلمة الفرنسية العامة التي تُطلق على لعبة تُستخدم فيها عصا منحنية.</w:t>
      </w:r>
      <w:r w:rsidRPr="00E20B98">
        <w:rPr>
          <w:rStyle w:val="FootnoteReference"/>
          <w:rtl/>
        </w:rPr>
        <w:footnoteReference w:id="44"/>
      </w:r>
      <w:r w:rsidRPr="00304B5F">
        <w:rPr>
          <w:rFonts w:eastAsia="Times New Roman" w:hint="cs"/>
          <w:rtl/>
          <w:lang w:eastAsia="en-US"/>
        </w:rPr>
        <w:t xml:space="preserve"> وتُمارس لعبة اللاكروس على نطاق واسع حاليا في الولايات المتحدة الأمريكية وعلى الصعيد الدولي وتمثّل إحدى الألعاب الرياضية الأسرع نموا في العالم.</w:t>
      </w:r>
      <w:r w:rsidRPr="00E20B98">
        <w:rPr>
          <w:rStyle w:val="FootnoteReference"/>
          <w:rtl/>
        </w:rPr>
        <w:footnoteReference w:id="45"/>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باء.</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المادي</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يصف مشروع المواد أشكال التعبير المادي، بما في ذلك </w:t>
      </w:r>
      <w:r w:rsidRPr="00304B5F">
        <w:rPr>
          <w:rFonts w:eastAsia="Times New Roman"/>
          <w:rtl/>
          <w:lang w:eastAsia="en-US"/>
        </w:rPr>
        <w:t xml:space="preserve">أشكال التعبير </w:t>
      </w:r>
      <w:r w:rsidRPr="00304B5F">
        <w:rPr>
          <w:rFonts w:eastAsia="Times New Roman" w:hint="cs"/>
          <w:rtl/>
          <w:lang w:eastAsia="en-US"/>
        </w:rPr>
        <w:t>الفني</w:t>
      </w:r>
      <w:r w:rsidRPr="00304B5F">
        <w:rPr>
          <w:rFonts w:eastAsia="Times New Roman"/>
          <w:rtl/>
          <w:lang w:eastAsia="en-US"/>
        </w:rPr>
        <w:t xml:space="preserve"> والصناعات الحرفية والأقنعة أو الأزياء الخاصة بالعروض والسجاد المصنوع يدويا والهندسة المعمارية</w:t>
      </w:r>
      <w:r w:rsidRPr="00304B5F">
        <w:rPr>
          <w:rFonts w:eastAsia="Times New Roman" w:hint="cs"/>
          <w:rtl/>
          <w:lang w:eastAsia="en-US"/>
        </w:rPr>
        <w:t>. ويركّز هذا الجزء على الآلات الموسيقية، والعمارة العامية، والفن والصناعات الحرفية، والأغذية.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ind w:left="566"/>
        <w:rPr>
          <w:rFonts w:eastAsia="Times New Roman"/>
          <w:b/>
          <w:bCs/>
          <w:rtl/>
          <w:lang w:eastAsia="en-US"/>
        </w:rPr>
      </w:pPr>
      <w:r w:rsidRPr="00304B5F">
        <w:rPr>
          <w:rFonts w:eastAsia="Times New Roman" w:hint="cs"/>
          <w:b/>
          <w:bCs/>
          <w:rtl/>
          <w:lang w:eastAsia="en-US"/>
        </w:rPr>
        <w:t>1. الآلات الموسيقية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الكمان/الكمنجة:</w:t>
      </w:r>
      <w:r w:rsidRPr="00304B5F">
        <w:rPr>
          <w:rFonts w:eastAsia="Times New Roman" w:hint="cs"/>
          <w:rtl/>
          <w:lang w:eastAsia="en-US"/>
        </w:rPr>
        <w:t xml:space="preserve"> من المحتمل أن يكون الكمان مشتقا من آلة الرباب العربية وقد استُحدث في إيطاليا في مطلع القرن السادس</w:t>
      </w:r>
      <w:r w:rsidRPr="00304B5F">
        <w:rPr>
          <w:rFonts w:eastAsia="Times New Roman" w:hint="eastAsia"/>
          <w:rtl/>
          <w:lang w:eastAsia="en-US"/>
        </w:rPr>
        <w:t> </w:t>
      </w:r>
      <w:r w:rsidRPr="00304B5F">
        <w:rPr>
          <w:rFonts w:eastAsia="Times New Roman" w:hint="cs"/>
          <w:rtl/>
          <w:lang w:eastAsia="en-US"/>
        </w:rPr>
        <w:t>عشر تقريبا.</w:t>
      </w:r>
      <w:r w:rsidRPr="00E20B98">
        <w:rPr>
          <w:rStyle w:val="FootnoteReference"/>
          <w:rtl/>
        </w:rPr>
        <w:footnoteReference w:id="46"/>
      </w:r>
      <w:r w:rsidRPr="00304B5F">
        <w:rPr>
          <w:rFonts w:eastAsia="Times New Roman" w:hint="cs"/>
          <w:rtl/>
          <w:lang w:eastAsia="en-US"/>
        </w:rPr>
        <w:t xml:space="preserve"> ويُلعب الكمان أو أحد أسلافه أيضا في موسيقى العديد من الثقافات الموسيقية غير الغربية، مثل الهند</w:t>
      </w:r>
      <w:r w:rsidRPr="00E20B98">
        <w:rPr>
          <w:rStyle w:val="FootnoteReference"/>
          <w:rtl/>
        </w:rPr>
        <w:footnoteReference w:id="47"/>
      </w:r>
      <w:r w:rsidRPr="00304B5F">
        <w:rPr>
          <w:rFonts w:eastAsia="Times New Roman" w:hint="cs"/>
          <w:rtl/>
          <w:lang w:eastAsia="en-US"/>
        </w:rPr>
        <w:t xml:space="preserve"> وإيران.</w:t>
      </w:r>
      <w:r w:rsidRPr="00E20B98">
        <w:rPr>
          <w:rStyle w:val="FootnoteReference"/>
          <w:rtl/>
        </w:rPr>
        <w:footnoteReference w:id="48"/>
      </w:r>
      <w:r w:rsidRPr="00304B5F">
        <w:rPr>
          <w:rFonts w:eastAsia="Times New Roman" w:hint="cs"/>
          <w:rtl/>
          <w:lang w:eastAsia="en-US"/>
        </w:rPr>
        <w:t xml:space="preserve"> والملاحظ أن الكمان (المُسمى بالعامية "الكمنجة")، الذي ساد انتشاره في التقليد الكلاسيكي الغربي وغالبا ما</w:t>
      </w:r>
      <w:r w:rsidRPr="00304B5F">
        <w:rPr>
          <w:rFonts w:eastAsia="Times New Roman" w:hint="eastAsia"/>
          <w:rtl/>
          <w:lang w:eastAsia="en-US"/>
        </w:rPr>
        <w:t> </w:t>
      </w:r>
      <w:r w:rsidRPr="00304B5F">
        <w:rPr>
          <w:rFonts w:eastAsia="Times New Roman" w:hint="cs"/>
          <w:rtl/>
          <w:lang w:eastAsia="en-US"/>
        </w:rPr>
        <w:t>يرتبط بالموسيقى الكلاسيكية والأوركسترا،</w:t>
      </w:r>
      <w:r w:rsidRPr="00E20B98">
        <w:rPr>
          <w:rStyle w:val="FootnoteReference"/>
          <w:rtl/>
        </w:rPr>
        <w:footnoteReference w:id="49"/>
      </w:r>
      <w:r w:rsidRPr="00304B5F">
        <w:rPr>
          <w:rFonts w:eastAsia="Times New Roman" w:hint="cs"/>
          <w:rtl/>
          <w:lang w:eastAsia="en-US"/>
        </w:rPr>
        <w:t xml:space="preserve"> يُستخدم أيضا في الجاز</w:t>
      </w:r>
      <w:r w:rsidRPr="00E20B98">
        <w:rPr>
          <w:rStyle w:val="FootnoteReference"/>
          <w:rtl/>
        </w:rPr>
        <w:footnoteReference w:id="50"/>
      </w:r>
      <w:r w:rsidRPr="00304B5F">
        <w:rPr>
          <w:rFonts w:eastAsia="Times New Roman" w:hint="cs"/>
          <w:rtl/>
          <w:lang w:eastAsia="en-US"/>
        </w:rPr>
        <w:t xml:space="preserve"> وموسيقى الفولك، بما في ذلك موسيقى الكونتري</w:t>
      </w:r>
      <w:r w:rsidRPr="00E20B98">
        <w:rPr>
          <w:rStyle w:val="FootnoteReference"/>
          <w:rtl/>
        </w:rPr>
        <w:footnoteReference w:id="51"/>
      </w:r>
      <w:r w:rsidRPr="00304B5F">
        <w:rPr>
          <w:rFonts w:eastAsia="Times New Roman" w:hint="cs"/>
          <w:rtl/>
          <w:lang w:eastAsia="en-US"/>
        </w:rPr>
        <w:t xml:space="preserve"> والبلوغراس</w:t>
      </w:r>
      <w:r w:rsidRPr="00E20B98">
        <w:rPr>
          <w:rStyle w:val="FootnoteReference"/>
          <w:rtl/>
        </w:rPr>
        <w:footnoteReference w:id="52"/>
      </w:r>
      <w:r w:rsidRPr="00304B5F">
        <w:rPr>
          <w:rFonts w:eastAsia="Times New Roman" w:hint="cs"/>
          <w:rtl/>
          <w:lang w:eastAsia="en-US"/>
        </w:rPr>
        <w:t xml:space="preserve"> الأمريكية، والموسيقى التقليدية الإيطالية.</w:t>
      </w:r>
      <w:r w:rsidRPr="00E20B98">
        <w:rPr>
          <w:rStyle w:val="FootnoteReference"/>
          <w:rtl/>
        </w:rPr>
        <w:footnoteReference w:id="53"/>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lastRenderedPageBreak/>
        <w:t>مزمار القربة:</w:t>
      </w:r>
      <w:r w:rsidRPr="00304B5F">
        <w:rPr>
          <w:rFonts w:eastAsia="Times New Roman" w:hint="cs"/>
          <w:rtl/>
          <w:lang w:eastAsia="en-US"/>
        </w:rPr>
        <w:t xml:space="preserve"> ظلّت آلة مزمار القربة ذات الأصول القديمة تُلعب طوال ألف سنة في أنحاء كبيرة من أوروبا وشمال أفريقيا وغرب آسيا، بما في ذلك في الهند وحول الخليج العربي.</w:t>
      </w:r>
      <w:r w:rsidRPr="00E20B98">
        <w:rPr>
          <w:rStyle w:val="FootnoteReference"/>
          <w:rtl/>
        </w:rPr>
        <w:footnoteReference w:id="54"/>
      </w:r>
      <w:r w:rsidRPr="00304B5F">
        <w:rPr>
          <w:rFonts w:eastAsia="Times New Roman" w:hint="cs"/>
          <w:rtl/>
          <w:lang w:eastAsia="en-US"/>
        </w:rPr>
        <w:t xml:space="preserve"> وأصبح مزمار قربة المرتفعات الاسكتلندية العظيم معروفا عالميا نتيجة توسّع الامبراطورية البريطانية وعلى رأسها الجيش البريطاني الذي كان يشمل كتائب المرتفعات الاسكتلندية.</w:t>
      </w:r>
      <w:r w:rsidRPr="00E20B98">
        <w:rPr>
          <w:rStyle w:val="FootnoteReference"/>
          <w:rtl/>
        </w:rPr>
        <w:footnoteReference w:id="55"/>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t>البانجو:</w:t>
      </w:r>
      <w:r w:rsidRPr="00304B5F">
        <w:rPr>
          <w:rFonts w:eastAsia="Times New Roman" w:hint="cs"/>
          <w:rtl/>
          <w:lang w:eastAsia="en-US"/>
        </w:rPr>
        <w:t xml:space="preserve"> البانجو آلة موسيقية يشبه جسمها جسم الطبل ولها زند مُدستن وتحتوي عادة على أربعة إلى خمسة أوتار يمكن نقرها بريشة أو بالأصابع.</w:t>
      </w:r>
      <w:r w:rsidRPr="00E20B98">
        <w:rPr>
          <w:rStyle w:val="FootnoteReference"/>
          <w:rtl/>
        </w:rPr>
        <w:footnoteReference w:id="56"/>
      </w:r>
      <w:r w:rsidRPr="00304B5F">
        <w:rPr>
          <w:rFonts w:eastAsia="Times New Roman" w:hint="cs"/>
          <w:rtl/>
          <w:lang w:eastAsia="en-US"/>
        </w:rPr>
        <w:t xml:space="preserve"> وصمّم الأفارقة في أمريكا أشكال البانجو الأولى استنادا إلى آلات أفريقية مشابهة.</w:t>
      </w:r>
      <w:r w:rsidRPr="00E20B98">
        <w:rPr>
          <w:rStyle w:val="FootnoteReference"/>
          <w:rtl/>
        </w:rPr>
        <w:footnoteReference w:id="57"/>
      </w:r>
      <w:r w:rsidRPr="00304B5F">
        <w:rPr>
          <w:rFonts w:eastAsia="Times New Roman" w:hint="cs"/>
          <w:rtl/>
          <w:lang w:eastAsia="en-US"/>
        </w:rPr>
        <w:t xml:space="preserve"> ولعبت آلة البانجو دورا مهما في تطوّر موسيقى الفولك الأفريقية-الأمريكية وهي تؤدي دورا أساسيا في الموسيقى الأمريكية القديمة.</w:t>
      </w:r>
      <w:r w:rsidRPr="00E20B98">
        <w:rPr>
          <w:rStyle w:val="FootnoteReference"/>
          <w:rtl/>
        </w:rPr>
        <w:footnoteReference w:id="58"/>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2. العمارة العامية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تشمل العمارة العامية أنواع المباني التي تُصمّم وفق الاحتياجات المحلية وتستخدم مواد البناء المتاحة وتعكس التقاليد المحلية. وتُنقل تصاميم البناء التقليدية من شخص إلى آخر ومن جيل إلى آخر.</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مساكن الرحّل:</w:t>
      </w:r>
      <w:r w:rsidRPr="00304B5F">
        <w:rPr>
          <w:rFonts w:eastAsia="Times New Roman" w:hint="cs"/>
          <w:rtl/>
          <w:lang w:eastAsia="en-US"/>
        </w:rPr>
        <w:t xml:space="preserve"> يمكن أن تدخل عدة من مساكن ثقافات الرحّل ضمن هذه الفئة من أشكال التعبير الثقافي التقليدي. ومنها اليورت وهو عبارة عن خيمة دائرية تُستخدم منذ القدم في منغوليا وتُصنع عادة من الخشب المحني والشعر.</w:t>
      </w:r>
      <w:r w:rsidRPr="00E20B98">
        <w:rPr>
          <w:rStyle w:val="FootnoteReference"/>
          <w:rtl/>
        </w:rPr>
        <w:footnoteReference w:id="59"/>
      </w:r>
      <w:r w:rsidRPr="00304B5F">
        <w:rPr>
          <w:rFonts w:eastAsia="Times New Roman" w:hint="cs"/>
          <w:rtl/>
          <w:lang w:eastAsia="en-US"/>
        </w:rPr>
        <w:t xml:space="preserve"> وهناك أيضا الإيغلو الذي يرتبط بثقافة الإنويت في ألاسكا.</w:t>
      </w:r>
      <w:r w:rsidRPr="00E20B98">
        <w:rPr>
          <w:rStyle w:val="FootnoteReference"/>
          <w:rtl/>
        </w:rPr>
        <w:footnoteReference w:id="60"/>
      </w:r>
      <w:r w:rsidRPr="00304B5F">
        <w:rPr>
          <w:rFonts w:eastAsia="Times New Roman" w:hint="cs"/>
          <w:rtl/>
          <w:lang w:eastAsia="en-US"/>
        </w:rPr>
        <w:t xml:space="preserve"> أما التيبي فهو هيكل سكني يضمّ أعمدة وجلود وتستخدمه قبائل السهول الأمريكية الأصلية.</w:t>
      </w:r>
      <w:r w:rsidRPr="00E20B98">
        <w:rPr>
          <w:rStyle w:val="FootnoteReference"/>
          <w:rtl/>
        </w:rPr>
        <w:footnoteReference w:id="61"/>
      </w:r>
      <w:r w:rsidRPr="00304B5F">
        <w:rPr>
          <w:rFonts w:eastAsia="Times New Roman" w:hint="cs"/>
          <w:rtl/>
          <w:lang w:eastAsia="en-US"/>
        </w:rPr>
        <w:t xml:space="preserve"> وأخيرا كانت قبائل البدو في الشرق الأوسط وشمال أفريقيا ولا تزال تتخذ من الخيام بيوتا لها.</w:t>
      </w:r>
      <w:r w:rsidRPr="00E20B98">
        <w:rPr>
          <w:rStyle w:val="FootnoteReference"/>
          <w:rtl/>
        </w:rPr>
        <w:footnoteReference w:id="6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المساكن المستديمة:</w:t>
      </w:r>
      <w:r w:rsidRPr="00304B5F">
        <w:rPr>
          <w:rFonts w:eastAsia="Times New Roman" w:hint="cs"/>
          <w:rtl/>
          <w:lang w:eastAsia="en-US"/>
        </w:rPr>
        <w:t xml:space="preserve"> يمكن أن يعتبر البعض أن بعضا من فئات المساكن المستديمة يمثّل أشكالا من أشكال التعبير الثقافي التقليدي. ومنها، مثلا، الأكواخ الخشبية، التي هي عبارة عن هياكل سكنية تقليدية توجد في اسكندينافيا وشمال وشرق أوروبا وروسيا وأوكرانيا </w:t>
      </w:r>
      <w:r w:rsidRPr="00304B5F">
        <w:rPr>
          <w:rFonts w:eastAsia="Times New Roman" w:hint="cs"/>
          <w:rtl/>
          <w:lang w:eastAsia="en-US"/>
        </w:rPr>
        <w:lastRenderedPageBreak/>
        <w:t>والولايات المتحدة الأمريكية.</w:t>
      </w:r>
      <w:r w:rsidRPr="00E20B98">
        <w:rPr>
          <w:rStyle w:val="FootnoteReference"/>
          <w:rtl/>
        </w:rPr>
        <w:footnoteReference w:id="63"/>
      </w:r>
      <w:r w:rsidRPr="00304B5F">
        <w:rPr>
          <w:rFonts w:eastAsia="Times New Roman" w:hint="cs"/>
          <w:rtl/>
          <w:lang w:eastAsia="en-US"/>
        </w:rPr>
        <w:t xml:space="preserve"> ويوجد، في نيبال، منازل تقليدية مبنية من الطين والحجر.</w:t>
      </w:r>
      <w:r w:rsidRPr="00E20B98">
        <w:rPr>
          <w:rStyle w:val="FootnoteReference"/>
          <w:rtl/>
        </w:rPr>
        <w:footnoteReference w:id="64"/>
      </w:r>
      <w:r w:rsidRPr="00304B5F">
        <w:rPr>
          <w:rFonts w:eastAsia="Times New Roman" w:hint="cs"/>
          <w:rtl/>
          <w:lang w:eastAsia="en-US"/>
        </w:rPr>
        <w:t xml:space="preserve"> والمعروف أن بيوت قبائل الماساي مبنية من التراب والعصي والعشب وروث الأبقار وبولها.</w:t>
      </w:r>
      <w:r w:rsidRPr="00E20B98">
        <w:rPr>
          <w:rStyle w:val="FootnoteReference"/>
          <w:rtl/>
        </w:rPr>
        <w:footnoteReference w:id="65"/>
      </w:r>
      <w:r w:rsidRPr="00304B5F">
        <w:rPr>
          <w:rFonts w:eastAsia="Times New Roman" w:hint="cs"/>
          <w:rtl/>
          <w:lang w:eastAsia="en-US"/>
        </w:rPr>
        <w:t xml:space="preserve"> وقد نجد في منزل الباتاك الإندونيسي مثالا آخر، فهو عبارة عن أكوام خشبية وأسقف مصنوعة من قش نخيل السكر.</w:t>
      </w:r>
      <w:r w:rsidRPr="00E20B98">
        <w:rPr>
          <w:rStyle w:val="FootnoteReference"/>
          <w:rtl/>
        </w:rPr>
        <w:footnoteReference w:id="66"/>
      </w:r>
      <w:r w:rsidRPr="00304B5F">
        <w:rPr>
          <w:rFonts w:eastAsia="Times New Roman" w:hint="cs"/>
          <w:rtl/>
          <w:lang w:eastAsia="en-US"/>
        </w:rPr>
        <w:t xml:space="preserve"> وهناك، أخيرا، السيهيوان وهو عبارة عن منزل ذي فناء تقليدي يوجد في الصين.</w:t>
      </w:r>
      <w:r w:rsidRPr="00E20B98">
        <w:rPr>
          <w:rStyle w:val="FootnoteReference"/>
          <w:rtl/>
        </w:rPr>
        <w:footnoteReference w:id="67"/>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الفن والصناعات الحرفية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لا يوجد تعريف مقبول عالميا للصناعات الحرفية. ولكن هناك عددا من الخصائص المشتركة لتلك الصناعات.</w:t>
      </w:r>
      <w:r w:rsidRPr="00E20B98">
        <w:rPr>
          <w:rStyle w:val="FootnoteReference"/>
          <w:rtl/>
        </w:rPr>
        <w:footnoteReference w:id="68"/>
      </w:r>
      <w:r w:rsidRPr="00304B5F">
        <w:rPr>
          <w:rFonts w:eastAsia="Times New Roman" w:hint="cs"/>
          <w:rtl/>
          <w:lang w:eastAsia="en-US"/>
        </w:rPr>
        <w:t xml:space="preserve"> والجدير بالذكر أن تلك الصناعات ينتجها حرفيون وتحتوي على تمثيلات وأشكال تعبير ترمز إلى ثقافة الحرفي. وتلك الصناعات، التي تشمل طائفة واسعة من السلع المصنوعة من مواد خام، تتباين من حيث الوظيفة والغرض. وقد يكون لها وظائف نفعية وجمالية ودينية واجتماعية.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الأمثلة:</w:t>
      </w:r>
    </w:p>
    <w:p w:rsidR="00304B5F" w:rsidRPr="00304B5F" w:rsidRDefault="00304B5F" w:rsidP="00304B5F">
      <w:pPr>
        <w:spacing w:after="240" w:line="360" w:lineRule="exact"/>
        <w:rPr>
          <w:rFonts w:eastAsia="Times New Roman"/>
          <w:b/>
          <w:bCs/>
          <w:lang w:eastAsia="en-US"/>
        </w:rPr>
      </w:pPr>
    </w:p>
    <w:p w:rsidR="00304B5F" w:rsidRPr="00304B5F" w:rsidRDefault="00304B5F" w:rsidP="00304B5F">
      <w:pPr>
        <w:spacing w:after="240" w:line="360" w:lineRule="exact"/>
        <w:rPr>
          <w:rFonts w:eastAsia="Times New Roman"/>
          <w:b/>
          <w:bCs/>
          <w:rtl/>
          <w:lang w:val="fr-CH" w:eastAsia="en-US" w:bidi="ar-SY"/>
        </w:rPr>
      </w:pPr>
      <w:r w:rsidRPr="00304B5F">
        <w:rPr>
          <w:rFonts w:eastAsia="Times New Roman" w:hint="cs"/>
          <w:b/>
          <w:bCs/>
          <w:rtl/>
          <w:lang w:val="fr-CH" w:eastAsia="en-US" w:bidi="ar-SY"/>
        </w:rPr>
        <w:t xml:space="preserve">لحف الأميش: </w:t>
      </w:r>
      <w:r w:rsidRPr="00304B5F">
        <w:rPr>
          <w:rFonts w:eastAsia="Times New Roman"/>
          <w:rtl/>
          <w:lang w:val="fr-CH" w:eastAsia="en-US" w:bidi="ar-SY"/>
        </w:rPr>
        <w:t xml:space="preserve">الأميش </w:t>
      </w:r>
      <w:r w:rsidRPr="00304B5F">
        <w:rPr>
          <w:rFonts w:eastAsia="Times New Roman" w:hint="cs"/>
          <w:rtl/>
          <w:lang w:val="fr-CH" w:eastAsia="en-US" w:bidi="ar-SY"/>
        </w:rPr>
        <w:t>جماعة</w:t>
      </w:r>
      <w:r w:rsidRPr="00304B5F">
        <w:rPr>
          <w:rFonts w:eastAsia="Times New Roman"/>
          <w:rtl/>
          <w:lang w:val="fr-CH" w:eastAsia="en-US" w:bidi="ar-SY"/>
        </w:rPr>
        <w:t xml:space="preserve"> </w:t>
      </w:r>
      <w:r w:rsidRPr="00304B5F">
        <w:rPr>
          <w:rFonts w:eastAsia="Times New Roman" w:hint="cs"/>
          <w:rtl/>
          <w:lang w:val="fr-CH" w:eastAsia="en-US" w:bidi="ar-SY"/>
        </w:rPr>
        <w:t>من جماعات الكنيسة ال</w:t>
      </w:r>
      <w:r w:rsidRPr="00304B5F">
        <w:rPr>
          <w:rFonts w:eastAsia="Times New Roman"/>
          <w:rtl/>
          <w:lang w:val="fr-CH" w:eastAsia="en-US" w:bidi="ar-SY"/>
        </w:rPr>
        <w:t xml:space="preserve">مسيحية </w:t>
      </w:r>
      <w:r w:rsidRPr="00304B5F">
        <w:rPr>
          <w:rFonts w:eastAsia="Times New Roman" w:hint="cs"/>
          <w:rtl/>
          <w:lang w:val="fr-CH" w:eastAsia="en-US" w:bidi="ar-SY"/>
        </w:rPr>
        <w:t>ال</w:t>
      </w:r>
      <w:r w:rsidRPr="00304B5F">
        <w:rPr>
          <w:rFonts w:eastAsia="Times New Roman"/>
          <w:rtl/>
          <w:lang w:val="fr-CH" w:eastAsia="en-US" w:bidi="ar-SY"/>
        </w:rPr>
        <w:t>تقليدية</w:t>
      </w:r>
      <w:r w:rsidRPr="00304B5F">
        <w:rPr>
          <w:rFonts w:eastAsia="Times New Roman" w:hint="cs"/>
          <w:rtl/>
          <w:lang w:val="fr-CH" w:eastAsia="en-US" w:bidi="ar-SY"/>
        </w:rPr>
        <w:t xml:space="preserve"> </w:t>
      </w:r>
      <w:r w:rsidRPr="00304B5F">
        <w:rPr>
          <w:rFonts w:eastAsia="Times New Roman"/>
          <w:rtl/>
          <w:lang w:val="fr-CH" w:eastAsia="en-US" w:bidi="ar-SY"/>
        </w:rPr>
        <w:t xml:space="preserve">في الولايات المتحدة </w:t>
      </w:r>
      <w:r w:rsidRPr="00304B5F">
        <w:rPr>
          <w:rFonts w:eastAsia="Times New Roman" w:hint="cs"/>
          <w:rtl/>
          <w:lang w:val="fr-CH" w:eastAsia="en-US" w:bidi="ar-SY"/>
        </w:rPr>
        <w:t>وهي من أصل تجديدي من سويسرا الناطقة بالألمانية</w:t>
      </w:r>
      <w:r w:rsidRPr="00304B5F">
        <w:rPr>
          <w:rFonts w:eastAsia="Times New Roman"/>
          <w:rtl/>
          <w:lang w:val="fr-CH" w:eastAsia="en-US" w:bidi="ar-SY"/>
        </w:rPr>
        <w:t>.</w:t>
      </w:r>
      <w:r w:rsidRPr="00304B5F">
        <w:rPr>
          <w:rFonts w:eastAsia="Times New Roman" w:hint="cs"/>
          <w:rtl/>
          <w:lang w:val="fr-CH" w:eastAsia="en-US" w:bidi="ar-SY"/>
        </w:rPr>
        <w:t xml:space="preserve"> وتعرف لحف الأميش، المتجذرة في العديد من الثقافات، بألوانها وأنماطها التي يعتمدها المجتمع، وت</w:t>
      </w:r>
      <w:r w:rsidRPr="00304B5F">
        <w:rPr>
          <w:rFonts w:eastAsia="Times New Roman"/>
          <w:rtl/>
          <w:lang w:val="fr-CH" w:eastAsia="en-US" w:bidi="ar-SY"/>
        </w:rPr>
        <w:t xml:space="preserve">عكس </w:t>
      </w:r>
      <w:r w:rsidRPr="00304B5F">
        <w:rPr>
          <w:rFonts w:eastAsia="Times New Roman" w:hint="cs"/>
          <w:rtl/>
          <w:lang w:val="fr-CH" w:eastAsia="en-US" w:bidi="ar-SY"/>
        </w:rPr>
        <w:t>الأهمية</w:t>
      </w:r>
      <w:r w:rsidRPr="00304B5F">
        <w:rPr>
          <w:rFonts w:eastAsia="Times New Roman"/>
          <w:rtl/>
          <w:lang w:val="fr-CH" w:eastAsia="en-US" w:bidi="ar-SY"/>
        </w:rPr>
        <w:t xml:space="preserve"> التي </w:t>
      </w:r>
      <w:r w:rsidRPr="00304B5F">
        <w:rPr>
          <w:rFonts w:eastAsia="Times New Roman" w:hint="cs"/>
          <w:rtl/>
          <w:lang w:val="fr-CH" w:eastAsia="en-US" w:bidi="ar-SY"/>
        </w:rPr>
        <w:t>يوليها أفراد جماعة الأميش</w:t>
      </w:r>
      <w:r w:rsidRPr="00304B5F">
        <w:rPr>
          <w:rFonts w:eastAsia="Times New Roman"/>
          <w:rtl/>
          <w:lang w:val="fr-CH" w:eastAsia="en-US" w:bidi="ar-SY"/>
        </w:rPr>
        <w:t xml:space="preserve"> </w:t>
      </w:r>
      <w:r w:rsidRPr="00304B5F">
        <w:rPr>
          <w:rFonts w:eastAsia="Times New Roman" w:hint="cs"/>
          <w:rtl/>
          <w:lang w:val="fr-CH" w:eastAsia="en-US" w:bidi="ar-SY"/>
        </w:rPr>
        <w:t>ل</w:t>
      </w:r>
      <w:r w:rsidRPr="00304B5F">
        <w:rPr>
          <w:rFonts w:eastAsia="Times New Roman"/>
          <w:rtl/>
          <w:lang w:val="fr-CH" w:eastAsia="en-US" w:bidi="ar-SY"/>
        </w:rPr>
        <w:t xml:space="preserve">لبساطة في </w:t>
      </w:r>
      <w:r w:rsidRPr="00304B5F">
        <w:rPr>
          <w:rFonts w:eastAsia="Times New Roman" w:hint="cs"/>
          <w:rtl/>
          <w:lang w:val="fr-CH" w:eastAsia="en-US" w:bidi="ar-SY"/>
        </w:rPr>
        <w:t>لباسهم وأسلوب حياتهم.</w:t>
      </w:r>
      <w:r w:rsidRPr="00304B5F">
        <w:rPr>
          <w:rFonts w:eastAsia="Times New Roman"/>
          <w:rtl/>
          <w:lang w:val="fr-CH" w:eastAsia="en-US" w:bidi="ar-SY"/>
        </w:rPr>
        <w:t xml:space="preserve"> </w:t>
      </w:r>
      <w:r w:rsidRPr="00304B5F">
        <w:rPr>
          <w:rFonts w:eastAsia="Times New Roman" w:hint="cs"/>
          <w:rtl/>
          <w:lang w:val="fr-CH" w:eastAsia="en-US" w:bidi="ar-SY"/>
        </w:rPr>
        <w:t>وتُطرز تلك اللحف الملونة</w:t>
      </w:r>
      <w:r w:rsidRPr="00304B5F">
        <w:rPr>
          <w:rFonts w:eastAsia="Times New Roman"/>
          <w:rtl/>
          <w:lang w:val="fr-CH" w:eastAsia="en-US" w:bidi="ar-SY"/>
        </w:rPr>
        <w:t xml:space="preserve"> يدوياً لحفلات الزفاف والولادات، </w:t>
      </w:r>
      <w:r w:rsidRPr="00304B5F">
        <w:rPr>
          <w:rFonts w:eastAsia="Times New Roman" w:hint="cs"/>
          <w:rtl/>
          <w:lang w:val="fr-CH" w:eastAsia="en-US" w:bidi="ar-SY"/>
        </w:rPr>
        <w:t xml:space="preserve">وتُعد تراثا متوارثا من </w:t>
      </w:r>
      <w:r w:rsidRPr="00304B5F">
        <w:rPr>
          <w:rFonts w:eastAsia="Times New Roman"/>
          <w:rtl/>
          <w:lang w:val="fr-CH" w:eastAsia="en-US" w:bidi="ar-SY"/>
        </w:rPr>
        <w:t xml:space="preserve">جيل </w:t>
      </w:r>
      <w:r w:rsidRPr="00304B5F">
        <w:rPr>
          <w:rFonts w:eastAsia="Times New Roman" w:hint="cs"/>
          <w:rtl/>
          <w:lang w:val="fr-CH" w:eastAsia="en-US" w:bidi="ar-SY"/>
        </w:rPr>
        <w:t>إلى</w:t>
      </w:r>
      <w:r w:rsidRPr="00304B5F">
        <w:rPr>
          <w:rFonts w:eastAsia="Times New Roman"/>
          <w:rtl/>
          <w:lang w:val="fr-CH" w:eastAsia="en-US" w:bidi="ar-SY"/>
        </w:rPr>
        <w:t xml:space="preserve"> </w:t>
      </w:r>
      <w:r w:rsidRPr="00304B5F">
        <w:rPr>
          <w:rFonts w:eastAsia="Times New Roman" w:hint="cs"/>
          <w:rtl/>
          <w:lang w:val="fr-CH" w:eastAsia="en-US" w:bidi="ar-SY"/>
        </w:rPr>
        <w:t>آخر</w:t>
      </w:r>
      <w:r w:rsidRPr="00304B5F">
        <w:rPr>
          <w:rFonts w:eastAsia="Times New Roman"/>
          <w:rtl/>
          <w:lang w:val="fr-CH" w:eastAsia="en-US" w:bidi="ar-SY"/>
        </w:rPr>
        <w:t xml:space="preserve">، ولكن يمكن </w:t>
      </w:r>
      <w:r w:rsidRPr="00304B5F">
        <w:rPr>
          <w:rFonts w:eastAsia="Times New Roman" w:hint="cs"/>
          <w:rtl/>
          <w:lang w:val="fr-CH" w:eastAsia="en-US" w:bidi="ar-SY"/>
        </w:rPr>
        <w:t xml:space="preserve">أن يشتريها </w:t>
      </w:r>
      <w:r w:rsidRPr="00304B5F">
        <w:rPr>
          <w:rFonts w:eastAsia="Times New Roman"/>
          <w:rtl/>
          <w:lang w:val="fr-CH" w:eastAsia="en-US" w:bidi="ar-SY"/>
        </w:rPr>
        <w:t>أيض</w:t>
      </w:r>
      <w:r w:rsidRPr="00304B5F">
        <w:rPr>
          <w:rFonts w:eastAsia="Times New Roman" w:hint="cs"/>
          <w:rtl/>
          <w:lang w:val="fr-CH" w:eastAsia="en-US" w:bidi="ar-SY"/>
        </w:rPr>
        <w:t>اً</w:t>
      </w:r>
      <w:r w:rsidRPr="00304B5F">
        <w:rPr>
          <w:rFonts w:eastAsia="Times New Roman"/>
          <w:rtl/>
          <w:lang w:val="fr-CH" w:eastAsia="en-US" w:bidi="ar-SY"/>
        </w:rPr>
        <w:t xml:space="preserve"> </w:t>
      </w:r>
      <w:r w:rsidRPr="00304B5F">
        <w:rPr>
          <w:rFonts w:eastAsia="Times New Roman" w:hint="cs"/>
          <w:rtl/>
          <w:lang w:val="fr-CH" w:eastAsia="en-US" w:bidi="ar-SY"/>
        </w:rPr>
        <w:t xml:space="preserve">أشخاص </w:t>
      </w:r>
      <w:r w:rsidRPr="00304B5F">
        <w:rPr>
          <w:rFonts w:eastAsia="Times New Roman"/>
          <w:rtl/>
          <w:lang w:val="fr-CH" w:eastAsia="en-US" w:bidi="ar-SY"/>
        </w:rPr>
        <w:t xml:space="preserve">من خارج </w:t>
      </w:r>
      <w:r w:rsidRPr="00304B5F">
        <w:rPr>
          <w:rFonts w:eastAsia="Times New Roman" w:hint="cs"/>
          <w:rtl/>
          <w:lang w:val="fr-CH" w:eastAsia="en-US" w:bidi="ar-SY"/>
        </w:rPr>
        <w:t>جماعة </w:t>
      </w:r>
      <w:r w:rsidRPr="00304B5F">
        <w:rPr>
          <w:rFonts w:eastAsia="Times New Roman"/>
          <w:rtl/>
          <w:lang w:val="fr-CH" w:eastAsia="en-US" w:bidi="ar-SY"/>
        </w:rPr>
        <w:t>الأميش.</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فسيفساء ومجوهرات الفيروز:</w:t>
      </w:r>
      <w:r w:rsidRPr="00304B5F">
        <w:rPr>
          <w:rFonts w:eastAsia="Times New Roman" w:hint="cs"/>
          <w:rtl/>
          <w:lang w:eastAsia="en-US"/>
        </w:rPr>
        <w:t xml:space="preserve"> كانت قبائل البويبلو والنافاجو والهوبي والأباش تستخدم تلك الحجرة في أعمال الفسيفساء والمنحوتات والخرز والمعلّقات.</w:t>
      </w:r>
      <w:r w:rsidRPr="00E20B98">
        <w:rPr>
          <w:rStyle w:val="FootnoteReference"/>
          <w:rtl/>
        </w:rPr>
        <w:footnoteReference w:id="69"/>
      </w:r>
    </w:p>
    <w:p w:rsidR="00304B5F" w:rsidRPr="00304B5F" w:rsidRDefault="00304B5F" w:rsidP="000A69FD">
      <w:pPr>
        <w:spacing w:after="240" w:line="360" w:lineRule="exact"/>
        <w:rPr>
          <w:rFonts w:eastAsia="Times New Roman"/>
          <w:rtl/>
          <w:lang w:eastAsia="en-US"/>
        </w:rPr>
      </w:pPr>
      <w:r w:rsidRPr="00304B5F">
        <w:rPr>
          <w:rFonts w:eastAsia="Times New Roman" w:hint="cs"/>
          <w:b/>
          <w:bCs/>
          <w:rtl/>
          <w:lang w:eastAsia="en-US"/>
        </w:rPr>
        <w:lastRenderedPageBreak/>
        <w:t>صائدة الأحلام:</w:t>
      </w:r>
      <w:r w:rsidRPr="00304B5F">
        <w:rPr>
          <w:rFonts w:eastAsia="Times New Roman" w:hint="cs"/>
          <w:rtl/>
          <w:lang w:eastAsia="en-US"/>
        </w:rPr>
        <w:t xml:space="preserve"> "صائدة الأحلام" عبارة عن حلقة صفصاف مصنوعة يدويا يعود منشؤها إلى الشعوب الأمريكية الأصلية</w:t>
      </w:r>
      <w:r w:rsidR="00D53424">
        <w:rPr>
          <w:rFonts w:eastAsia="Times New Roman" w:hint="cs"/>
          <w:rtl/>
          <w:lang w:eastAsia="en-US"/>
        </w:rPr>
        <w:t xml:space="preserve"> لإبعاد الأحلام الخبيثة أو إفساح المجال للأحلام الحميدة</w:t>
      </w:r>
      <w:r w:rsidRPr="00304B5F">
        <w:rPr>
          <w:rFonts w:eastAsia="Times New Roman" w:hint="cs"/>
          <w:rtl/>
          <w:lang w:eastAsia="en-US"/>
        </w:rPr>
        <w:t>، وتطوّرت بعد ذلك إلى رمز شامل لكل تلك الشعوب.</w:t>
      </w:r>
      <w:r w:rsidRPr="00E20B98">
        <w:rPr>
          <w:rStyle w:val="FootnoteReference"/>
          <w:rtl/>
        </w:rPr>
        <w:footnoteReference w:id="70"/>
      </w:r>
      <w:r w:rsidR="00D53424">
        <w:rPr>
          <w:rFonts w:eastAsia="Times New Roman" w:hint="cs"/>
          <w:rtl/>
          <w:lang w:eastAsia="en-US"/>
        </w:rPr>
        <w:t xml:space="preserve"> وتعتبر الشعوب الأصلية </w:t>
      </w:r>
      <w:r w:rsidR="000A69FD">
        <w:rPr>
          <w:rFonts w:eastAsia="Times New Roman" w:hint="cs"/>
          <w:rtl/>
          <w:lang w:eastAsia="en-US"/>
        </w:rPr>
        <w:t>إنشاء صائد الأحلام عملاً مقدساً وتعتبر إنشاءها من قبل الغير عملاً مهيناً وشكلاً غير مرغوب فيه من الاستيلاء الثقافي.</w:t>
      </w:r>
      <w:r w:rsidR="00013509" w:rsidRPr="00013509">
        <w:rPr>
          <w:rFonts w:eastAsia="Times New Roman"/>
          <w:rtl/>
          <w:lang w:eastAsia="en-US"/>
        </w:rPr>
        <w:t xml:space="preserve"> </w:t>
      </w:r>
      <w:r w:rsidR="00013509" w:rsidRPr="00E20B98">
        <w:rPr>
          <w:rStyle w:val="FootnoteReference"/>
          <w:rtl/>
        </w:rPr>
        <w:footnoteReference w:id="7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الترتان:</w:t>
      </w:r>
      <w:r w:rsidRPr="00304B5F">
        <w:rPr>
          <w:rFonts w:eastAsia="Times New Roman" w:hint="cs"/>
          <w:rtl/>
          <w:lang w:eastAsia="en-US"/>
        </w:rPr>
        <w:t xml:space="preserve"> عبارة عن طراز يستعمل لونين أو أكثر من الأشرطة والخطوط المتداخلة لتشكّل مربعات صغيرة.</w:t>
      </w:r>
      <w:r w:rsidRPr="00E20B98">
        <w:rPr>
          <w:rStyle w:val="FootnoteReference"/>
          <w:rtl/>
        </w:rPr>
        <w:footnoteReference w:id="72"/>
      </w:r>
      <w:r w:rsidRPr="00304B5F">
        <w:rPr>
          <w:rFonts w:eastAsia="Times New Roman" w:hint="cs"/>
          <w:rtl/>
          <w:lang w:eastAsia="en-US"/>
        </w:rPr>
        <w:t xml:space="preserve"> ويُفترض أن يمثّل كل طراز من طرازات الترتان شيئا فريدا، مثل لقب العائلة.</w:t>
      </w:r>
      <w:r w:rsidRPr="00E20B98">
        <w:rPr>
          <w:rStyle w:val="FootnoteReference"/>
          <w:rtl/>
        </w:rPr>
        <w:footnoteReference w:id="73"/>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قبعة بنما:</w:t>
      </w:r>
      <w:r w:rsidRPr="00304B5F">
        <w:rPr>
          <w:rFonts w:eastAsia="Times New Roman" w:hint="cs"/>
          <w:rtl/>
          <w:lang w:eastAsia="en-US"/>
        </w:rPr>
        <w:t xml:space="preserve"> قبعة بنما (قبعة القش التوكيا) هي قبعة قش تقليدية ذات حواف من أصل إكوادوري.</w:t>
      </w:r>
      <w:r w:rsidRPr="00E20B98">
        <w:rPr>
          <w:rStyle w:val="FootnoteReference"/>
          <w:rtl/>
        </w:rPr>
        <w:footnoteReference w:id="74"/>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حذاء رعاة البقر:</w:t>
      </w:r>
      <w:r w:rsidRPr="00304B5F">
        <w:rPr>
          <w:rFonts w:eastAsia="Times New Roman" w:hint="cs"/>
          <w:rtl/>
          <w:lang w:eastAsia="en-US"/>
        </w:rPr>
        <w:t xml:space="preserve"> حذاء رعاة البقر جزء بارز من تاريخ الغرب الأمريكي ورعاة البقر الأمريكيين.</w:t>
      </w:r>
      <w:r w:rsidRPr="00E20B98">
        <w:rPr>
          <w:rStyle w:val="FootnoteReference"/>
          <w:rtl/>
        </w:rPr>
        <w:footnoteReference w:id="75"/>
      </w:r>
      <w:r w:rsidRPr="00304B5F">
        <w:rPr>
          <w:rFonts w:eastAsia="Times New Roman" w:hint="cs"/>
          <w:rtl/>
          <w:lang w:eastAsia="en-US"/>
        </w:rPr>
        <w:t xml:space="preserve"> وصُمّم ذلك الحذاء مع مراعاة الوظيفة، لذا جُعل أعلى من معظم الأحذية الأخرى لحماية الجزء الأسفل من الرجل من الشجيرات، ومع مقدمة وكعب مصمّمين لوضع القدمين على رِكابي الفرس والتحرّر منهما بسهولة.</w:t>
      </w:r>
      <w:r w:rsidRPr="00E20B98">
        <w:rPr>
          <w:rStyle w:val="FootnoteReference"/>
          <w:rtl/>
        </w:rPr>
        <w:footnoteReference w:id="7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أثاث جمعية الشيكرز:</w:t>
      </w:r>
      <w:r w:rsidRPr="00304B5F">
        <w:rPr>
          <w:rFonts w:eastAsia="Times New Roman" w:hint="cs"/>
          <w:rtl/>
          <w:lang w:eastAsia="en-US"/>
        </w:rPr>
        <w:t xml:space="preserve"> أثاث جمعية الشيكرز هو أثاث ذو تصميم مميّز استحدثه صانعو الأثاث الأعضاء في الجمعية المتحدة للمؤمنين في الظهور الثاني للمسيح (المعروفة الأكثر باسم جمعية الشيكرز) في الولايات المتحدة الأمريكية.</w:t>
      </w:r>
      <w:r w:rsidRPr="00E20B98">
        <w:rPr>
          <w:rStyle w:val="FootnoteReference"/>
          <w:rtl/>
        </w:rPr>
        <w:footnoteReference w:id="77"/>
      </w:r>
      <w:r w:rsidRPr="00304B5F">
        <w:rPr>
          <w:rFonts w:eastAsia="Times New Roman" w:hint="cs"/>
          <w:rtl/>
          <w:lang w:eastAsia="en-US"/>
        </w:rPr>
        <w:t xml:space="preserve"> ويعطي التصميم البسيط والعملي، وعدم استعمال الزخرفة مثل البطانات أو الطبقات الخارجية أو المقابض المعدنية، لأثاث الشيكرز مظهرا مميّزا.</w:t>
      </w:r>
      <w:r w:rsidRPr="00E20B98">
        <w:rPr>
          <w:rStyle w:val="FootnoteReference"/>
          <w:rtl/>
        </w:rPr>
        <w:footnoteReference w:id="7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فوانيس جاك:</w:t>
      </w:r>
      <w:r w:rsidRPr="00304B5F">
        <w:rPr>
          <w:rFonts w:eastAsia="Times New Roman" w:hint="cs"/>
          <w:rtl/>
          <w:lang w:eastAsia="en-US"/>
        </w:rPr>
        <w:t xml:space="preserve"> فوانيس جاك شائعة في الولايات المتحدة الأمريكية وهي عبارة عن قرع عسل ذات أوجه مخيفة تُستحدث عادة بنحت فتحات في قشرة القرعة لإعطائها ملامح الوجه وتُضاء بشموع في داخلها وتوضع بعد ذلك على عتبات المنازل أثناء عيد جميع القديسين (عيد الهالوين).</w:t>
      </w:r>
      <w:r w:rsidRPr="00E20B98">
        <w:rPr>
          <w:rStyle w:val="FootnoteReference"/>
          <w:rtl/>
        </w:rPr>
        <w:footnoteReference w:id="79"/>
      </w:r>
      <w:r w:rsidRPr="00304B5F">
        <w:rPr>
          <w:rFonts w:eastAsia="Times New Roman" w:hint="cs"/>
          <w:rtl/>
          <w:lang w:eastAsia="en-US"/>
        </w:rPr>
        <w:t xml:space="preserve"> وتنحدر تلك الممارسة من تقليد إيرلندي كانت تُستخدم فيه أنواع القرع والبطاطس بدلا من قرع العسل وهو يستند من الحكاية الخرافية الإيرلندية المعنونة "جاك البخيل".</w:t>
      </w:r>
    </w:p>
    <w:p w:rsidR="00304B5F" w:rsidRPr="00304B5F" w:rsidRDefault="00304B5F" w:rsidP="00304B5F">
      <w:pPr>
        <w:keepNext/>
        <w:pageBreakBefore/>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lastRenderedPageBreak/>
        <w:t>4.</w:t>
      </w:r>
      <w:r w:rsidRPr="00304B5F">
        <w:rPr>
          <w:rFonts w:eastAsia="Times New Roman"/>
          <w:b/>
          <w:bCs/>
          <w:rtl/>
          <w:lang w:eastAsia="en-US" w:bidi="ar-EG"/>
        </w:rPr>
        <w:tab/>
      </w:r>
      <w:r w:rsidRPr="00304B5F">
        <w:rPr>
          <w:rFonts w:eastAsia="Times New Roman" w:hint="cs"/>
          <w:b/>
          <w:bCs/>
          <w:rtl/>
          <w:lang w:eastAsia="en-US" w:bidi="ar-EG"/>
        </w:rPr>
        <w:t>الطعام</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lang w:eastAsia="en-US"/>
        </w:rPr>
      </w:pPr>
      <w:r w:rsidRPr="00304B5F">
        <w:rPr>
          <w:rFonts w:eastAsia="Times New Roman" w:hint="cs"/>
          <w:rtl/>
          <w:lang w:eastAsia="en-US"/>
        </w:rPr>
        <w:t>لا شك في أن الطعام هو المصدر الرئيسي لغذاء الإنسان، ولعل الطعام والتقنيات المستخدمة في تحضيره والممارسات الاجتماعية لاستهلاكه مرآة كبيرة تعكس أشكال التعبير الثقافي للمجتمعات.</w:t>
      </w:r>
      <w:r w:rsidRPr="00E20B98">
        <w:rPr>
          <w:rStyle w:val="FootnoteReference"/>
          <w:rtl/>
        </w:rPr>
        <w:footnoteReference w:id="80"/>
      </w:r>
    </w:p>
    <w:p w:rsidR="00304B5F" w:rsidRPr="00304B5F" w:rsidRDefault="00304B5F" w:rsidP="00304B5F">
      <w:pPr>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الكريب</w:t>
      </w:r>
      <w:r w:rsidRPr="00304B5F">
        <w:rPr>
          <w:rFonts w:eastAsia="Times New Roman" w:hint="cs"/>
          <w:rtl/>
          <w:lang w:eastAsia="en-US" w:bidi="ar-EG"/>
        </w:rPr>
        <w:t>: الفطير الرقيق جداً المعروف باسم الكريب والذي يقدَّم مع مجموعة متنوعة من الحشوات (والفطيرة المحشوة اسمها كريب أيضاً) يرتبط ارتباطاً وثيقاً بالثقافة الفرنسية.</w:t>
      </w:r>
      <w:r w:rsidRPr="00304B5F">
        <w:rPr>
          <w:rFonts w:eastAsia="Times New Roman"/>
          <w:lang w:eastAsia="en-US" w:bidi="ar-EG"/>
        </w:rPr>
        <w:t xml:space="preserve"> </w:t>
      </w:r>
      <w:r w:rsidRPr="00E20B98">
        <w:rPr>
          <w:rStyle w:val="FootnoteReference"/>
        </w:rPr>
        <w:footnoteReference w:id="81"/>
      </w:r>
      <w:r w:rsidRPr="00304B5F">
        <w:rPr>
          <w:rFonts w:eastAsia="Times New Roman" w:hint="cs"/>
          <w:rtl/>
          <w:lang w:eastAsia="en-US" w:bidi="ar-EG"/>
        </w:rPr>
        <w:t>ومع ذلك، فإن تناول الكريب منتشر في بلدان عديدة ولا سيما بلجيكا</w:t>
      </w:r>
      <w:r w:rsidRPr="00E20B98">
        <w:rPr>
          <w:rStyle w:val="FootnoteReference"/>
        </w:rPr>
        <w:footnoteReference w:id="82"/>
      </w:r>
      <w:r w:rsidRPr="00304B5F">
        <w:rPr>
          <w:rFonts w:eastAsia="Times New Roman" w:hint="cs"/>
          <w:rtl/>
          <w:lang w:eastAsia="en-US" w:bidi="ar-EG"/>
        </w:rPr>
        <w:t xml:space="preserve"> وكيبيك</w:t>
      </w:r>
      <w:r w:rsidRPr="00E20B98">
        <w:rPr>
          <w:rStyle w:val="FootnoteReference"/>
        </w:rPr>
        <w:footnoteReference w:id="83"/>
      </w:r>
      <w:r w:rsidRPr="00304B5F">
        <w:rPr>
          <w:rFonts w:eastAsia="Times New Roman" w:hint="cs"/>
          <w:rtl/>
          <w:lang w:eastAsia="en-US" w:bidi="ar-EG"/>
        </w:rPr>
        <w:t xml:space="preserve"> وشمال أفريقيا</w:t>
      </w:r>
      <w:r w:rsidRPr="00E20B98">
        <w:rPr>
          <w:rStyle w:val="FootnoteReference"/>
        </w:rPr>
        <w:footnoteReference w:id="84"/>
      </w:r>
      <w:r w:rsidRPr="00304B5F">
        <w:rPr>
          <w:rFonts w:eastAsia="Times New Roman" w:hint="cs"/>
          <w:rtl/>
          <w:lang w:eastAsia="en-US" w:bidi="ar-EG"/>
        </w:rPr>
        <w:t xml:space="preserve"> وجنوب أفريقيا</w:t>
      </w:r>
      <w:r w:rsidRPr="00E20B98">
        <w:rPr>
          <w:rStyle w:val="FootnoteReference"/>
        </w:rPr>
        <w:footnoteReference w:id="85"/>
      </w:r>
      <w:r w:rsidRPr="00304B5F">
        <w:rPr>
          <w:rFonts w:eastAsia="Times New Roman" w:hint="cs"/>
          <w:rtl/>
          <w:lang w:eastAsia="en-US" w:bidi="ar-EG"/>
        </w:rPr>
        <w:t xml:space="preserve"> واليابان</w:t>
      </w:r>
      <w:r w:rsidRPr="00E20B98">
        <w:rPr>
          <w:rStyle w:val="FootnoteReference"/>
        </w:rPr>
        <w:footnoteReference w:id="86"/>
      </w:r>
      <w:r w:rsidRPr="00304B5F">
        <w:rPr>
          <w:rFonts w:eastAsia="Times New Roman" w:hint="cs"/>
          <w:rtl/>
          <w:lang w:eastAsia="en-US" w:bidi="ar-EG"/>
        </w:rPr>
        <w:t xml:space="preserve"> وأوروجواي</w:t>
      </w:r>
      <w:r w:rsidRPr="00E20B98">
        <w:rPr>
          <w:rStyle w:val="FootnoteReference"/>
        </w:rPr>
        <w:footnoteReference w:id="87"/>
      </w:r>
      <w:r w:rsidRPr="00304B5F">
        <w:rPr>
          <w:rFonts w:eastAsia="Times New Roman" w:hint="cs"/>
          <w:rtl/>
          <w:lang w:eastAsia="en-US" w:bidi="ar-EG"/>
        </w:rPr>
        <w:t>. وأعدت ثقافات أخرى مأكولات مشابهة للكريب ومنها الكريسبيل الإيطالي والبالاشينتاش الهنغاري والبلينتز اليهودي والبلاتار الاسكندنافي والبليني الروسي والكريبس اليوناني.</w:t>
      </w:r>
      <w:r w:rsidRPr="00E20B98">
        <w:rPr>
          <w:rStyle w:val="FootnoteReference"/>
        </w:rPr>
        <w:footnoteReference w:id="8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البيتزا</w:t>
      </w:r>
      <w:r w:rsidRPr="00304B5F">
        <w:rPr>
          <w:rFonts w:eastAsia="Times New Roman" w:hint="cs"/>
          <w:rtl/>
          <w:lang w:eastAsia="en-US" w:bidi="ar-EG"/>
        </w:rPr>
        <w:t>: البيتزا عبارة عن عجين مسطح فوقه صلصلة طماطم وجبن ويُخبز في الفرن.</w:t>
      </w:r>
      <w:r w:rsidRPr="00304B5F">
        <w:rPr>
          <w:rFonts w:eastAsia="Times New Roman"/>
          <w:lang w:eastAsia="en-US" w:bidi="ar-EG"/>
        </w:rPr>
        <w:t xml:space="preserve"> </w:t>
      </w:r>
      <w:r w:rsidRPr="00E20B98">
        <w:rPr>
          <w:rStyle w:val="FootnoteReference"/>
        </w:rPr>
        <w:footnoteReference w:id="89"/>
      </w:r>
      <w:r w:rsidRPr="00304B5F">
        <w:rPr>
          <w:rFonts w:eastAsia="Times New Roman" w:hint="cs"/>
          <w:rtl/>
          <w:lang w:eastAsia="en-US" w:bidi="ar-EG"/>
        </w:rPr>
        <w:t>وقد تطورت البيتزا الحديثة من مأكولات مشابهة من الخبز المسطح في نابولي في القرن الثامن عشر وأوائل القرن التاسع عشر.</w:t>
      </w:r>
      <w:r w:rsidRPr="00E20B98">
        <w:rPr>
          <w:rStyle w:val="FootnoteReference"/>
        </w:rPr>
        <w:footnoteReference w:id="90"/>
      </w:r>
      <w:r w:rsidRPr="00304B5F">
        <w:rPr>
          <w:rFonts w:eastAsia="Times New Roman" w:hint="cs"/>
          <w:rtl/>
          <w:lang w:eastAsia="en-US" w:bidi="ar-EG"/>
        </w:rPr>
        <w:t xml:space="preserve"> ودخلت البيتزا الولايات المتحدة على يد المهاجرين الإيطاليين.</w:t>
      </w:r>
      <w:r w:rsidRPr="00E20B98">
        <w:rPr>
          <w:rStyle w:val="FootnoteReference"/>
        </w:rPr>
        <w:footnoteReference w:id="91"/>
      </w:r>
    </w:p>
    <w:p w:rsidR="00304B5F" w:rsidRPr="00304B5F" w:rsidRDefault="00304B5F" w:rsidP="00304B5F">
      <w:pPr>
        <w:keepNext/>
        <w:keepLines/>
        <w:spacing w:after="240" w:line="360" w:lineRule="exact"/>
        <w:rPr>
          <w:rFonts w:eastAsia="Times New Roman"/>
          <w:rtl/>
          <w:lang w:eastAsia="en-US" w:bidi="ar-EG"/>
        </w:rPr>
      </w:pPr>
      <w:r w:rsidRPr="00304B5F">
        <w:rPr>
          <w:rFonts w:eastAsia="Times New Roman" w:hint="cs"/>
          <w:b/>
          <w:bCs/>
          <w:rtl/>
          <w:lang w:eastAsia="en-US" w:bidi="ar-EG"/>
        </w:rPr>
        <w:lastRenderedPageBreak/>
        <w:t xml:space="preserve">التمالي: </w:t>
      </w:r>
      <w:r w:rsidRPr="00304B5F">
        <w:rPr>
          <w:rFonts w:eastAsia="Times New Roman" w:hint="cs"/>
          <w:rtl/>
          <w:lang w:eastAsia="en-US" w:bidi="ar-EG"/>
        </w:rPr>
        <w:t xml:space="preserve">التمالي عبارة عن طبق من </w:t>
      </w:r>
      <w:r w:rsidRPr="00304B5F">
        <w:rPr>
          <w:rFonts w:eastAsia="Times New Roman"/>
          <w:rtl/>
          <w:lang w:eastAsia="en-US" w:bidi="ar-EG"/>
        </w:rPr>
        <w:t xml:space="preserve">أمريكا الوسطى </w:t>
      </w:r>
      <w:r w:rsidRPr="00304B5F">
        <w:rPr>
          <w:rFonts w:eastAsia="Times New Roman" w:hint="cs"/>
          <w:rtl/>
          <w:lang w:eastAsia="en-US" w:bidi="ar-EG"/>
        </w:rPr>
        <w:t>مصنوع</w:t>
      </w:r>
      <w:r w:rsidRPr="00304B5F">
        <w:rPr>
          <w:rFonts w:eastAsia="Times New Roman"/>
          <w:rtl/>
          <w:lang w:eastAsia="en-US" w:bidi="ar-EG"/>
        </w:rPr>
        <w:t xml:space="preserve"> من </w:t>
      </w:r>
      <w:r w:rsidRPr="00304B5F">
        <w:rPr>
          <w:rFonts w:eastAsia="Times New Roman" w:hint="cs"/>
          <w:rtl/>
          <w:lang w:eastAsia="en-US" w:bidi="ar-EG"/>
        </w:rPr>
        <w:t>الماسا (عجين الذرة)</w:t>
      </w:r>
      <w:r w:rsidRPr="00304B5F">
        <w:rPr>
          <w:rFonts w:eastAsia="Times New Roman"/>
          <w:rtl/>
          <w:lang w:eastAsia="en-US" w:bidi="ar-EG"/>
        </w:rPr>
        <w:t xml:space="preserve"> أو العجين</w:t>
      </w:r>
      <w:r w:rsidRPr="00304B5F">
        <w:rPr>
          <w:rFonts w:eastAsia="Times New Roman" w:hint="cs"/>
          <w:rtl/>
          <w:lang w:eastAsia="en-US" w:bidi="ar-EG"/>
        </w:rPr>
        <w:t xml:space="preserve"> يسوى</w:t>
      </w:r>
      <w:r w:rsidRPr="00304B5F">
        <w:rPr>
          <w:rFonts w:eastAsia="Times New Roman"/>
          <w:rtl/>
          <w:lang w:eastAsia="en-US" w:bidi="ar-EG"/>
        </w:rPr>
        <w:t xml:space="preserve"> </w:t>
      </w:r>
      <w:r w:rsidRPr="00304B5F">
        <w:rPr>
          <w:rFonts w:eastAsia="Times New Roman" w:hint="cs"/>
          <w:rtl/>
          <w:lang w:eastAsia="en-US" w:bidi="ar-EG"/>
        </w:rPr>
        <w:t>بالبخار</w:t>
      </w:r>
      <w:r w:rsidRPr="00304B5F">
        <w:rPr>
          <w:rFonts w:eastAsia="Times New Roman"/>
          <w:rtl/>
          <w:lang w:eastAsia="en-US" w:bidi="ar-EG"/>
        </w:rPr>
        <w:t xml:space="preserve"> على قشر الذرة</w:t>
      </w:r>
      <w:r w:rsidRPr="00304B5F">
        <w:rPr>
          <w:rFonts w:eastAsia="Times New Roman" w:hint="cs"/>
          <w:rtl/>
          <w:lang w:eastAsia="en-US" w:bidi="ar-EG"/>
        </w:rPr>
        <w:t xml:space="preserve"> الصفراء أو ورق</w:t>
      </w:r>
      <w:r w:rsidRPr="00304B5F">
        <w:rPr>
          <w:rFonts w:eastAsia="Times New Roman"/>
          <w:rtl/>
          <w:lang w:eastAsia="en-US" w:bidi="ar-EG"/>
        </w:rPr>
        <w:t xml:space="preserve"> الموز</w:t>
      </w:r>
      <w:r w:rsidRPr="00304B5F">
        <w:rPr>
          <w:rFonts w:eastAsia="Times New Roman" w:hint="cs"/>
          <w:rtl/>
          <w:lang w:eastAsia="en-US" w:bidi="ar-EG"/>
        </w:rPr>
        <w:t>.</w:t>
      </w:r>
      <w:r w:rsidRPr="00E20B98">
        <w:rPr>
          <w:rStyle w:val="FootnoteReference"/>
        </w:rPr>
        <w:footnoteReference w:id="92"/>
      </w:r>
      <w:r w:rsidRPr="00304B5F">
        <w:rPr>
          <w:rFonts w:eastAsia="Times New Roman" w:hint="cs"/>
          <w:rtl/>
          <w:lang w:eastAsia="en-US" w:bidi="ar-EG"/>
        </w:rPr>
        <w:t xml:space="preserve"> ويمكن حشو التمالي باللحوم والجبن والفواكه والخضراوات والفلفل الحار.</w:t>
      </w:r>
      <w:r w:rsidRPr="00E20B98">
        <w:rPr>
          <w:rStyle w:val="FootnoteReference"/>
        </w:rPr>
        <w:footnoteReference w:id="93"/>
      </w:r>
      <w:r w:rsidRPr="00304B5F">
        <w:rPr>
          <w:rFonts w:eastAsia="Times New Roman" w:hint="cs"/>
          <w:rtl/>
          <w:lang w:eastAsia="en-US" w:bidi="ar-EG"/>
        </w:rPr>
        <w:t xml:space="preserve"> ويرجع تاريخ التمالي إلى حضارتي الأزتيك والمايا</w:t>
      </w:r>
      <w:r w:rsidRPr="00E20B98">
        <w:rPr>
          <w:rStyle w:val="FootnoteReference"/>
        </w:rPr>
        <w:footnoteReference w:id="94"/>
      </w:r>
      <w:r w:rsidRPr="00304B5F">
        <w:rPr>
          <w:rFonts w:eastAsia="Times New Roman" w:hint="cs"/>
          <w:rtl/>
          <w:lang w:eastAsia="en-US" w:bidi="ar-EG"/>
        </w:rPr>
        <w:t xml:space="preserve"> وهو متناول على نطاق واسع في المكسيك وأمريكا الوسطى وأمريكا اللاتينية والولايات المتحدة.</w:t>
      </w:r>
      <w:r w:rsidRPr="00E20B98">
        <w:rPr>
          <w:rStyle w:val="FootnoteReference"/>
        </w:rPr>
        <w:footnoteReference w:id="95"/>
      </w:r>
      <w:r w:rsidRPr="00304B5F">
        <w:rPr>
          <w:rFonts w:eastAsia="Times New Roman" w:hint="cs"/>
          <w:rtl/>
          <w:lang w:eastAsia="en-US" w:bidi="ar-EG"/>
        </w:rPr>
        <w:t xml:space="preserve"> وتمتلك غالبية الثقافات مأكولات مشابهة مثل الدامبلنغ و</w:t>
      </w:r>
      <w:r w:rsidRPr="00304B5F">
        <w:rPr>
          <w:rFonts w:eastAsia="Times New Roman"/>
          <w:rtl/>
          <w:lang w:eastAsia="en-US" w:bidi="ar-EG"/>
        </w:rPr>
        <w:t>الرافيولي</w:t>
      </w:r>
      <w:r w:rsidRPr="00304B5F">
        <w:rPr>
          <w:rFonts w:eastAsia="Times New Roman" w:hint="cs"/>
          <w:rtl/>
          <w:lang w:eastAsia="en-US" w:bidi="ar-EG"/>
        </w:rPr>
        <w:t xml:space="preserve"> وال</w:t>
      </w:r>
      <w:r w:rsidRPr="00304B5F">
        <w:rPr>
          <w:rFonts w:eastAsia="Times New Roman"/>
          <w:rtl/>
          <w:lang w:eastAsia="en-US" w:bidi="ar-EG"/>
        </w:rPr>
        <w:t>بيروجي و</w:t>
      </w:r>
      <w:r w:rsidRPr="00304B5F">
        <w:rPr>
          <w:rFonts w:eastAsia="Times New Roman" w:hint="cs"/>
          <w:rtl/>
          <w:lang w:eastAsia="en-US" w:bidi="ar-EG"/>
        </w:rPr>
        <w:t>ال</w:t>
      </w:r>
      <w:r w:rsidRPr="00304B5F">
        <w:rPr>
          <w:rFonts w:eastAsia="Times New Roman"/>
          <w:rtl/>
          <w:lang w:eastAsia="en-US" w:bidi="ar-EG"/>
        </w:rPr>
        <w:t>امباناداس</w:t>
      </w:r>
      <w:r w:rsidRPr="00304B5F">
        <w:rPr>
          <w:rFonts w:eastAsia="Times New Roman" w:hint="cs"/>
          <w:rtl/>
          <w:lang w:eastAsia="en-US" w:bidi="ar-EG"/>
        </w:rPr>
        <w:t>.</w:t>
      </w:r>
      <w:r w:rsidRPr="00E20B98">
        <w:rPr>
          <w:rStyle w:val="FootnoteReference"/>
        </w:rPr>
        <w:footnoteReference w:id="9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السوشي:</w:t>
      </w:r>
      <w:r w:rsidRPr="00304B5F">
        <w:rPr>
          <w:rFonts w:eastAsia="Times New Roman" w:hint="cs"/>
          <w:rtl/>
          <w:lang w:eastAsia="en-US"/>
        </w:rPr>
        <w:t xml:space="preserve"> السوشي هو طريقة التحضير الياباني للأرز (البني أو الأبيض) بنكهة الخل وجمعه بمكونات متنوعة تكون غالباً مأكولات بحرية أو أسماك أو خضراوات.</w:t>
      </w:r>
      <w:r w:rsidRPr="00E20B98">
        <w:rPr>
          <w:rStyle w:val="FootnoteReference"/>
        </w:rPr>
        <w:footnoteReference w:id="97"/>
      </w:r>
      <w:r w:rsidRPr="00304B5F">
        <w:rPr>
          <w:rFonts w:eastAsia="Times New Roman" w:hint="cs"/>
          <w:rtl/>
          <w:lang w:eastAsia="en-US"/>
        </w:rPr>
        <w:t xml:space="preserve"> ويُحضَّر السوشي عادة بالمأكولات البحرية النيئة ويقدَّم معه الزنجبيل والواسابي وصلصلة الصويا.</w:t>
      </w:r>
      <w:r w:rsidRPr="00E20B98">
        <w:rPr>
          <w:rStyle w:val="FootnoteReference"/>
        </w:rPr>
        <w:footnoteReference w:id="98"/>
      </w:r>
      <w:r w:rsidRPr="00304B5F">
        <w:rPr>
          <w:rFonts w:eastAsia="Times New Roman" w:hint="cs"/>
          <w:rtl/>
          <w:lang w:eastAsia="en-US"/>
        </w:rPr>
        <w:t xml:space="preserve"> ويرجع أصل السوشي إلى القرن الثالث الميلادي في الصين.</w:t>
      </w:r>
      <w:r w:rsidRPr="00304B5F">
        <w:rPr>
          <w:rFonts w:eastAsia="Times New Roman"/>
          <w:lang w:eastAsia="en-US"/>
        </w:rPr>
        <w:t xml:space="preserve"> </w:t>
      </w:r>
      <w:r w:rsidRPr="00E20B98">
        <w:rPr>
          <w:rStyle w:val="FootnoteReference"/>
        </w:rPr>
        <w:footnoteReference w:id="99"/>
      </w:r>
      <w:r w:rsidRPr="00304B5F">
        <w:rPr>
          <w:rFonts w:eastAsia="Times New Roman" w:hint="cs"/>
          <w:rtl/>
          <w:lang w:eastAsia="en-US"/>
        </w:rPr>
        <w:t>أما السوشي المعاصر (المحضر سريعاً من دون تخمير وبمكونات طازجة والمقدم على هيئة لقمات)، فقط ظهر في النصف الأول من القرن التاسع عشر في اليابان.</w:t>
      </w:r>
      <w:r w:rsidRPr="00E20B98">
        <w:rPr>
          <w:rStyle w:val="FootnoteReference"/>
        </w:rPr>
        <w:footnoteReference w:id="100"/>
      </w:r>
      <w:r w:rsidRPr="00304B5F">
        <w:rPr>
          <w:rFonts w:eastAsia="Times New Roman" w:hint="cs"/>
          <w:rtl/>
          <w:lang w:eastAsia="en-US"/>
        </w:rPr>
        <w:t xml:space="preserve"> ويعدّ السوشي أشهر المأكولات اليابانية المعاصرة واكتسب شعبية كبيرة في العالم.</w:t>
      </w:r>
      <w:r w:rsidRPr="00E20B98">
        <w:rPr>
          <w:rStyle w:val="FootnoteReference"/>
        </w:rPr>
        <w:footnoteReference w:id="10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 xml:space="preserve">الهامبرغر: </w:t>
      </w:r>
      <w:r w:rsidRPr="00304B5F">
        <w:rPr>
          <w:rFonts w:eastAsia="Times New Roman" w:hint="cs"/>
          <w:rtl/>
          <w:lang w:eastAsia="en-US"/>
        </w:rPr>
        <w:t>الهامبرغر عبارة عن مشطور يتكون من شريحة لحم مفروم مطبوخ أو أكثر (لحم بقري عادة) يُطلى بها مشطور ملفوف أو دائري الشكل.</w:t>
      </w:r>
      <w:r w:rsidRPr="00E20B98">
        <w:rPr>
          <w:rStyle w:val="FootnoteReference"/>
        </w:rPr>
        <w:footnoteReference w:id="102"/>
      </w:r>
      <w:r w:rsidRPr="00304B5F">
        <w:rPr>
          <w:rFonts w:eastAsia="Times New Roman" w:hint="cs"/>
          <w:rtl/>
          <w:lang w:eastAsia="en-US"/>
        </w:rPr>
        <w:t xml:space="preserve"> وكلمة هامبرغر مشتقة من اسم مدينة هامبورغ وهي ثاني أكبر مدينة في ألمانيا.</w:t>
      </w:r>
      <w:r w:rsidRPr="00E20B98">
        <w:rPr>
          <w:rStyle w:val="FootnoteReference"/>
        </w:rPr>
        <w:footnoteReference w:id="103"/>
      </w:r>
      <w:r w:rsidRPr="00304B5F">
        <w:rPr>
          <w:rFonts w:eastAsia="Times New Roman" w:hint="cs"/>
          <w:rtl/>
          <w:lang w:eastAsia="en-US"/>
        </w:rPr>
        <w:t xml:space="preserve"> ومن المرجح أن ذلك المشطور قد دخل أمريكا على يد المهاجرين من ميناء هامبورغ خلال الفترة من منتصف القرن التاسع عشر إلى أواخره.</w:t>
      </w:r>
      <w:r w:rsidRPr="00E20B98">
        <w:rPr>
          <w:rStyle w:val="FootnoteReference"/>
        </w:rPr>
        <w:footnoteReference w:id="104"/>
      </w:r>
      <w:r w:rsidRPr="00304B5F">
        <w:rPr>
          <w:rFonts w:eastAsia="Times New Roman" w:hint="cs"/>
          <w:rtl/>
          <w:lang w:eastAsia="en-US"/>
        </w:rPr>
        <w:t xml:space="preserve"> وادعى كثيرون أن الهامبرغر المعاصر قد ابتُدع في الولايات المتحدة إبّان القرن التاسع عشر ولكن لم يحدد أصل ذلك الادعاء حتى الآن. وفي القرن العشرين، أدى طلب الطبقة العاملة لوجبات مصنوعة بالجملة ويسيرة الثمن ويمكن تناولها خارج البيت إلى انتشار الهامبرغر في الولايات المتحدة كالنار في الهشيم.</w:t>
      </w:r>
      <w:r w:rsidRPr="00E20B98">
        <w:rPr>
          <w:rStyle w:val="FootnoteReference"/>
        </w:rPr>
        <w:footnoteReference w:id="105"/>
      </w:r>
      <w:r w:rsidRPr="00304B5F">
        <w:rPr>
          <w:rFonts w:eastAsia="Times New Roman" w:hint="cs"/>
          <w:rtl/>
          <w:lang w:eastAsia="en-US"/>
        </w:rPr>
        <w:t xml:space="preserve"> واستجابة لذلك الطلب المتزايد، فتحت مطاعم مثل </w:t>
      </w:r>
      <w:r w:rsidRPr="00304B5F">
        <w:rPr>
          <w:rFonts w:eastAsia="Times New Roman"/>
          <w:lang w:eastAsia="en-US"/>
        </w:rPr>
        <w:t>White Castle</w:t>
      </w:r>
      <w:r w:rsidRPr="00304B5F">
        <w:rPr>
          <w:rFonts w:eastAsia="Times New Roman" w:hint="cs"/>
          <w:rtl/>
          <w:lang w:eastAsia="en-US"/>
        </w:rPr>
        <w:t xml:space="preserve"> و</w:t>
      </w:r>
      <w:r w:rsidRPr="00304B5F">
        <w:rPr>
          <w:rFonts w:eastAsia="Times New Roman"/>
          <w:lang w:eastAsia="en-US"/>
        </w:rPr>
        <w:t>In-N-Out</w:t>
      </w:r>
      <w:r w:rsidRPr="00304B5F">
        <w:rPr>
          <w:rFonts w:eastAsia="Times New Roman" w:hint="cs"/>
          <w:rtl/>
          <w:lang w:eastAsia="en-US"/>
        </w:rPr>
        <w:t xml:space="preserve"> و</w:t>
      </w:r>
      <w:r w:rsidRPr="00304B5F">
        <w:rPr>
          <w:rFonts w:eastAsia="Times New Roman"/>
          <w:lang w:eastAsia="en-US"/>
        </w:rPr>
        <w:t>Burger King</w:t>
      </w:r>
      <w:r w:rsidRPr="00304B5F">
        <w:rPr>
          <w:rFonts w:eastAsia="Times New Roman" w:hint="cs"/>
          <w:rtl/>
          <w:lang w:eastAsia="en-US"/>
        </w:rPr>
        <w:t xml:space="preserve"> و</w:t>
      </w:r>
      <w:r w:rsidRPr="00304B5F">
        <w:rPr>
          <w:rFonts w:eastAsia="Times New Roman"/>
          <w:lang w:eastAsia="en-US"/>
        </w:rPr>
        <w:t>Wendy’s</w:t>
      </w:r>
      <w:r w:rsidRPr="00304B5F">
        <w:rPr>
          <w:rFonts w:eastAsia="Times New Roman" w:hint="cs"/>
          <w:rtl/>
          <w:lang w:eastAsia="en-US"/>
        </w:rPr>
        <w:t xml:space="preserve">، ولا سيما </w:t>
      </w:r>
      <w:r w:rsidRPr="00304B5F">
        <w:rPr>
          <w:rFonts w:eastAsia="Times New Roman"/>
          <w:lang w:eastAsia="en-US"/>
        </w:rPr>
        <w:t>McDonald’s</w:t>
      </w:r>
      <w:r w:rsidRPr="00304B5F">
        <w:rPr>
          <w:rFonts w:eastAsia="Times New Roman" w:hint="cs"/>
          <w:rtl/>
          <w:lang w:eastAsia="en-US"/>
        </w:rPr>
        <w:t xml:space="preserve"> الشهير، وصارت بعدئذ سلسلة مطاعم وطنية ودولية للوجبات السريعة.</w:t>
      </w:r>
      <w:r w:rsidRPr="00E20B98">
        <w:rPr>
          <w:rStyle w:val="FootnoteReference"/>
        </w:rPr>
        <w:footnoteReference w:id="10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الباربيكيو:</w:t>
      </w:r>
      <w:r w:rsidRPr="00304B5F">
        <w:rPr>
          <w:rFonts w:eastAsia="Times New Roman" w:hint="cs"/>
          <w:rtl/>
          <w:lang w:eastAsia="en-US"/>
        </w:rPr>
        <w:t xml:space="preserve"> الباربيكيو هو طريقة شواء بطيئة للحلم المتبَّل منتشرة في الولايات المتحدة.</w:t>
      </w:r>
      <w:r w:rsidRPr="00E20B98">
        <w:rPr>
          <w:rStyle w:val="FootnoteReference"/>
        </w:rPr>
        <w:footnoteReference w:id="107"/>
      </w:r>
      <w:r w:rsidRPr="00304B5F">
        <w:rPr>
          <w:rFonts w:eastAsia="Times New Roman" w:hint="cs"/>
          <w:rtl/>
          <w:lang w:eastAsia="en-US"/>
        </w:rPr>
        <w:t xml:space="preserve"> وأساليب الباربيكيو الأربعة هي </w:t>
      </w:r>
      <w:r w:rsidRPr="00304B5F">
        <w:rPr>
          <w:rFonts w:eastAsia="Times New Roman"/>
          <w:rtl/>
          <w:lang w:eastAsia="en-US"/>
        </w:rPr>
        <w:t xml:space="preserve">ممفيس (لحم الخنزير </w:t>
      </w:r>
      <w:r w:rsidRPr="00304B5F">
        <w:rPr>
          <w:rFonts w:eastAsia="Times New Roman" w:hint="cs"/>
          <w:rtl/>
          <w:lang w:eastAsia="en-US"/>
        </w:rPr>
        <w:t>المخلوع</w:t>
      </w:r>
      <w:r w:rsidRPr="00304B5F">
        <w:rPr>
          <w:rFonts w:eastAsia="Times New Roman"/>
          <w:rtl/>
          <w:lang w:eastAsia="en-US"/>
        </w:rPr>
        <w:t xml:space="preserve">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 xml:space="preserve">من </w:t>
      </w:r>
      <w:r w:rsidRPr="00304B5F">
        <w:rPr>
          <w:rFonts w:eastAsia="Times New Roman"/>
          <w:rtl/>
          <w:lang w:eastAsia="en-US"/>
        </w:rPr>
        <w:t>الطماطم)،</w:t>
      </w:r>
      <w:r w:rsidRPr="00304B5F">
        <w:rPr>
          <w:rFonts w:eastAsia="Times New Roman" w:hint="cs"/>
          <w:rtl/>
          <w:lang w:eastAsia="en-US"/>
        </w:rPr>
        <w:t>و</w:t>
      </w:r>
      <w:r w:rsidRPr="00304B5F">
        <w:rPr>
          <w:rFonts w:eastAsia="Times New Roman"/>
          <w:rtl/>
          <w:lang w:eastAsia="en-US"/>
        </w:rPr>
        <w:t xml:space="preserve">كارولينا الشمالية (لحم الخنزير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من</w:t>
      </w:r>
      <w:r w:rsidRPr="00304B5F">
        <w:rPr>
          <w:rFonts w:eastAsia="Times New Roman"/>
          <w:rtl/>
          <w:lang w:eastAsia="en-US"/>
        </w:rPr>
        <w:t xml:space="preserve"> الخل)، </w:t>
      </w:r>
      <w:r w:rsidRPr="00304B5F">
        <w:rPr>
          <w:rFonts w:eastAsia="Times New Roman" w:hint="cs"/>
          <w:rtl/>
          <w:lang w:eastAsia="en-US"/>
        </w:rPr>
        <w:t>و</w:t>
      </w:r>
      <w:r w:rsidRPr="00304B5F">
        <w:rPr>
          <w:rFonts w:eastAsia="Times New Roman"/>
          <w:rtl/>
          <w:lang w:eastAsia="en-US"/>
        </w:rPr>
        <w:t>كانساس سيتي (</w:t>
      </w:r>
      <w:r w:rsidRPr="00304B5F">
        <w:rPr>
          <w:rFonts w:eastAsia="Times New Roman" w:hint="cs"/>
          <w:rtl/>
          <w:lang w:eastAsia="en-US"/>
        </w:rPr>
        <w:t>الضلوع</w:t>
      </w:r>
      <w:r w:rsidRPr="00304B5F">
        <w:rPr>
          <w:rFonts w:eastAsia="Times New Roman" w:hint="eastAsia"/>
          <w:rtl/>
          <w:lang w:eastAsia="en-US"/>
        </w:rPr>
        <w:t> </w:t>
      </w:r>
      <w:r w:rsidRPr="00304B5F">
        <w:rPr>
          <w:rFonts w:eastAsia="Times New Roman" w:hint="cs"/>
          <w:rtl/>
          <w:lang w:eastAsia="en-US"/>
        </w:rPr>
        <w:t xml:space="preserve">المتبلة </w:t>
      </w:r>
      <w:r w:rsidRPr="00304B5F">
        <w:rPr>
          <w:rFonts w:eastAsia="Times New Roman" w:hint="cs"/>
          <w:rtl/>
          <w:lang w:eastAsia="en-US"/>
        </w:rPr>
        <w:lastRenderedPageBreak/>
        <w:t>بالتدليك قبل الطهو</w:t>
      </w:r>
      <w:r w:rsidRPr="00304B5F">
        <w:rPr>
          <w:rFonts w:eastAsia="Times New Roman"/>
          <w:rtl/>
          <w:lang w:eastAsia="en-US"/>
        </w:rPr>
        <w:t>)، وتكساس (</w:t>
      </w:r>
      <w:r w:rsidRPr="00304B5F">
        <w:rPr>
          <w:rFonts w:eastAsia="Times New Roman" w:hint="cs"/>
          <w:rtl/>
          <w:lang w:eastAsia="en-US"/>
        </w:rPr>
        <w:t>اللحم البقري المشوي على فحم المسكيت).</w:t>
      </w:r>
      <w:r w:rsidRPr="00E20B98">
        <w:rPr>
          <w:rStyle w:val="FootnoteReference"/>
        </w:rPr>
        <w:footnoteReference w:id="108"/>
      </w:r>
      <w:r w:rsidRPr="00304B5F">
        <w:rPr>
          <w:rFonts w:eastAsia="Times New Roman" w:hint="cs"/>
          <w:rtl/>
          <w:lang w:eastAsia="en-US"/>
        </w:rPr>
        <w:t xml:space="preserve"> وللبلدان الأخرى مثل كوريا والأرجنتين أسلوب باربيكيو خاص بها.</w:t>
      </w:r>
      <w:r w:rsidRPr="00E20B98">
        <w:rPr>
          <w:rStyle w:val="FootnoteReference"/>
        </w:rPr>
        <w:footnoteReference w:id="109"/>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5.</w:t>
      </w:r>
      <w:r w:rsidRPr="00304B5F">
        <w:rPr>
          <w:rFonts w:eastAsia="Times New Roman"/>
          <w:b/>
          <w:bCs/>
          <w:rtl/>
          <w:lang w:eastAsia="en-US" w:bidi="ar-EG"/>
        </w:rPr>
        <w:tab/>
      </w:r>
      <w:r w:rsidRPr="00304B5F">
        <w:rPr>
          <w:rFonts w:eastAsia="Times New Roman" w:hint="cs"/>
          <w:b/>
          <w:bCs/>
          <w:rtl/>
          <w:lang w:eastAsia="en-US" w:bidi="ar-EG"/>
        </w:rPr>
        <w:t>تصفيف الشعر وتزيين الجسد</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 xml:space="preserve">المجدلات: </w:t>
      </w:r>
      <w:r w:rsidRPr="00304B5F">
        <w:rPr>
          <w:rFonts w:eastAsia="Times New Roman" w:hint="cs"/>
          <w:rtl/>
          <w:lang w:eastAsia="en-US" w:bidi="ar-EG"/>
        </w:rPr>
        <w:t>المجدلات هي ضفائر شعر تشبه الحبال يمكن الحصول عليها بتلبيد الشعر أو تجديله.</w:t>
      </w:r>
      <w:r w:rsidRPr="00E20B98">
        <w:rPr>
          <w:rStyle w:val="FootnoteReference"/>
        </w:rPr>
        <w:footnoteReference w:id="110"/>
      </w:r>
      <w:r w:rsidRPr="00304B5F">
        <w:rPr>
          <w:rFonts w:eastAsia="Times New Roman" w:hint="cs"/>
          <w:rtl/>
          <w:lang w:eastAsia="en-US" w:bidi="ar-EG"/>
        </w:rPr>
        <w:t xml:space="preserve"> وأول تصوير للمجدلات يعود</w:t>
      </w:r>
      <w:r w:rsidRPr="00304B5F">
        <w:rPr>
          <w:rFonts w:eastAsia="Times New Roman" w:hint="eastAsia"/>
          <w:rtl/>
          <w:lang w:eastAsia="en-US" w:bidi="ar-EG"/>
        </w:rPr>
        <w:t> </w:t>
      </w:r>
      <w:r w:rsidRPr="00304B5F">
        <w:rPr>
          <w:rFonts w:eastAsia="Times New Roman" w:hint="cs"/>
          <w:rtl/>
          <w:lang w:eastAsia="en-US" w:bidi="ar-EG"/>
        </w:rPr>
        <w:t>إلى عام 2500 ق.م. في أقدم الكتب المقدسة الهندوسية.</w:t>
      </w:r>
      <w:r w:rsidRPr="00E20B98">
        <w:rPr>
          <w:rStyle w:val="FootnoteReference"/>
        </w:rPr>
        <w:footnoteReference w:id="111"/>
      </w:r>
      <w:r w:rsidRPr="00304B5F">
        <w:rPr>
          <w:rFonts w:eastAsia="Times New Roman" w:hint="cs"/>
          <w:rtl/>
          <w:lang w:eastAsia="en-US" w:bidi="ar-EG"/>
        </w:rPr>
        <w:t xml:space="preserve"> ووثِّقت تصفيفة الشعر في الحضارات القديمة لمصر وأفريقيا واليونان والهند.</w:t>
      </w:r>
      <w:r w:rsidRPr="00E20B98">
        <w:rPr>
          <w:rStyle w:val="FootnoteReference"/>
        </w:rPr>
        <w:footnoteReference w:id="112"/>
      </w:r>
      <w:r w:rsidRPr="00304B5F">
        <w:rPr>
          <w:rFonts w:eastAsia="Times New Roman" w:hint="cs"/>
          <w:rtl/>
          <w:lang w:eastAsia="en-US" w:bidi="ar-EG"/>
        </w:rPr>
        <w:t xml:space="preserve"> واستُخدمت المجدلات في ثقافات متنوعة للتعبير عن معتقدات دينية وروحانية وسياسية.</w:t>
      </w:r>
      <w:r w:rsidRPr="00E20B98">
        <w:rPr>
          <w:rStyle w:val="FootnoteReference"/>
        </w:rPr>
        <w:footnoteReference w:id="113"/>
      </w:r>
      <w:r w:rsidRPr="00304B5F">
        <w:rPr>
          <w:rFonts w:eastAsia="Times New Roman" w:hint="cs"/>
          <w:rtl/>
          <w:lang w:eastAsia="en-US" w:bidi="ar-EG"/>
        </w:rPr>
        <w:t xml:space="preserve"> ولعل أول ما</w:t>
      </w:r>
      <w:r w:rsidRPr="00304B5F">
        <w:rPr>
          <w:rFonts w:eastAsia="Times New Roman" w:hint="eastAsia"/>
          <w:rtl/>
          <w:lang w:eastAsia="en-US" w:bidi="ar-EG"/>
        </w:rPr>
        <w:t> </w:t>
      </w:r>
      <w:r w:rsidRPr="00304B5F">
        <w:rPr>
          <w:rFonts w:eastAsia="Times New Roman" w:hint="cs"/>
          <w:rtl/>
          <w:lang w:eastAsia="en-US" w:bidi="ar-EG"/>
        </w:rPr>
        <w:t>يتبادر إلى الذهن الصلة بين المجدلات وحركة ال</w:t>
      </w:r>
      <w:r w:rsidRPr="00304B5F">
        <w:rPr>
          <w:rFonts w:eastAsia="Times New Roman"/>
          <w:rtl/>
          <w:lang w:eastAsia="en-US" w:bidi="ar-EG"/>
        </w:rPr>
        <w:t>راستافارية</w:t>
      </w:r>
      <w:r w:rsidRPr="00304B5F">
        <w:rPr>
          <w:rFonts w:eastAsia="Times New Roman" w:hint="cs"/>
          <w:rtl/>
          <w:lang w:eastAsia="en-US" w:bidi="ar-EG"/>
        </w:rPr>
        <w:t xml:space="preserve"> الدينية.</w:t>
      </w:r>
      <w:r w:rsidRPr="00E20B98">
        <w:rPr>
          <w:rStyle w:val="FootnoteReference"/>
        </w:rPr>
        <w:footnoteReference w:id="114"/>
      </w:r>
      <w:r w:rsidRPr="00304B5F">
        <w:rPr>
          <w:rFonts w:eastAsia="Times New Roman" w:hint="cs"/>
          <w:rtl/>
          <w:lang w:eastAsia="en-US" w:bidi="ar-EG"/>
        </w:rPr>
        <w:t xml:space="preserve"> ومع ازدهار شعبية موسيقى الريغي في سبعينيات القرن الماضي، عزز بوب مارلي تلك الصلة وساهم في أن تصبح المجدلات موضة شعبية.</w:t>
      </w:r>
      <w:r w:rsidRPr="00E20B98">
        <w:rPr>
          <w:rStyle w:val="FootnoteReference"/>
        </w:rPr>
        <w:footnoteReference w:id="115"/>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الوشم</w:t>
      </w:r>
      <w:r w:rsidRPr="00304B5F">
        <w:rPr>
          <w:rFonts w:eastAsia="Times New Roman" w:hint="cs"/>
          <w:rtl/>
          <w:lang w:eastAsia="en-US" w:bidi="ar-EG"/>
        </w:rPr>
        <w:t>: الوشم (التاتو) هو وضع علامة على الجسد باستخدام حبر دائم أو مؤقت.</w:t>
      </w:r>
      <w:r w:rsidRPr="00E20B98">
        <w:rPr>
          <w:rStyle w:val="FootnoteReference"/>
        </w:rPr>
        <w:footnoteReference w:id="116"/>
      </w:r>
      <w:r w:rsidRPr="00304B5F">
        <w:rPr>
          <w:rFonts w:eastAsia="Times New Roman" w:hint="cs"/>
          <w:rtl/>
          <w:lang w:eastAsia="en-US" w:bidi="ar-EG"/>
        </w:rPr>
        <w:t xml:space="preserve"> ويرجع أول دليل على الوشم إلى نحو 5200 عام.</w:t>
      </w:r>
      <w:r w:rsidRPr="00E20B98">
        <w:rPr>
          <w:rStyle w:val="FootnoteReference"/>
        </w:rPr>
        <w:footnoteReference w:id="117"/>
      </w:r>
      <w:r w:rsidRPr="00304B5F">
        <w:rPr>
          <w:rFonts w:eastAsia="Times New Roman" w:hint="cs"/>
          <w:rtl/>
          <w:lang w:eastAsia="en-US" w:bidi="ar-EG"/>
        </w:rPr>
        <w:t xml:space="preserve"> ودخلت كلمة "التاتو" </w:t>
      </w:r>
      <w:r w:rsidRPr="00304B5F">
        <w:rPr>
          <w:rFonts w:eastAsia="Times New Roman"/>
          <w:rtl/>
          <w:lang w:eastAsia="en-US" w:bidi="ar-EG"/>
        </w:rPr>
        <w:t>البولينيزية</w:t>
      </w:r>
      <w:r w:rsidRPr="00304B5F">
        <w:rPr>
          <w:rFonts w:eastAsia="Times New Roman" w:hint="cs"/>
          <w:rtl/>
          <w:lang w:eastAsia="en-US" w:bidi="ar-EG"/>
        </w:rPr>
        <w:t xml:space="preserve"> الأصل</w:t>
      </w:r>
      <w:r w:rsidRPr="00304B5F">
        <w:rPr>
          <w:rFonts w:eastAsia="Times New Roman"/>
          <w:rtl/>
          <w:lang w:eastAsia="en-US" w:bidi="ar-EG"/>
        </w:rPr>
        <w:t xml:space="preserve"> إلى أوروبا </w:t>
      </w:r>
      <w:r w:rsidRPr="00304B5F">
        <w:rPr>
          <w:rFonts w:eastAsia="Times New Roman" w:hint="cs"/>
          <w:rtl/>
          <w:lang w:eastAsia="en-US" w:bidi="ar-EG"/>
        </w:rPr>
        <w:t>على لسان</w:t>
      </w:r>
      <w:r w:rsidRPr="00304B5F">
        <w:rPr>
          <w:rFonts w:eastAsia="Times New Roman"/>
          <w:rtl/>
          <w:lang w:eastAsia="en-US" w:bidi="ar-EG"/>
        </w:rPr>
        <w:t xml:space="preserve"> المستكشف جيمس كوك عندما عاد في عام</w:t>
      </w:r>
      <w:r w:rsidRPr="00304B5F">
        <w:rPr>
          <w:rFonts w:eastAsia="Times New Roman" w:hint="cs"/>
          <w:rtl/>
          <w:lang w:eastAsia="en-US" w:bidi="ar-EG"/>
        </w:rPr>
        <w:t> </w:t>
      </w:r>
      <w:r w:rsidRPr="00304B5F">
        <w:rPr>
          <w:rFonts w:eastAsia="Times New Roman"/>
          <w:rtl/>
          <w:lang w:eastAsia="en-US" w:bidi="ar-EG"/>
        </w:rPr>
        <w:t>1769 من رحلته الأولى إلى تاهيتي ونيوزيلندا</w:t>
      </w:r>
      <w:r w:rsidRPr="00304B5F">
        <w:rPr>
          <w:rFonts w:eastAsia="Times New Roman" w:hint="cs"/>
          <w:rtl/>
          <w:lang w:eastAsia="en-US" w:bidi="ar-EG"/>
        </w:rPr>
        <w:t>.</w:t>
      </w:r>
      <w:r w:rsidRPr="00E20B98">
        <w:rPr>
          <w:rStyle w:val="FootnoteReference"/>
        </w:rPr>
        <w:footnoteReference w:id="118"/>
      </w:r>
      <w:r w:rsidRPr="00304B5F">
        <w:rPr>
          <w:rFonts w:eastAsia="Times New Roman" w:hint="cs"/>
          <w:rtl/>
          <w:lang w:eastAsia="en-US" w:bidi="ar-EG"/>
        </w:rPr>
        <w:t xml:space="preserve"> وللوشوم أغراض </w:t>
      </w:r>
      <w:r w:rsidRPr="00304B5F">
        <w:rPr>
          <w:rFonts w:eastAsia="Times New Roman" w:hint="cs"/>
          <w:rtl/>
          <w:lang w:eastAsia="en-US"/>
        </w:rPr>
        <w:t>عديدة منها تحديد الهوية والتجميل والانتماء الاجتماعي والثقافي وحتى المعاقبة.</w:t>
      </w:r>
      <w:r w:rsidRPr="00E20B98">
        <w:rPr>
          <w:rStyle w:val="FootnoteReference"/>
        </w:rPr>
        <w:footnoteReference w:id="119"/>
      </w:r>
      <w:r w:rsidRPr="00304B5F">
        <w:rPr>
          <w:rFonts w:eastAsia="Times New Roman" w:hint="cs"/>
          <w:rtl/>
          <w:lang w:eastAsia="en-US"/>
        </w:rPr>
        <w:t xml:space="preserve"> ولدى شعب الماوري، تُستخدم الوشوم على الوجه، أو التا موكو، دلالةً على النسب أو</w:t>
      </w:r>
      <w:r w:rsidRPr="00304B5F">
        <w:rPr>
          <w:rFonts w:eastAsia="Times New Roman" w:hint="eastAsia"/>
          <w:rtl/>
          <w:lang w:eastAsia="en-US"/>
        </w:rPr>
        <w:t> </w:t>
      </w:r>
      <w:r w:rsidRPr="00304B5F">
        <w:rPr>
          <w:rFonts w:eastAsia="Times New Roman" w:hint="cs"/>
          <w:rtl/>
          <w:lang w:eastAsia="en-US"/>
        </w:rPr>
        <w:t>الطبقة الاجتماعية أو المكانة في القبيلة.</w:t>
      </w:r>
      <w:r w:rsidRPr="00E20B98">
        <w:rPr>
          <w:rStyle w:val="FootnoteReference"/>
        </w:rPr>
        <w:footnoteReference w:id="120"/>
      </w:r>
      <w:r w:rsidRPr="00304B5F">
        <w:rPr>
          <w:rFonts w:eastAsia="Times New Roman" w:hint="cs"/>
          <w:rtl/>
          <w:lang w:eastAsia="en-US"/>
        </w:rPr>
        <w:t xml:space="preserve"> واستخدم الأمريكيون الأصليون الوشوم دلالةً على قبائلهم.</w:t>
      </w:r>
      <w:r w:rsidRPr="00E20B98">
        <w:rPr>
          <w:rStyle w:val="FootnoteReference"/>
        </w:rPr>
        <w:footnoteReference w:id="121"/>
      </w:r>
      <w:r w:rsidRPr="00304B5F">
        <w:rPr>
          <w:rFonts w:eastAsia="Times New Roman" w:hint="cs"/>
          <w:rtl/>
          <w:lang w:eastAsia="en-US"/>
        </w:rPr>
        <w:t xml:space="preserve"> وقد تهدف الوشوم المعاصرة إلى تحديد الانتماء إلى مجموعة معينة مثل كتيبة أو وحدة عسكرية؛ وشاعت تلك الممارسة في صفوف الجيشين الأمريكي</w:t>
      </w:r>
      <w:r w:rsidRPr="00304B5F">
        <w:rPr>
          <w:rFonts w:eastAsia="Times New Roman" w:hint="eastAsia"/>
          <w:rtl/>
          <w:lang w:eastAsia="en-US"/>
        </w:rPr>
        <w:t> </w:t>
      </w:r>
      <w:r w:rsidRPr="00304B5F">
        <w:rPr>
          <w:rFonts w:eastAsia="Times New Roman" w:hint="cs"/>
          <w:rtl/>
          <w:lang w:eastAsia="en-US"/>
        </w:rPr>
        <w:t>والبريطاني.</w:t>
      </w:r>
      <w:r w:rsidRPr="00E20B98">
        <w:rPr>
          <w:rStyle w:val="FootnoteReference"/>
        </w:rPr>
        <w:footnoteReference w:id="122"/>
      </w:r>
    </w:p>
    <w:p w:rsidR="00304B5F" w:rsidRPr="00304B5F" w:rsidRDefault="00304B5F" w:rsidP="00304B5F">
      <w:pPr>
        <w:keepNext/>
        <w:spacing w:before="240" w:after="240" w:line="400" w:lineRule="exact"/>
        <w:outlineLvl w:val="1"/>
        <w:rPr>
          <w:b/>
          <w:bCs/>
          <w:sz w:val="24"/>
          <w:szCs w:val="24"/>
          <w:rtl/>
        </w:rPr>
      </w:pPr>
      <w:r w:rsidRPr="00304B5F">
        <w:rPr>
          <w:rFonts w:hint="cs"/>
          <w:b/>
          <w:bCs/>
          <w:sz w:val="24"/>
          <w:szCs w:val="24"/>
          <w:rtl/>
          <w:lang w:bidi="ar-EG"/>
        </w:rPr>
        <w:lastRenderedPageBreak/>
        <w:t>جيم.</w:t>
      </w:r>
      <w:r w:rsidRPr="00304B5F">
        <w:rPr>
          <w:b/>
          <w:bCs/>
          <w:sz w:val="24"/>
          <w:szCs w:val="24"/>
          <w:rtl/>
          <w:lang w:bidi="ar-EG"/>
        </w:rPr>
        <w:tab/>
      </w:r>
      <w:r w:rsidRPr="00304B5F">
        <w:rPr>
          <w:rFonts w:hint="cs"/>
          <w:b/>
          <w:bCs/>
          <w:sz w:val="24"/>
          <w:szCs w:val="24"/>
          <w:rtl/>
          <w:lang w:bidi="ar-EG"/>
        </w:rPr>
        <w:t>أشكال التعبير الثقافي التقليدي الموسيقي والصوتي</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rtl/>
          <w:lang w:eastAsia="en-US" w:bidi="ar-EG"/>
        </w:rPr>
        <w:t>حتى القرن العشرين، كانت أغاني الفولكلور</w:t>
      </w:r>
      <w:r w:rsidRPr="00304B5F">
        <w:rPr>
          <w:rFonts w:eastAsia="Times New Roman"/>
          <w:rtl/>
          <w:lang w:eastAsia="en-US" w:bidi="ar-EG"/>
        </w:rPr>
        <w:t xml:space="preserve"> </w:t>
      </w:r>
      <w:r w:rsidRPr="00304B5F">
        <w:rPr>
          <w:rFonts w:eastAsia="Times New Roman" w:hint="cs"/>
          <w:rtl/>
          <w:lang w:eastAsia="en-US" w:bidi="ar-EG"/>
        </w:rPr>
        <w:t>وغيرها من الأنواع الموسيقية التي تندرج في إطار ما يعرفه مشروع المواد</w:t>
      </w:r>
      <w:r w:rsidRPr="00304B5F">
        <w:rPr>
          <w:rFonts w:eastAsia="Times New Roman"/>
          <w:rtl/>
          <w:lang w:eastAsia="en-US" w:bidi="ar-EG"/>
        </w:rPr>
        <w:t xml:space="preserve"> </w:t>
      </w:r>
      <w:r w:rsidRPr="00304B5F">
        <w:rPr>
          <w:rFonts w:eastAsia="Times New Roman" w:hint="cs"/>
          <w:rtl/>
          <w:lang w:eastAsia="en-US" w:bidi="ar-EG"/>
        </w:rPr>
        <w:t>بأنه أشكال تعبير ثقافي تقليدي موسيقي وصوتي تتوارث شفهياً. أما اليوم فهي مثبتة في تسجيلات.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البالاد الاسكتلندي:</w:t>
      </w:r>
      <w:r w:rsidRPr="00304B5F">
        <w:rPr>
          <w:rFonts w:eastAsia="Times New Roman" w:hint="cs"/>
          <w:rtl/>
          <w:lang w:eastAsia="en-US" w:bidi="ar-EG"/>
        </w:rPr>
        <w:t xml:space="preserve"> البالاد الاسكتلندي التقليدي - أو الأغاني القصصية الشعبية الاسكتلندية </w:t>
      </w:r>
      <w:r w:rsidRPr="00304B5F">
        <w:rPr>
          <w:rFonts w:eastAsia="Times New Roman"/>
          <w:rtl/>
          <w:lang w:eastAsia="en-US" w:bidi="ar-EG"/>
        </w:rPr>
        <w:t>–</w:t>
      </w:r>
      <w:r w:rsidRPr="00304B5F">
        <w:rPr>
          <w:rFonts w:eastAsia="Times New Roman" w:hint="cs"/>
          <w:rtl/>
          <w:lang w:eastAsia="en-US" w:bidi="ar-EG"/>
        </w:rPr>
        <w:t xml:space="preserve"> هي أغاني شعبية في إسكتلندا وإنكلترا وأيرلندا دخلت الأمريكتين شفهياً ولفظياً.</w:t>
      </w:r>
      <w:r w:rsidRPr="00304B5F">
        <w:rPr>
          <w:rFonts w:eastAsia="Times New Roman"/>
          <w:lang w:eastAsia="en-US" w:bidi="ar-EG"/>
        </w:rPr>
        <w:t xml:space="preserve"> </w:t>
      </w:r>
      <w:r w:rsidRPr="00E20B98">
        <w:rPr>
          <w:rStyle w:val="FootnoteReference"/>
        </w:rPr>
        <w:footnoteReference w:id="123"/>
      </w:r>
      <w:r w:rsidRPr="00304B5F">
        <w:rPr>
          <w:rFonts w:eastAsia="Times New Roman" w:hint="cs"/>
          <w:rtl/>
          <w:lang w:eastAsia="en-US" w:bidi="ar-EG"/>
        </w:rPr>
        <w:t>ولعل أشهرها أغنية "بربارا ألين" التي أدت إلى نسخ لا حصر لها في جميع أنحاء العالم الأنغلوسكسوني.</w:t>
      </w:r>
      <w:r w:rsidRPr="00E20B98">
        <w:rPr>
          <w:rStyle w:val="FootnoteReference"/>
        </w:rPr>
        <w:footnoteReference w:id="124"/>
      </w:r>
    </w:p>
    <w:p w:rsidR="00304B5F" w:rsidRPr="00304B5F" w:rsidRDefault="00304B5F" w:rsidP="00304B5F">
      <w:pPr>
        <w:keepLines/>
        <w:spacing w:after="240" w:line="360" w:lineRule="exact"/>
        <w:rPr>
          <w:rFonts w:eastAsia="Times New Roman"/>
          <w:rtl/>
          <w:lang w:eastAsia="en-US"/>
        </w:rPr>
      </w:pPr>
      <w:r w:rsidRPr="00304B5F">
        <w:rPr>
          <w:rFonts w:eastAsia="Times New Roman" w:hint="cs"/>
          <w:b/>
          <w:bCs/>
          <w:rtl/>
          <w:lang w:eastAsia="en-US" w:bidi="ar-EG"/>
        </w:rPr>
        <w:t>اليودل:</w:t>
      </w:r>
      <w:r w:rsidRPr="00304B5F">
        <w:rPr>
          <w:rFonts w:eastAsia="Times New Roman" w:hint="cs"/>
          <w:rtl/>
          <w:lang w:eastAsia="en-US" w:bidi="ar-EG"/>
        </w:rPr>
        <w:t xml:space="preserve"> اليودل هو تقليد غنائي ريفي قديم في أوروبا بما في ذلك سويسرا والنمسا وإسكندينافي</w:t>
      </w:r>
      <w:r w:rsidRPr="00304B5F">
        <w:rPr>
          <w:rFonts w:eastAsia="Times New Roman" w:hint="eastAsia"/>
          <w:rtl/>
          <w:lang w:eastAsia="en-US" w:bidi="ar-EG"/>
        </w:rPr>
        <w:t>ا</w:t>
      </w:r>
      <w:r w:rsidRPr="00304B5F">
        <w:rPr>
          <w:rFonts w:eastAsia="Times New Roman" w:hint="cs"/>
          <w:rtl/>
          <w:lang w:eastAsia="en-US" w:bidi="ar-EG"/>
        </w:rPr>
        <w:t>.</w:t>
      </w:r>
      <w:r w:rsidRPr="00E20B98">
        <w:rPr>
          <w:rStyle w:val="FootnoteReference"/>
        </w:rPr>
        <w:footnoteReference w:id="125"/>
      </w:r>
      <w:r w:rsidRPr="00304B5F">
        <w:rPr>
          <w:rFonts w:eastAsia="Times New Roman" w:hint="cs"/>
          <w:rtl/>
          <w:lang w:eastAsia="en-US" w:bidi="ar-EG"/>
        </w:rPr>
        <w:t xml:space="preserve"> وأصبح اليودل شكلاً من أشكال الترفيه الفولكلوري في المسارح وقاعات الموسيقى الأوروبية في ثلاثينيات القرن الثامن عشر قبل أن ينتشر إلى بلدان أخرى ولا سيما الولايات المتحدة وكندا.</w:t>
      </w:r>
      <w:r w:rsidRPr="00E20B98">
        <w:rPr>
          <w:rStyle w:val="FootnoteReference"/>
        </w:rPr>
        <w:footnoteReference w:id="126"/>
      </w:r>
      <w:r w:rsidRPr="00304B5F">
        <w:rPr>
          <w:rFonts w:eastAsia="Times New Roman" w:hint="cs"/>
          <w:rtl/>
          <w:lang w:eastAsia="en-US" w:bidi="ar-EG"/>
        </w:rPr>
        <w:t xml:space="preserve"> ويمكن العثور على نوع موسيقي مشابه لليودل السويسري والنمساوي في التقاليد الآسيوية</w:t>
      </w:r>
      <w:r w:rsidRPr="00E20B98">
        <w:rPr>
          <w:rStyle w:val="FootnoteReference"/>
        </w:rPr>
        <w:footnoteReference w:id="127"/>
      </w:r>
      <w:r w:rsidRPr="00304B5F">
        <w:rPr>
          <w:rFonts w:eastAsia="Times New Roman" w:hint="cs"/>
          <w:rtl/>
          <w:lang w:eastAsia="en-US" w:bidi="ar-EG"/>
        </w:rPr>
        <w:t xml:space="preserve"> والأفريقية.</w:t>
      </w:r>
      <w:r w:rsidRPr="00E20B98">
        <w:rPr>
          <w:rStyle w:val="FootnoteReference"/>
        </w:rPr>
        <w:footnoteReference w:id="128"/>
      </w:r>
    </w:p>
    <w:p w:rsidR="00304B5F" w:rsidRPr="00304B5F" w:rsidRDefault="00304B5F" w:rsidP="00304B5F">
      <w:pPr>
        <w:spacing w:after="240" w:line="360" w:lineRule="exact"/>
        <w:rPr>
          <w:rFonts w:eastAsia="Times New Roman"/>
          <w:rtl/>
          <w:lang w:val="fr-CH" w:eastAsia="en-US" w:bidi="ar-SY"/>
        </w:rPr>
      </w:pPr>
      <w:r w:rsidRPr="00304B5F">
        <w:rPr>
          <w:rFonts w:eastAsia="Times New Roman" w:hint="cs"/>
          <w:b/>
          <w:bCs/>
          <w:rtl/>
          <w:lang w:eastAsia="en-US" w:bidi="ar-EG"/>
        </w:rPr>
        <w:t>الأزونتو:</w:t>
      </w:r>
      <w:r w:rsidRPr="00304B5F">
        <w:rPr>
          <w:rFonts w:eastAsia="Times New Roman" w:hint="cs"/>
          <w:rtl/>
          <w:lang w:eastAsia="en-US" w:bidi="ar-EG"/>
        </w:rPr>
        <w:t xml:space="preserve"> الأزونتو هو عبارة عن نوع من الرقص والموسيقى، </w:t>
      </w:r>
      <w:r w:rsidRPr="00304B5F">
        <w:rPr>
          <w:rFonts w:eastAsia="Times New Roman" w:hint="cs"/>
          <w:rtl/>
          <w:lang w:val="fr-CH" w:eastAsia="en-US" w:bidi="ar-SY"/>
        </w:rPr>
        <w:t xml:space="preserve">شاع في غانا بعدما أطلق مغني الراب </w:t>
      </w:r>
      <w:r w:rsidRPr="00304B5F">
        <w:rPr>
          <w:rFonts w:eastAsia="Times New Roman"/>
          <w:lang w:val="fr-CH" w:eastAsia="en-US" w:bidi="ar-SY"/>
        </w:rPr>
        <w:t>Sarkodie</w:t>
      </w:r>
      <w:r w:rsidRPr="00304B5F">
        <w:rPr>
          <w:rFonts w:eastAsia="Times New Roman" w:hint="cs"/>
          <w:rtl/>
          <w:lang w:val="fr-CH" w:eastAsia="en-US" w:bidi="ar-SY"/>
        </w:rPr>
        <w:t xml:space="preserve"> أغنيته بعنوان "</w:t>
      </w:r>
      <w:r w:rsidRPr="00304B5F">
        <w:rPr>
          <w:rFonts w:eastAsia="Times New Roman"/>
          <w:lang w:eastAsia="en-US" w:bidi="ar-SY"/>
        </w:rPr>
        <w:t>U Go Kill me</w:t>
      </w:r>
      <w:r w:rsidRPr="00304B5F">
        <w:rPr>
          <w:rFonts w:eastAsia="Times New Roman" w:hint="cs"/>
          <w:rtl/>
          <w:lang w:val="fr-CH" w:eastAsia="en-US" w:bidi="ar-SY"/>
        </w:rPr>
        <w:t>" في 2011</w:t>
      </w:r>
      <w:r w:rsidRPr="00E20B98">
        <w:rPr>
          <w:rStyle w:val="FootnoteReference"/>
          <w:rtl/>
        </w:rPr>
        <w:footnoteReference w:id="129"/>
      </w:r>
      <w:r w:rsidRPr="00304B5F">
        <w:rPr>
          <w:rFonts w:eastAsia="Times New Roman" w:hint="cs"/>
          <w:rtl/>
          <w:lang w:val="fr-CH" w:eastAsia="en-US" w:bidi="ar-SY"/>
        </w:rPr>
        <w:t>، واكتسب الأزونتو شعبية دولية مع ظهور أغنية "</w:t>
      </w:r>
      <w:r w:rsidRPr="00304B5F">
        <w:rPr>
          <w:rFonts w:eastAsia="Times New Roman"/>
          <w:lang w:val="fr-CH" w:eastAsia="en-US" w:bidi="ar-SY"/>
        </w:rPr>
        <w:t>Azonto</w:t>
      </w:r>
      <w:r w:rsidRPr="00304B5F">
        <w:rPr>
          <w:rFonts w:eastAsia="Times New Roman" w:hint="cs"/>
          <w:rtl/>
          <w:lang w:val="fr-CH" w:eastAsia="en-US" w:bidi="ar-SY"/>
        </w:rPr>
        <w:t>"</w:t>
      </w:r>
      <w:r w:rsidRPr="00E20B98">
        <w:rPr>
          <w:rStyle w:val="FootnoteReference"/>
          <w:rtl/>
        </w:rPr>
        <w:footnoteReference w:id="130"/>
      </w:r>
      <w:r w:rsidRPr="00304B5F">
        <w:rPr>
          <w:rFonts w:eastAsia="Times New Roman" w:hint="cs"/>
          <w:rtl/>
          <w:lang w:val="fr-CH" w:eastAsia="en-US" w:bidi="ar-SY"/>
        </w:rPr>
        <w:t xml:space="preserve"> للفنان </w:t>
      </w:r>
      <w:r w:rsidRPr="00304B5F">
        <w:rPr>
          <w:rFonts w:eastAsia="Times New Roman"/>
          <w:lang w:eastAsia="en-US" w:bidi="ar-SY"/>
        </w:rPr>
        <w:t>Fuse ODG</w:t>
      </w:r>
      <w:r w:rsidRPr="00304B5F">
        <w:rPr>
          <w:rFonts w:eastAsia="Times New Roman" w:hint="cs"/>
          <w:rtl/>
          <w:lang w:eastAsia="en-US" w:bidi="ar-SY"/>
        </w:rPr>
        <w:t xml:space="preserve"> </w:t>
      </w:r>
      <w:r w:rsidRPr="00304B5F">
        <w:rPr>
          <w:rFonts w:eastAsia="Times New Roman" w:hint="cs"/>
          <w:rtl/>
          <w:lang w:val="fr-CH" w:eastAsia="en-US" w:bidi="ar-SY"/>
        </w:rPr>
        <w:t>المقيم في لندن. و</w:t>
      </w:r>
      <w:r w:rsidRPr="00304B5F">
        <w:rPr>
          <w:rFonts w:eastAsia="Times New Roman"/>
          <w:rtl/>
          <w:lang w:val="fr-CH" w:eastAsia="en-US" w:bidi="ar-SY"/>
        </w:rPr>
        <w:t>كان هدف</w:t>
      </w:r>
      <w:r w:rsidRPr="00304B5F">
        <w:rPr>
          <w:rFonts w:eastAsia="Times New Roman" w:hint="cs"/>
          <w:rtl/>
          <w:lang w:val="fr-CH" w:eastAsia="en-US" w:bidi="ar-SY"/>
        </w:rPr>
        <w:t xml:space="preserve"> الفنان</w:t>
      </w:r>
      <w:r w:rsidRPr="00304B5F">
        <w:rPr>
          <w:rFonts w:eastAsia="Times New Roman"/>
          <w:rtl/>
          <w:lang w:val="fr-CH" w:eastAsia="en-US" w:bidi="ar-SY"/>
        </w:rPr>
        <w:t xml:space="preserve"> </w:t>
      </w:r>
      <w:r w:rsidRPr="00304B5F">
        <w:rPr>
          <w:rFonts w:eastAsia="Times New Roman"/>
          <w:lang w:val="fr-CH" w:eastAsia="en-US" w:bidi="ar-SY"/>
        </w:rPr>
        <w:t>Fuse ODG</w:t>
      </w:r>
      <w:r w:rsidRPr="00304B5F">
        <w:rPr>
          <w:rFonts w:eastAsia="Times New Roman"/>
          <w:rtl/>
          <w:lang w:val="fr-CH" w:eastAsia="en-US" w:bidi="ar-SY"/>
        </w:rPr>
        <w:t xml:space="preserve"> </w:t>
      </w:r>
      <w:r w:rsidRPr="00304B5F">
        <w:rPr>
          <w:rFonts w:eastAsia="Times New Roman" w:hint="cs"/>
          <w:rtl/>
          <w:lang w:val="fr-CH" w:eastAsia="en-US" w:bidi="ar-SY"/>
        </w:rPr>
        <w:t>من إطلاق</w:t>
      </w:r>
      <w:r w:rsidRPr="00304B5F">
        <w:rPr>
          <w:rFonts w:eastAsia="Times New Roman"/>
          <w:rtl/>
          <w:lang w:val="fr-CH" w:eastAsia="en-US" w:bidi="ar-SY"/>
        </w:rPr>
        <w:t xml:space="preserve"> هذه الأغنية هو ربط الغانيين في </w:t>
      </w:r>
      <w:r w:rsidRPr="00304B5F">
        <w:rPr>
          <w:rFonts w:eastAsia="Times New Roman" w:hint="cs"/>
          <w:rtl/>
          <w:lang w:val="fr-CH" w:eastAsia="en-US" w:bidi="ar-SY"/>
        </w:rPr>
        <w:t>المهجر</w:t>
      </w:r>
      <w:r w:rsidRPr="00304B5F">
        <w:rPr>
          <w:rFonts w:eastAsia="Times New Roman"/>
          <w:rtl/>
          <w:lang w:val="fr-CH" w:eastAsia="en-US" w:bidi="ar-SY"/>
        </w:rPr>
        <w:t xml:space="preserve"> مع المجتمع الغاني</w:t>
      </w:r>
      <w:r w:rsidRPr="00E20B98">
        <w:rPr>
          <w:rStyle w:val="FootnoteReference"/>
          <w:rtl/>
        </w:rPr>
        <w:footnoteReference w:id="131"/>
      </w:r>
      <w:r w:rsidRPr="00304B5F">
        <w:rPr>
          <w:rFonts w:eastAsia="Times New Roman"/>
          <w:rtl/>
          <w:lang w:val="fr-CH" w:eastAsia="en-US" w:bidi="ar-SY"/>
        </w:rPr>
        <w:t>.</w:t>
      </w:r>
      <w:r w:rsidRPr="00304B5F">
        <w:rPr>
          <w:rFonts w:eastAsia="Times New Roman" w:hint="cs"/>
          <w:rtl/>
          <w:lang w:val="fr-CH" w:eastAsia="en-US" w:bidi="ar-SY"/>
        </w:rPr>
        <w:t xml:space="preserve"> وبات هذا النوع جزء لا يتجزأ من غانا</w:t>
      </w:r>
      <w:r w:rsidRPr="00E20B98">
        <w:rPr>
          <w:rStyle w:val="FootnoteReference"/>
          <w:rtl/>
        </w:rPr>
        <w:footnoteReference w:id="132"/>
      </w:r>
      <w:r w:rsidRPr="00304B5F">
        <w:rPr>
          <w:rFonts w:eastAsia="Times New Roman" w:hint="cs"/>
          <w:rtl/>
          <w:lang w:val="fr-CH" w:eastAsia="en-US" w:bidi="ar-SY"/>
        </w:rPr>
        <w:t>. وبدأ فنانون من بلدان أخرى في إنتاج أغاني من هذا النوع أيضاً.</w:t>
      </w:r>
      <w:r w:rsidRPr="00E20B98">
        <w:rPr>
          <w:rStyle w:val="FootnoteReference"/>
          <w:rtl/>
        </w:rPr>
        <w:footnoteReference w:id="133"/>
      </w:r>
      <w:r w:rsidRPr="00304B5F">
        <w:rPr>
          <w:rFonts w:eastAsia="Times New Roman" w:hint="cs"/>
          <w:rtl/>
          <w:lang w:val="fr-CH" w:eastAsia="en-US" w:bidi="ar-SY"/>
        </w:rPr>
        <w:t xml:space="preserve"> و</w:t>
      </w:r>
      <w:r w:rsidRPr="00304B5F">
        <w:rPr>
          <w:rFonts w:eastAsia="Times New Roman"/>
          <w:rtl/>
          <w:lang w:val="fr-CH" w:eastAsia="en-US" w:bidi="ar-SY"/>
        </w:rPr>
        <w:t xml:space="preserve">ارتبط </w:t>
      </w:r>
      <w:r w:rsidRPr="00304B5F">
        <w:rPr>
          <w:rFonts w:eastAsia="Times New Roman" w:hint="cs"/>
          <w:rtl/>
          <w:lang w:val="fr-CH" w:eastAsia="en-US" w:bidi="ar-SY"/>
        </w:rPr>
        <w:t>الأزونتو</w:t>
      </w:r>
      <w:r w:rsidRPr="00304B5F">
        <w:rPr>
          <w:rFonts w:eastAsia="Times New Roman"/>
          <w:rtl/>
          <w:lang w:val="fr-CH" w:eastAsia="en-US" w:bidi="ar-SY"/>
        </w:rPr>
        <w:t xml:space="preserve"> </w:t>
      </w:r>
      <w:r w:rsidRPr="00304B5F">
        <w:rPr>
          <w:rFonts w:eastAsia="Times New Roman" w:hint="cs"/>
          <w:rtl/>
          <w:lang w:val="fr-CH" w:eastAsia="en-US" w:bidi="ar-SY"/>
        </w:rPr>
        <w:t>ب</w:t>
      </w:r>
      <w:r w:rsidRPr="00304B5F">
        <w:rPr>
          <w:rFonts w:eastAsia="Times New Roman"/>
          <w:rtl/>
          <w:lang w:val="fr-CH" w:eastAsia="en-US" w:bidi="ar-SY"/>
        </w:rPr>
        <w:t>رقص</w:t>
      </w:r>
      <w:r w:rsidRPr="00304B5F">
        <w:rPr>
          <w:rFonts w:eastAsia="Times New Roman" w:hint="cs"/>
          <w:rtl/>
          <w:lang w:val="fr-CH" w:eastAsia="en-US" w:bidi="ar-SY"/>
        </w:rPr>
        <w:t>ة</w:t>
      </w:r>
      <w:r w:rsidRPr="00304B5F">
        <w:rPr>
          <w:rFonts w:eastAsia="Times New Roman"/>
          <w:rtl/>
          <w:lang w:val="fr-CH" w:eastAsia="en-US" w:bidi="ar-SY"/>
        </w:rPr>
        <w:t xml:space="preserve"> </w:t>
      </w:r>
      <w:r w:rsidRPr="00304B5F">
        <w:rPr>
          <w:rFonts w:eastAsia="Times New Roman" w:hint="cs"/>
          <w:rtl/>
          <w:lang w:val="fr-CH" w:eastAsia="en-US" w:bidi="ar-SY"/>
        </w:rPr>
        <w:t>"</w:t>
      </w:r>
      <w:r w:rsidRPr="00304B5F">
        <w:rPr>
          <w:rFonts w:eastAsia="Times New Roman"/>
          <w:lang w:val="fr-CH" w:eastAsia="en-US" w:bidi="ar-SY"/>
        </w:rPr>
        <w:t>Apaa</w:t>
      </w:r>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التابعة ل</w:t>
      </w:r>
      <w:r w:rsidRPr="00304B5F">
        <w:rPr>
          <w:rFonts w:eastAsia="Times New Roman"/>
          <w:rtl/>
          <w:lang w:val="fr-CH" w:eastAsia="en-US" w:bidi="ar-SY"/>
        </w:rPr>
        <w:t xml:space="preserve">شعب </w:t>
      </w:r>
      <w:r w:rsidRPr="00304B5F">
        <w:rPr>
          <w:rFonts w:eastAsia="Times New Roman" w:hint="cs"/>
          <w:rtl/>
          <w:lang w:val="fr-CH" w:eastAsia="en-US" w:bidi="ar-SY"/>
        </w:rPr>
        <w:lastRenderedPageBreak/>
        <w:t>"</w:t>
      </w:r>
      <w:r w:rsidRPr="00304B5F">
        <w:rPr>
          <w:rFonts w:eastAsia="Times New Roman"/>
          <w:lang w:val="fr-CH" w:eastAsia="en-US" w:bidi="ar-SY"/>
        </w:rPr>
        <w:t>GA</w:t>
      </w:r>
      <w:r w:rsidRPr="00304B5F">
        <w:rPr>
          <w:rFonts w:eastAsia="Times New Roman" w:hint="cs"/>
          <w:rtl/>
          <w:lang w:val="fr-CH" w:eastAsia="en-US" w:bidi="ar-SY"/>
        </w:rPr>
        <w:t>"</w:t>
      </w:r>
      <w:r w:rsidRPr="00E20B98">
        <w:rPr>
          <w:rStyle w:val="FootnoteReference"/>
          <w:rtl/>
        </w:rPr>
        <w:footnoteReference w:id="134"/>
      </w:r>
      <w:r w:rsidRPr="00304B5F">
        <w:rPr>
          <w:rFonts w:eastAsia="Times New Roman"/>
          <w:rtl/>
          <w:lang w:val="fr-CH" w:eastAsia="en-US" w:bidi="ar-SY"/>
        </w:rPr>
        <w:t xml:space="preserve">، وكذلك رقصة </w:t>
      </w:r>
      <w:r w:rsidRPr="00304B5F">
        <w:rPr>
          <w:rFonts w:eastAsia="Times New Roman" w:hint="cs"/>
          <w:rtl/>
          <w:lang w:val="fr-CH" w:eastAsia="en-US" w:bidi="ar-SY"/>
        </w:rPr>
        <w:t>"</w:t>
      </w:r>
      <w:r w:rsidRPr="00304B5F">
        <w:rPr>
          <w:rFonts w:eastAsia="Times New Roman"/>
          <w:lang w:val="fr-CH" w:eastAsia="en-US" w:bidi="ar-SY"/>
        </w:rPr>
        <w:t>Kpanlogo</w:t>
      </w:r>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 xml:space="preserve">المعروفة على طول </w:t>
      </w:r>
      <w:r w:rsidRPr="00304B5F">
        <w:rPr>
          <w:rFonts w:eastAsia="Times New Roman"/>
          <w:rtl/>
          <w:lang w:val="fr-CH" w:eastAsia="en-US" w:bidi="ar-SY"/>
        </w:rPr>
        <w:t>الساحل الغاني</w:t>
      </w:r>
      <w:r w:rsidRPr="00E20B98">
        <w:rPr>
          <w:rStyle w:val="FootnoteReference"/>
          <w:rtl/>
        </w:rPr>
        <w:footnoteReference w:id="135"/>
      </w:r>
      <w:r w:rsidRPr="00304B5F">
        <w:rPr>
          <w:rFonts w:eastAsia="Times New Roman"/>
          <w:rtl/>
          <w:lang w:val="fr-CH" w:eastAsia="en-US" w:bidi="ar-SY"/>
        </w:rPr>
        <w:t xml:space="preserve">. </w:t>
      </w:r>
      <w:r w:rsidRPr="00304B5F">
        <w:rPr>
          <w:rFonts w:eastAsia="Times New Roman" w:hint="cs"/>
          <w:rtl/>
          <w:lang w:val="fr-CH" w:eastAsia="en-US" w:bidi="ar-SY"/>
        </w:rPr>
        <w:t>وهناك جدل، لاسيما</w:t>
      </w:r>
      <w:r w:rsidRPr="00304B5F">
        <w:rPr>
          <w:rFonts w:eastAsia="Times New Roman"/>
          <w:rtl/>
          <w:lang w:val="fr-CH" w:eastAsia="en-US" w:bidi="ar-SY"/>
        </w:rPr>
        <w:t xml:space="preserve"> </w:t>
      </w:r>
      <w:r w:rsidRPr="00304B5F">
        <w:rPr>
          <w:rFonts w:eastAsia="Times New Roman" w:hint="cs"/>
          <w:rtl/>
          <w:lang w:val="fr-CH" w:eastAsia="en-US" w:bidi="ar-SY"/>
        </w:rPr>
        <w:t>في وسط</w:t>
      </w:r>
      <w:r w:rsidRPr="00304B5F">
        <w:rPr>
          <w:rFonts w:eastAsia="Times New Roman"/>
          <w:rtl/>
          <w:lang w:val="fr-CH" w:eastAsia="en-US" w:bidi="ar-SY"/>
        </w:rPr>
        <w:t xml:space="preserve"> الفنانين الغانيين</w:t>
      </w:r>
      <w:r w:rsidRPr="00304B5F">
        <w:rPr>
          <w:rFonts w:eastAsia="Times New Roman" w:hint="cs"/>
          <w:rtl/>
          <w:lang w:val="fr-CH" w:eastAsia="en-US" w:bidi="ar-SY"/>
        </w:rPr>
        <w:t>، حول</w:t>
      </w:r>
      <w:r w:rsidRPr="00304B5F">
        <w:rPr>
          <w:rFonts w:eastAsia="Times New Roman"/>
          <w:rtl/>
          <w:lang w:val="fr-CH" w:eastAsia="en-US" w:bidi="ar-SY"/>
        </w:rPr>
        <w:t xml:space="preserve"> ما إذا كان </w:t>
      </w:r>
      <w:r w:rsidRPr="00304B5F">
        <w:rPr>
          <w:rFonts w:eastAsia="Times New Roman" w:hint="cs"/>
          <w:rtl/>
          <w:lang w:val="fr-CH" w:eastAsia="en-US" w:bidi="ar-SY"/>
        </w:rPr>
        <w:t>الأزونتو</w:t>
      </w:r>
      <w:r w:rsidRPr="00304B5F">
        <w:rPr>
          <w:rFonts w:eastAsia="Times New Roman"/>
          <w:rtl/>
          <w:lang w:val="fr-CH" w:eastAsia="en-US" w:bidi="ar-SY"/>
        </w:rPr>
        <w:t xml:space="preserve"> </w:t>
      </w:r>
      <w:r w:rsidRPr="00304B5F">
        <w:rPr>
          <w:rFonts w:eastAsia="Times New Roman" w:hint="cs"/>
          <w:rtl/>
          <w:lang w:val="fr-CH" w:eastAsia="en-US" w:bidi="ar-SY"/>
        </w:rPr>
        <w:t>تكييفاً لرقصة</w:t>
      </w:r>
      <w:r w:rsidRPr="00304B5F">
        <w:rPr>
          <w:rFonts w:eastAsia="Times New Roman"/>
          <w:rtl/>
          <w:lang w:val="fr-CH" w:eastAsia="en-US" w:bidi="ar-SY"/>
        </w:rPr>
        <w:t xml:space="preserve"> </w:t>
      </w:r>
      <w:r w:rsidRPr="00304B5F">
        <w:rPr>
          <w:rFonts w:eastAsia="Times New Roman" w:hint="cs"/>
          <w:rtl/>
          <w:lang w:val="fr-CH" w:eastAsia="en-US" w:bidi="ar-SY"/>
        </w:rPr>
        <w:t>"</w:t>
      </w:r>
      <w:r w:rsidRPr="00304B5F">
        <w:rPr>
          <w:rFonts w:eastAsia="Times New Roman"/>
          <w:lang w:eastAsia="en-US" w:bidi="ar-SY"/>
        </w:rPr>
        <w:t>Apaa</w:t>
      </w:r>
      <w:r w:rsidRPr="00304B5F">
        <w:rPr>
          <w:rFonts w:eastAsia="Times New Roman" w:hint="cs"/>
          <w:rtl/>
          <w:lang w:val="fr-CH" w:eastAsia="en-US" w:bidi="ar-SY"/>
        </w:rPr>
        <w:t>"</w:t>
      </w:r>
      <w:r w:rsidRPr="00304B5F">
        <w:rPr>
          <w:rFonts w:eastAsia="Times New Roman"/>
          <w:rtl/>
          <w:lang w:val="fr-CH" w:eastAsia="en-US" w:bidi="ar-SY"/>
        </w:rPr>
        <w:t xml:space="preserve"> أو نوع</w:t>
      </w:r>
      <w:r w:rsidRPr="00304B5F">
        <w:rPr>
          <w:rFonts w:eastAsia="Times New Roman" w:hint="cs"/>
          <w:rtl/>
          <w:lang w:val="fr-CH" w:eastAsia="en-US" w:bidi="ar-SY"/>
        </w:rPr>
        <w:t>اً</w:t>
      </w:r>
      <w:r w:rsidRPr="00304B5F">
        <w:rPr>
          <w:rFonts w:eastAsia="Times New Roman"/>
          <w:rtl/>
          <w:lang w:val="fr-CH" w:eastAsia="en-US" w:bidi="ar-SY"/>
        </w:rPr>
        <w:t xml:space="preserve"> جديد</w:t>
      </w:r>
      <w:r w:rsidRPr="00304B5F">
        <w:rPr>
          <w:rFonts w:eastAsia="Times New Roman" w:hint="cs"/>
          <w:rtl/>
          <w:lang w:val="fr-CH" w:eastAsia="en-US" w:bidi="ar-SY"/>
        </w:rPr>
        <w:t>اً</w:t>
      </w:r>
      <w:r w:rsidRPr="00304B5F">
        <w:rPr>
          <w:rFonts w:eastAsia="Times New Roman"/>
          <w:rtl/>
          <w:lang w:val="fr-CH" w:eastAsia="en-US" w:bidi="ar-SY"/>
        </w:rPr>
        <w:t xml:space="preserve"> يتغذى </w:t>
      </w:r>
      <w:r w:rsidRPr="00304B5F">
        <w:rPr>
          <w:rFonts w:eastAsia="Times New Roman" w:hint="cs"/>
          <w:rtl/>
          <w:lang w:val="fr-CH" w:eastAsia="en-US" w:bidi="ar-SY"/>
        </w:rPr>
        <w:t>من</w:t>
      </w:r>
      <w:r w:rsidRPr="00304B5F">
        <w:rPr>
          <w:rFonts w:eastAsia="Times New Roman"/>
          <w:rtl/>
          <w:lang w:val="fr-CH" w:eastAsia="en-US" w:bidi="ar-SY"/>
        </w:rPr>
        <w:t xml:space="preserve"> التأثيرات الثقافية المماثلة.</w:t>
      </w:r>
      <w:r w:rsidRPr="00E20B98">
        <w:rPr>
          <w:rStyle w:val="FootnoteReference"/>
          <w:rtl/>
        </w:rPr>
        <w:footnoteReference w:id="136"/>
      </w:r>
      <w:r w:rsidRPr="00304B5F">
        <w:rPr>
          <w:rFonts w:eastAsia="Times New Roman"/>
          <w:rtl/>
          <w:lang w:val="fr-CH" w:eastAsia="en-US" w:bidi="ar-SY"/>
        </w:rPr>
        <w:t xml:space="preserve"> </w:t>
      </w:r>
      <w:r w:rsidRPr="00304B5F">
        <w:rPr>
          <w:rFonts w:eastAsia="Times New Roman" w:hint="cs"/>
          <w:rtl/>
          <w:lang w:val="fr-CH" w:eastAsia="en-US" w:bidi="ar-SY"/>
        </w:rPr>
        <w:t>و</w:t>
      </w:r>
      <w:r w:rsidRPr="00304B5F">
        <w:rPr>
          <w:rFonts w:eastAsia="Times New Roman"/>
          <w:rtl/>
          <w:lang w:val="fr-CH" w:eastAsia="en-US" w:bidi="ar-SY"/>
        </w:rPr>
        <w:t xml:space="preserve">في عام 2015 ، أبلغت وسائل الإعلام عن مخاوف بشأن اختفاء </w:t>
      </w:r>
      <w:r w:rsidRPr="00304B5F">
        <w:rPr>
          <w:rFonts w:eastAsia="Times New Roman" w:hint="cs"/>
          <w:rtl/>
          <w:lang w:val="fr-CH" w:eastAsia="en-US" w:bidi="ar-SY"/>
        </w:rPr>
        <w:t>ال</w:t>
      </w:r>
      <w:r w:rsidRPr="00304B5F">
        <w:rPr>
          <w:rFonts w:eastAsia="Times New Roman"/>
          <w:rtl/>
          <w:lang w:val="fr-CH" w:eastAsia="en-US" w:bidi="ar-SY"/>
        </w:rPr>
        <w:t xml:space="preserve">أزونتو، وفي عام 2019 </w:t>
      </w:r>
      <w:r w:rsidRPr="00304B5F">
        <w:rPr>
          <w:rFonts w:eastAsia="Times New Roman" w:hint="cs"/>
          <w:rtl/>
          <w:lang w:val="fr-CH" w:eastAsia="en-US" w:bidi="ar-SY"/>
        </w:rPr>
        <w:t>نُشرت تقارير</w:t>
      </w:r>
      <w:r w:rsidRPr="00304B5F">
        <w:rPr>
          <w:rFonts w:eastAsia="Times New Roman"/>
          <w:rtl/>
          <w:lang w:val="fr-CH" w:eastAsia="en-US" w:bidi="ar-SY"/>
        </w:rPr>
        <w:t xml:space="preserve"> </w:t>
      </w:r>
      <w:r w:rsidRPr="00304B5F">
        <w:rPr>
          <w:rFonts w:eastAsia="Times New Roman" w:hint="cs"/>
          <w:rtl/>
          <w:lang w:val="fr-CH" w:eastAsia="en-US" w:bidi="ar-SY"/>
        </w:rPr>
        <w:t xml:space="preserve">تفيد بأن </w:t>
      </w:r>
      <w:r w:rsidRPr="00304B5F">
        <w:rPr>
          <w:rFonts w:eastAsia="Times New Roman"/>
          <w:rtl/>
          <w:lang w:val="fr-CH" w:eastAsia="en-US" w:bidi="ar-SY"/>
        </w:rPr>
        <w:t>الغانيين قد تخلوا عن هذا النوع.</w:t>
      </w:r>
      <w:r w:rsidRPr="00E20B98">
        <w:rPr>
          <w:rStyle w:val="FootnoteReference"/>
          <w:rtl/>
        </w:rPr>
        <w:footnoteReference w:id="137"/>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الكاليبسو:</w:t>
      </w:r>
      <w:r w:rsidRPr="00304B5F">
        <w:rPr>
          <w:rFonts w:eastAsia="Times New Roman" w:hint="cs"/>
          <w:rtl/>
          <w:lang w:eastAsia="en-US" w:bidi="ar-EG"/>
        </w:rPr>
        <w:t xml:space="preserve"> ظهر الكاليبسو في ترينيداد وتوباغو في الفترة من أوائل إلى منتصف القرن العشرين قبل أن ينتشر ذلك الأسلوب الموسيقي الأفريقي الكاريبي إلى باقي جزر الأنتيل الكاريبي وفنزويلا ويؤثر في تطور أنواع موسيقية أخرى في الكاريبي.</w:t>
      </w:r>
      <w:r w:rsidRPr="00E20B98">
        <w:rPr>
          <w:rStyle w:val="FootnoteReference"/>
        </w:rPr>
        <w:footnoteReference w:id="13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السكا:</w:t>
      </w:r>
      <w:r w:rsidRPr="00304B5F">
        <w:rPr>
          <w:rFonts w:eastAsia="Times New Roman" w:hint="cs"/>
          <w:rtl/>
          <w:lang w:eastAsia="en-US" w:bidi="ar-EG"/>
        </w:rPr>
        <w:t xml:space="preserve"> موسيقى السكا تجمع بين عناصر من الكاليبسو وأساليب موسيقية كاريبية أخرى والجاز والإيقاع والبلوز الأمريكي، وظهرت في جامايكا في أواخر الخمسينيات والستينيات من القرن الماضي.</w:t>
      </w:r>
      <w:r w:rsidRPr="00E20B98">
        <w:rPr>
          <w:rStyle w:val="FootnoteReference"/>
        </w:rPr>
        <w:footnoteReference w:id="139"/>
      </w:r>
      <w:r w:rsidRPr="00304B5F">
        <w:rPr>
          <w:rFonts w:eastAsia="Times New Roman" w:hint="cs"/>
          <w:rtl/>
          <w:lang w:eastAsia="en-US" w:bidi="ar-EG"/>
        </w:rPr>
        <w:t xml:space="preserve"> واكتسبت موسيقى السكا شعبية في المملكة المتحدة والولايات المتحدة</w:t>
      </w:r>
      <w:r w:rsidRPr="00E20B98">
        <w:rPr>
          <w:rStyle w:val="FootnoteReference"/>
        </w:rPr>
        <w:footnoteReference w:id="140"/>
      </w:r>
      <w:r w:rsidRPr="00304B5F">
        <w:rPr>
          <w:rFonts w:eastAsia="Times New Roman" w:hint="cs"/>
          <w:rtl/>
          <w:lang w:eastAsia="en-US" w:bidi="ar-EG"/>
        </w:rPr>
        <w:t xml:space="preserve"> وفي بلدان أوروبيا وأستراليا واليابان وجنوب أمريكا خلال فترة السبعينيات إلى التسعينيات من القرن الماضي.</w:t>
      </w:r>
      <w:r w:rsidRPr="00E20B98">
        <w:rPr>
          <w:rStyle w:val="FootnoteReference"/>
        </w:rPr>
        <w:footnoteReference w:id="141"/>
      </w:r>
      <w:r w:rsidRPr="00304B5F">
        <w:rPr>
          <w:rFonts w:eastAsia="Times New Roman" w:hint="cs"/>
          <w:rtl/>
          <w:lang w:eastAsia="en-US" w:bidi="ar-EG"/>
        </w:rPr>
        <w:t xml:space="preserve"> وأثرت موسيقى السكا في ظهور موسيقى الريغي في جامايكا وثقافة الهيب هوب في الولايات المتحدة.</w:t>
      </w:r>
      <w:r w:rsidRPr="00E20B98">
        <w:rPr>
          <w:rStyle w:val="FootnoteReference"/>
        </w:rPr>
        <w:footnoteReference w:id="14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موسيقى/ثقافة الهيب هوب</w:t>
      </w:r>
      <w:r w:rsidRPr="00304B5F">
        <w:rPr>
          <w:rFonts w:eastAsia="Times New Roman" w:hint="cs"/>
          <w:rtl/>
          <w:lang w:eastAsia="en-US" w:bidi="ar-EG"/>
        </w:rPr>
        <w:t>: لموسيقى الهيب هوب أصول في جامايكا ولكنها تطورت في نيويورك إبّان سبعينيات القرن الماضي كجزء من ثقافة الهيب هوب الأمريكية التي تقوم على أربعة أركان هي الفن المرئي (زخرفة الجدران) والدي جيه، والراب والبريك دانس.</w:t>
      </w:r>
      <w:r w:rsidRPr="00E20B98">
        <w:rPr>
          <w:rStyle w:val="FootnoteReference"/>
        </w:rPr>
        <w:footnoteReference w:id="143"/>
      </w:r>
      <w:r w:rsidRPr="00304B5F">
        <w:rPr>
          <w:rFonts w:eastAsia="Times New Roman" w:hint="cs"/>
          <w:rtl/>
          <w:lang w:eastAsia="en-US" w:bidi="ar-EG"/>
        </w:rPr>
        <w:t xml:space="preserve"> وأثر الهيب هوب في الأزياء واللغة وغيرهما من جوانب الثقافة الشعبية الواسعة.</w:t>
      </w:r>
      <w:r w:rsidRPr="00E20B98">
        <w:rPr>
          <w:rStyle w:val="FootnoteReference"/>
        </w:rPr>
        <w:footnoteReference w:id="144"/>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bidi="ar-EG"/>
        </w:rPr>
        <w:lastRenderedPageBreak/>
        <w:t xml:space="preserve">الزيديكو: </w:t>
      </w:r>
      <w:r w:rsidRPr="00304B5F">
        <w:rPr>
          <w:rFonts w:eastAsia="Times New Roman" w:hint="cs"/>
          <w:rtl/>
          <w:lang w:eastAsia="en-US" w:bidi="ar-EG"/>
        </w:rPr>
        <w:t>انبثقت موسيقى الزيديكو من ثقافة الكريول الفرنسية في لويزيانا</w:t>
      </w:r>
      <w:r w:rsidRPr="00E20B98">
        <w:rPr>
          <w:rStyle w:val="FootnoteReference"/>
        </w:rPr>
        <w:footnoteReference w:id="145"/>
      </w:r>
      <w:r w:rsidRPr="00304B5F">
        <w:rPr>
          <w:rFonts w:eastAsia="Times New Roman" w:hint="cs"/>
          <w:rtl/>
          <w:lang w:eastAsia="en-US" w:bidi="ar-EG"/>
        </w:rPr>
        <w:t xml:space="preserve"> وربما بعض التأثير الموسيقى لغرب أفريقيا.</w:t>
      </w:r>
      <w:r w:rsidRPr="00E20B98">
        <w:rPr>
          <w:rStyle w:val="FootnoteReference"/>
        </w:rPr>
        <w:footnoteReference w:id="146"/>
      </w:r>
      <w:r w:rsidRPr="00304B5F">
        <w:rPr>
          <w:rFonts w:eastAsia="Times New Roman" w:hint="cs"/>
          <w:rtl/>
          <w:lang w:eastAsia="en-US" w:bidi="ar-EG"/>
        </w:rPr>
        <w:t xml:space="preserve"> ويُستخدم عادة في تلك الموسيقى لوح معدني (</w:t>
      </w:r>
      <w:r w:rsidRPr="00304B5F">
        <w:rPr>
          <w:rFonts w:eastAsia="Times New Roman"/>
          <w:lang w:eastAsia="en-US" w:bidi="ar-EG"/>
        </w:rPr>
        <w:t>frottoir</w:t>
      </w:r>
      <w:r w:rsidRPr="00304B5F">
        <w:rPr>
          <w:rFonts w:eastAsia="Times New Roman" w:hint="cs"/>
          <w:rtl/>
          <w:lang w:eastAsia="en-US"/>
        </w:rPr>
        <w:t>) وملاعق وكمان ومثلث موسيقي وأكورديون.</w:t>
      </w:r>
      <w:r w:rsidRPr="00E20B98">
        <w:rPr>
          <w:rStyle w:val="FootnoteReference"/>
        </w:rPr>
        <w:footnoteReference w:id="147"/>
      </w:r>
    </w:p>
    <w:p w:rsidR="00304B5F" w:rsidRPr="00304B5F" w:rsidRDefault="00304B5F" w:rsidP="00304B5F">
      <w:pPr>
        <w:keepNext/>
        <w:spacing w:before="240" w:after="240" w:line="400" w:lineRule="exact"/>
        <w:outlineLvl w:val="1"/>
        <w:rPr>
          <w:sz w:val="24"/>
          <w:szCs w:val="24"/>
          <w:rtl/>
          <w:lang w:bidi="ar-EG"/>
        </w:rPr>
      </w:pPr>
      <w:r w:rsidRPr="00304B5F">
        <w:rPr>
          <w:rFonts w:hint="cs"/>
          <w:b/>
          <w:bCs/>
          <w:sz w:val="24"/>
          <w:szCs w:val="24"/>
          <w:rtl/>
          <w:lang w:bidi="ar-EG"/>
        </w:rPr>
        <w:t>دال.</w:t>
      </w:r>
      <w:r w:rsidRPr="00304B5F">
        <w:rPr>
          <w:b/>
          <w:bCs/>
          <w:sz w:val="24"/>
          <w:szCs w:val="24"/>
          <w:rtl/>
          <w:lang w:bidi="ar-EG"/>
        </w:rPr>
        <w:tab/>
      </w:r>
      <w:r w:rsidRPr="00304B5F">
        <w:rPr>
          <w:rFonts w:hint="cs"/>
          <w:b/>
          <w:bCs/>
          <w:sz w:val="24"/>
          <w:szCs w:val="24"/>
          <w:rtl/>
          <w:lang w:bidi="ar-EG"/>
        </w:rPr>
        <w:t>أشكال التعبير الثقافي التقليدي الشفهي واللفظي</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وفقاً لمشروع المواد، يمكن لأشكال التعبير الثقافي التقليدي الشفهي واللفظي أن تشمل </w:t>
      </w:r>
      <w:r w:rsidRPr="00304B5F">
        <w:rPr>
          <w:rFonts w:eastAsia="Times New Roman"/>
          <w:rtl/>
          <w:lang w:eastAsia="en-US"/>
        </w:rPr>
        <w:t xml:space="preserve">الملاحم والأساطير والشعر والأحاجي وغيرها من أشكال السرد. </w:t>
      </w:r>
      <w:r w:rsidRPr="00304B5F">
        <w:rPr>
          <w:rFonts w:eastAsia="Times New Roman" w:hint="cs"/>
          <w:rtl/>
          <w:lang w:eastAsia="en-US"/>
        </w:rPr>
        <w:t>و</w:t>
      </w:r>
      <w:r w:rsidRPr="00304B5F">
        <w:rPr>
          <w:rFonts w:eastAsia="Times New Roman"/>
          <w:rtl/>
          <w:lang w:eastAsia="en-US"/>
        </w:rPr>
        <w:t xml:space="preserve">يعرض هذا </w:t>
      </w:r>
      <w:r w:rsidRPr="00304B5F">
        <w:rPr>
          <w:rFonts w:eastAsia="Times New Roman" w:hint="cs"/>
          <w:rtl/>
          <w:lang w:eastAsia="en-US"/>
        </w:rPr>
        <w:t>الجزء</w:t>
      </w:r>
      <w:r w:rsidRPr="00304B5F">
        <w:rPr>
          <w:rFonts w:eastAsia="Times New Roman"/>
          <w:rtl/>
          <w:lang w:eastAsia="en-US"/>
        </w:rPr>
        <w:t xml:space="preserve"> أمثلة مختلفة </w:t>
      </w:r>
      <w:r w:rsidRPr="00304B5F">
        <w:rPr>
          <w:rFonts w:eastAsia="Times New Roman" w:hint="cs"/>
          <w:rtl/>
          <w:lang w:eastAsia="en-US"/>
        </w:rPr>
        <w:t>للحكايات والأقاصيص والأساطير التي قد يعرفها بعض الناس بأنها أشكال تعبير ثقافي تقليدي شفهي أو لفظي.</w:t>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1.</w:t>
      </w:r>
      <w:r w:rsidRPr="00304B5F">
        <w:rPr>
          <w:rFonts w:eastAsia="Times New Roman"/>
          <w:b/>
          <w:bCs/>
          <w:rtl/>
          <w:lang w:eastAsia="en-US" w:bidi="ar-EG"/>
        </w:rPr>
        <w:tab/>
      </w:r>
      <w:r w:rsidRPr="00304B5F">
        <w:rPr>
          <w:rFonts w:eastAsia="Times New Roman" w:hint="cs"/>
          <w:b/>
          <w:bCs/>
          <w:rtl/>
          <w:lang w:eastAsia="en-US" w:bidi="ar-EG"/>
        </w:rPr>
        <w:t>الأقاصيص والحكايات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الأقاصيص هي قصص قصيرة تكون شخصياتها خرافية مثل الجنيات والسحرة والعفاريت وتدور أحداثها في عصور أسطورية ("كان يا ما كان") عوضاً عن عصر تاريخي</w:t>
      </w:r>
      <w:r w:rsidRPr="00E20B98">
        <w:rPr>
          <w:rStyle w:val="FootnoteReference"/>
        </w:rPr>
        <w:footnoteReference w:id="148"/>
      </w:r>
      <w:r w:rsidRPr="00304B5F">
        <w:rPr>
          <w:rFonts w:eastAsia="Times New Roman" w:hint="cs"/>
          <w:rtl/>
          <w:lang w:eastAsia="en-US"/>
        </w:rPr>
        <w:t>؛ وتهدف الأقصوصة إلى الوعظ أو تلقين درس مفيد للحياة.</w:t>
      </w:r>
      <w:r w:rsidRPr="00E20B98">
        <w:rPr>
          <w:rStyle w:val="FootnoteReference"/>
        </w:rPr>
        <w:footnoteReference w:id="149"/>
      </w:r>
      <w:r w:rsidRPr="00304B5F">
        <w:rPr>
          <w:rFonts w:eastAsia="Times New Roman" w:hint="cs"/>
          <w:rtl/>
          <w:lang w:eastAsia="en-US"/>
        </w:rPr>
        <w:t xml:space="preserve"> ويرجع تاريخ الأقصوصة إلى اليونان القديمة</w:t>
      </w:r>
      <w:r w:rsidRPr="00E20B98">
        <w:rPr>
          <w:rStyle w:val="FootnoteReference"/>
        </w:rPr>
        <w:footnoteReference w:id="150"/>
      </w:r>
      <w:r w:rsidRPr="00304B5F">
        <w:rPr>
          <w:rFonts w:eastAsia="Times New Roman" w:hint="cs"/>
          <w:rtl/>
          <w:lang w:eastAsia="en-US"/>
        </w:rPr>
        <w:t xml:space="preserve"> ولها أصول في الثقافة الهندية</w:t>
      </w:r>
      <w:r w:rsidRPr="00E20B98">
        <w:rPr>
          <w:rStyle w:val="FootnoteReference"/>
        </w:rPr>
        <w:footnoteReference w:id="151"/>
      </w:r>
      <w:r w:rsidRPr="00304B5F">
        <w:rPr>
          <w:rFonts w:eastAsia="Times New Roman" w:hint="cs"/>
          <w:rtl/>
          <w:lang w:eastAsia="en-US"/>
        </w:rPr>
        <w:t xml:space="preserve"> وفي الشرق الأوسط أثناء العصر القديم والعصور الوسطى</w:t>
      </w:r>
      <w:r w:rsidRPr="00E20B98">
        <w:rPr>
          <w:rStyle w:val="FootnoteReference"/>
        </w:rPr>
        <w:footnoteReference w:id="152"/>
      </w:r>
      <w:r w:rsidRPr="00304B5F">
        <w:rPr>
          <w:rFonts w:eastAsia="Times New Roman" w:hint="cs"/>
          <w:rtl/>
          <w:lang w:eastAsia="en-US"/>
        </w:rPr>
        <w:t xml:space="preserve"> وتُستخدم كأدوات تعليم مهمة في الثقافات الأفريقية.</w:t>
      </w:r>
      <w:r w:rsidRPr="00E20B98">
        <w:rPr>
          <w:rStyle w:val="FootnoteReference"/>
        </w:rPr>
        <w:footnoteReference w:id="153"/>
      </w:r>
      <w:r w:rsidRPr="00304B5F">
        <w:rPr>
          <w:rFonts w:eastAsia="Times New Roman" w:hint="cs"/>
          <w:rtl/>
          <w:lang w:eastAsia="en-US"/>
        </w:rPr>
        <w:t xml:space="preserve"> وقد ساهمت مساهمة جليلة في تنمية الثقافة الأفريقية الأمريكية.</w:t>
      </w:r>
      <w:r w:rsidRPr="00E20B98">
        <w:rPr>
          <w:rStyle w:val="FootnoteReference"/>
        </w:rPr>
        <w:footnoteReference w:id="154"/>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حكايات الأخوين غريم:</w:t>
      </w:r>
      <w:r w:rsidRPr="00304B5F">
        <w:rPr>
          <w:rFonts w:eastAsia="Times New Roman" w:hint="cs"/>
          <w:rtl/>
          <w:lang w:eastAsia="en-US"/>
        </w:rPr>
        <w:t xml:space="preserve"> جمعها الأخوان جاكوب وولهالم غريم من التراث الشفهي ونُشرت لأول مرة في ألمانيا في أوائل القرن التاسع عشر، وترجمتها بلدان عديدة في العالم.</w:t>
      </w:r>
      <w:r w:rsidRPr="00E20B98">
        <w:rPr>
          <w:rStyle w:val="FootnoteReference"/>
        </w:rPr>
        <w:footnoteReference w:id="155"/>
      </w:r>
      <w:r w:rsidRPr="00304B5F">
        <w:rPr>
          <w:rFonts w:eastAsia="Times New Roman" w:hint="cs"/>
          <w:rtl/>
          <w:lang w:eastAsia="en-US"/>
        </w:rPr>
        <w:t xml:space="preserve"> ومن أشهر قصصها "</w:t>
      </w:r>
      <w:r w:rsidRPr="00304B5F">
        <w:rPr>
          <w:rFonts w:eastAsia="Times New Roman"/>
          <w:rtl/>
          <w:lang w:eastAsia="en-US"/>
        </w:rPr>
        <w:t>هانسل وغريتل</w:t>
      </w:r>
      <w:r w:rsidRPr="00304B5F">
        <w:rPr>
          <w:rFonts w:eastAsia="Times New Roman" w:hint="cs"/>
          <w:rtl/>
          <w:lang w:eastAsia="en-US"/>
        </w:rPr>
        <w:t>" و"سيندريلا" و"الجميلة النائمة".</w:t>
      </w:r>
      <w:r w:rsidRPr="00E20B98">
        <w:rPr>
          <w:rStyle w:val="FootnoteReference"/>
        </w:rPr>
        <w:footnoteReference w:id="15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lastRenderedPageBreak/>
        <w:t>حكايات إيسوب:</w:t>
      </w:r>
      <w:r w:rsidRPr="00304B5F">
        <w:rPr>
          <w:rFonts w:eastAsia="Times New Roman" w:hint="cs"/>
          <w:rtl/>
          <w:lang w:eastAsia="en-US"/>
        </w:rPr>
        <w:t xml:space="preserve"> ترجع أصولها إلى اليونان القديمة، وانتشرت في العالم وتُرجمت في بلدان عديدة.</w:t>
      </w:r>
      <w:r w:rsidRPr="00304B5F">
        <w:rPr>
          <w:rFonts w:eastAsia="Times New Roman"/>
          <w:lang w:eastAsia="en-US"/>
        </w:rPr>
        <w:t xml:space="preserve"> </w:t>
      </w:r>
      <w:r w:rsidRPr="00E20B98">
        <w:rPr>
          <w:rStyle w:val="FootnoteReference"/>
        </w:rPr>
        <w:footnoteReference w:id="157"/>
      </w:r>
      <w:r w:rsidRPr="00304B5F">
        <w:rPr>
          <w:rFonts w:eastAsia="Times New Roman" w:hint="cs"/>
          <w:rtl/>
          <w:lang w:eastAsia="en-US"/>
        </w:rPr>
        <w:t>ومن أشهر قصصها "الإوزة والبيضة الذهبية" و"فأر المدينة وفأر الريف" و"الغلام الراعي والذئب".</w:t>
      </w:r>
      <w:r w:rsidRPr="00E20B98">
        <w:rPr>
          <w:rStyle w:val="FootnoteReference"/>
        </w:rPr>
        <w:footnoteReference w:id="15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كتاب ألف ليلة وليلة:</w:t>
      </w:r>
      <w:r w:rsidRPr="00304B5F">
        <w:rPr>
          <w:rFonts w:eastAsia="Times New Roman" w:hint="cs"/>
          <w:rtl/>
          <w:lang w:eastAsia="en-US"/>
        </w:rPr>
        <w:t xml:space="preserve"> ترجع أصول تلك الحكايات إلى العصور القديمة والوسطى في الشرق الأوسط وتوارثتها الأجيال وتُرجمت</w:t>
      </w:r>
      <w:r w:rsidRPr="00304B5F">
        <w:rPr>
          <w:rFonts w:eastAsia="Times New Roman" w:hint="eastAsia"/>
          <w:rtl/>
          <w:lang w:eastAsia="en-US"/>
        </w:rPr>
        <w:t> </w:t>
      </w:r>
      <w:r w:rsidRPr="00304B5F">
        <w:rPr>
          <w:rFonts w:eastAsia="Times New Roman" w:hint="cs"/>
          <w:rtl/>
          <w:lang w:eastAsia="en-US"/>
        </w:rPr>
        <w:t>وكيِّفت في جميع أنحاء العالم.</w:t>
      </w:r>
      <w:r w:rsidRPr="00E20B98">
        <w:rPr>
          <w:rStyle w:val="FootnoteReference"/>
        </w:rPr>
        <w:footnoteReference w:id="159"/>
      </w:r>
      <w:r w:rsidRPr="00304B5F">
        <w:rPr>
          <w:rFonts w:eastAsia="Times New Roman" w:hint="cs"/>
          <w:rtl/>
          <w:lang w:eastAsia="en-US"/>
        </w:rPr>
        <w:t xml:space="preserve"> ومن أشهرها "حكاية السندباد البحري" و"علي بابا والأربعون لصاً" و"علاء الدين".</w:t>
      </w:r>
      <w:r w:rsidRPr="00E20B98">
        <w:rPr>
          <w:rStyle w:val="FootnoteReference"/>
        </w:rPr>
        <w:footnoteReference w:id="160"/>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2.</w:t>
      </w:r>
      <w:r w:rsidRPr="00304B5F">
        <w:rPr>
          <w:rFonts w:eastAsia="Times New Roman"/>
          <w:b/>
          <w:bCs/>
          <w:rtl/>
          <w:lang w:eastAsia="en-US" w:bidi="ar-EG"/>
        </w:rPr>
        <w:tab/>
      </w:r>
      <w:r w:rsidRPr="00304B5F">
        <w:rPr>
          <w:rFonts w:eastAsia="Times New Roman" w:hint="cs"/>
          <w:b/>
          <w:bCs/>
          <w:rtl/>
          <w:lang w:eastAsia="en-US" w:bidi="ar-EG"/>
        </w:rPr>
        <w:t>الأساطير</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خلافاً للحكايات والأقاصيص، فإن الأساطير </w:t>
      </w:r>
      <w:r w:rsidRPr="00304B5F">
        <w:rPr>
          <w:rFonts w:eastAsia="Times New Roman"/>
          <w:rtl/>
          <w:lang w:eastAsia="en-US"/>
        </w:rPr>
        <w:t xml:space="preserve">روايات تقليدية </w:t>
      </w:r>
      <w:r w:rsidRPr="00304B5F">
        <w:rPr>
          <w:rFonts w:eastAsia="Times New Roman" w:hint="cs"/>
          <w:rtl/>
          <w:lang w:eastAsia="en-US"/>
        </w:rPr>
        <w:t>تتمحور حول</w:t>
      </w:r>
      <w:r w:rsidRPr="00304B5F">
        <w:rPr>
          <w:rFonts w:eastAsia="Times New Roman"/>
          <w:rtl/>
          <w:lang w:eastAsia="en-US"/>
        </w:rPr>
        <w:t xml:space="preserve"> شخصيات تاريخية وأحداث فعلية</w:t>
      </w:r>
      <w:r w:rsidRPr="00304B5F">
        <w:rPr>
          <w:rFonts w:eastAsia="Times New Roman" w:hint="cs"/>
          <w:rtl/>
          <w:lang w:eastAsia="en-US"/>
        </w:rPr>
        <w:t>. ومع انتشار الأسطورة، تدخل الشخصية الأسطورية في عالم الحكايات والبالاد والأفلام التي تجمِّل عادة الحقائق التاريخية.</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بابا نويل</w:t>
      </w:r>
      <w:r w:rsidRPr="00304B5F">
        <w:rPr>
          <w:rFonts w:eastAsia="Times New Roman" w:hint="cs"/>
          <w:rtl/>
          <w:lang w:eastAsia="en-US"/>
        </w:rPr>
        <w:t>: ترجع أصول تلك الشخصية الأسطورية في الثقافة المسيحية الغربية إلى القديس نيقولاس وهو أسقف وُلد في تركيا الحالية في عام 280م تقريباً وأصبح شفيع الأطفال.</w:t>
      </w:r>
      <w:r w:rsidRPr="00E20B98">
        <w:rPr>
          <w:rStyle w:val="FootnoteReference"/>
        </w:rPr>
        <w:footnoteReference w:id="161"/>
      </w:r>
      <w:r w:rsidRPr="00304B5F">
        <w:rPr>
          <w:rFonts w:eastAsia="Times New Roman" w:hint="cs"/>
          <w:rtl/>
          <w:lang w:eastAsia="en-US"/>
        </w:rPr>
        <w:t xml:space="preserve"> وقد تأثرت شخصيات بابا نويل والقديس نيقولاس وأبو عيد الميلاد بتقاليد وثنية ودينية في أوروبا بما في ذلك ثقافة الفولكلور البريطانية والهولندية والألمانية.</w:t>
      </w:r>
      <w:r w:rsidRPr="00E20B98">
        <w:rPr>
          <w:rStyle w:val="FootnoteReference"/>
        </w:rPr>
        <w:footnoteReference w:id="162"/>
      </w:r>
      <w:r w:rsidRPr="00304B5F">
        <w:rPr>
          <w:rFonts w:eastAsia="Times New Roman" w:hint="cs"/>
          <w:rtl/>
          <w:lang w:eastAsia="en-US"/>
        </w:rPr>
        <w:t xml:space="preserve"> وإن قومية ساما (اللابيون)، التي</w:t>
      </w:r>
      <w:r w:rsidRPr="00304B5F">
        <w:rPr>
          <w:rFonts w:eastAsia="Times New Roman" w:hint="eastAsia"/>
          <w:rtl/>
          <w:lang w:eastAsia="en-US"/>
        </w:rPr>
        <w:t> </w:t>
      </w:r>
      <w:r w:rsidRPr="00304B5F">
        <w:rPr>
          <w:rFonts w:eastAsia="Times New Roman" w:hint="cs"/>
          <w:rtl/>
          <w:lang w:eastAsia="en-US"/>
        </w:rPr>
        <w:t>تسكن أقصى شمال النرويج والسويد وفنلندا ويرعون الرنة، قد أثرت تأثيراً غير مباشر في الأسطورة عندما ساعدوا في إدخال رعي الرنة إلى ألاسكا.</w:t>
      </w:r>
      <w:r w:rsidRPr="00E20B98">
        <w:rPr>
          <w:rStyle w:val="FootnoteReference"/>
        </w:rPr>
        <w:footnoteReference w:id="163"/>
      </w:r>
      <w:r w:rsidRPr="00304B5F">
        <w:rPr>
          <w:rFonts w:eastAsia="Times New Roman" w:hint="cs"/>
          <w:rtl/>
          <w:lang w:eastAsia="en-US"/>
        </w:rPr>
        <w:t xml:space="preserve"> وقد دخلت تقاليد رعي اللابيين إلى ألاسكا عندما أدخل مبشر رعاة لابيين وقطعانهم بهدف الحد من تناقص الموارد بسبب الإفراط في صيد الحيتان.</w:t>
      </w:r>
      <w:r w:rsidRPr="00E20B98">
        <w:rPr>
          <w:rStyle w:val="FootnoteReference"/>
        </w:rPr>
        <w:footnoteReference w:id="164"/>
      </w:r>
      <w:r w:rsidRPr="00304B5F">
        <w:rPr>
          <w:rFonts w:eastAsia="Times New Roman" w:hint="cs"/>
          <w:rtl/>
          <w:lang w:eastAsia="en-US"/>
        </w:rPr>
        <w:t xml:space="preserve"> ثم عمد تاجر من ألاسكا إلى ترويج لحم الرنة بديلاً غذائياً. وربط</w:t>
      </w:r>
      <w:r w:rsidRPr="00304B5F">
        <w:rPr>
          <w:rFonts w:eastAsia="Times New Roman" w:hint="eastAsia"/>
          <w:rtl/>
          <w:lang w:eastAsia="en-US"/>
        </w:rPr>
        <w:t> </w:t>
      </w:r>
      <w:r w:rsidRPr="00304B5F">
        <w:rPr>
          <w:rFonts w:eastAsia="Times New Roman" w:hint="cs"/>
          <w:rtl/>
          <w:lang w:eastAsia="en-US"/>
        </w:rPr>
        <w:t xml:space="preserve">أسطورة القديس نيقولاس بالرنة بمساعدة متاجر </w:t>
      </w:r>
      <w:r w:rsidRPr="00304B5F">
        <w:rPr>
          <w:rFonts w:eastAsia="Times New Roman"/>
          <w:lang w:eastAsia="en-US"/>
        </w:rPr>
        <w:t>Macy’s</w:t>
      </w:r>
      <w:r w:rsidRPr="00304B5F">
        <w:rPr>
          <w:rFonts w:eastAsia="Times New Roman" w:hint="cs"/>
          <w:rtl/>
          <w:lang w:eastAsia="en-US"/>
        </w:rPr>
        <w:t xml:space="preserve"> عن طريق عروض ومواكب تظهر باب نويل على ظهر مزلقة تجرها رنة.</w:t>
      </w:r>
      <w:r w:rsidRPr="00E20B98">
        <w:rPr>
          <w:rStyle w:val="FootnoteReference"/>
        </w:rPr>
        <w:footnoteReference w:id="165"/>
      </w:r>
      <w:r w:rsidRPr="00304B5F">
        <w:rPr>
          <w:rFonts w:eastAsia="Times New Roman" w:hint="cs"/>
          <w:rtl/>
          <w:lang w:eastAsia="en-US"/>
        </w:rPr>
        <w:t xml:space="preserve"> أما الرنة رودولف، فقد دخل الأسطورة بعد سنوات عديدة في كتاب تلوين.</w:t>
      </w:r>
      <w:r w:rsidRPr="00E20B98">
        <w:rPr>
          <w:rStyle w:val="FootnoteReference"/>
        </w:rPr>
        <w:footnoteReference w:id="166"/>
      </w:r>
      <w:r w:rsidRPr="00304B5F">
        <w:rPr>
          <w:rFonts w:eastAsia="Times New Roman" w:hint="cs"/>
          <w:rtl/>
          <w:lang w:eastAsia="en-US"/>
        </w:rPr>
        <w:t xml:space="preserve"> وتظهر شخصية بابا نويل اليوم في عدد لا حصر له من المصنفات الأدبية والموسيقية والمرئية والسينمائية.</w:t>
      </w:r>
      <w:r w:rsidRPr="00E20B98">
        <w:rPr>
          <w:rStyle w:val="FootnoteReference"/>
        </w:rPr>
        <w:footnoteReference w:id="167"/>
      </w:r>
      <w:r w:rsidRPr="00304B5F">
        <w:rPr>
          <w:rFonts w:eastAsia="Times New Roman" w:hint="cs"/>
          <w:rtl/>
          <w:lang w:eastAsia="en-US"/>
        </w:rPr>
        <w:t xml:space="preserve"> وصور بابا نويل وزيه منتشران في العديد من التقاليد الأسرية والمجتمعية فضلاً عن الثقافة التجارية والشعبية المعاصرة في جميع أنحاء العالم.</w:t>
      </w:r>
      <w:r w:rsidRPr="00E20B98">
        <w:rPr>
          <w:rStyle w:val="FootnoteReference"/>
        </w:rPr>
        <w:footnoteReference w:id="168"/>
      </w:r>
    </w:p>
    <w:p w:rsidR="00304B5F" w:rsidRPr="00304B5F" w:rsidRDefault="00304B5F" w:rsidP="00D53424">
      <w:pPr>
        <w:keepLines/>
        <w:spacing w:after="240" w:line="360" w:lineRule="exact"/>
        <w:rPr>
          <w:rFonts w:eastAsia="Times New Roman"/>
          <w:rtl/>
          <w:lang w:eastAsia="en-US"/>
        </w:rPr>
      </w:pPr>
      <w:r w:rsidRPr="00304B5F">
        <w:rPr>
          <w:rFonts w:eastAsia="Times New Roman" w:hint="cs"/>
          <w:b/>
          <w:bCs/>
          <w:rtl/>
          <w:lang w:eastAsia="en-US"/>
        </w:rPr>
        <w:lastRenderedPageBreak/>
        <w:t>بيغ فوت/الساسكواتش:</w:t>
      </w:r>
      <w:r w:rsidRPr="00304B5F">
        <w:rPr>
          <w:rFonts w:eastAsia="Times New Roman" w:hint="cs"/>
          <w:rtl/>
          <w:lang w:eastAsia="en-US"/>
        </w:rPr>
        <w:t xml:space="preserve"> ذو القدم الكبير أو بيغ فوت كما يُعرف في الولايات المتحدة أو الساسكواتش كما يُعرف في كندا والولايات المتحدة أو اليتي كما يُعرف في جبال الهيمالايا هو كائن أسطوري مشعر تكوينه نصف إنسان ونصف قرد ويمشي على قدمين وهو أكبر بكثير من الإنسان والغوريلا.</w:t>
      </w:r>
      <w:r w:rsidRPr="00E20B98">
        <w:rPr>
          <w:rStyle w:val="FootnoteReference"/>
        </w:rPr>
        <w:footnoteReference w:id="169"/>
      </w:r>
      <w:r w:rsidRPr="00304B5F">
        <w:rPr>
          <w:rFonts w:eastAsia="Times New Roman" w:hint="cs"/>
          <w:rtl/>
          <w:lang w:eastAsia="en-US"/>
        </w:rPr>
        <w:t xml:space="preserve"> وبناء على المشاهدات المزعومة لذلك الكائن الغامض، يرجح أن تكون فكرة ذلك الكائن الأسطوري مستمدة من القرد العملاق </w:t>
      </w:r>
      <w:r w:rsidRPr="00304B5F">
        <w:rPr>
          <w:rFonts w:eastAsia="Times New Roman"/>
          <w:i/>
          <w:iCs/>
          <w:lang w:eastAsia="en-US"/>
        </w:rPr>
        <w:t>Gigantopithecus blacki</w:t>
      </w:r>
      <w:r w:rsidRPr="00304B5F">
        <w:rPr>
          <w:rFonts w:eastAsia="Times New Roman" w:hint="cs"/>
          <w:rtl/>
          <w:lang w:eastAsia="en-US"/>
        </w:rPr>
        <w:t xml:space="preserve"> الذي ترجح الأدلة أنه انقرض منذ </w:t>
      </w:r>
      <w:r w:rsidR="00D53424">
        <w:rPr>
          <w:rFonts w:eastAsia="Times New Roman" w:hint="cs"/>
          <w:rtl/>
          <w:lang w:eastAsia="en-US"/>
        </w:rPr>
        <w:t>000 300</w:t>
      </w:r>
      <w:r w:rsidRPr="00304B5F">
        <w:rPr>
          <w:rFonts w:eastAsia="Times New Roman" w:hint="cs"/>
          <w:rtl/>
          <w:lang w:eastAsia="en-US"/>
        </w:rPr>
        <w:t>عام تقريباً.</w:t>
      </w:r>
      <w:r w:rsidRPr="00E20B98">
        <w:rPr>
          <w:rStyle w:val="FootnoteReference"/>
        </w:rPr>
        <w:footnoteReference w:id="170"/>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الشخصيات الأسطورية الأمريكية</w:t>
      </w:r>
      <w:r w:rsidRPr="00304B5F">
        <w:rPr>
          <w:rFonts w:eastAsia="Times New Roman" w:hint="cs"/>
          <w:rtl/>
          <w:lang w:eastAsia="en-US"/>
        </w:rPr>
        <w:t xml:space="preserve">: تزخر ثقافة الفولكلور الأمريكية بأمثلة عديدة لشخصيات أسطورية. ومن أبرز تلك الشخصيات </w:t>
      </w:r>
      <w:r w:rsidRPr="00304B5F">
        <w:rPr>
          <w:rFonts w:eastAsia="Times New Roman" w:hint="cs"/>
          <w:b/>
          <w:bCs/>
          <w:rtl/>
          <w:lang w:eastAsia="en-US"/>
        </w:rPr>
        <w:t>دانييل بون</w:t>
      </w:r>
      <w:r w:rsidRPr="00304B5F">
        <w:rPr>
          <w:rFonts w:eastAsia="Times New Roman" w:hint="cs"/>
          <w:rtl/>
          <w:lang w:eastAsia="en-US"/>
        </w:rPr>
        <w:t xml:space="preserve"> (الرائد</w:t>
      </w:r>
      <w:r w:rsidRPr="00304B5F">
        <w:rPr>
          <w:rFonts w:eastAsia="Times New Roman" w:hint="eastAsia"/>
          <w:rtl/>
          <w:lang w:eastAsia="en-US"/>
        </w:rPr>
        <w:t> </w:t>
      </w:r>
      <w:r w:rsidRPr="00304B5F">
        <w:rPr>
          <w:rFonts w:eastAsia="Times New Roman" w:hint="cs"/>
          <w:rtl/>
          <w:lang w:eastAsia="en-US"/>
        </w:rPr>
        <w:t>والمستكشف والخشَّاب الذي أدت إنجازاته على الحدود الأمريكية في أواخر القرن الثامن عشر وأوائل القرن التاسع عشر إلى أن يصبح من أوائل أبطال الفولكلور في الولايات المتحدة)؛</w:t>
      </w:r>
      <w:r w:rsidRPr="00E20B98">
        <w:rPr>
          <w:rStyle w:val="FootnoteReference"/>
        </w:rPr>
        <w:footnoteReference w:id="171"/>
      </w:r>
      <w:r w:rsidRPr="00304B5F">
        <w:rPr>
          <w:rFonts w:eastAsia="Times New Roman" w:hint="cs"/>
          <w:rtl/>
          <w:lang w:eastAsia="en-US"/>
        </w:rPr>
        <w:t xml:space="preserve"> و</w:t>
      </w:r>
      <w:r w:rsidRPr="00304B5F">
        <w:rPr>
          <w:rFonts w:eastAsia="Times New Roman" w:hint="cs"/>
          <w:b/>
          <w:bCs/>
          <w:rtl/>
          <w:lang w:eastAsia="en-US"/>
        </w:rPr>
        <w:t xml:space="preserve">جوني أبلسيد </w:t>
      </w:r>
      <w:r w:rsidRPr="00304B5F">
        <w:rPr>
          <w:rFonts w:eastAsia="Times New Roman" w:hint="cs"/>
          <w:rtl/>
          <w:lang w:eastAsia="en-US"/>
        </w:rPr>
        <w:t>(الممرض الرائد الذي أدخل شجر التفاح إلى الولايات الواقعة في وسط وغرب الولايات المتحدة في أواخر القرن الثامن عشر وأوائل القرن التاسع عشر)؛</w:t>
      </w:r>
      <w:r w:rsidRPr="00E20B98">
        <w:rPr>
          <w:rStyle w:val="FootnoteReference"/>
        </w:rPr>
        <w:footnoteReference w:id="172"/>
      </w:r>
      <w:r w:rsidRPr="00304B5F">
        <w:rPr>
          <w:rFonts w:eastAsia="Times New Roman" w:hint="cs"/>
          <w:rtl/>
          <w:lang w:eastAsia="en-US"/>
        </w:rPr>
        <w:t xml:space="preserve"> و</w:t>
      </w:r>
      <w:r w:rsidRPr="00304B5F">
        <w:rPr>
          <w:rFonts w:eastAsia="Times New Roman" w:hint="cs"/>
          <w:b/>
          <w:bCs/>
          <w:rtl/>
          <w:lang w:eastAsia="en-US"/>
        </w:rPr>
        <w:t xml:space="preserve">ديفي كروكيت </w:t>
      </w:r>
      <w:r w:rsidRPr="00304B5F">
        <w:rPr>
          <w:rFonts w:eastAsia="Times New Roman" w:hint="cs"/>
          <w:rtl/>
          <w:lang w:eastAsia="en-US"/>
        </w:rPr>
        <w:t>(الجندي والسياسي وساكن الحدود الذي أصبح "ملك الحدود البرية" في النصف الأول من القرن التاسع عشر).</w:t>
      </w:r>
      <w:r w:rsidRPr="00E20B98">
        <w:rPr>
          <w:rStyle w:val="FootnoteReference"/>
        </w:rPr>
        <w:footnoteReference w:id="173"/>
      </w:r>
    </w:p>
    <w:p w:rsidR="00304B5F" w:rsidRPr="00304B5F" w:rsidRDefault="00304B5F" w:rsidP="00304B5F">
      <w:pPr>
        <w:keepNext/>
        <w:spacing w:before="240" w:after="240" w:line="400" w:lineRule="exact"/>
        <w:outlineLvl w:val="0"/>
        <w:rPr>
          <w:b/>
          <w:rtl/>
          <w:lang w:bidi="ar-EG"/>
        </w:rPr>
      </w:pPr>
      <w:r w:rsidRPr="00304B5F">
        <w:rPr>
          <w:rFonts w:hint="cs"/>
          <w:bCs/>
          <w:rtl/>
          <w:lang w:bidi="ar-EG"/>
        </w:rPr>
        <w:t>ثالثا.</w:t>
      </w:r>
      <w:r w:rsidRPr="00304B5F">
        <w:rPr>
          <w:bCs/>
          <w:rtl/>
          <w:lang w:bidi="ar-EG"/>
        </w:rPr>
        <w:tab/>
      </w:r>
      <w:r w:rsidRPr="00304B5F">
        <w:rPr>
          <w:rFonts w:hint="cs"/>
          <w:bCs/>
          <w:rtl/>
          <w:lang w:bidi="ar-EG"/>
        </w:rPr>
        <w:t>الخاتمة</w:t>
      </w:r>
    </w:p>
    <w:p w:rsidR="00304B5F" w:rsidRPr="00304B5F" w:rsidRDefault="00304B5F" w:rsidP="00304B5F">
      <w:pPr>
        <w:spacing w:after="240" w:line="360" w:lineRule="exact"/>
        <w:rPr>
          <w:rFonts w:eastAsia="Times New Roman"/>
          <w:rtl/>
          <w:lang w:bidi="ar-EG"/>
        </w:rPr>
      </w:pPr>
      <w:r w:rsidRPr="00304B5F">
        <w:rPr>
          <w:rFonts w:eastAsia="Times New Roman" w:hint="cs"/>
          <w:rtl/>
          <w:lang w:bidi="ar-EG"/>
        </w:rPr>
        <w:t>الغرض من هذه الورقة هو المضي قدماً في عمل لجنة المعارف التقليدية بتحديد أمثلة في الولايات المتحدة وثقافات أخرى قد</w:t>
      </w:r>
      <w:r w:rsidRPr="00304B5F">
        <w:rPr>
          <w:rFonts w:eastAsia="Times New Roman" w:hint="eastAsia"/>
          <w:rtl/>
          <w:lang w:bidi="ar-EG"/>
        </w:rPr>
        <w:t> </w:t>
      </w:r>
      <w:r w:rsidRPr="00304B5F">
        <w:rPr>
          <w:rFonts w:eastAsia="Times New Roman" w:hint="cs"/>
          <w:rtl/>
          <w:lang w:bidi="ar-EG"/>
        </w:rPr>
        <w:t>تدخل في عداد أشكال التعبير الثقافي التقليدي. وندعو أعضاء آخرين إلى التعليق على الأمثلة الواردة في هذه الورقة وتحديد</w:t>
      </w:r>
      <w:r w:rsidRPr="00304B5F">
        <w:rPr>
          <w:rFonts w:eastAsia="Times New Roman" w:hint="eastAsia"/>
          <w:rtl/>
          <w:lang w:bidi="ar-EG"/>
        </w:rPr>
        <w:t> </w:t>
      </w:r>
      <w:r w:rsidRPr="00304B5F">
        <w:rPr>
          <w:rFonts w:eastAsia="Times New Roman" w:hint="cs"/>
          <w:rtl/>
          <w:lang w:bidi="ar-EG"/>
        </w:rPr>
        <w:t>أمثلة أخرى للمناقشة.</w:t>
      </w:r>
    </w:p>
    <w:p w:rsidR="005B01D9" w:rsidRPr="00304B5F" w:rsidRDefault="005B01D9" w:rsidP="005B01D9">
      <w:pPr>
        <w:pStyle w:val="BodyText"/>
        <w:rPr>
          <w:rtl/>
        </w:rPr>
      </w:pPr>
    </w:p>
    <w:p w:rsidR="00FE339E" w:rsidRPr="00304B5F" w:rsidRDefault="005B01D9" w:rsidP="005B01D9">
      <w:pPr>
        <w:pStyle w:val="Endofdocument-Annex"/>
        <w:rPr>
          <w:rtl/>
        </w:rPr>
      </w:pPr>
      <w:r w:rsidRPr="00304B5F">
        <w:rPr>
          <w:rFonts w:hint="cs"/>
          <w:rtl/>
        </w:rPr>
        <w:t>[نهاية المرفق والوثيقة]</w:t>
      </w:r>
    </w:p>
    <w:sectPr w:rsidR="00FE339E" w:rsidRPr="00304B5F" w:rsidSect="00304B5F">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4FF" w:rsidRDefault="00AC44FF">
      <w:r>
        <w:separator/>
      </w:r>
    </w:p>
    <w:p w:rsidR="00AC44FF" w:rsidRDefault="00AC44FF"/>
  </w:endnote>
  <w:endnote w:type="continuationSeparator" w:id="0">
    <w:p w:rsidR="00AC44FF" w:rsidRDefault="00AC44FF" w:rsidP="003B38C1">
      <w:r>
        <w:separator/>
      </w:r>
    </w:p>
    <w:p w:rsidR="00AC44FF" w:rsidRPr="003B38C1" w:rsidRDefault="00AC44FF" w:rsidP="003B38C1">
      <w:pPr>
        <w:spacing w:after="60"/>
        <w:rPr>
          <w:sz w:val="17"/>
        </w:rPr>
      </w:pPr>
      <w:r>
        <w:rPr>
          <w:sz w:val="17"/>
        </w:rPr>
        <w:t>[Endnote continued from previous page]</w:t>
      </w:r>
    </w:p>
    <w:p w:rsidR="00AC44FF" w:rsidRDefault="00AC44FF"/>
  </w:endnote>
  <w:endnote w:type="continuationNotice" w:id="1">
    <w:p w:rsidR="00AC44FF" w:rsidRPr="003B38C1" w:rsidRDefault="00AC44FF" w:rsidP="003B38C1">
      <w:pPr>
        <w:spacing w:before="60"/>
        <w:jc w:val="right"/>
        <w:rPr>
          <w:sz w:val="17"/>
          <w:szCs w:val="17"/>
        </w:rPr>
      </w:pPr>
      <w:r w:rsidRPr="003B38C1">
        <w:rPr>
          <w:sz w:val="17"/>
          <w:szCs w:val="17"/>
        </w:rPr>
        <w:t>[Endnote continued on next page]</w:t>
      </w:r>
    </w:p>
    <w:p w:rsidR="00AC44FF" w:rsidRDefault="00AC44FF"/>
    <w:p w:rsidR="00AC44FF" w:rsidRDefault="00AC44FF">
      <w:r>
        <w:rPr>
          <w:caps/>
        </w:rPr>
        <w: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4FF" w:rsidRDefault="00AC44FF">
      <w:r>
        <w:separator/>
      </w:r>
    </w:p>
    <w:p w:rsidR="00AC44FF" w:rsidRDefault="00AC44FF"/>
  </w:footnote>
  <w:footnote w:type="continuationSeparator" w:id="0">
    <w:p w:rsidR="00AC44FF" w:rsidRDefault="00AC44FF" w:rsidP="008B60B2">
      <w:r>
        <w:separator/>
      </w:r>
    </w:p>
    <w:p w:rsidR="00AC44FF" w:rsidRPr="00ED77FB" w:rsidRDefault="00AC44FF" w:rsidP="008B60B2">
      <w:pPr>
        <w:spacing w:after="60"/>
        <w:rPr>
          <w:sz w:val="17"/>
          <w:szCs w:val="17"/>
        </w:rPr>
      </w:pPr>
      <w:r w:rsidRPr="00ED77FB">
        <w:rPr>
          <w:sz w:val="17"/>
          <w:szCs w:val="17"/>
        </w:rPr>
        <w:t>[Footnote continued from previous page]</w:t>
      </w:r>
    </w:p>
    <w:p w:rsidR="00AC44FF" w:rsidRDefault="00AC44FF"/>
  </w:footnote>
  <w:footnote w:type="continuationNotice" w:id="1">
    <w:p w:rsidR="00AC44FF" w:rsidRPr="00ED77FB" w:rsidRDefault="00AC44FF" w:rsidP="008B60B2">
      <w:pPr>
        <w:spacing w:before="60"/>
        <w:jc w:val="right"/>
        <w:rPr>
          <w:sz w:val="17"/>
          <w:szCs w:val="17"/>
        </w:rPr>
      </w:pPr>
      <w:r w:rsidRPr="00ED77FB">
        <w:rPr>
          <w:sz w:val="17"/>
          <w:szCs w:val="17"/>
        </w:rPr>
        <w:t>[Footnote continued on next page]</w:t>
      </w:r>
    </w:p>
    <w:p w:rsidR="00AC44FF" w:rsidRDefault="00AC44FF"/>
  </w:footnote>
  <w:footnote w:id="2">
    <w:p w:rsidR="00304B5F" w:rsidRDefault="00304B5F" w:rsidP="00304B5F">
      <w:pPr>
        <w:pStyle w:val="FootnoteText"/>
      </w:pPr>
      <w:r w:rsidRPr="00E20B98">
        <w:rPr>
          <w:rStyle w:val="FootnoteReference"/>
        </w:rPr>
        <w:footnoteRef/>
      </w:r>
      <w:r>
        <w:rPr>
          <w:rtl/>
        </w:rPr>
        <w:t xml:space="preserve"> </w:t>
      </w:r>
      <w:r>
        <w:rPr>
          <w:rFonts w:hint="cs"/>
          <w:rtl/>
        </w:rPr>
        <w:t>في مشروع المواد الوارد في الوثيقة</w:t>
      </w:r>
      <w:r>
        <w:rPr>
          <w:rFonts w:hint="eastAsia"/>
          <w:rtl/>
        </w:rPr>
        <w:t> </w:t>
      </w:r>
      <w:r w:rsidRPr="004976FD">
        <w:t>WIPO/GRTKF/33/4</w:t>
      </w:r>
      <w:r>
        <w:rPr>
          <w:rFonts w:hint="cs"/>
          <w:rtl/>
        </w:rPr>
        <w:t>، تُعرّف أشكال التعبير الثقافي التقليدي عموما بأنها "</w:t>
      </w:r>
      <w:r w:rsidRPr="004976FD">
        <w:rPr>
          <w:rFonts w:cs="Arial"/>
          <w:sz w:val="22"/>
          <w:szCs w:val="20"/>
          <w:rtl/>
        </w:rPr>
        <w:t xml:space="preserve"> </w:t>
      </w:r>
      <w:r w:rsidRPr="004976FD">
        <w:rPr>
          <w:rtl/>
        </w:rPr>
        <w:t>أي</w:t>
      </w:r>
      <w:r w:rsidRPr="004976FD">
        <w:rPr>
          <w:rFonts w:hint="cs"/>
          <w:rtl/>
        </w:rPr>
        <w:t xml:space="preserve"> أشكال ملموسة أو غير ملموسة لل</w:t>
      </w:r>
      <w:r w:rsidRPr="004976FD">
        <w:rPr>
          <w:rtl/>
        </w:rPr>
        <w:t>تعبير [الفني والأدبي]</w:t>
      </w:r>
      <w:r w:rsidRPr="004976FD">
        <w:rPr>
          <w:rFonts w:hint="cs"/>
          <w:rtl/>
        </w:rPr>
        <w:t xml:space="preserve"> أو [والإبداعي أو غيره من التعبير الروحي]، أو أي تشكيلة منها، مثل أشكال التعبير بالحركة</w:t>
      </w:r>
      <w:r w:rsidRPr="00E20B98">
        <w:rPr>
          <w:rStyle w:val="FootnoteReference"/>
          <w:rtl/>
        </w:rPr>
        <w:footnoteRef/>
      </w:r>
      <w:r w:rsidRPr="004976FD">
        <w:rPr>
          <w:rFonts w:hint="cs"/>
          <w:rtl/>
        </w:rPr>
        <w:t>، وأشكال التعبير المادي، والموسيقي والصوتي</w:t>
      </w:r>
      <w:r w:rsidRPr="00E20B98">
        <w:rPr>
          <w:rStyle w:val="FootnoteReference"/>
          <w:rtl/>
        </w:rPr>
        <w:footnoteRef/>
      </w:r>
      <w:r w:rsidRPr="004976FD">
        <w:rPr>
          <w:rFonts w:hint="cs"/>
          <w:rtl/>
        </w:rPr>
        <w:t>، وأشكال التعبير اللفظي</w:t>
      </w:r>
      <w:r>
        <w:rPr>
          <w:rFonts w:hint="cs"/>
          <w:rtl/>
        </w:rPr>
        <w:t xml:space="preserve"> </w:t>
      </w:r>
      <w:r w:rsidRPr="004976FD">
        <w:rPr>
          <w:rFonts w:hint="cs"/>
          <w:rtl/>
        </w:rPr>
        <w:t xml:space="preserve">والمدوّن [وتحويراتها]، </w:t>
      </w:r>
      <w:r w:rsidRPr="004976FD">
        <w:rPr>
          <w:rtl/>
        </w:rPr>
        <w:t>أيا كان الشكل الذي تعبَّر فيه أو تتجلى فيه أو تجسَّد فيه</w:t>
      </w:r>
      <w:r w:rsidRPr="004976FD">
        <w:rPr>
          <w:rFonts w:hint="cs"/>
          <w:rtl/>
        </w:rPr>
        <w:t xml:space="preserve"> [التي يمكن أن توجد في أشكال مدوّنة/مقنّنة أو شفهية أو في أي شكل آخر].</w:t>
      </w:r>
      <w:r>
        <w:rPr>
          <w:rFonts w:hint="cs"/>
          <w:rtl/>
        </w:rPr>
        <w:t>" (حُذفت الإشارات المرجعية الداخلية).</w:t>
      </w:r>
    </w:p>
  </w:footnote>
  <w:footnote w:id="3">
    <w:p w:rsidR="00304B5F" w:rsidRPr="000A69B5" w:rsidRDefault="00304B5F" w:rsidP="00304B5F">
      <w:pPr>
        <w:pStyle w:val="FootnoteText"/>
        <w:bidi w:val="0"/>
      </w:pPr>
      <w:r w:rsidRPr="00E20B98">
        <w:rPr>
          <w:rStyle w:val="FootnoteReference"/>
        </w:rPr>
        <w:footnoteRef/>
      </w:r>
      <w:r>
        <w:rPr>
          <w:rtl/>
        </w:rPr>
        <w:t xml:space="preserve"> </w:t>
      </w:r>
      <w:r w:rsidRPr="000A69B5">
        <w:t xml:space="preserve">Farrell, Maureen, Forbes, </w:t>
      </w:r>
      <w:r w:rsidRPr="000A69B5">
        <w:rPr>
          <w:i/>
        </w:rPr>
        <w:t xml:space="preserve">Bikram Yoga’s New Twists, </w:t>
      </w:r>
      <w:r w:rsidRPr="000A69B5">
        <w:t xml:space="preserve">available at </w:t>
      </w:r>
      <w:r w:rsidRPr="000A69B5">
        <w:rPr>
          <w:u w:val="single"/>
        </w:rPr>
        <w:t>http://www.forbes.com/forbes/2009/0921/entrepreneurs-franchising-bikram-yoga-new-twists.html</w:t>
      </w:r>
      <w:r w:rsidRPr="000A69B5">
        <w:t xml:space="preserve"> (last visited Feb.</w:t>
      </w:r>
    </w:p>
    <w:p w:rsidR="00304B5F" w:rsidRPr="00236E78" w:rsidRDefault="00304B5F" w:rsidP="00304B5F">
      <w:pPr>
        <w:pStyle w:val="FootnoteText"/>
        <w:bidi w:val="0"/>
      </w:pPr>
      <w:r w:rsidRPr="000A69B5">
        <w:t>5, 2017).</w:t>
      </w:r>
    </w:p>
  </w:footnote>
  <w:footnote w:id="4">
    <w:p w:rsidR="00304B5F" w:rsidRPr="00236E78" w:rsidRDefault="00304B5F" w:rsidP="00304B5F">
      <w:pPr>
        <w:pStyle w:val="FootnoteText"/>
        <w:bidi w:val="0"/>
      </w:pPr>
      <w:r w:rsidRPr="00E20B98">
        <w:rPr>
          <w:rStyle w:val="FootnoteReference"/>
        </w:rPr>
        <w:footnoteRef/>
      </w:r>
      <w:r w:rsidRPr="00236E78">
        <w:rPr>
          <w:rtl/>
        </w:rPr>
        <w:t xml:space="preserve"> </w:t>
      </w:r>
      <w:r w:rsidRPr="00774AF1">
        <w:t>De</w:t>
      </w:r>
      <w:r w:rsidRPr="00774AF1">
        <w:rPr>
          <w:spacing w:val="-1"/>
        </w:rPr>
        <w:t>s</w:t>
      </w:r>
      <w:r w:rsidRPr="00774AF1">
        <w:rPr>
          <w:spacing w:val="1"/>
        </w:rPr>
        <w:t>pr</w:t>
      </w:r>
      <w:r w:rsidRPr="00774AF1">
        <w:t>e</w:t>
      </w:r>
      <w:r w:rsidRPr="00774AF1">
        <w:rPr>
          <w:spacing w:val="-1"/>
        </w:rPr>
        <w:t>s</w:t>
      </w:r>
      <w:r w:rsidRPr="00774AF1">
        <w:t>,</w:t>
      </w:r>
      <w:r w:rsidRPr="00774AF1">
        <w:rPr>
          <w:spacing w:val="-6"/>
        </w:rPr>
        <w:t xml:space="preserve"> </w:t>
      </w:r>
      <w:r w:rsidRPr="00774AF1">
        <w:rPr>
          <w:spacing w:val="-2"/>
        </w:rPr>
        <w:t>L</w:t>
      </w:r>
      <w:r w:rsidRPr="00774AF1">
        <w:rPr>
          <w:spacing w:val="1"/>
        </w:rPr>
        <w:t>or</w:t>
      </w:r>
      <w:r w:rsidRPr="00774AF1">
        <w:t>ai</w:t>
      </w:r>
      <w:r w:rsidRPr="00774AF1">
        <w:rPr>
          <w:spacing w:val="-1"/>
        </w:rPr>
        <w:t>n</w:t>
      </w:r>
      <w:r w:rsidRPr="00774AF1">
        <w:t>e,</w:t>
      </w:r>
      <w:r w:rsidRPr="00774AF1">
        <w:rPr>
          <w:spacing w:val="-6"/>
        </w:rPr>
        <w:t xml:space="preserve"> </w:t>
      </w:r>
      <w:r w:rsidRPr="00774AF1">
        <w:t>Y</w:t>
      </w:r>
      <w:r w:rsidRPr="00774AF1">
        <w:rPr>
          <w:spacing w:val="1"/>
        </w:rPr>
        <w:t>o</w:t>
      </w:r>
      <w:r w:rsidRPr="00774AF1">
        <w:rPr>
          <w:spacing w:val="-1"/>
        </w:rPr>
        <w:t>g</w:t>
      </w:r>
      <w:r w:rsidRPr="00774AF1">
        <w:t>a</w:t>
      </w:r>
      <w:r w:rsidRPr="00774AF1">
        <w:rPr>
          <w:spacing w:val="-3"/>
        </w:rPr>
        <w:t xml:space="preserve"> </w:t>
      </w:r>
      <w:r w:rsidRPr="00774AF1">
        <w:rPr>
          <w:spacing w:val="2"/>
        </w:rPr>
        <w:t>J</w:t>
      </w:r>
      <w:r w:rsidRPr="00774AF1">
        <w:rPr>
          <w:spacing w:val="1"/>
        </w:rPr>
        <w:t>o</w:t>
      </w:r>
      <w:r w:rsidRPr="00774AF1">
        <w:rPr>
          <w:spacing w:val="-1"/>
        </w:rPr>
        <w:t>u</w:t>
      </w:r>
      <w:r w:rsidRPr="00774AF1">
        <w:rPr>
          <w:spacing w:val="1"/>
        </w:rPr>
        <w:t>rn</w:t>
      </w:r>
      <w:r w:rsidRPr="00774AF1">
        <w:t>al,</w:t>
      </w:r>
      <w:r w:rsidRPr="00774AF1">
        <w:rPr>
          <w:spacing w:val="-5"/>
        </w:rPr>
        <w:t xml:space="preserve"> </w:t>
      </w:r>
      <w:r w:rsidRPr="00774AF1">
        <w:rPr>
          <w:i/>
        </w:rPr>
        <w:t>Y</w:t>
      </w:r>
      <w:r w:rsidRPr="00774AF1">
        <w:rPr>
          <w:i/>
          <w:spacing w:val="1"/>
        </w:rPr>
        <w:t>oga’</w:t>
      </w:r>
      <w:r w:rsidRPr="00774AF1">
        <w:rPr>
          <w:i/>
        </w:rPr>
        <w:t>s</w:t>
      </w:r>
      <w:r w:rsidRPr="00774AF1">
        <w:rPr>
          <w:i/>
          <w:spacing w:val="-6"/>
        </w:rPr>
        <w:t xml:space="preserve"> </w:t>
      </w:r>
      <w:r w:rsidRPr="00774AF1">
        <w:rPr>
          <w:i/>
          <w:spacing w:val="1"/>
        </w:rPr>
        <w:t>B</w:t>
      </w:r>
      <w:r w:rsidRPr="00774AF1">
        <w:rPr>
          <w:i/>
          <w:spacing w:val="-1"/>
        </w:rPr>
        <w:t>a</w:t>
      </w:r>
      <w:r w:rsidRPr="00774AF1">
        <w:rPr>
          <w:i/>
        </w:rPr>
        <w:t>d</w:t>
      </w:r>
      <w:r w:rsidRPr="00774AF1">
        <w:rPr>
          <w:i/>
          <w:spacing w:val="-1"/>
        </w:rPr>
        <w:t xml:space="preserve"> </w:t>
      </w:r>
      <w:r w:rsidRPr="00774AF1">
        <w:rPr>
          <w:i/>
          <w:spacing w:val="1"/>
        </w:rPr>
        <w:t>Bo</w:t>
      </w:r>
      <w:r w:rsidRPr="00774AF1">
        <w:rPr>
          <w:i/>
        </w:rPr>
        <w:t>y:</w:t>
      </w:r>
      <w:r w:rsidRPr="00774AF1">
        <w:rPr>
          <w:i/>
          <w:spacing w:val="-5"/>
        </w:rPr>
        <w:t xml:space="preserve"> </w:t>
      </w:r>
      <w:r w:rsidRPr="00774AF1">
        <w:rPr>
          <w:i/>
          <w:spacing w:val="1"/>
        </w:rPr>
        <w:t>B</w:t>
      </w:r>
      <w:r w:rsidRPr="00774AF1">
        <w:rPr>
          <w:i/>
        </w:rPr>
        <w:t>ik</w:t>
      </w:r>
      <w:r w:rsidRPr="00774AF1">
        <w:rPr>
          <w:i/>
          <w:spacing w:val="-1"/>
        </w:rPr>
        <w:t>r</w:t>
      </w:r>
      <w:r w:rsidRPr="00774AF1">
        <w:rPr>
          <w:i/>
          <w:spacing w:val="1"/>
        </w:rPr>
        <w:t>a</w:t>
      </w:r>
      <w:r w:rsidRPr="00774AF1">
        <w:rPr>
          <w:i/>
        </w:rPr>
        <w:t>m</w:t>
      </w:r>
      <w:r w:rsidRPr="00774AF1">
        <w:rPr>
          <w:i/>
          <w:spacing w:val="-5"/>
        </w:rPr>
        <w:t xml:space="preserve"> </w:t>
      </w:r>
      <w:r w:rsidRPr="00774AF1">
        <w:rPr>
          <w:i/>
          <w:spacing w:val="-1"/>
        </w:rPr>
        <w:t>C</w:t>
      </w:r>
      <w:r w:rsidRPr="00774AF1">
        <w:rPr>
          <w:i/>
          <w:spacing w:val="1"/>
        </w:rPr>
        <w:t>hou</w:t>
      </w:r>
      <w:r w:rsidRPr="00774AF1">
        <w:rPr>
          <w:i/>
          <w:spacing w:val="-1"/>
        </w:rPr>
        <w:t>d</w:t>
      </w:r>
      <w:r w:rsidRPr="00774AF1">
        <w:rPr>
          <w:i/>
          <w:spacing w:val="1"/>
        </w:rPr>
        <w:t>hu</w:t>
      </w:r>
      <w:r w:rsidRPr="00774AF1">
        <w:rPr>
          <w:i/>
          <w:spacing w:val="-1"/>
        </w:rPr>
        <w:t>r</w:t>
      </w:r>
      <w:r w:rsidRPr="00774AF1">
        <w:rPr>
          <w:i/>
        </w:rPr>
        <w:t>y,</w:t>
      </w:r>
      <w:r w:rsidRPr="00774AF1">
        <w:rPr>
          <w:i/>
          <w:spacing w:val="-8"/>
        </w:rPr>
        <w:t xml:space="preserve"> </w:t>
      </w:r>
      <w:r w:rsidRPr="00774AF1">
        <w:t>a</w:t>
      </w:r>
      <w:r w:rsidRPr="00774AF1">
        <w:rPr>
          <w:spacing w:val="-1"/>
        </w:rPr>
        <w:t>v</w:t>
      </w:r>
      <w:r w:rsidRPr="00774AF1">
        <w:t>aila</w:t>
      </w:r>
      <w:r w:rsidRPr="00774AF1">
        <w:rPr>
          <w:spacing w:val="1"/>
        </w:rPr>
        <w:t>b</w:t>
      </w:r>
      <w:r w:rsidRPr="00774AF1">
        <w:t>le</w:t>
      </w:r>
      <w:r w:rsidRPr="00774AF1">
        <w:rPr>
          <w:spacing w:val="-6"/>
        </w:rPr>
        <w:t xml:space="preserve"> </w:t>
      </w:r>
      <w:r w:rsidRPr="00774AF1">
        <w:t xml:space="preserve">at </w:t>
      </w:r>
      <w:r w:rsidRPr="00983A42">
        <w:rPr>
          <w:u w:val="single"/>
        </w:rPr>
        <w:t>http://www.yogajournal.com/article/lifestyle/yoga-s-bad-boy-bikram-choudhury/</w:t>
      </w:r>
      <w:r w:rsidRPr="00774AF1">
        <w:t xml:space="preserve"> </w:t>
      </w:r>
      <w:r w:rsidRPr="00774AF1">
        <w:rPr>
          <w:spacing w:val="1"/>
        </w:rPr>
        <w:t>(</w:t>
      </w:r>
      <w:r w:rsidRPr="00774AF1">
        <w:t>la</w:t>
      </w:r>
      <w:r w:rsidRPr="00774AF1">
        <w:rPr>
          <w:spacing w:val="-1"/>
        </w:rPr>
        <w:t>s</w:t>
      </w:r>
      <w:r w:rsidRPr="00774AF1">
        <w:rPr>
          <w:color w:val="000000"/>
        </w:rPr>
        <w:t xml:space="preserve">t </w:t>
      </w:r>
      <w:r w:rsidRPr="00774AF1">
        <w:rPr>
          <w:color w:val="000000"/>
          <w:spacing w:val="-1"/>
        </w:rPr>
        <w:t>v</w:t>
      </w:r>
      <w:r w:rsidRPr="00774AF1">
        <w:rPr>
          <w:color w:val="000000"/>
          <w:spacing w:val="2"/>
        </w:rPr>
        <w:t>i</w:t>
      </w:r>
      <w:r w:rsidRPr="00774AF1">
        <w:rPr>
          <w:color w:val="000000"/>
          <w:spacing w:val="-1"/>
        </w:rPr>
        <w:t>s</w:t>
      </w:r>
      <w:r w:rsidRPr="00774AF1">
        <w:rPr>
          <w:color w:val="000000"/>
        </w:rPr>
        <w:t>i</w:t>
      </w:r>
      <w:r w:rsidRPr="00774AF1">
        <w:rPr>
          <w:color w:val="000000"/>
          <w:spacing w:val="2"/>
        </w:rPr>
        <w:t>t</w:t>
      </w:r>
      <w:r w:rsidRPr="00774AF1">
        <w:rPr>
          <w:color w:val="000000"/>
        </w:rPr>
        <w:t>ed</w:t>
      </w:r>
      <w:r w:rsidRPr="00774AF1">
        <w:rPr>
          <w:color w:val="000000"/>
          <w:spacing w:val="-3"/>
        </w:rPr>
        <w:t xml:space="preserve"> </w:t>
      </w:r>
      <w:r w:rsidRPr="00774AF1">
        <w:rPr>
          <w:color w:val="000000"/>
        </w:rPr>
        <w:t>Fe</w:t>
      </w:r>
      <w:r w:rsidRPr="00774AF1">
        <w:rPr>
          <w:color w:val="000000"/>
          <w:spacing w:val="1"/>
        </w:rPr>
        <w:t>b</w:t>
      </w:r>
      <w:r w:rsidRPr="00774AF1">
        <w:rPr>
          <w:color w:val="000000"/>
        </w:rPr>
        <w:t>.</w:t>
      </w:r>
      <w:r w:rsidRPr="00774AF1">
        <w:rPr>
          <w:color w:val="000000"/>
          <w:spacing w:val="-3"/>
        </w:rPr>
        <w:t xml:space="preserve"> </w:t>
      </w:r>
      <w:r w:rsidRPr="00774AF1">
        <w:rPr>
          <w:color w:val="000000"/>
          <w:spacing w:val="1"/>
        </w:rPr>
        <w:t>7</w:t>
      </w:r>
      <w:r w:rsidRPr="00774AF1">
        <w:rPr>
          <w:color w:val="000000"/>
        </w:rPr>
        <w:t>,</w:t>
      </w:r>
      <w:r w:rsidRPr="00774AF1">
        <w:rPr>
          <w:color w:val="000000"/>
          <w:spacing w:val="-2"/>
        </w:rPr>
        <w:t xml:space="preserve"> </w:t>
      </w:r>
      <w:r w:rsidRPr="00774AF1">
        <w:rPr>
          <w:color w:val="000000"/>
          <w:spacing w:val="1"/>
        </w:rPr>
        <w:t>20</w:t>
      </w:r>
      <w:r w:rsidRPr="00774AF1">
        <w:rPr>
          <w:color w:val="000000"/>
          <w:spacing w:val="-1"/>
        </w:rPr>
        <w:t>1</w:t>
      </w:r>
      <w:r w:rsidRPr="00774AF1">
        <w:rPr>
          <w:color w:val="000000"/>
          <w:spacing w:val="1"/>
        </w:rPr>
        <w:t>7)</w:t>
      </w:r>
      <w:r w:rsidRPr="00774AF1">
        <w:rPr>
          <w:color w:val="000000"/>
        </w:rPr>
        <w:t>.</w:t>
      </w:r>
    </w:p>
  </w:footnote>
  <w:footnote w:id="5">
    <w:p w:rsidR="00304B5F" w:rsidRDefault="00304B5F" w:rsidP="00304B5F">
      <w:pPr>
        <w:pStyle w:val="FootnoteText"/>
        <w:bidi w:val="0"/>
      </w:pPr>
      <w:r w:rsidRPr="00E20B98">
        <w:rPr>
          <w:rStyle w:val="FootnoteReference"/>
        </w:rPr>
        <w:footnoteRef/>
      </w:r>
      <w:r>
        <w:rPr>
          <w:rtl/>
        </w:rPr>
        <w:t xml:space="preserve"> </w:t>
      </w:r>
      <w:r w:rsidRPr="000A69B5">
        <w:t xml:space="preserve">The InfoList.com, </w:t>
      </w:r>
      <w:r w:rsidRPr="000A69B5">
        <w:rPr>
          <w:i/>
        </w:rPr>
        <w:t xml:space="preserve">Irish Step Dance, </w:t>
      </w:r>
      <w:r w:rsidRPr="000A69B5">
        <w:t xml:space="preserve">available at </w:t>
      </w:r>
      <w:r w:rsidRPr="000A69B5">
        <w:rPr>
          <w:u w:val="single"/>
        </w:rPr>
        <w:t>http://theinfolist.com/php/HTMLGet.php?FindGo=Irish%20Step%20Dance</w:t>
      </w:r>
      <w:r w:rsidRPr="000A69B5">
        <w:t xml:space="preserve"> (last visited Feb, 5, 2017).</w:t>
      </w:r>
    </w:p>
  </w:footnote>
  <w:footnote w:id="6">
    <w:p w:rsidR="00304B5F" w:rsidRDefault="00304B5F" w:rsidP="00304B5F">
      <w:pPr>
        <w:pStyle w:val="FootnoteText"/>
        <w:bidi w:val="0"/>
      </w:pPr>
      <w:r w:rsidRPr="00E20B98">
        <w:rPr>
          <w:rStyle w:val="FootnoteReference"/>
        </w:rPr>
        <w:footnoteRef/>
      </w:r>
      <w:r>
        <w:rPr>
          <w:rtl/>
        </w:rPr>
        <w:t xml:space="preserve"> </w:t>
      </w:r>
      <w:r w:rsidRPr="002C53F8">
        <w:t xml:space="preserve">Pearlston, Jr., Carl B., Los Angeles Times, </w:t>
      </w:r>
      <w:r w:rsidRPr="002C53F8">
        <w:rPr>
          <w:i/>
        </w:rPr>
        <w:t xml:space="preserve">Counterpunch: Retracing Steps of Tap’s History, </w:t>
      </w:r>
      <w:r w:rsidRPr="002C53F8">
        <w:t xml:space="preserve">available at </w:t>
      </w:r>
      <w:r w:rsidRPr="002C53F8">
        <w:rPr>
          <w:u w:val="single"/>
        </w:rPr>
        <w:t>http://articles.latimes.com/1995-12-25/entertainment/ca-17790_1_american-tap-dancing</w:t>
      </w:r>
      <w:r w:rsidRPr="002C53F8">
        <w:t xml:space="preserve"> (last visited Feb. 2, 2017).</w:t>
      </w:r>
    </w:p>
  </w:footnote>
  <w:footnote w:id="7">
    <w:p w:rsidR="00304B5F" w:rsidRDefault="00304B5F" w:rsidP="00304B5F">
      <w:pPr>
        <w:pStyle w:val="FootnoteText"/>
        <w:bidi w:val="0"/>
      </w:pPr>
      <w:r w:rsidRPr="00E20B98">
        <w:rPr>
          <w:rStyle w:val="FootnoteReference"/>
        </w:rPr>
        <w:footnoteRef/>
      </w:r>
      <w:r>
        <w:rPr>
          <w:rtl/>
        </w:rPr>
        <w:t xml:space="preserve"> </w:t>
      </w:r>
      <w:r w:rsidRPr="002C53F8">
        <w:t xml:space="preserve">Peek, Dan William, </w:t>
      </w:r>
      <w:r w:rsidRPr="002C53F8">
        <w:rPr>
          <w:i/>
        </w:rPr>
        <w:t>Live! At the Ozark Opry</w:t>
      </w:r>
      <w:r w:rsidRPr="002C53F8">
        <w:t xml:space="preserve">, (The History Press, 2011). </w:t>
      </w:r>
      <w:r w:rsidRPr="002C53F8">
        <w:rPr>
          <w:i/>
        </w:rPr>
        <w:t>See also</w:t>
      </w:r>
      <w:r w:rsidRPr="002C53F8">
        <w:t xml:space="preserve">, </w:t>
      </w:r>
      <w:r w:rsidRPr="002C53F8">
        <w:rPr>
          <w:i/>
        </w:rPr>
        <w:t xml:space="preserve">Bob Holt Old-Time Jig Dancing Competition featured at Old-Time Music, Ozark Heritage Festival, </w:t>
      </w:r>
      <w:r w:rsidRPr="002C53F8">
        <w:t xml:space="preserve">available at </w:t>
      </w:r>
      <w:r w:rsidRPr="002C53F8">
        <w:rPr>
          <w:u w:val="single"/>
        </w:rPr>
        <w:t>http://www.oldtimemusic.org/?page_id=1285</w:t>
      </w:r>
      <w:r w:rsidRPr="002C53F8">
        <w:t xml:space="preserve"> (last visited Feb., 2017).</w:t>
      </w:r>
    </w:p>
  </w:footnote>
  <w:footnote w:id="8">
    <w:p w:rsidR="00304B5F" w:rsidRDefault="00304B5F" w:rsidP="00304B5F">
      <w:pPr>
        <w:pStyle w:val="FootnoteText"/>
      </w:pPr>
      <w:r w:rsidRPr="00E20B98">
        <w:rPr>
          <w:rStyle w:val="FootnoteReference"/>
        </w:rPr>
        <w:footnoteRef/>
      </w:r>
      <w:r>
        <w:rPr>
          <w:rtl/>
        </w:rPr>
        <w:t xml:space="preserve"> </w:t>
      </w:r>
      <w:r>
        <w:rPr>
          <w:rFonts w:hint="cs"/>
          <w:rtl/>
        </w:rPr>
        <w:t>انظر الحاشية 5 أعلاه.</w:t>
      </w:r>
    </w:p>
  </w:footnote>
  <w:footnote w:id="9">
    <w:p w:rsidR="00304B5F" w:rsidRDefault="00304B5F" w:rsidP="00304B5F">
      <w:pPr>
        <w:pStyle w:val="FootnoteText"/>
        <w:bidi w:val="0"/>
      </w:pPr>
      <w:r w:rsidRPr="00E20B98">
        <w:rPr>
          <w:rStyle w:val="FootnoteReference"/>
        </w:rPr>
        <w:footnoteRef/>
      </w:r>
      <w:r>
        <w:rPr>
          <w:rtl/>
        </w:rPr>
        <w:t xml:space="preserve"> </w:t>
      </w:r>
      <w:r w:rsidRPr="002C53F8">
        <w:rPr>
          <w:i/>
        </w:rPr>
        <w:t xml:space="preserve">Alyssa Yabuno Wins Irish Dance World Championship in Under-14 Division, </w:t>
      </w:r>
      <w:r w:rsidRPr="002C53F8">
        <w:t xml:space="preserve">Redlands Daily Facts, May 2, 2014, available at </w:t>
      </w:r>
      <w:r w:rsidRPr="002C53F8">
        <w:rPr>
          <w:u w:val="single"/>
        </w:rPr>
        <w:t>http://www.redlandsdailyfacts.com/arts-and-entertainment/20140502/allyssa-yabuno-wins-irish-dance-world-championship-in-under-14-division</w:t>
      </w:r>
      <w:r w:rsidRPr="002C53F8">
        <w:t xml:space="preserve"> (last visited Feb. 1, 2017).</w:t>
      </w:r>
    </w:p>
  </w:footnote>
  <w:footnote w:id="10">
    <w:p w:rsidR="00304B5F" w:rsidRDefault="00304B5F" w:rsidP="00304B5F">
      <w:pPr>
        <w:pStyle w:val="FootnoteText"/>
        <w:bidi w:val="0"/>
      </w:pPr>
      <w:r w:rsidRPr="00E20B98">
        <w:rPr>
          <w:rStyle w:val="FootnoteReference"/>
        </w:rPr>
        <w:footnoteRef/>
      </w:r>
      <w:r>
        <w:rPr>
          <w:rtl/>
        </w:rPr>
        <w:t xml:space="preserve"> </w:t>
      </w:r>
      <w:r w:rsidRPr="00F075A1">
        <w:t xml:space="preserve">Denniston, Christine, History-of-Tango.com, </w:t>
      </w:r>
      <w:r w:rsidRPr="00F075A1">
        <w:rPr>
          <w:i/>
        </w:rPr>
        <w:t>Couple Dancing and the Beginning of Tango</w:t>
      </w:r>
      <w:r w:rsidRPr="00F075A1">
        <w:t xml:space="preserve">, available at </w:t>
      </w:r>
      <w:r w:rsidRPr="00F075A1">
        <w:rPr>
          <w:u w:val="single"/>
        </w:rPr>
        <w:t>http://www.history-of-tango.com/couple-dancing.html</w:t>
      </w:r>
      <w:r>
        <w:t xml:space="preserve"> (last visited Feb. 1, 2017); </w:t>
      </w:r>
      <w:r w:rsidRPr="00F075A1">
        <w:t xml:space="preserve">The Guardian, </w:t>
      </w:r>
      <w:r w:rsidRPr="00F075A1">
        <w:rPr>
          <w:i/>
        </w:rPr>
        <w:t xml:space="preserve">Latin Rivals Learn It Takes Two to Tango,” </w:t>
      </w:r>
      <w:r w:rsidRPr="00F075A1">
        <w:t xml:space="preserve">available at </w:t>
      </w:r>
      <w:r w:rsidRPr="00F075A1">
        <w:rPr>
          <w:u w:val="single"/>
        </w:rPr>
        <w:t>https://www.theguardian.com/world/2009/jan/25/argentina-uruguay-tango</w:t>
      </w:r>
      <w:r w:rsidRPr="00F075A1">
        <w:t xml:space="preserve"> (last visited Feb. 1, 2017).</w:t>
      </w:r>
    </w:p>
  </w:footnote>
  <w:footnote w:id="11">
    <w:p w:rsidR="00304B5F" w:rsidRDefault="00304B5F" w:rsidP="00304B5F">
      <w:pPr>
        <w:pStyle w:val="FootnoteText"/>
        <w:bidi w:val="0"/>
      </w:pPr>
      <w:r w:rsidRPr="00E20B98">
        <w:rPr>
          <w:rStyle w:val="FootnoteReference"/>
        </w:rPr>
        <w:footnoteRef/>
      </w:r>
      <w:r>
        <w:rPr>
          <w:rtl/>
        </w:rPr>
        <w:t xml:space="preserve"> </w:t>
      </w:r>
      <w:r w:rsidRPr="00F075A1">
        <w:t xml:space="preserve">Nottingham Evening Post, </w:t>
      </w:r>
      <w:r w:rsidRPr="00F075A1">
        <w:rPr>
          <w:i/>
        </w:rPr>
        <w:t xml:space="preserve">Tango History and Facts, </w:t>
      </w:r>
      <w:r w:rsidRPr="00F075A1">
        <w:t>February 19, 2007.</w:t>
      </w:r>
    </w:p>
  </w:footnote>
  <w:footnote w:id="12">
    <w:p w:rsidR="00304B5F" w:rsidRDefault="00304B5F" w:rsidP="00304B5F">
      <w:pPr>
        <w:pStyle w:val="FootnoteText"/>
        <w:bidi w:val="0"/>
      </w:pPr>
      <w:r w:rsidRPr="00E20B98">
        <w:rPr>
          <w:rStyle w:val="FootnoteReference"/>
        </w:rPr>
        <w:footnoteRef/>
      </w:r>
      <w:r>
        <w:rPr>
          <w:rtl/>
        </w:rPr>
        <w:t xml:space="preserve"> </w:t>
      </w:r>
      <w:r w:rsidRPr="00125593">
        <w:t xml:space="preserve">Behal, Shyamant, Open, </w:t>
      </w:r>
      <w:r w:rsidRPr="00125593">
        <w:rPr>
          <w:i/>
        </w:rPr>
        <w:t xml:space="preserve">Tango’s First Steps, </w:t>
      </w:r>
      <w:r w:rsidRPr="00125593">
        <w:t>April 6, 2013.</w:t>
      </w:r>
    </w:p>
  </w:footnote>
  <w:footnote w:id="13">
    <w:p w:rsidR="00304B5F" w:rsidRDefault="00304B5F" w:rsidP="00304B5F">
      <w:pPr>
        <w:pStyle w:val="FootnoteText"/>
        <w:bidi w:val="0"/>
      </w:pPr>
      <w:r w:rsidRPr="00E20B98">
        <w:rPr>
          <w:rStyle w:val="FootnoteReference"/>
        </w:rPr>
        <w:footnoteRef/>
      </w:r>
      <w:r>
        <w:rPr>
          <w:rtl/>
        </w:rPr>
        <w:t xml:space="preserve"> </w:t>
      </w:r>
      <w:r w:rsidRPr="00EB6B72">
        <w:t xml:space="preserve">Hinkley, David, Daily News, </w:t>
      </w:r>
      <w:r w:rsidRPr="00EB6B72">
        <w:rPr>
          <w:i/>
        </w:rPr>
        <w:t xml:space="preserve">Eclipsing the Waltz Polite Society Discovers Polka, 1844, </w:t>
      </w:r>
      <w:r w:rsidRPr="00EB6B72">
        <w:t xml:space="preserve">available at </w:t>
      </w:r>
      <w:r w:rsidRPr="00EB6B72">
        <w:rPr>
          <w:u w:val="single"/>
        </w:rPr>
        <w:t>http://www.nydailynews.com/archives/news/eclipsing-waltz-polite-society-discovers-polka-1844-article-1.574559</w:t>
      </w:r>
      <w:r w:rsidRPr="00EB6B72">
        <w:t xml:space="preserve"> (last visited Feb. 2, 2017).</w:t>
      </w:r>
    </w:p>
  </w:footnote>
  <w:footnote w:id="14">
    <w:p w:rsidR="00304B5F" w:rsidRDefault="00304B5F" w:rsidP="00304B5F">
      <w:pPr>
        <w:pStyle w:val="FootnoteText"/>
        <w:bidi w:val="0"/>
      </w:pPr>
      <w:r w:rsidRPr="00E20B98">
        <w:rPr>
          <w:rStyle w:val="FootnoteReference"/>
        </w:rPr>
        <w:footnoteRef/>
      </w:r>
      <w:r>
        <w:rPr>
          <w:rtl/>
        </w:rPr>
        <w:t xml:space="preserve"> </w:t>
      </w:r>
      <w:r w:rsidRPr="00C53DB7">
        <w:t xml:space="preserve">Dance Facts, </w:t>
      </w:r>
      <w:r w:rsidRPr="00C53DB7">
        <w:rPr>
          <w:i/>
        </w:rPr>
        <w:t xml:space="preserve">History of Waltz Dance, </w:t>
      </w:r>
      <w:r w:rsidRPr="00C53DB7">
        <w:t xml:space="preserve">available at </w:t>
      </w:r>
      <w:r w:rsidRPr="00C53DB7">
        <w:rPr>
          <w:u w:val="single"/>
        </w:rPr>
        <w:t>http://www.dancefacts.net/dance-history/waltz-history/</w:t>
      </w:r>
      <w:r w:rsidRPr="00C53DB7">
        <w:t xml:space="preserve"> (last visited Feb. 5, 2017).</w:t>
      </w:r>
    </w:p>
  </w:footnote>
  <w:footnote w:id="15">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16">
    <w:p w:rsidR="00304B5F" w:rsidRDefault="00304B5F" w:rsidP="00304B5F">
      <w:pPr>
        <w:pStyle w:val="FootnoteText"/>
        <w:bidi w:val="0"/>
      </w:pPr>
      <w:r w:rsidRPr="00E20B98">
        <w:rPr>
          <w:rStyle w:val="FootnoteReference"/>
        </w:rPr>
        <w:footnoteRef/>
      </w:r>
      <w:r>
        <w:rPr>
          <w:rtl/>
        </w:rPr>
        <w:t xml:space="preserve"> </w:t>
      </w:r>
      <w:r w:rsidRPr="00617BE0">
        <w:t xml:space="preserve">March, Catherine Dawson, The Globe and Mail, </w:t>
      </w:r>
      <w:r w:rsidRPr="00617BE0">
        <w:rPr>
          <w:i/>
        </w:rPr>
        <w:t xml:space="preserve">In Vienna, the Waltz Is a Living Cultural Heritage, </w:t>
      </w:r>
      <w:r w:rsidRPr="00617BE0">
        <w:t xml:space="preserve">available at </w:t>
      </w:r>
      <w:r w:rsidRPr="00617BE0">
        <w:rPr>
          <w:u w:val="single"/>
        </w:rPr>
        <w:t>http://www.theglobeandmail.com/life/travel/activities-and-interests/in-vienna-waltzing-is-living-cultural-heritage/article30487196/</w:t>
      </w:r>
      <w:r w:rsidRPr="00617BE0">
        <w:t xml:space="preserve"> (last visited Feb. 2, 2017).</w:t>
      </w:r>
    </w:p>
  </w:footnote>
  <w:footnote w:id="17">
    <w:p w:rsidR="00304B5F" w:rsidRDefault="00304B5F" w:rsidP="00304B5F">
      <w:pPr>
        <w:pStyle w:val="FootnoteText"/>
        <w:bidi w:val="0"/>
      </w:pPr>
      <w:r w:rsidRPr="00E20B98">
        <w:rPr>
          <w:rStyle w:val="FootnoteReference"/>
        </w:rPr>
        <w:footnoteRef/>
      </w:r>
      <w:r>
        <w:rPr>
          <w:rtl/>
        </w:rPr>
        <w:t xml:space="preserve"> </w:t>
      </w:r>
      <w:r w:rsidRPr="00617BE0">
        <w:t xml:space="preserve">Dance Facts, </w:t>
      </w:r>
      <w:r w:rsidRPr="00617BE0">
        <w:rPr>
          <w:i/>
        </w:rPr>
        <w:t xml:space="preserve">History of Waltz Dance, </w:t>
      </w:r>
      <w:r w:rsidRPr="00617BE0">
        <w:t xml:space="preserve">available at </w:t>
      </w:r>
      <w:r w:rsidRPr="00617BE0">
        <w:rPr>
          <w:u w:val="single"/>
        </w:rPr>
        <w:t>http://www.dancefacts.net/dance-history/waltz-history/</w:t>
      </w:r>
      <w:r w:rsidRPr="00617BE0">
        <w:t xml:space="preserve"> (last visited Feb. 5, 2017).</w:t>
      </w:r>
    </w:p>
  </w:footnote>
  <w:footnote w:id="18">
    <w:p w:rsidR="00304B5F" w:rsidRDefault="00304B5F" w:rsidP="00304B5F">
      <w:pPr>
        <w:pStyle w:val="FootnoteText"/>
        <w:bidi w:val="0"/>
      </w:pPr>
      <w:r w:rsidRPr="00E20B98">
        <w:rPr>
          <w:rStyle w:val="FootnoteReference"/>
        </w:rPr>
        <w:footnoteRef/>
      </w:r>
      <w:r>
        <w:rPr>
          <w:rtl/>
        </w:rPr>
        <w:t xml:space="preserve"> </w:t>
      </w:r>
      <w:r w:rsidRPr="00B60952">
        <w:t xml:space="preserve">Hale, Constance, The Atlantic, </w:t>
      </w:r>
      <w:r w:rsidRPr="00B60952">
        <w:rPr>
          <w:i/>
          <w:iCs/>
        </w:rPr>
        <w:t xml:space="preserve">The Hula Movement, </w:t>
      </w:r>
      <w:r w:rsidRPr="00B60952">
        <w:t xml:space="preserve">available at </w:t>
      </w:r>
      <w:r w:rsidRPr="00B60952">
        <w:rPr>
          <w:u w:val="single"/>
        </w:rPr>
        <w:t>https://www.theatlantic.com/magazine/archive/2002/07/the-hula-movement/302538/</w:t>
      </w:r>
      <w:r w:rsidRPr="00B60952">
        <w:t xml:space="preserve"> (last visited Feb. 2, 2017).</w:t>
      </w:r>
    </w:p>
  </w:footnote>
  <w:footnote w:id="19">
    <w:p w:rsidR="00304B5F" w:rsidRDefault="00304B5F" w:rsidP="00304B5F">
      <w:pPr>
        <w:pStyle w:val="FootnoteText"/>
        <w:bidi w:val="0"/>
      </w:pPr>
      <w:r w:rsidRPr="00E20B98">
        <w:rPr>
          <w:rStyle w:val="FootnoteReference"/>
        </w:rPr>
        <w:footnoteRef/>
      </w:r>
      <w:r>
        <w:rPr>
          <w:rtl/>
        </w:rPr>
        <w:t xml:space="preserve"> </w:t>
      </w:r>
      <w:r w:rsidRPr="004159C7">
        <w:t xml:space="preserve">Tregaskis, Mona, The New York Times, </w:t>
      </w:r>
      <w:r w:rsidRPr="004159C7">
        <w:rPr>
          <w:i/>
        </w:rPr>
        <w:t>Dance; In Quest of Hawaii’s Authentic Hula</w:t>
      </w:r>
      <w:r w:rsidRPr="004159C7">
        <w:t xml:space="preserve">, available at </w:t>
      </w:r>
      <w:r w:rsidRPr="004159C7">
        <w:rPr>
          <w:u w:val="single"/>
        </w:rPr>
        <w:t>http://www.nytimes.com/1987/07/05/arts/dance-in-quest-of-hawaii-s-authentic-hula.html?pagewanted=all</w:t>
      </w:r>
      <w:r w:rsidRPr="004159C7">
        <w:t xml:space="preserve"> (last visited Feb. 2, 2017).</w:t>
      </w:r>
    </w:p>
  </w:footnote>
  <w:footnote w:id="20">
    <w:p w:rsidR="00C77AA6" w:rsidRDefault="00C77AA6" w:rsidP="00621ED3">
      <w:pPr>
        <w:pStyle w:val="FootnoteText"/>
        <w:bidi w:val="0"/>
      </w:pPr>
      <w:r w:rsidRPr="00E20B98">
        <w:rPr>
          <w:rStyle w:val="FootnoteReference"/>
        </w:rPr>
        <w:footnoteRef/>
      </w:r>
      <w:r>
        <w:rPr>
          <w:rtl/>
        </w:rPr>
        <w:t xml:space="preserve"> </w:t>
      </w:r>
      <w:r w:rsidR="00621ED3" w:rsidRPr="00621ED3">
        <w:t xml:space="preserve">M. Richardson, “Lawmakers support resolution to protect hula amid ‘exploitation’ concerns,” </w:t>
      </w:r>
      <w:hyperlink r:id="rId1" w:history="1">
        <w:r w:rsidR="00621ED3" w:rsidRPr="00621ED3">
          <w:rPr>
            <w:rStyle w:val="Hyperlink"/>
            <w:color w:val="auto"/>
          </w:rPr>
          <w:t>https://www.hawaiinewsnow.com/2022/04/22/lawmakers-forward-resolution-protect-hula-after-exploitation-concerns</w:t>
        </w:r>
      </w:hyperlink>
      <w:r w:rsidR="00621ED3" w:rsidRPr="00621ED3">
        <w:t xml:space="preserve"> (last visited Sept. 1, 2022).  The article references the declaration on which the legislation is based, “Huamakahikina Declaration on the Integrity, Stewardship, and Protection of Hula.”</w:t>
      </w:r>
    </w:p>
  </w:footnote>
  <w:footnote w:id="21">
    <w:p w:rsidR="00304B5F" w:rsidRDefault="00304B5F" w:rsidP="00304B5F">
      <w:pPr>
        <w:pStyle w:val="FootnoteText"/>
        <w:bidi w:val="0"/>
        <w:rPr>
          <w:rtl/>
        </w:rPr>
      </w:pPr>
      <w:r w:rsidRPr="00E20B98">
        <w:rPr>
          <w:rStyle w:val="FootnoteReference"/>
        </w:rPr>
        <w:footnoteRef/>
      </w:r>
      <w:r>
        <w:rPr>
          <w:rtl/>
        </w:rPr>
        <w:t xml:space="preserve"> </w:t>
      </w:r>
      <w:r w:rsidRPr="004159C7">
        <w:t xml:space="preserve">Official Website of the Chinese Olympic Committee, </w:t>
      </w:r>
      <w:r w:rsidRPr="004159C7">
        <w:rPr>
          <w:i/>
          <w:iCs/>
        </w:rPr>
        <w:t xml:space="preserve">A Brief Introduction to Ancient Sports in China, </w:t>
      </w:r>
      <w:r w:rsidRPr="004159C7">
        <w:t xml:space="preserve">available at </w:t>
      </w:r>
      <w:r w:rsidRPr="004159C7">
        <w:rPr>
          <w:u w:val="single"/>
        </w:rPr>
        <w:t>http://en.olympic.cn/sports_in_ancient_china/2003-11-16/11313.html</w:t>
      </w:r>
      <w:r>
        <w:t xml:space="preserve"> (last visited Feb. 2, 2017).</w:t>
      </w:r>
    </w:p>
  </w:footnote>
  <w:footnote w:id="22">
    <w:p w:rsidR="00304B5F" w:rsidRDefault="00304B5F" w:rsidP="00304B5F">
      <w:pPr>
        <w:pStyle w:val="FootnoteText"/>
        <w:bidi w:val="0"/>
      </w:pPr>
      <w:r w:rsidRPr="00E20B98">
        <w:rPr>
          <w:rStyle w:val="FootnoteReference"/>
        </w:rPr>
        <w:footnoteRef/>
      </w:r>
      <w:r>
        <w:rPr>
          <w:rtl/>
        </w:rPr>
        <w:t xml:space="preserve"> </w:t>
      </w:r>
      <w:r w:rsidRPr="0004639C">
        <w:t xml:space="preserve">History World, </w:t>
      </w:r>
      <w:r w:rsidRPr="0004639C">
        <w:rPr>
          <w:i/>
          <w:iCs/>
        </w:rPr>
        <w:t xml:space="preserve">History of Sports and Games, </w:t>
      </w:r>
      <w:r w:rsidRPr="0004639C">
        <w:t xml:space="preserve">available at </w:t>
      </w:r>
      <w:r w:rsidRPr="0004639C">
        <w:rPr>
          <w:u w:val="single"/>
        </w:rPr>
        <w:t>http://www.historyworld.net/wrldhis/PlainTextHistories.asp?historyid=ac02</w:t>
      </w:r>
      <w:r w:rsidRPr="0004639C">
        <w:t xml:space="preserve"> (last visited Feb. 2, 2017).</w:t>
      </w:r>
    </w:p>
  </w:footnote>
  <w:footnote w:id="23">
    <w:p w:rsidR="00304B5F" w:rsidRDefault="00304B5F" w:rsidP="00304B5F">
      <w:pPr>
        <w:pStyle w:val="FootnoteText"/>
        <w:bidi w:val="0"/>
      </w:pPr>
      <w:r w:rsidRPr="00E20B98">
        <w:rPr>
          <w:rStyle w:val="FootnoteReference"/>
        </w:rPr>
        <w:footnoteRef/>
      </w:r>
      <w:r>
        <w:rPr>
          <w:rtl/>
        </w:rPr>
        <w:t xml:space="preserve"> </w:t>
      </w:r>
      <w:r w:rsidRPr="0004639C">
        <w:t xml:space="preserve">Helleksen, Terry, </w:t>
      </w:r>
      <w:r w:rsidRPr="0004639C">
        <w:rPr>
          <w:i/>
          <w:iCs/>
        </w:rPr>
        <w:t xml:space="preserve">Fish Files: The Encyclopedia of the Fly Tier’s Art, </w:t>
      </w:r>
      <w:r w:rsidRPr="0004639C">
        <w:t>(Gibbs Smith, 2005).</w:t>
      </w:r>
    </w:p>
  </w:footnote>
  <w:footnote w:id="24">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25">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26">
    <w:p w:rsidR="00304B5F" w:rsidRDefault="00304B5F" w:rsidP="00304B5F">
      <w:pPr>
        <w:pStyle w:val="FootnoteText"/>
        <w:bidi w:val="0"/>
      </w:pPr>
      <w:r w:rsidRPr="00E20B98">
        <w:rPr>
          <w:rStyle w:val="FootnoteReference"/>
        </w:rPr>
        <w:footnoteRef/>
      </w:r>
      <w:r>
        <w:rPr>
          <w:rtl/>
        </w:rPr>
        <w:t xml:space="preserve"> </w:t>
      </w:r>
      <w:r w:rsidRPr="00C82C01">
        <w:t xml:space="preserve">Guinness World Records, </w:t>
      </w:r>
      <w:r w:rsidRPr="00C82C01">
        <w:rPr>
          <w:i/>
          <w:iCs/>
        </w:rPr>
        <w:t xml:space="preserve">Largest Attendance at an Olympic Games, </w:t>
      </w:r>
      <w:r w:rsidRPr="00C82C01">
        <w:t xml:space="preserve">available at </w:t>
      </w:r>
      <w:r w:rsidRPr="00C82C01">
        <w:rPr>
          <w:u w:val="single"/>
        </w:rPr>
        <w:t>http://www.guinnessworldrecords.com/world-records/greatest-attendance-at-olympic-games</w:t>
      </w:r>
      <w:r w:rsidRPr="00C82C01">
        <w:t xml:space="preserve"> (last visited Feb. 3, 2017).</w:t>
      </w:r>
    </w:p>
  </w:footnote>
  <w:footnote w:id="27">
    <w:p w:rsidR="00304B5F" w:rsidRDefault="00304B5F" w:rsidP="00304B5F">
      <w:pPr>
        <w:pStyle w:val="FootnoteText"/>
        <w:bidi w:val="0"/>
      </w:pPr>
      <w:r w:rsidRPr="00E20B98">
        <w:rPr>
          <w:rStyle w:val="FootnoteReference"/>
        </w:rPr>
        <w:footnoteRef/>
      </w:r>
      <w:r>
        <w:rPr>
          <w:rtl/>
        </w:rPr>
        <w:t xml:space="preserve"> </w:t>
      </w:r>
      <w:r w:rsidRPr="00C82C01">
        <w:t xml:space="preserve">Holloway, Daniel, Variety, </w:t>
      </w:r>
      <w:r w:rsidRPr="00C82C01">
        <w:rPr>
          <w:i/>
          <w:iCs/>
        </w:rPr>
        <w:t xml:space="preserve">How Rio Ratings Surprised NBC and Will Impact Future Games, </w:t>
      </w:r>
      <w:r w:rsidRPr="00C82C01">
        <w:t xml:space="preserve">available at </w:t>
      </w:r>
      <w:r w:rsidRPr="00C82C01">
        <w:rPr>
          <w:u w:val="single"/>
        </w:rPr>
        <w:t>http://variety.com/2016/tv/news/2016-olympics-ratings-rio-nbc-1201843200/</w:t>
      </w:r>
      <w:r w:rsidRPr="00C82C01">
        <w:t xml:space="preserve"> (last visited Feb. 3, 2017).</w:t>
      </w:r>
    </w:p>
  </w:footnote>
  <w:footnote w:id="28">
    <w:p w:rsidR="00304B5F" w:rsidRDefault="00304B5F" w:rsidP="00304B5F">
      <w:pPr>
        <w:pStyle w:val="FootnoteText"/>
        <w:bidi w:val="0"/>
      </w:pPr>
      <w:r w:rsidRPr="00E20B98">
        <w:rPr>
          <w:rStyle w:val="FootnoteReference"/>
        </w:rPr>
        <w:footnoteRef/>
      </w:r>
      <w:r>
        <w:rPr>
          <w:rtl/>
        </w:rPr>
        <w:t xml:space="preserve"> </w:t>
      </w:r>
      <w:r w:rsidRPr="00E61248">
        <w:t xml:space="preserve">WETA, </w:t>
      </w:r>
      <w:r w:rsidRPr="00E61248">
        <w:rPr>
          <w:i/>
          <w:iCs/>
        </w:rPr>
        <w:t xml:space="preserve">Baseball for Beginners, </w:t>
      </w:r>
      <w:r w:rsidRPr="00E61248">
        <w:t xml:space="preserve">available at </w:t>
      </w:r>
      <w:r w:rsidRPr="00E61248">
        <w:rPr>
          <w:u w:val="single"/>
        </w:rPr>
        <w:t>http://www.pbs.org/kenburns/baseball/beginners/</w:t>
      </w:r>
      <w:r w:rsidRPr="00E61248">
        <w:t xml:space="preserve"> (last visited Feb. 2, 2017).</w:t>
      </w:r>
    </w:p>
  </w:footnote>
  <w:footnote w:id="29">
    <w:p w:rsidR="00304B5F" w:rsidRDefault="00304B5F" w:rsidP="00304B5F">
      <w:pPr>
        <w:pStyle w:val="FootnoteText"/>
        <w:bidi w:val="0"/>
      </w:pPr>
      <w:r w:rsidRPr="00E20B98">
        <w:rPr>
          <w:rStyle w:val="FootnoteReference"/>
        </w:rPr>
        <w:footnoteRef/>
      </w:r>
      <w:r>
        <w:rPr>
          <w:rtl/>
        </w:rPr>
        <w:t xml:space="preserve"> </w:t>
      </w:r>
      <w:r w:rsidRPr="00AE6729">
        <w:t xml:space="preserve">History, </w:t>
      </w:r>
      <w:r w:rsidRPr="00AE6729">
        <w:rPr>
          <w:i/>
          <w:iCs/>
        </w:rPr>
        <w:t xml:space="preserve">Who Invented Baseball?, </w:t>
      </w:r>
      <w:r w:rsidRPr="00AE6729">
        <w:t xml:space="preserve">available at </w:t>
      </w:r>
      <w:r w:rsidRPr="00AE6729">
        <w:rPr>
          <w:u w:val="single"/>
        </w:rPr>
        <w:t>http://www.history.com/news/ask-history/who-invented-baseball</w:t>
      </w:r>
      <w:r w:rsidRPr="00AE6729">
        <w:t xml:space="preserve"> (last visited Feb. 2, 2017).</w:t>
      </w:r>
    </w:p>
  </w:footnote>
  <w:footnote w:id="30">
    <w:p w:rsidR="00304B5F" w:rsidRDefault="00304B5F" w:rsidP="00304B5F">
      <w:pPr>
        <w:pStyle w:val="FootnoteText"/>
        <w:bidi w:val="0"/>
      </w:pPr>
      <w:r w:rsidRPr="00E20B98">
        <w:rPr>
          <w:rStyle w:val="FootnoteReference"/>
        </w:rPr>
        <w:footnoteRef/>
      </w:r>
      <w:r>
        <w:rPr>
          <w:rtl/>
        </w:rPr>
        <w:t xml:space="preserve"> </w:t>
      </w:r>
      <w:r w:rsidRPr="00AE6729">
        <w:t xml:space="preserve">The People History, </w:t>
      </w:r>
      <w:r w:rsidRPr="00AE6729">
        <w:rPr>
          <w:i/>
          <w:iCs/>
        </w:rPr>
        <w:t xml:space="preserve">Baseball Origins, Growth and Changes in the Game, </w:t>
      </w:r>
      <w:r w:rsidRPr="00AE6729">
        <w:t xml:space="preserve">available at </w:t>
      </w:r>
      <w:r w:rsidRPr="00AE6729">
        <w:rPr>
          <w:u w:val="single"/>
        </w:rPr>
        <w:t>http://www.thepeoplehistory.com/baseballhistory.html</w:t>
      </w:r>
      <w:r w:rsidRPr="00AE6729">
        <w:t xml:space="preserve"> (last visited Feb. 1, 2017).</w:t>
      </w:r>
    </w:p>
  </w:footnote>
  <w:footnote w:id="31">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2">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3">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4">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5">
    <w:p w:rsidR="00304B5F" w:rsidRDefault="00304B5F" w:rsidP="00304B5F">
      <w:pPr>
        <w:pStyle w:val="FootnoteText"/>
        <w:bidi w:val="0"/>
      </w:pPr>
      <w:r w:rsidRPr="00E20B98">
        <w:rPr>
          <w:rStyle w:val="FootnoteReference"/>
        </w:rPr>
        <w:footnoteRef/>
      </w:r>
      <w:r>
        <w:rPr>
          <w:rtl/>
        </w:rPr>
        <w:t xml:space="preserve"> </w:t>
      </w:r>
      <w:r w:rsidRPr="00B90EE1">
        <w:t xml:space="preserve">Schwindt, Oriana, Variety, </w:t>
      </w:r>
      <w:r w:rsidRPr="00B90EE1">
        <w:rPr>
          <w:i/>
          <w:iCs/>
        </w:rPr>
        <w:t xml:space="preserve">TV Ratings: Cubs Win World Series in Front of Massive Audience, </w:t>
      </w:r>
      <w:r w:rsidRPr="00B90EE1">
        <w:t xml:space="preserve">available at </w:t>
      </w:r>
      <w:r w:rsidRPr="00B90EE1">
        <w:rPr>
          <w:u w:val="single"/>
        </w:rPr>
        <w:t>http://variety.com/2016/tv/news/tv-ratings-cubs-win-world-series-record-1201908313/</w:t>
      </w:r>
      <w:r w:rsidRPr="00B90EE1">
        <w:t xml:space="preserve"> (last visited Feb. 2, 2017).</w:t>
      </w:r>
    </w:p>
  </w:footnote>
  <w:footnote w:id="36">
    <w:p w:rsidR="00304B5F" w:rsidRDefault="00304B5F" w:rsidP="00304B5F">
      <w:pPr>
        <w:pStyle w:val="FootnoteText"/>
        <w:bidi w:val="0"/>
      </w:pPr>
      <w:r w:rsidRPr="00E20B98">
        <w:rPr>
          <w:rStyle w:val="FootnoteReference"/>
        </w:rPr>
        <w:footnoteRef/>
      </w:r>
      <w:r>
        <w:rPr>
          <w:rtl/>
        </w:rPr>
        <w:t xml:space="preserve"> </w:t>
      </w:r>
      <w:r w:rsidRPr="00B90EE1">
        <w:t xml:space="preserve">Bastian, Jordan, and Muskat, Carrie, MLB, </w:t>
      </w:r>
      <w:r w:rsidRPr="00B90EE1">
        <w:rPr>
          <w:i/>
          <w:iCs/>
        </w:rPr>
        <w:t xml:space="preserve">Cubs Are Heavy Weight Champions, </w:t>
      </w:r>
      <w:r w:rsidRPr="00B90EE1">
        <w:t xml:space="preserve">available at </w:t>
      </w:r>
      <w:r w:rsidRPr="00B90EE1">
        <w:rPr>
          <w:u w:val="single"/>
        </w:rPr>
        <w:t>http://m.mlb.com/news/article/207938228/chicago-cubs-win-2016-world-series/</w:t>
      </w:r>
      <w:r w:rsidRPr="00B90EE1">
        <w:t xml:space="preserve"> (last visited Feb. 2, 2017).</w:t>
      </w:r>
    </w:p>
  </w:footnote>
  <w:footnote w:id="37">
    <w:p w:rsidR="00304B5F" w:rsidRDefault="00304B5F" w:rsidP="00304B5F">
      <w:pPr>
        <w:pStyle w:val="FootnoteText"/>
        <w:bidi w:val="0"/>
      </w:pPr>
      <w:r w:rsidRPr="00E20B98">
        <w:rPr>
          <w:rStyle w:val="FootnoteReference"/>
        </w:rPr>
        <w:footnoteRef/>
      </w:r>
      <w:r>
        <w:rPr>
          <w:rtl/>
        </w:rPr>
        <w:t xml:space="preserve"> </w:t>
      </w:r>
      <w:r w:rsidRPr="00B90EE1">
        <w:t xml:space="preserve">World Baseball Softball Federation, </w:t>
      </w:r>
      <w:r w:rsidRPr="00B90EE1">
        <w:rPr>
          <w:i/>
          <w:iCs/>
        </w:rPr>
        <w:t xml:space="preserve">History, </w:t>
      </w:r>
      <w:r w:rsidRPr="00B90EE1">
        <w:t xml:space="preserve">available at </w:t>
      </w:r>
      <w:r w:rsidRPr="00B90EE1">
        <w:rPr>
          <w:u w:val="single"/>
        </w:rPr>
        <w:t>http://www.wbsc.org/wbsc-history/</w:t>
      </w:r>
      <w:r w:rsidRPr="00B90EE1">
        <w:t xml:space="preserve"> (last visited Feb. 2, 2017).</w:t>
      </w:r>
    </w:p>
  </w:footnote>
  <w:footnote w:id="38">
    <w:p w:rsidR="00304B5F" w:rsidRDefault="00304B5F" w:rsidP="00304B5F">
      <w:pPr>
        <w:pStyle w:val="FootnoteText"/>
        <w:bidi w:val="0"/>
      </w:pPr>
      <w:r w:rsidRPr="00E20B98">
        <w:rPr>
          <w:rStyle w:val="FootnoteReference"/>
        </w:rPr>
        <w:footnoteRef/>
      </w:r>
      <w:r>
        <w:rPr>
          <w:rtl/>
        </w:rPr>
        <w:t xml:space="preserve"> </w:t>
      </w:r>
      <w:r w:rsidRPr="00B90EE1">
        <w:t xml:space="preserve">Brown, Bruce, The Atlantic Online, </w:t>
      </w:r>
      <w:r w:rsidRPr="00B90EE1">
        <w:rPr>
          <w:i/>
          <w:iCs/>
        </w:rPr>
        <w:t xml:space="preserve">Cuban Baseball, </w:t>
      </w:r>
      <w:r w:rsidRPr="00B90EE1">
        <w:t xml:space="preserve">available at </w:t>
      </w:r>
      <w:r w:rsidRPr="00B90EE1">
        <w:rPr>
          <w:u w:val="single"/>
        </w:rPr>
        <w:t>http://www.theatlantic.com/past/docs/issues/84jun/8406brown.htm</w:t>
      </w:r>
      <w:r w:rsidRPr="00B90EE1">
        <w:t xml:space="preserve"> (last visited Feb. 2, 2017); Japan-Guide.com, </w:t>
      </w:r>
      <w:r w:rsidRPr="00B90EE1">
        <w:rPr>
          <w:i/>
          <w:iCs/>
        </w:rPr>
        <w:t xml:space="preserve">Baseball, </w:t>
      </w:r>
      <w:r w:rsidRPr="00B90EE1">
        <w:t xml:space="preserve">available at </w:t>
      </w:r>
      <w:r w:rsidRPr="00B90EE1">
        <w:rPr>
          <w:u w:val="single"/>
        </w:rPr>
        <w:t>http://www.japan-guide.com/e/e2081.html</w:t>
      </w:r>
      <w:r w:rsidRPr="00B90EE1">
        <w:t xml:space="preserve"> (last visited Feb. 2, 2017).</w:t>
      </w:r>
    </w:p>
  </w:footnote>
  <w:footnote w:id="39">
    <w:p w:rsidR="00304B5F" w:rsidRDefault="00304B5F" w:rsidP="00304B5F">
      <w:pPr>
        <w:pStyle w:val="FootnoteText"/>
        <w:bidi w:val="0"/>
      </w:pPr>
      <w:r w:rsidRPr="00E20B98">
        <w:rPr>
          <w:rStyle w:val="FootnoteReference"/>
        </w:rPr>
        <w:footnoteRef/>
      </w:r>
      <w:r>
        <w:rPr>
          <w:rtl/>
        </w:rPr>
        <w:t xml:space="preserve"> </w:t>
      </w:r>
      <w:r w:rsidRPr="00207689">
        <w:t xml:space="preserve">World Baseball Softball Federation, </w:t>
      </w:r>
      <w:r w:rsidRPr="00207689">
        <w:rPr>
          <w:i/>
          <w:iCs/>
        </w:rPr>
        <w:t xml:space="preserve">Members, </w:t>
      </w:r>
      <w:r w:rsidRPr="00207689">
        <w:t xml:space="preserve">available at </w:t>
      </w:r>
      <w:r w:rsidRPr="00207689">
        <w:rPr>
          <w:u w:val="single"/>
        </w:rPr>
        <w:t>http://www.wbsc.org/wbsc-history/</w:t>
      </w:r>
      <w:r w:rsidRPr="00207689">
        <w:t xml:space="preserve"> (last visited Feb. 2, 2017).</w:t>
      </w:r>
    </w:p>
  </w:footnote>
  <w:footnote w:id="40">
    <w:p w:rsidR="00304B5F" w:rsidRDefault="00304B5F" w:rsidP="00304B5F">
      <w:pPr>
        <w:pStyle w:val="FootnoteText"/>
        <w:bidi w:val="0"/>
      </w:pPr>
      <w:r w:rsidRPr="00E20B98">
        <w:rPr>
          <w:rStyle w:val="FootnoteReference"/>
        </w:rPr>
        <w:footnoteRef/>
      </w:r>
      <w:r>
        <w:rPr>
          <w:rtl/>
        </w:rPr>
        <w:t xml:space="preserve"> </w:t>
      </w:r>
      <w:r w:rsidRPr="007A012F">
        <w:t xml:space="preserve">World Baseball Softball Federation, </w:t>
      </w:r>
      <w:r w:rsidRPr="007A012F">
        <w:rPr>
          <w:i/>
          <w:iCs/>
        </w:rPr>
        <w:t xml:space="preserve">History, </w:t>
      </w:r>
      <w:r w:rsidRPr="007A012F">
        <w:t xml:space="preserve">available at </w:t>
      </w:r>
      <w:r w:rsidRPr="007A012F">
        <w:rPr>
          <w:u w:val="single"/>
        </w:rPr>
        <w:t>http://www.wbsc.org/wbsc-history/</w:t>
      </w:r>
      <w:r w:rsidRPr="007A012F">
        <w:t xml:space="preserve"> (last visited Feb. 2, 2017).</w:t>
      </w:r>
    </w:p>
  </w:footnote>
  <w:footnote w:id="41">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2">
    <w:p w:rsidR="00304B5F" w:rsidRDefault="00304B5F" w:rsidP="00304B5F">
      <w:pPr>
        <w:pStyle w:val="FootnoteText"/>
        <w:bidi w:val="0"/>
      </w:pPr>
      <w:r w:rsidRPr="00E20B98">
        <w:rPr>
          <w:rStyle w:val="FootnoteReference"/>
        </w:rPr>
        <w:footnoteRef/>
      </w:r>
      <w:r>
        <w:rPr>
          <w:rtl/>
        </w:rPr>
        <w:t xml:space="preserve"> </w:t>
      </w:r>
      <w:r w:rsidRPr="00AC0E5D">
        <w:t xml:space="preserve">Vennum, Jr., Thomas, U.S. Lacrosse, </w:t>
      </w:r>
      <w:r w:rsidRPr="00AC0E5D">
        <w:rPr>
          <w:i/>
          <w:iCs/>
        </w:rPr>
        <w:t xml:space="preserve">The History of Lacrosse, </w:t>
      </w:r>
      <w:r w:rsidRPr="00AC0E5D">
        <w:t xml:space="preserve">available at </w:t>
      </w:r>
      <w:r w:rsidRPr="00AC0E5D">
        <w:rPr>
          <w:u w:val="single"/>
        </w:rPr>
        <w:t>http://www.uslacrosse.org/about-the-sport/history</w:t>
      </w:r>
      <w:r w:rsidRPr="00AC0E5D">
        <w:t xml:space="preserve"> (last visited Feb. 3, 2017).</w:t>
      </w:r>
    </w:p>
  </w:footnote>
  <w:footnote w:id="43">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4">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5">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6">
    <w:p w:rsidR="00304B5F" w:rsidRDefault="00304B5F" w:rsidP="00304B5F">
      <w:pPr>
        <w:pStyle w:val="FootnoteText"/>
        <w:bidi w:val="0"/>
      </w:pPr>
      <w:r w:rsidRPr="00E20B98">
        <w:rPr>
          <w:rStyle w:val="FootnoteReference"/>
        </w:rPr>
        <w:footnoteRef/>
      </w:r>
      <w:r>
        <w:rPr>
          <w:rtl/>
        </w:rPr>
        <w:t xml:space="preserve"> </w:t>
      </w:r>
      <w:r w:rsidRPr="00A33C82">
        <w:t xml:space="preserve">New World Encyclopedia, </w:t>
      </w:r>
      <w:r w:rsidRPr="00A33C82">
        <w:rPr>
          <w:i/>
          <w:iCs/>
        </w:rPr>
        <w:t xml:space="preserve">Violin, </w:t>
      </w:r>
      <w:r w:rsidRPr="00A33C82">
        <w:t xml:space="preserve">available at </w:t>
      </w:r>
      <w:r w:rsidRPr="00A33C82">
        <w:rPr>
          <w:u w:val="single"/>
        </w:rPr>
        <w:t>http://www.newworldencyclopedia.org/entry/Violin</w:t>
      </w:r>
      <w:r w:rsidRPr="00A33C82">
        <w:t xml:space="preserve"> (last visited Feb. 7, 2017).</w:t>
      </w:r>
    </w:p>
  </w:footnote>
  <w:footnote w:id="47">
    <w:p w:rsidR="00304B5F" w:rsidRDefault="00304B5F" w:rsidP="00304B5F">
      <w:pPr>
        <w:pStyle w:val="FootnoteText"/>
        <w:bidi w:val="0"/>
      </w:pPr>
      <w:r w:rsidRPr="00E20B98">
        <w:rPr>
          <w:rStyle w:val="FootnoteReference"/>
        </w:rPr>
        <w:footnoteRef/>
      </w:r>
      <w:r>
        <w:rPr>
          <w:rtl/>
        </w:rPr>
        <w:t xml:space="preserve"> </w:t>
      </w:r>
      <w:r w:rsidRPr="00A33C82">
        <w:t xml:space="preserve">Lal, Vinay, Culture, </w:t>
      </w:r>
      <w:r w:rsidRPr="00A33C82">
        <w:rPr>
          <w:i/>
          <w:iCs/>
        </w:rPr>
        <w:t xml:space="preserve">Violin, </w:t>
      </w:r>
      <w:r w:rsidRPr="00A33C82">
        <w:t xml:space="preserve">available at </w:t>
      </w:r>
      <w:r w:rsidRPr="00A33C82">
        <w:rPr>
          <w:u w:val="single"/>
        </w:rPr>
        <w:t>https://www.sscnet.ucla.edu/southasia/Culture/Music/violin.html</w:t>
      </w:r>
      <w:r w:rsidRPr="00A33C82">
        <w:t xml:space="preserve"> (last visited Feb. 6, 2017).</w:t>
      </w:r>
    </w:p>
  </w:footnote>
  <w:footnote w:id="48">
    <w:p w:rsidR="00304B5F" w:rsidRDefault="00304B5F" w:rsidP="00304B5F">
      <w:pPr>
        <w:pStyle w:val="FootnoteText"/>
        <w:bidi w:val="0"/>
      </w:pPr>
      <w:r w:rsidRPr="00E20B98">
        <w:rPr>
          <w:rStyle w:val="FootnoteReference"/>
        </w:rPr>
        <w:footnoteRef/>
      </w:r>
      <w:r>
        <w:rPr>
          <w:rtl/>
        </w:rPr>
        <w:t xml:space="preserve"> </w:t>
      </w:r>
      <w:r w:rsidRPr="00261F42">
        <w:t xml:space="preserve">Stowell, Robin, The Cambridge Companion to the Violin, </w:t>
      </w:r>
      <w:r w:rsidRPr="00261F42">
        <w:rPr>
          <w:i/>
          <w:iCs/>
        </w:rPr>
        <w:t xml:space="preserve">The Violin – Instrument of Four Continents, </w:t>
      </w:r>
      <w:r w:rsidRPr="00261F42">
        <w:t>(Cambridge University Press, 1992).</w:t>
      </w:r>
    </w:p>
  </w:footnote>
  <w:footnote w:id="49">
    <w:p w:rsidR="00304B5F" w:rsidRDefault="00304B5F" w:rsidP="00304B5F">
      <w:pPr>
        <w:pStyle w:val="FootnoteText"/>
        <w:bidi w:val="0"/>
      </w:pPr>
      <w:r w:rsidRPr="00E20B98">
        <w:rPr>
          <w:rStyle w:val="FootnoteReference"/>
        </w:rPr>
        <w:footnoteRef/>
      </w:r>
      <w:r>
        <w:rPr>
          <w:rtl/>
        </w:rPr>
        <w:t xml:space="preserve"> </w:t>
      </w:r>
      <w:r w:rsidRPr="00261F42">
        <w:t xml:space="preserve">Fiddling Around the World, </w:t>
      </w:r>
      <w:r w:rsidRPr="00261F42">
        <w:rPr>
          <w:i/>
          <w:iCs/>
        </w:rPr>
        <w:t xml:space="preserve">Jazz Violin, </w:t>
      </w:r>
      <w:r w:rsidRPr="00261F42">
        <w:t xml:space="preserve">available at </w:t>
      </w:r>
      <w:r w:rsidRPr="00261F42">
        <w:rPr>
          <w:u w:val="single"/>
        </w:rPr>
        <w:t>http://www.fiddlingaround.co.uk/jazz/</w:t>
      </w:r>
      <w:r w:rsidRPr="00261F42">
        <w:t xml:space="preserve"> (last visited Feb. 6, 2017).</w:t>
      </w:r>
    </w:p>
  </w:footnote>
  <w:footnote w:id="50">
    <w:p w:rsidR="00304B5F" w:rsidRDefault="00304B5F" w:rsidP="00304B5F">
      <w:pPr>
        <w:pStyle w:val="FootnoteText"/>
        <w:bidi w:val="0"/>
      </w:pPr>
      <w:r w:rsidRPr="00E20B98">
        <w:rPr>
          <w:rStyle w:val="FootnoteReference"/>
        </w:rPr>
        <w:footnoteRef/>
      </w:r>
      <w:r>
        <w:rPr>
          <w:rtl/>
        </w:rPr>
        <w:t xml:space="preserve"> </w:t>
      </w:r>
      <w:r w:rsidRPr="006213AB">
        <w:t xml:space="preserve">Fiddling Around the World, </w:t>
      </w:r>
      <w:r w:rsidRPr="006213AB">
        <w:rPr>
          <w:i/>
          <w:iCs/>
        </w:rPr>
        <w:t xml:space="preserve">Jazz Violin, </w:t>
      </w:r>
      <w:r w:rsidRPr="006213AB">
        <w:t xml:space="preserve">available at </w:t>
      </w:r>
      <w:r w:rsidRPr="006213AB">
        <w:rPr>
          <w:u w:val="single"/>
        </w:rPr>
        <w:t>http://www.fiddlingaround.co.uk/jazz/</w:t>
      </w:r>
      <w:r w:rsidRPr="006213AB">
        <w:t xml:space="preserve"> (last visited Feb. 6, 2017).</w:t>
      </w:r>
    </w:p>
  </w:footnote>
  <w:footnote w:id="51">
    <w:p w:rsidR="00304B5F" w:rsidRDefault="00304B5F" w:rsidP="00304B5F">
      <w:pPr>
        <w:pStyle w:val="FootnoteText"/>
        <w:bidi w:val="0"/>
      </w:pPr>
      <w:r w:rsidRPr="00E20B98">
        <w:rPr>
          <w:rStyle w:val="FootnoteReference"/>
        </w:rPr>
        <w:footnoteRef/>
      </w:r>
      <w:r>
        <w:rPr>
          <w:rtl/>
        </w:rPr>
        <w:t xml:space="preserve"> </w:t>
      </w:r>
      <w:r w:rsidRPr="006213AB">
        <w:t xml:space="preserve">Country Music Hall of Fame, </w:t>
      </w:r>
      <w:r w:rsidRPr="006213AB">
        <w:rPr>
          <w:i/>
          <w:iCs/>
        </w:rPr>
        <w:t xml:space="preserve">Instruments in Country Music, </w:t>
      </w:r>
      <w:r w:rsidRPr="006213AB">
        <w:t xml:space="preserve">available at </w:t>
      </w:r>
      <w:r w:rsidRPr="006213AB">
        <w:rPr>
          <w:u w:val="single"/>
        </w:rPr>
        <w:t>http://countrymusichalloffame.org/ContentPages/instruments-in-country-music#.WJipkfkrLmE</w:t>
      </w:r>
      <w:r w:rsidRPr="006213AB">
        <w:t xml:space="preserve"> (last visited Feb. 6, 2017).</w:t>
      </w:r>
    </w:p>
  </w:footnote>
  <w:footnote w:id="52">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53">
    <w:p w:rsidR="00304B5F" w:rsidRDefault="00304B5F" w:rsidP="00304B5F">
      <w:pPr>
        <w:pStyle w:val="FootnoteText"/>
        <w:bidi w:val="0"/>
      </w:pPr>
      <w:r w:rsidRPr="00E20B98">
        <w:rPr>
          <w:rStyle w:val="FootnoteReference"/>
        </w:rPr>
        <w:footnoteRef/>
      </w:r>
      <w:r>
        <w:rPr>
          <w:rtl/>
        </w:rPr>
        <w:t xml:space="preserve"> </w:t>
      </w:r>
      <w:r w:rsidRPr="006213AB">
        <w:t xml:space="preserve">Fiddling Around the World, </w:t>
      </w:r>
      <w:r w:rsidRPr="006213AB">
        <w:rPr>
          <w:i/>
          <w:iCs/>
        </w:rPr>
        <w:t xml:space="preserve">Irish Fiddle, </w:t>
      </w:r>
      <w:r w:rsidRPr="006213AB">
        <w:t xml:space="preserve">available at </w:t>
      </w:r>
      <w:r w:rsidRPr="006213AB">
        <w:rPr>
          <w:u w:val="single"/>
        </w:rPr>
        <w:t>http://fiddlingaround.co.uk/ireland/index.html</w:t>
      </w:r>
      <w:r w:rsidRPr="006213AB">
        <w:t xml:space="preserve"> (last visited Feb. 6, 2017).</w:t>
      </w:r>
    </w:p>
  </w:footnote>
  <w:footnote w:id="54">
    <w:p w:rsidR="00304B5F" w:rsidRDefault="00304B5F" w:rsidP="00304B5F">
      <w:pPr>
        <w:pStyle w:val="FootnoteText"/>
        <w:bidi w:val="0"/>
      </w:pPr>
      <w:r w:rsidRPr="00E20B98">
        <w:rPr>
          <w:rStyle w:val="FootnoteReference"/>
        </w:rPr>
        <w:footnoteRef/>
      </w:r>
      <w:r>
        <w:rPr>
          <w:rtl/>
        </w:rPr>
        <w:t xml:space="preserve"> </w:t>
      </w:r>
      <w:r w:rsidRPr="008921DB">
        <w:t xml:space="preserve">Iowa State University Music, </w:t>
      </w:r>
      <w:r w:rsidRPr="008921DB">
        <w:rPr>
          <w:i/>
          <w:iCs/>
        </w:rPr>
        <w:t xml:space="preserve">The Bagpipe, </w:t>
      </w:r>
      <w:r w:rsidRPr="008921DB">
        <w:t xml:space="preserve">available at </w:t>
      </w:r>
      <w:r w:rsidRPr="008921DB">
        <w:rPr>
          <w:u w:val="single"/>
        </w:rPr>
        <w:t>https://www.music.iastate.edu/antiqua/bagpipe.htm</w:t>
      </w:r>
      <w:r w:rsidRPr="008921DB">
        <w:t xml:space="preserve"> (last visited Feb. 6, 2017).</w:t>
      </w:r>
    </w:p>
  </w:footnote>
  <w:footnote w:id="55">
    <w:p w:rsidR="00304B5F" w:rsidRDefault="00304B5F" w:rsidP="00304B5F">
      <w:pPr>
        <w:pStyle w:val="FootnoteText"/>
        <w:bidi w:val="0"/>
      </w:pPr>
      <w:r w:rsidRPr="00E20B98">
        <w:rPr>
          <w:rStyle w:val="FootnoteReference"/>
        </w:rPr>
        <w:footnoteRef/>
      </w:r>
      <w:r>
        <w:rPr>
          <w:rtl/>
        </w:rPr>
        <w:t xml:space="preserve"> </w:t>
      </w:r>
      <w:r w:rsidRPr="00753335">
        <w:t xml:space="preserve">Johnson, Ben, Historic UK, </w:t>
      </w:r>
      <w:r w:rsidRPr="00753335">
        <w:rPr>
          <w:i/>
          <w:iCs/>
        </w:rPr>
        <w:t xml:space="preserve">The Piob Mhor, or the Great Highlands Bagpipe, </w:t>
      </w:r>
      <w:r w:rsidRPr="00753335">
        <w:t xml:space="preserve">available at </w:t>
      </w:r>
      <w:r w:rsidRPr="00753335">
        <w:rPr>
          <w:u w:val="single"/>
        </w:rPr>
        <w:t>http://www.historic-uk.com/HistoryUK/HistoryofScotland/The-Piob-Mhor-or-the-Great-Highland-Bagpipes/</w:t>
      </w:r>
      <w:r w:rsidRPr="00753335">
        <w:t xml:space="preserve"> (last visited Feb. 6, 2017).</w:t>
      </w:r>
    </w:p>
  </w:footnote>
  <w:footnote w:id="56">
    <w:p w:rsidR="00304B5F" w:rsidRDefault="00304B5F" w:rsidP="00304B5F">
      <w:pPr>
        <w:pStyle w:val="FootnoteText"/>
        <w:bidi w:val="0"/>
      </w:pPr>
      <w:r w:rsidRPr="00E20B98">
        <w:rPr>
          <w:rStyle w:val="FootnoteReference"/>
        </w:rPr>
        <w:footnoteRef/>
      </w:r>
      <w:r>
        <w:rPr>
          <w:rtl/>
        </w:rPr>
        <w:t xml:space="preserve"> </w:t>
      </w:r>
      <w:r w:rsidRPr="006C024B">
        <w:t xml:space="preserve">PBS, </w:t>
      </w:r>
      <w:r w:rsidRPr="006C024B">
        <w:rPr>
          <w:i/>
          <w:iCs/>
        </w:rPr>
        <w:t xml:space="preserve">The Banjo, </w:t>
      </w:r>
      <w:r w:rsidRPr="006C024B">
        <w:t xml:space="preserve">available at </w:t>
      </w:r>
      <w:r w:rsidRPr="006C024B">
        <w:rPr>
          <w:u w:val="single"/>
        </w:rPr>
        <w:t>http://www.pbs.org/americanrootsmusic/pbs_arm_ii_banjo.html</w:t>
      </w:r>
      <w:r w:rsidRPr="006C024B">
        <w:t xml:space="preserve"> (last visited Feb. 6, 2017).</w:t>
      </w:r>
    </w:p>
  </w:footnote>
  <w:footnote w:id="57">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58">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59">
    <w:p w:rsidR="00304B5F" w:rsidRDefault="00304B5F" w:rsidP="00304B5F">
      <w:pPr>
        <w:pStyle w:val="FootnoteText"/>
        <w:bidi w:val="0"/>
      </w:pPr>
      <w:r w:rsidRPr="00E20B98">
        <w:rPr>
          <w:rStyle w:val="FootnoteReference"/>
        </w:rPr>
        <w:footnoteRef/>
      </w:r>
      <w:r>
        <w:rPr>
          <w:rtl/>
        </w:rPr>
        <w:t xml:space="preserve"> </w:t>
      </w:r>
      <w:r w:rsidRPr="005513BF">
        <w:t xml:space="preserve">National Geographic Society, </w:t>
      </w:r>
      <w:r w:rsidRPr="005513BF">
        <w:rPr>
          <w:i/>
          <w:iCs/>
        </w:rPr>
        <w:t xml:space="preserve">Yurt, </w:t>
      </w:r>
      <w:r w:rsidRPr="005513BF">
        <w:t xml:space="preserve">available at </w:t>
      </w:r>
      <w:r w:rsidRPr="005513BF">
        <w:rPr>
          <w:u w:val="single"/>
        </w:rPr>
        <w:t>http://www.nationalgeographic.org/encyclopedia/yurt/</w:t>
      </w:r>
      <w:r w:rsidRPr="005513BF">
        <w:t xml:space="preserve"> (last visited Feb. 6, 2017).</w:t>
      </w:r>
    </w:p>
  </w:footnote>
  <w:footnote w:id="60">
    <w:p w:rsidR="00304B5F" w:rsidRDefault="00304B5F" w:rsidP="00304B5F">
      <w:pPr>
        <w:pStyle w:val="FootnoteText"/>
        <w:bidi w:val="0"/>
      </w:pPr>
      <w:r w:rsidRPr="00E20B98">
        <w:rPr>
          <w:rStyle w:val="FootnoteReference"/>
        </w:rPr>
        <w:footnoteRef/>
      </w:r>
      <w:r>
        <w:rPr>
          <w:rtl/>
        </w:rPr>
        <w:t xml:space="preserve"> </w:t>
      </w:r>
      <w:r w:rsidRPr="00CA41FD">
        <w:t xml:space="preserve">Golgowski, Nina, Daily Mail, </w:t>
      </w:r>
      <w:r w:rsidRPr="00CA41FD">
        <w:rPr>
          <w:i/>
          <w:iCs/>
        </w:rPr>
        <w:t xml:space="preserve">Inside the Life of the Inuit: Extraordinary Photographs Document How Alaska’s Eskimos Survived the Cruelest of Winters, </w:t>
      </w:r>
      <w:r w:rsidRPr="00CA41FD">
        <w:t xml:space="preserve">available at </w:t>
      </w:r>
      <w:r w:rsidRPr="00CA41FD">
        <w:rPr>
          <w:u w:val="single"/>
        </w:rPr>
        <w:t>http://www.dailymail.co.uk/news/article-2253029/Historic-photographs-document-Alaskas-Inuit-Eskimos-survived-worlds-coldest-winters.html</w:t>
      </w:r>
      <w:r w:rsidRPr="00CA41FD">
        <w:t xml:space="preserve"> (last visited Feb. 6, 2017).</w:t>
      </w:r>
    </w:p>
  </w:footnote>
  <w:footnote w:id="61">
    <w:p w:rsidR="00304B5F" w:rsidRDefault="00304B5F" w:rsidP="00304B5F">
      <w:pPr>
        <w:pStyle w:val="FootnoteText"/>
        <w:bidi w:val="0"/>
      </w:pPr>
      <w:r w:rsidRPr="00E20B98">
        <w:rPr>
          <w:rStyle w:val="FootnoteReference"/>
        </w:rPr>
        <w:footnoteRef/>
      </w:r>
      <w:r>
        <w:rPr>
          <w:rtl/>
        </w:rPr>
        <w:t xml:space="preserve"> </w:t>
      </w:r>
      <w:r w:rsidRPr="00CA41FD">
        <w:t xml:space="preserve">University of Chicago, </w:t>
      </w:r>
      <w:r w:rsidRPr="00CA41FD">
        <w:rPr>
          <w:i/>
          <w:iCs/>
        </w:rPr>
        <w:t xml:space="preserve">Structures of the Plains Indians, </w:t>
      </w:r>
      <w:r w:rsidRPr="00CA41FD">
        <w:t xml:space="preserve">available at </w:t>
      </w:r>
      <w:r w:rsidRPr="00CA41FD">
        <w:rPr>
          <w:u w:val="single"/>
        </w:rPr>
        <w:t>http://people.ucls.uchicago.edu/~snekros/2007-8%20webquests/Structures%2089/structures89.html</w:t>
      </w:r>
      <w:r w:rsidRPr="00CA41FD">
        <w:t xml:space="preserve"> (last visited Feb. 6, 2017).</w:t>
      </w:r>
    </w:p>
  </w:footnote>
  <w:footnote w:id="62">
    <w:p w:rsidR="00304B5F" w:rsidRDefault="00304B5F" w:rsidP="00304B5F">
      <w:pPr>
        <w:pStyle w:val="FootnoteText"/>
        <w:bidi w:val="0"/>
      </w:pPr>
      <w:r w:rsidRPr="00E20B98">
        <w:rPr>
          <w:rStyle w:val="FootnoteReference"/>
        </w:rPr>
        <w:footnoteRef/>
      </w:r>
      <w:r>
        <w:rPr>
          <w:rtl/>
        </w:rPr>
        <w:t xml:space="preserve"> </w:t>
      </w:r>
      <w:r w:rsidRPr="00CA41FD">
        <w:t xml:space="preserve">Encyclopedia.com, </w:t>
      </w:r>
      <w:r w:rsidRPr="00CA41FD">
        <w:rPr>
          <w:i/>
          <w:iCs/>
        </w:rPr>
        <w:t xml:space="preserve">Bedouin, </w:t>
      </w:r>
      <w:r w:rsidRPr="00CA41FD">
        <w:t xml:space="preserve">available at </w:t>
      </w:r>
      <w:r w:rsidRPr="00CA41FD">
        <w:rPr>
          <w:u w:val="single"/>
        </w:rPr>
        <w:t>http://www.encyclopedia.com/social-sciences-and-law/anthropology-and-archaeology/people/bedouin</w:t>
      </w:r>
      <w:r w:rsidRPr="00CA41FD">
        <w:t xml:space="preserve"> (last visited Feb. 7, 2017).</w:t>
      </w:r>
    </w:p>
  </w:footnote>
  <w:footnote w:id="63">
    <w:p w:rsidR="00304B5F" w:rsidRDefault="00304B5F" w:rsidP="00304B5F">
      <w:pPr>
        <w:pStyle w:val="FootnoteText"/>
        <w:bidi w:val="0"/>
      </w:pPr>
      <w:r w:rsidRPr="00E20B98">
        <w:rPr>
          <w:rStyle w:val="FootnoteReference"/>
        </w:rPr>
        <w:footnoteRef/>
      </w:r>
      <w:r>
        <w:rPr>
          <w:rtl/>
        </w:rPr>
        <w:t xml:space="preserve"> </w:t>
      </w:r>
      <w:r w:rsidRPr="0064221C">
        <w:t xml:space="preserve">National Park Service, </w:t>
      </w:r>
      <w:r w:rsidRPr="0064221C">
        <w:rPr>
          <w:i/>
          <w:iCs/>
        </w:rPr>
        <w:t xml:space="preserve">The Log Cabin Tradition, </w:t>
      </w:r>
      <w:r w:rsidRPr="0064221C">
        <w:t xml:space="preserve">available at </w:t>
      </w:r>
      <w:r w:rsidRPr="0064221C">
        <w:rPr>
          <w:u w:val="single"/>
        </w:rPr>
        <w:t>https://www.nps.gov/nr/twhp/wwwlps/lessons/4logcabins/4facts1.htm</w:t>
      </w:r>
      <w:r w:rsidRPr="0064221C">
        <w:t xml:space="preserve"> (last visited Feb. 6, 2017).</w:t>
      </w:r>
    </w:p>
  </w:footnote>
  <w:footnote w:id="64">
    <w:p w:rsidR="00304B5F" w:rsidRDefault="00304B5F" w:rsidP="00304B5F">
      <w:pPr>
        <w:pStyle w:val="FootnoteText"/>
        <w:bidi w:val="0"/>
      </w:pPr>
      <w:r w:rsidRPr="00E20B98">
        <w:rPr>
          <w:rStyle w:val="FootnoteReference"/>
        </w:rPr>
        <w:footnoteRef/>
      </w:r>
      <w:r>
        <w:rPr>
          <w:rtl/>
        </w:rPr>
        <w:t xml:space="preserve"> </w:t>
      </w:r>
      <w:r w:rsidRPr="004A208C">
        <w:t xml:space="preserve">Adhikary, Nripal, International Journal of Environmental Studies, </w:t>
      </w:r>
      <w:r w:rsidRPr="004A208C">
        <w:rPr>
          <w:i/>
          <w:iCs/>
        </w:rPr>
        <w:t xml:space="preserve">Vernacular Architecture in Post-Earthquake Nepal, </w:t>
      </w:r>
      <w:r w:rsidRPr="004A208C">
        <w:t xml:space="preserve">available at </w:t>
      </w:r>
      <w:r w:rsidRPr="004A208C">
        <w:rPr>
          <w:u w:val="single"/>
        </w:rPr>
        <w:t>http://www.tandfonline.com/doi/abs/10.1080/00207233.2016.1179011?src=recsys&amp;journalCode=genv20</w:t>
      </w:r>
      <w:r w:rsidRPr="004A208C">
        <w:t xml:space="preserve"> (last visited Feb. 6, 2017).</w:t>
      </w:r>
    </w:p>
  </w:footnote>
  <w:footnote w:id="65">
    <w:p w:rsidR="00304B5F" w:rsidRDefault="00304B5F" w:rsidP="00304B5F">
      <w:pPr>
        <w:pStyle w:val="FootnoteText"/>
        <w:bidi w:val="0"/>
      </w:pPr>
      <w:r w:rsidRPr="00E20B98">
        <w:rPr>
          <w:rStyle w:val="FootnoteReference"/>
        </w:rPr>
        <w:footnoteRef/>
      </w:r>
      <w:r>
        <w:rPr>
          <w:rtl/>
        </w:rPr>
        <w:t xml:space="preserve"> </w:t>
      </w:r>
      <w:r w:rsidRPr="00A543CF">
        <w:t xml:space="preserve">Maasai Association, </w:t>
      </w:r>
      <w:r w:rsidRPr="00A543CF">
        <w:rPr>
          <w:i/>
          <w:iCs/>
        </w:rPr>
        <w:t xml:space="preserve">The Maasai People, </w:t>
      </w:r>
      <w:r w:rsidRPr="00A543CF">
        <w:t xml:space="preserve">available at </w:t>
      </w:r>
      <w:r w:rsidRPr="00A543CF">
        <w:rPr>
          <w:u w:val="single"/>
        </w:rPr>
        <w:t>http://www.maasai-association.org/maasai.html</w:t>
      </w:r>
      <w:r w:rsidRPr="00A543CF">
        <w:t xml:space="preserve"> (last visited Feb. 6, 2017).</w:t>
      </w:r>
    </w:p>
  </w:footnote>
  <w:footnote w:id="66">
    <w:p w:rsidR="00304B5F" w:rsidRDefault="00304B5F" w:rsidP="00304B5F">
      <w:pPr>
        <w:pStyle w:val="FootnoteText"/>
        <w:bidi w:val="0"/>
      </w:pPr>
      <w:r w:rsidRPr="00E20B98">
        <w:rPr>
          <w:rStyle w:val="FootnoteReference"/>
        </w:rPr>
        <w:footnoteRef/>
      </w:r>
      <w:r>
        <w:rPr>
          <w:rtl/>
        </w:rPr>
        <w:t xml:space="preserve"> </w:t>
      </w:r>
      <w:r w:rsidRPr="009D6D55">
        <w:t xml:space="preserve">Indonesia Travel, </w:t>
      </w:r>
      <w:r w:rsidRPr="009D6D55">
        <w:rPr>
          <w:i/>
          <w:iCs/>
        </w:rPr>
        <w:t xml:space="preserve">Tomok and Simanindo: The Traditional Batak Villages in Lake Toba, </w:t>
      </w:r>
      <w:r w:rsidRPr="009D6D55">
        <w:t xml:space="preserve">available at </w:t>
      </w:r>
      <w:r w:rsidRPr="009D6D55">
        <w:rPr>
          <w:u w:val="single"/>
        </w:rPr>
        <w:t>http://www.indonesia.travel/en/post/tomok-and-simanindo-the-traditional-batak-villages-in-lake-toba</w:t>
      </w:r>
      <w:r w:rsidRPr="009D6D55">
        <w:t xml:space="preserve"> (last visited Feb. 6, 2017).</w:t>
      </w:r>
    </w:p>
  </w:footnote>
  <w:footnote w:id="67">
    <w:p w:rsidR="00304B5F" w:rsidRDefault="00304B5F" w:rsidP="00304B5F">
      <w:pPr>
        <w:pStyle w:val="FootnoteText"/>
        <w:bidi w:val="0"/>
      </w:pPr>
      <w:r w:rsidRPr="00E20B98">
        <w:rPr>
          <w:rStyle w:val="FootnoteReference"/>
        </w:rPr>
        <w:footnoteRef/>
      </w:r>
      <w:r>
        <w:rPr>
          <w:rtl/>
        </w:rPr>
        <w:t xml:space="preserve"> </w:t>
      </w:r>
      <w:r w:rsidRPr="009817A7">
        <w:t xml:space="preserve">Chinasage, </w:t>
      </w:r>
      <w:r w:rsidRPr="009817A7">
        <w:rPr>
          <w:i/>
          <w:iCs/>
        </w:rPr>
        <w:t xml:space="preserve">Traditional Chinese Architecture, </w:t>
      </w:r>
      <w:r w:rsidRPr="009817A7">
        <w:t xml:space="preserve">available at </w:t>
      </w:r>
      <w:r w:rsidRPr="009817A7">
        <w:rPr>
          <w:u w:val="single"/>
        </w:rPr>
        <w:t>http://www.chinasage.info/architecture.htm</w:t>
      </w:r>
      <w:r w:rsidRPr="009817A7">
        <w:t xml:space="preserve"> (last visited Feb. 6, 2017).</w:t>
      </w:r>
    </w:p>
  </w:footnote>
  <w:footnote w:id="68">
    <w:p w:rsidR="00304B5F" w:rsidRDefault="00304B5F" w:rsidP="00304B5F">
      <w:pPr>
        <w:pStyle w:val="FootnoteText"/>
      </w:pPr>
      <w:r w:rsidRPr="00E20B98">
        <w:rPr>
          <w:rStyle w:val="FootnoteReference"/>
        </w:rPr>
        <w:footnoteRef/>
      </w:r>
      <w:r>
        <w:rPr>
          <w:rtl/>
        </w:rPr>
        <w:t xml:space="preserve"> </w:t>
      </w:r>
      <w:r>
        <w:rPr>
          <w:rFonts w:hint="cs"/>
          <w:rtl/>
        </w:rPr>
        <w:t>انظر عموما موجز المعلومات الأساسية رقم 5 الصادر عن الوييو، الملكية الفكرية والمصنوعات اليدوية التقليدية، للاطلاع على مناقشة موجزة للتعريف وخصائص تلك المصنوعات.</w:t>
      </w:r>
    </w:p>
  </w:footnote>
  <w:footnote w:id="69">
    <w:p w:rsidR="00304B5F" w:rsidRDefault="00304B5F" w:rsidP="00304B5F">
      <w:pPr>
        <w:pStyle w:val="FootnoteText"/>
        <w:bidi w:val="0"/>
      </w:pPr>
      <w:r w:rsidRPr="00E20B98">
        <w:rPr>
          <w:rStyle w:val="FootnoteReference"/>
        </w:rPr>
        <w:footnoteRef/>
      </w:r>
      <w:r>
        <w:rPr>
          <w:rtl/>
        </w:rPr>
        <w:t xml:space="preserve"> </w:t>
      </w:r>
      <w:r w:rsidRPr="0041636E">
        <w:t xml:space="preserve">Museum of Indian Arts &amp; Culture, </w:t>
      </w:r>
      <w:r w:rsidRPr="0041636E">
        <w:rPr>
          <w:i/>
          <w:iCs/>
        </w:rPr>
        <w:t xml:space="preserve">Turquoise, Water, Sky: The Stone and Its Meaning, </w:t>
      </w:r>
      <w:r w:rsidRPr="0041636E">
        <w:t xml:space="preserve">available at </w:t>
      </w:r>
      <w:r w:rsidRPr="0041636E">
        <w:rPr>
          <w:u w:val="single"/>
        </w:rPr>
        <w:t>http://www.indianartsandculture.org/whatsnew/&amp;releaseID=292</w:t>
      </w:r>
      <w:r w:rsidRPr="0041636E">
        <w:t xml:space="preserve"> (last visited Feb. 6, 2017); </w:t>
      </w:r>
      <w:r w:rsidRPr="0041636E">
        <w:rPr>
          <w:i/>
          <w:iCs/>
        </w:rPr>
        <w:t xml:space="preserve">see also, </w:t>
      </w:r>
      <w:r w:rsidRPr="0041636E">
        <w:t xml:space="preserve">Danchevskaya, O.Y. </w:t>
      </w:r>
      <w:r w:rsidRPr="0041636E">
        <w:rPr>
          <w:i/>
          <w:iCs/>
        </w:rPr>
        <w:t xml:space="preserve">Turquoise in the Life of American Indians, </w:t>
      </w:r>
      <w:r w:rsidRPr="0041636E">
        <w:t xml:space="preserve">available at </w:t>
      </w:r>
      <w:r w:rsidRPr="0041636E">
        <w:rPr>
          <w:u w:val="single"/>
        </w:rPr>
        <w:t>http://www.academia.edu/5786419/Turquoise_in_the_Life_of_American_Indians</w:t>
      </w:r>
      <w:r w:rsidRPr="0041636E">
        <w:t xml:space="preserve"> (last visited Feb. 6, 2017).</w:t>
      </w:r>
    </w:p>
  </w:footnote>
  <w:footnote w:id="70">
    <w:p w:rsidR="00304B5F" w:rsidRDefault="00304B5F" w:rsidP="00304B5F">
      <w:pPr>
        <w:pStyle w:val="FootnoteText"/>
        <w:bidi w:val="0"/>
      </w:pPr>
      <w:r w:rsidRPr="00E20B98">
        <w:rPr>
          <w:rStyle w:val="FootnoteReference"/>
        </w:rPr>
        <w:footnoteRef/>
      </w:r>
      <w:r>
        <w:rPr>
          <w:rtl/>
        </w:rPr>
        <w:t xml:space="preserve"> </w:t>
      </w:r>
      <w:r w:rsidRPr="0010383A">
        <w:t xml:space="preserve">New World Encyclopedia, </w:t>
      </w:r>
      <w:r w:rsidRPr="0010383A">
        <w:rPr>
          <w:i/>
          <w:iCs/>
        </w:rPr>
        <w:t xml:space="preserve">Dreamcatcher, </w:t>
      </w:r>
      <w:r w:rsidRPr="0010383A">
        <w:t xml:space="preserve">available at </w:t>
      </w:r>
      <w:r w:rsidRPr="0010383A">
        <w:rPr>
          <w:u w:val="single"/>
        </w:rPr>
        <w:t>http://www.newworldencyclopedia.org/p/index.php?title=Dreamcatcher&amp;oldid=973099</w:t>
      </w:r>
      <w:r w:rsidRPr="0010383A">
        <w:t xml:space="preserve"> (last visited Feb. 6, 2017).</w:t>
      </w:r>
    </w:p>
  </w:footnote>
  <w:footnote w:id="71">
    <w:p w:rsidR="00013509" w:rsidRPr="00013509" w:rsidRDefault="00013509" w:rsidP="00013509">
      <w:pPr>
        <w:pStyle w:val="FootnoteText"/>
        <w:bidi w:val="0"/>
      </w:pPr>
      <w:r w:rsidRPr="00E20B98">
        <w:rPr>
          <w:rStyle w:val="FootnoteReference"/>
        </w:rPr>
        <w:footnoteRef/>
      </w:r>
      <w:r>
        <w:rPr>
          <w:rtl/>
        </w:rPr>
        <w:t xml:space="preserve"> </w:t>
      </w:r>
      <w:r w:rsidRPr="00013509">
        <w:rPr>
          <w:i/>
        </w:rPr>
        <w:t>Id.</w:t>
      </w:r>
      <w:r w:rsidRPr="00013509">
        <w:t xml:space="preserve">(last visited Sept. 1, 2022). See also N. Karim, </w:t>
      </w:r>
      <w:r w:rsidRPr="00013509">
        <w:rPr>
          <w:i/>
        </w:rPr>
        <w:t>Dreamcatchers Are Not Your “Aesthetic,”</w:t>
      </w:r>
      <w:r w:rsidRPr="00013509">
        <w:t xml:space="preserve"> </w:t>
      </w:r>
      <w:hyperlink r:id="rId2" w:history="1">
        <w:r w:rsidRPr="00013509">
          <w:rPr>
            <w:rStyle w:val="Hyperlink"/>
            <w:color w:val="auto"/>
          </w:rPr>
          <w:t>https://www.theindigenousfoundation.org/articles/dreamcatchers</w:t>
        </w:r>
      </w:hyperlink>
      <w:r w:rsidRPr="00013509">
        <w:t xml:space="preserve"> (last visited Sept. 1, 2022).</w:t>
      </w:r>
    </w:p>
  </w:footnote>
  <w:footnote w:id="72">
    <w:p w:rsidR="00304B5F" w:rsidRDefault="00304B5F" w:rsidP="00304B5F">
      <w:pPr>
        <w:pStyle w:val="FootnoteText"/>
        <w:bidi w:val="0"/>
      </w:pPr>
      <w:r w:rsidRPr="00E20B98">
        <w:rPr>
          <w:rStyle w:val="FootnoteReference"/>
        </w:rPr>
        <w:footnoteRef/>
      </w:r>
      <w:r>
        <w:rPr>
          <w:rtl/>
        </w:rPr>
        <w:t xml:space="preserve"> </w:t>
      </w:r>
      <w:r w:rsidRPr="00CE403A">
        <w:t xml:space="preserve">The Scottish Register of Tartans, </w:t>
      </w:r>
      <w:r w:rsidRPr="00CE403A">
        <w:rPr>
          <w:i/>
          <w:iCs/>
        </w:rPr>
        <w:t xml:space="preserve">FAQ, </w:t>
      </w:r>
      <w:r w:rsidRPr="00CE403A">
        <w:t xml:space="preserve">available at </w:t>
      </w:r>
      <w:r w:rsidRPr="00CE403A">
        <w:rPr>
          <w:u w:val="single"/>
        </w:rPr>
        <w:t>https://www.tartanregister.gov.uk/FAQ#general0</w:t>
      </w:r>
      <w:r w:rsidRPr="00CE403A">
        <w:t xml:space="preserve"> (last visited Feb. 6, 2017).</w:t>
      </w:r>
    </w:p>
  </w:footnote>
  <w:footnote w:id="73">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74">
    <w:p w:rsidR="00304B5F" w:rsidRDefault="00304B5F" w:rsidP="00304B5F">
      <w:pPr>
        <w:pStyle w:val="FootnoteText"/>
      </w:pPr>
      <w:r w:rsidRPr="00E20B98">
        <w:rPr>
          <w:rStyle w:val="FootnoteReference"/>
        </w:rPr>
        <w:footnoteRef/>
      </w:r>
      <w:r>
        <w:rPr>
          <w:rtl/>
        </w:rPr>
        <w:t xml:space="preserve"> </w:t>
      </w:r>
      <w:r>
        <w:rPr>
          <w:rFonts w:hint="cs"/>
          <w:rtl/>
        </w:rPr>
        <w:t>يرد فن حياكة قبعة القش الإكوادورية التقليدية ضمن قائمة اليونسكو للتراث الثقافي غير المادي.</w:t>
      </w:r>
    </w:p>
  </w:footnote>
  <w:footnote w:id="75">
    <w:p w:rsidR="00304B5F" w:rsidRDefault="00304B5F" w:rsidP="00304B5F">
      <w:pPr>
        <w:pStyle w:val="FootnoteText"/>
        <w:bidi w:val="0"/>
      </w:pPr>
      <w:r w:rsidRPr="00E20B98">
        <w:rPr>
          <w:rStyle w:val="FootnoteReference"/>
        </w:rPr>
        <w:footnoteRef/>
      </w:r>
      <w:r>
        <w:rPr>
          <w:rtl/>
        </w:rPr>
        <w:t xml:space="preserve"> </w:t>
      </w:r>
      <w:r w:rsidRPr="008B5EF4">
        <w:t xml:space="preserve">Madsen, Leah, Buffalo Bill Center of the West, </w:t>
      </w:r>
      <w:r w:rsidRPr="008B5EF4">
        <w:rPr>
          <w:i/>
          <w:iCs/>
        </w:rPr>
        <w:t xml:space="preserve">I Can See by Your Outfit that You Are a Cowboy, </w:t>
      </w:r>
      <w:r w:rsidRPr="008B5EF4">
        <w:t xml:space="preserve">available at </w:t>
      </w:r>
      <w:r w:rsidRPr="008B5EF4">
        <w:rPr>
          <w:u w:val="single"/>
        </w:rPr>
        <w:t>https://centerofthewest.org/2014/06/18/i-can-see-by-your-outfit-that-you-are-a-cowboy/</w:t>
      </w:r>
      <w:r w:rsidRPr="008B5EF4">
        <w:t xml:space="preserve"> (last visited Feb. 6, 2017).</w:t>
      </w:r>
    </w:p>
  </w:footnote>
  <w:footnote w:id="76">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77">
    <w:p w:rsidR="00304B5F" w:rsidRDefault="00304B5F" w:rsidP="00304B5F">
      <w:pPr>
        <w:pStyle w:val="FootnoteText"/>
        <w:bidi w:val="0"/>
      </w:pPr>
      <w:r w:rsidRPr="00E20B98">
        <w:rPr>
          <w:rStyle w:val="FootnoteReference"/>
        </w:rPr>
        <w:footnoteRef/>
      </w:r>
      <w:r>
        <w:rPr>
          <w:rtl/>
        </w:rPr>
        <w:t xml:space="preserve"> </w:t>
      </w:r>
      <w:r w:rsidRPr="00071B42">
        <w:t xml:space="preserve">The Metropolitan Museum of Art: Heilbrunn Timeline of History, </w:t>
      </w:r>
      <w:r w:rsidRPr="00071B42">
        <w:rPr>
          <w:i/>
          <w:iCs/>
        </w:rPr>
        <w:t xml:space="preserve">Shaker Furniture, </w:t>
      </w:r>
      <w:r w:rsidRPr="00071B42">
        <w:t xml:space="preserve">available at </w:t>
      </w:r>
      <w:r w:rsidRPr="00071B42">
        <w:rPr>
          <w:u w:val="single"/>
        </w:rPr>
        <w:t>http://www.metmuseum.org/toah/hd/shak/hd_shak.htm</w:t>
      </w:r>
      <w:r w:rsidRPr="00071B42">
        <w:t xml:space="preserve"> (last visited Feb. 6, 2017)</w:t>
      </w:r>
    </w:p>
  </w:footnote>
  <w:footnote w:id="78">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79">
    <w:p w:rsidR="00304B5F" w:rsidRDefault="00304B5F" w:rsidP="00304B5F">
      <w:pPr>
        <w:pStyle w:val="FootnoteText"/>
        <w:bidi w:val="0"/>
      </w:pPr>
      <w:r w:rsidRPr="00E20B98">
        <w:rPr>
          <w:rStyle w:val="FootnoteReference"/>
        </w:rPr>
        <w:footnoteRef/>
      </w:r>
      <w:r>
        <w:rPr>
          <w:rtl/>
        </w:rPr>
        <w:t xml:space="preserve"> </w:t>
      </w:r>
      <w:r w:rsidRPr="00B13450">
        <w:t xml:space="preserve">History.com, </w:t>
      </w:r>
      <w:r w:rsidRPr="00B13450">
        <w:rPr>
          <w:i/>
          <w:iCs/>
        </w:rPr>
        <w:t xml:space="preserve">History of the Jack O’Lantern, </w:t>
      </w:r>
      <w:r w:rsidRPr="00B13450">
        <w:t xml:space="preserve">available at </w:t>
      </w:r>
      <w:r w:rsidRPr="00B13450">
        <w:rPr>
          <w:u w:val="single"/>
        </w:rPr>
        <w:t>http://www.history.com/topics/halloween/jack-olantern-history</w:t>
      </w:r>
      <w:r w:rsidRPr="00B13450">
        <w:t xml:space="preserve"> (last visited Feb. 7, 2017).</w:t>
      </w:r>
    </w:p>
  </w:footnote>
  <w:footnote w:id="80">
    <w:p w:rsidR="00304B5F" w:rsidRDefault="00304B5F" w:rsidP="00304B5F">
      <w:pPr>
        <w:pStyle w:val="FootnoteText"/>
      </w:pPr>
      <w:r w:rsidRPr="00E20B98">
        <w:rPr>
          <w:rStyle w:val="FootnoteReference"/>
        </w:rPr>
        <w:footnoteRef/>
      </w:r>
      <w:r>
        <w:rPr>
          <w:rtl/>
        </w:rPr>
        <w:t xml:space="preserve"> </w:t>
      </w:r>
      <w:r>
        <w:rPr>
          <w:rFonts w:hint="cs"/>
          <w:rtl/>
        </w:rPr>
        <w:t xml:space="preserve">دليل على الأهمية الثقافية للطعام، أدرجت المأكولات المكسيكية التقليدية والمأكولات الفرنسية الرفيعة والثقافات الغذائية التقليدية لليابان (الواشوكو) في </w:t>
      </w:r>
      <w:r w:rsidRPr="00580EB4">
        <w:rPr>
          <w:rtl/>
        </w:rPr>
        <w:t>قائمة</w:t>
      </w:r>
      <w:r>
        <w:rPr>
          <w:rFonts w:hint="cs"/>
          <w:rtl/>
        </w:rPr>
        <w:t> اليونسكو ل</w:t>
      </w:r>
      <w:r w:rsidRPr="00580EB4">
        <w:rPr>
          <w:rtl/>
        </w:rPr>
        <w:t>لتراث الثقافي غير المادي</w:t>
      </w:r>
      <w:r>
        <w:rPr>
          <w:rFonts w:hint="cs"/>
          <w:rtl/>
        </w:rPr>
        <w:t>.</w:t>
      </w:r>
    </w:p>
  </w:footnote>
  <w:footnote w:id="81">
    <w:p w:rsidR="00304B5F" w:rsidRDefault="00304B5F" w:rsidP="00304B5F">
      <w:pPr>
        <w:pStyle w:val="FootnoteText"/>
        <w:bidi w:val="0"/>
      </w:pPr>
      <w:r w:rsidRPr="00E20B98">
        <w:rPr>
          <w:rStyle w:val="FootnoteReference"/>
        </w:rPr>
        <w:footnoteRef/>
      </w:r>
      <w:r>
        <w:t xml:space="preserve"> </w:t>
      </w:r>
      <w:r w:rsidRPr="00F909B8">
        <w:t xml:space="preserve">Epicurian.com,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2">
    <w:p w:rsidR="00304B5F" w:rsidRDefault="00304B5F" w:rsidP="00304B5F">
      <w:pPr>
        <w:pStyle w:val="FootnoteText"/>
        <w:bidi w:val="0"/>
      </w:pPr>
      <w:r w:rsidRPr="00E20B98">
        <w:rPr>
          <w:rStyle w:val="FootnoteReference"/>
        </w:rPr>
        <w:footnoteRef/>
      </w:r>
      <w:r>
        <w:t xml:space="preserve"> </w:t>
      </w:r>
      <w:r w:rsidRPr="00F909B8">
        <w:t xml:space="preserve">The Washington Post, </w:t>
      </w:r>
      <w:r w:rsidRPr="00F909B8">
        <w:rPr>
          <w:i/>
          <w:iCs/>
        </w:rPr>
        <w:t xml:space="preserve">Belgian-Style Crepes, </w:t>
      </w:r>
      <w:r w:rsidRPr="00F909B8">
        <w:t xml:space="preserve">available at </w:t>
      </w:r>
      <w:r w:rsidRPr="00F909B8">
        <w:rPr>
          <w:u w:val="single"/>
        </w:rPr>
        <w:t>https://www.washingtonpost.com/recipes/belgian-style-crepes/12617/?utm_term=.783fb221f269</w:t>
      </w:r>
      <w:r w:rsidRPr="00F909B8">
        <w:t xml:space="preserve"> (last visited Feb. 6, 2017).</w:t>
      </w:r>
    </w:p>
  </w:footnote>
  <w:footnote w:id="83">
    <w:p w:rsidR="00304B5F" w:rsidRDefault="00304B5F" w:rsidP="00304B5F">
      <w:pPr>
        <w:pStyle w:val="FootnoteText"/>
        <w:bidi w:val="0"/>
      </w:pPr>
      <w:r w:rsidRPr="00E20B98">
        <w:rPr>
          <w:rStyle w:val="FootnoteReference"/>
        </w:rPr>
        <w:footnoteRef/>
      </w:r>
      <w:r>
        <w:t xml:space="preserve"> </w:t>
      </w:r>
      <w:r w:rsidRPr="00F909B8">
        <w:t xml:space="preserve">Keller, Dawn, USA Today, </w:t>
      </w:r>
      <w:r w:rsidRPr="00F909B8">
        <w:rPr>
          <w:i/>
          <w:iCs/>
        </w:rPr>
        <w:t xml:space="preserve">Crepe Restaurants in Quebec, </w:t>
      </w:r>
      <w:r w:rsidRPr="00F909B8">
        <w:t xml:space="preserve">available at </w:t>
      </w:r>
      <w:r w:rsidRPr="00F909B8">
        <w:rPr>
          <w:u w:val="single"/>
        </w:rPr>
        <w:t>http://traveltips.usatoday.com/crepe-restaurants-quebec-62238.html</w:t>
      </w:r>
      <w:r w:rsidRPr="00F909B8">
        <w:t xml:space="preserve"> (last visited Feb. 6, 2017).</w:t>
      </w:r>
    </w:p>
  </w:footnote>
  <w:footnote w:id="84">
    <w:p w:rsidR="00304B5F" w:rsidRDefault="00304B5F" w:rsidP="00304B5F">
      <w:pPr>
        <w:pStyle w:val="FootnoteText"/>
        <w:bidi w:val="0"/>
      </w:pPr>
      <w:r w:rsidRPr="00E20B98">
        <w:rPr>
          <w:rStyle w:val="FootnoteReference"/>
        </w:rPr>
        <w:footnoteRef/>
      </w:r>
      <w:r>
        <w:t xml:space="preserve"> </w:t>
      </w:r>
      <w:r w:rsidRPr="00F909B8">
        <w:t xml:space="preserve">196flavors.com, </w:t>
      </w:r>
      <w:r w:rsidRPr="00F909B8">
        <w:rPr>
          <w:i/>
          <w:iCs/>
        </w:rPr>
        <w:t xml:space="preserve">Morocco: Baghrir (Thousand-Hole Crepe), </w:t>
      </w:r>
      <w:r w:rsidRPr="00F909B8">
        <w:t xml:space="preserve">available at </w:t>
      </w:r>
      <w:r w:rsidRPr="00F909B8">
        <w:rPr>
          <w:u w:val="single"/>
        </w:rPr>
        <w:t>http://www.196flavors.com/2016/11/23/morocco-baghrir-thousand-hole-crepe/</w:t>
      </w:r>
      <w:r w:rsidRPr="00F909B8">
        <w:t xml:space="preserve"> (last visited Feb. 6, 2017).</w:t>
      </w:r>
    </w:p>
  </w:footnote>
  <w:footnote w:id="85">
    <w:p w:rsidR="00304B5F" w:rsidRDefault="00304B5F" w:rsidP="00304B5F">
      <w:pPr>
        <w:pStyle w:val="FootnoteText"/>
        <w:bidi w:val="0"/>
      </w:pPr>
      <w:r w:rsidRPr="00E20B98">
        <w:rPr>
          <w:rStyle w:val="FootnoteReference"/>
        </w:rPr>
        <w:footnoteRef/>
      </w:r>
      <w:r>
        <w:t xml:space="preserve"> </w:t>
      </w:r>
      <w:r w:rsidRPr="00F909B8">
        <w:t xml:space="preserve">Tri-National Kitchen: Cooking without Borders, </w:t>
      </w:r>
      <w:r w:rsidRPr="00F909B8">
        <w:rPr>
          <w:i/>
          <w:iCs/>
        </w:rPr>
        <w:t xml:space="preserve">Pannekoek: South African Crepes, </w:t>
      </w:r>
      <w:r w:rsidRPr="00F909B8">
        <w:t xml:space="preserve">available at </w:t>
      </w:r>
      <w:r w:rsidRPr="00F909B8">
        <w:rPr>
          <w:u w:val="single"/>
        </w:rPr>
        <w:t>http://trinationalkitchen.com/2015/12/29/pannekoek-south-african-crepes/</w:t>
      </w:r>
      <w:r w:rsidRPr="00F909B8">
        <w:t xml:space="preserve"> (last visited Feb. 6, 2017).</w:t>
      </w:r>
    </w:p>
  </w:footnote>
  <w:footnote w:id="86">
    <w:p w:rsidR="00304B5F" w:rsidRDefault="00304B5F" w:rsidP="00304B5F">
      <w:pPr>
        <w:pStyle w:val="FootnoteText"/>
        <w:bidi w:val="0"/>
        <w:ind w:right="1417"/>
      </w:pPr>
      <w:r w:rsidRPr="00E20B98">
        <w:rPr>
          <w:rStyle w:val="FootnoteReference"/>
        </w:rPr>
        <w:footnoteRef/>
      </w:r>
      <w:r>
        <w:t xml:space="preserve"> </w:t>
      </w:r>
      <w:r w:rsidRPr="00F909B8">
        <w:t xml:space="preserve">Japan Guide, </w:t>
      </w:r>
      <w:r w:rsidRPr="00F909B8">
        <w:rPr>
          <w:i/>
          <w:iCs/>
        </w:rPr>
        <w:t xml:space="preserve">Japanese Crepes, </w:t>
      </w:r>
      <w:r w:rsidRPr="00F909B8">
        <w:t xml:space="preserve">available at </w:t>
      </w:r>
      <w:r w:rsidRPr="00F909B8">
        <w:rPr>
          <w:u w:val="single"/>
        </w:rPr>
        <w:t>http://www.essential-japan-guide.com/japanese-crepes/</w:t>
      </w:r>
      <w:r w:rsidRPr="00F909B8">
        <w:t xml:space="preserve"> (last visited Feb. 6, 2017).</w:t>
      </w:r>
    </w:p>
  </w:footnote>
  <w:footnote w:id="87">
    <w:p w:rsidR="00304B5F" w:rsidRDefault="00304B5F" w:rsidP="00304B5F">
      <w:pPr>
        <w:pStyle w:val="FootnoteText"/>
        <w:bidi w:val="0"/>
      </w:pPr>
      <w:r w:rsidRPr="00E20B98">
        <w:rPr>
          <w:rStyle w:val="FootnoteReference"/>
        </w:rPr>
        <w:footnoteRef/>
      </w:r>
      <w:r>
        <w:t xml:space="preserve"> </w:t>
      </w:r>
      <w:r w:rsidRPr="00F909B8">
        <w:t xml:space="preserve">Kijac, Maria Baez, </w:t>
      </w:r>
      <w:r w:rsidRPr="00F909B8">
        <w:rPr>
          <w:i/>
          <w:iCs/>
        </w:rPr>
        <w:t xml:space="preserve">The South American Table: The Flavor and Soul of Authentic Home Cooking from Patagonia to Rio de Janeiro </w:t>
      </w:r>
      <w:r w:rsidRPr="00F909B8">
        <w:t>(Harvard Common Press, 2003).</w:t>
      </w:r>
    </w:p>
  </w:footnote>
  <w:footnote w:id="88">
    <w:p w:rsidR="00304B5F" w:rsidRDefault="00304B5F" w:rsidP="00304B5F">
      <w:pPr>
        <w:pStyle w:val="FootnoteText"/>
        <w:bidi w:val="0"/>
      </w:pPr>
      <w:r w:rsidRPr="00E20B98">
        <w:rPr>
          <w:rStyle w:val="FootnoteReference"/>
        </w:rPr>
        <w:footnoteRef/>
      </w:r>
      <w:r>
        <w:t xml:space="preserve"> </w:t>
      </w:r>
      <w:r w:rsidRPr="00F909B8">
        <w:t xml:space="preserve">Epicurean.com,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9">
    <w:p w:rsidR="00304B5F" w:rsidRDefault="00304B5F" w:rsidP="00304B5F">
      <w:pPr>
        <w:pStyle w:val="FootnoteText"/>
        <w:bidi w:val="0"/>
      </w:pPr>
      <w:r w:rsidRPr="00E20B98">
        <w:rPr>
          <w:rStyle w:val="FootnoteReference"/>
        </w:rPr>
        <w:footnoteRef/>
      </w:r>
      <w:r>
        <w:t xml:space="preserve"> </w:t>
      </w:r>
      <w:r w:rsidRPr="00F909B8">
        <w:t xml:space="preserve">Turim, Gayle, History.com, </w:t>
      </w:r>
      <w:r w:rsidRPr="00F909B8">
        <w:rPr>
          <w:i/>
          <w:iCs/>
        </w:rPr>
        <w:t xml:space="preserve">A Slice of History: Pizza through the Ages, </w:t>
      </w:r>
      <w:r w:rsidRPr="00F909B8">
        <w:t xml:space="preserve">available at </w:t>
      </w:r>
      <w:r w:rsidRPr="00F909B8">
        <w:rPr>
          <w:u w:val="single"/>
        </w:rPr>
        <w:t>http://www.history.com/news/hungry-history/a-slice-of-history-pizza-through-the-ages</w:t>
      </w:r>
      <w:r w:rsidRPr="00F909B8">
        <w:t xml:space="preserve"> (last visited Feb. 6, 2017).</w:t>
      </w:r>
    </w:p>
  </w:footnote>
  <w:footnote w:id="9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1">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2">
    <w:p w:rsidR="00304B5F" w:rsidRDefault="00304B5F" w:rsidP="00304B5F">
      <w:pPr>
        <w:pStyle w:val="FootnoteText"/>
        <w:bidi w:val="0"/>
      </w:pPr>
      <w:r w:rsidRPr="00E20B98">
        <w:rPr>
          <w:rStyle w:val="FootnoteReference"/>
        </w:rPr>
        <w:footnoteRef/>
      </w:r>
      <w:r>
        <w:t xml:space="preserve"> </w:t>
      </w:r>
      <w:r w:rsidRPr="00F909B8">
        <w:t xml:space="preserve">Warner, Kate, The Austin Times, </w:t>
      </w:r>
      <w:r w:rsidRPr="00F909B8">
        <w:rPr>
          <w:i/>
          <w:iCs/>
        </w:rPr>
        <w:t xml:space="preserve">The History Behind Tamales, </w:t>
      </w:r>
      <w:r w:rsidRPr="00F909B8">
        <w:t xml:space="preserve">available at </w:t>
      </w:r>
      <w:r w:rsidRPr="00F909B8">
        <w:rPr>
          <w:u w:val="single"/>
        </w:rPr>
        <w:t>http://www.theaustintimes.com/2010/01/the-history-behind-tamales/</w:t>
      </w:r>
      <w:r w:rsidRPr="00F909B8">
        <w:t xml:space="preserve"> (last visited Feb. 6, 2017).</w:t>
      </w:r>
    </w:p>
  </w:footnote>
  <w:footnote w:id="93">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4">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5">
    <w:p w:rsidR="00304B5F" w:rsidRDefault="00304B5F" w:rsidP="00304B5F">
      <w:pPr>
        <w:pStyle w:val="FootnoteText"/>
        <w:bidi w:val="0"/>
      </w:pPr>
      <w:r w:rsidRPr="00E20B98">
        <w:rPr>
          <w:rStyle w:val="FootnoteReference"/>
        </w:rPr>
        <w:footnoteRef/>
      </w:r>
      <w:r>
        <w:t xml:space="preserve"> </w:t>
      </w:r>
      <w:r w:rsidRPr="00F909B8">
        <w:t xml:space="preserve">Santos, Fernanda, The New York Times, </w:t>
      </w:r>
      <w:r w:rsidRPr="00F909B8">
        <w:rPr>
          <w:i/>
          <w:iCs/>
        </w:rPr>
        <w:t xml:space="preserve">Wrapped in Tradition, </w:t>
      </w:r>
      <w:r w:rsidRPr="00F909B8">
        <w:t xml:space="preserve">available at </w:t>
      </w:r>
      <w:r w:rsidRPr="00F909B8">
        <w:rPr>
          <w:u w:val="single"/>
        </w:rPr>
        <w:t>http://www.nytimes.com/2012/12/19/dining/where-christmas-means-tamales.html</w:t>
      </w:r>
      <w:r w:rsidRPr="00F909B8">
        <w:t xml:space="preserve"> (last visited Feb. 6, 2017).</w:t>
      </w:r>
    </w:p>
  </w:footnote>
  <w:footnote w:id="96">
    <w:p w:rsidR="00304B5F" w:rsidRDefault="00304B5F" w:rsidP="00304B5F">
      <w:pPr>
        <w:pStyle w:val="FootnoteText"/>
        <w:bidi w:val="0"/>
      </w:pPr>
      <w:r w:rsidRPr="00E20B98">
        <w:rPr>
          <w:rStyle w:val="FootnoteReference"/>
        </w:rPr>
        <w:footnoteRef/>
      </w:r>
      <w:r>
        <w:t xml:space="preserve"> </w:t>
      </w:r>
      <w:r w:rsidRPr="00F909B8">
        <w:t xml:space="preserve">Butler, Stephanie, History.com, </w:t>
      </w:r>
      <w:r w:rsidRPr="00F909B8">
        <w:rPr>
          <w:i/>
          <w:iCs/>
        </w:rPr>
        <w:t xml:space="preserve">Delightful, Delicious Dumplings, </w:t>
      </w:r>
      <w:r w:rsidRPr="00F909B8">
        <w:t xml:space="preserve">available at </w:t>
      </w:r>
      <w:r w:rsidRPr="00F909B8">
        <w:rPr>
          <w:u w:val="single"/>
        </w:rPr>
        <w:t>http://www.history.com/news/hungry-history/delightful-delicious-dumplings</w:t>
      </w:r>
      <w:r w:rsidRPr="00F909B8">
        <w:t xml:space="preserve"> (last visited Feb. 6, 2017).</w:t>
      </w:r>
    </w:p>
  </w:footnote>
  <w:footnote w:id="97">
    <w:p w:rsidR="00304B5F" w:rsidRDefault="00304B5F" w:rsidP="00304B5F">
      <w:pPr>
        <w:pStyle w:val="FootnoteText"/>
        <w:bidi w:val="0"/>
      </w:pPr>
      <w:r w:rsidRPr="00E20B98">
        <w:rPr>
          <w:rStyle w:val="FootnoteReference"/>
        </w:rPr>
        <w:footnoteRef/>
      </w:r>
      <w:r>
        <w:t xml:space="preserve"> </w:t>
      </w:r>
      <w:r w:rsidRPr="00F909B8">
        <w:t xml:space="preserve">Wei, Clarissa, Business Insider, </w:t>
      </w:r>
      <w:r w:rsidRPr="00F909B8">
        <w:rPr>
          <w:i/>
          <w:iCs/>
        </w:rPr>
        <w:t xml:space="preserve">An Illustrated Guide to the Complete History of Sushi, </w:t>
      </w:r>
      <w:r w:rsidRPr="00F909B8">
        <w:t xml:space="preserve">available at </w:t>
      </w:r>
      <w:r w:rsidRPr="00F909B8">
        <w:rPr>
          <w:u w:val="single"/>
        </w:rPr>
        <w:t>http://www.businessinsider.com/the-complete-history-of-sushi-2015-2</w:t>
      </w:r>
      <w:r w:rsidRPr="00F909B8">
        <w:t xml:space="preserve"> (last visited Feb. 6, 2017).</w:t>
      </w:r>
    </w:p>
  </w:footnote>
  <w:footnote w:id="9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1">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2">
    <w:p w:rsidR="00304B5F" w:rsidRDefault="00304B5F" w:rsidP="00304B5F">
      <w:pPr>
        <w:pStyle w:val="FootnoteText"/>
        <w:bidi w:val="0"/>
      </w:pPr>
      <w:r w:rsidRPr="00E20B98">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r w:rsidRPr="007B6AC5">
        <w:rPr>
          <w:u w:val="single"/>
        </w:rPr>
        <w:t>http://www.history.com/news/hungry-history/hamburger-helpers-the-history-of-americas-favorite-sandwich</w:t>
      </w:r>
      <w:r w:rsidRPr="007B6AC5">
        <w:t xml:space="preserve"> (last</w:t>
      </w:r>
      <w:r>
        <w:t> </w:t>
      </w:r>
      <w:r w:rsidRPr="007B6AC5">
        <w:t>visited Feb. 6, 2017).</w:t>
      </w:r>
    </w:p>
  </w:footnote>
  <w:footnote w:id="103">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4">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5">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7">
    <w:p w:rsidR="00304B5F" w:rsidRDefault="00304B5F" w:rsidP="00304B5F">
      <w:pPr>
        <w:pStyle w:val="FootnoteText"/>
        <w:bidi w:val="0"/>
        <w:ind w:right="1133"/>
      </w:pPr>
      <w:r w:rsidRPr="00E20B98">
        <w:rPr>
          <w:rStyle w:val="FootnoteReference"/>
        </w:rPr>
        <w:footnoteRef/>
      </w:r>
      <w:r>
        <w:t xml:space="preserve"> </w:t>
      </w:r>
      <w:r w:rsidRPr="007B6AC5">
        <w:t xml:space="preserve">Suddath, Claire, Time, </w:t>
      </w:r>
      <w:r w:rsidRPr="007B6AC5">
        <w:rPr>
          <w:i/>
          <w:iCs/>
        </w:rPr>
        <w:t xml:space="preserve">A Brief History of Barbecue, </w:t>
      </w:r>
      <w:r w:rsidRPr="007B6AC5">
        <w:t xml:space="preserve">available at </w:t>
      </w:r>
      <w:r w:rsidRPr="007B6AC5">
        <w:rPr>
          <w:u w:val="single"/>
        </w:rPr>
        <w:t>http://time.com/3957444/barbecue/</w:t>
      </w:r>
      <w:r w:rsidRPr="007B6AC5">
        <w:t xml:space="preserve"> (last visited Feb. 6, 2017).</w:t>
      </w:r>
    </w:p>
  </w:footnote>
  <w:footnote w:id="10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0">
    <w:p w:rsidR="00304B5F" w:rsidRDefault="00304B5F" w:rsidP="00304B5F">
      <w:pPr>
        <w:pStyle w:val="FootnoteText"/>
        <w:bidi w:val="0"/>
      </w:pPr>
      <w:r w:rsidRPr="00E20B98">
        <w:rPr>
          <w:rStyle w:val="FootnoteReference"/>
        </w:rPr>
        <w:footnoteRef/>
      </w:r>
      <w:r>
        <w:t xml:space="preserve"> </w:t>
      </w:r>
      <w:r w:rsidRPr="007B6AC5">
        <w:t xml:space="preserve">Pearson, Hugh, The Baltimore Sun, </w:t>
      </w:r>
      <w:r w:rsidRPr="007B6AC5">
        <w:rPr>
          <w:i/>
          <w:iCs/>
        </w:rPr>
        <w:t xml:space="preserve">The Amusement and Frustration of Dreadlocks, </w:t>
      </w:r>
      <w:r w:rsidRPr="007B6AC5">
        <w:t xml:space="preserve">available at </w:t>
      </w:r>
      <w:r w:rsidRPr="007B6AC5">
        <w:rPr>
          <w:u w:val="single"/>
        </w:rPr>
        <w:t>http://articles.baltimoresun.com/1991-02-10/news/1991041063_1_wear-dreadlocks-wear-their-hair-black-people-hair</w:t>
      </w:r>
      <w:r w:rsidRPr="007B6AC5">
        <w:t xml:space="preserve"> (last visited Feb. 6, 2017).</w:t>
      </w:r>
    </w:p>
  </w:footnote>
  <w:footnote w:id="111">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2">
    <w:p w:rsidR="00304B5F" w:rsidRDefault="00304B5F" w:rsidP="00304B5F">
      <w:pPr>
        <w:pStyle w:val="FootnoteText"/>
        <w:bidi w:val="0"/>
      </w:pPr>
      <w:r w:rsidRPr="00E20B98">
        <w:rPr>
          <w:rStyle w:val="FootnoteReference"/>
        </w:rPr>
        <w:footnoteRef/>
      </w:r>
      <w:r>
        <w:t xml:space="preserve"> </w:t>
      </w:r>
      <w:r w:rsidRPr="007B6AC5">
        <w:t xml:space="preserve">Chibelushi, Wedaeli, Independent, </w:t>
      </w:r>
      <w:r w:rsidRPr="007B6AC5">
        <w:rPr>
          <w:i/>
          <w:iCs/>
        </w:rPr>
        <w:t xml:space="preserve">I Wasn’t Surprised by the US Dreadlocks Row, </w:t>
      </w:r>
      <w:r w:rsidRPr="007B6AC5">
        <w:t xml:space="preserve">available at </w:t>
      </w:r>
      <w:r w:rsidRPr="007B6AC5">
        <w:rPr>
          <w:u w:val="single"/>
        </w:rPr>
        <w:t>http://www.independent.co.uk/voices/i-wasnt-surprised-by-the-us-dreadlocks-row-white-people-never-think-they-are-guilty-of-cultural-a6964906.html</w:t>
      </w:r>
      <w:r w:rsidRPr="007B6AC5">
        <w:t xml:space="preserve"> (last visited Feb. 6, 2017).</w:t>
      </w:r>
    </w:p>
  </w:footnote>
  <w:footnote w:id="113">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4">
    <w:p w:rsidR="00304B5F" w:rsidRDefault="00304B5F" w:rsidP="00304B5F">
      <w:pPr>
        <w:pStyle w:val="FootnoteText"/>
        <w:rPr>
          <w:rtl/>
        </w:rPr>
      </w:pPr>
      <w:r w:rsidRPr="00E20B98">
        <w:rPr>
          <w:rStyle w:val="FootnoteReference"/>
        </w:rPr>
        <w:footnoteRef/>
      </w:r>
      <w:r>
        <w:rPr>
          <w:rFonts w:hint="cs"/>
          <w:rtl/>
        </w:rPr>
        <w:t xml:space="preserve"> انظر الحاشية 114.</w:t>
      </w:r>
    </w:p>
  </w:footnote>
  <w:footnote w:id="115">
    <w:p w:rsidR="00304B5F" w:rsidRDefault="00304B5F" w:rsidP="00304B5F">
      <w:pPr>
        <w:pStyle w:val="FootnoteText"/>
        <w:bidi w:val="0"/>
      </w:pPr>
      <w:r w:rsidRPr="00E20B98">
        <w:rPr>
          <w:rStyle w:val="FootnoteReference"/>
        </w:rPr>
        <w:footnoteRef/>
      </w:r>
      <w:r>
        <w:t xml:space="preserve"> </w:t>
      </w:r>
      <w:r w:rsidRPr="007B6AC5">
        <w:t xml:space="preserve">Gabbara, Princess, Ebony, </w:t>
      </w:r>
      <w:r w:rsidRPr="007B6AC5">
        <w:rPr>
          <w:i/>
          <w:iCs/>
        </w:rPr>
        <w:t xml:space="preserve">The History of Dreadlocks, </w:t>
      </w:r>
      <w:r w:rsidRPr="007B6AC5">
        <w:t xml:space="preserve">available at </w:t>
      </w:r>
      <w:r w:rsidRPr="007B6AC5">
        <w:rPr>
          <w:u w:val="single"/>
        </w:rPr>
        <w:t>http://www.ebony.com/style/history-dreadlocks#axzz4XxmwBTHN</w:t>
      </w:r>
      <w:r w:rsidRPr="007B6AC5">
        <w:t xml:space="preserve"> (last visited Feb. 6, 2017).</w:t>
      </w:r>
    </w:p>
  </w:footnote>
  <w:footnote w:id="116">
    <w:p w:rsidR="00304B5F" w:rsidRDefault="00304B5F" w:rsidP="00304B5F">
      <w:pPr>
        <w:pStyle w:val="FootnoteText"/>
        <w:bidi w:val="0"/>
      </w:pPr>
      <w:r w:rsidRPr="00E20B98">
        <w:rPr>
          <w:rStyle w:val="FootnoteReference"/>
        </w:rPr>
        <w:footnoteRef/>
      </w:r>
      <w:r>
        <w:t xml:space="preserve"> </w:t>
      </w:r>
      <w:r w:rsidRPr="007B6AC5">
        <w:t xml:space="preserve">Lineberry, Cate, Smithsonian.com, </w:t>
      </w:r>
      <w:r w:rsidRPr="007B6AC5">
        <w:rPr>
          <w:i/>
          <w:iCs/>
        </w:rPr>
        <w:t xml:space="preserve">Tattoos: The Ancient and Mysterious History, </w:t>
      </w:r>
      <w:r w:rsidRPr="007B6AC5">
        <w:t xml:space="preserve">available at </w:t>
      </w:r>
      <w:r w:rsidRPr="007B6AC5">
        <w:rPr>
          <w:u w:val="single"/>
        </w:rPr>
        <w:t>http://www.smithsonianmag.com/history/tattoos-144038580/</w:t>
      </w:r>
      <w:r w:rsidRPr="007B6AC5">
        <w:t xml:space="preserve"> (last visited Feb. 7, 2017).</w:t>
      </w:r>
    </w:p>
  </w:footnote>
  <w:footnote w:id="117">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1">
    <w:p w:rsidR="00304B5F" w:rsidRDefault="00304B5F" w:rsidP="00304B5F">
      <w:pPr>
        <w:pStyle w:val="FootnoteText"/>
        <w:bidi w:val="0"/>
      </w:pPr>
      <w:r w:rsidRPr="00E20B98">
        <w:rPr>
          <w:rStyle w:val="FootnoteReference"/>
        </w:rPr>
        <w:footnoteRef/>
      </w:r>
      <w:r>
        <w:t xml:space="preserve"> </w:t>
      </w:r>
      <w:r w:rsidRPr="004C2FA5">
        <w:t xml:space="preserve">Indians.org, </w:t>
      </w:r>
      <w:r w:rsidRPr="004C2FA5">
        <w:rPr>
          <w:i/>
          <w:iCs/>
        </w:rPr>
        <w:t xml:space="preserve">Native American Tattoos, </w:t>
      </w:r>
      <w:r w:rsidRPr="004C2FA5">
        <w:t xml:space="preserve">available at </w:t>
      </w:r>
      <w:r w:rsidRPr="004C2FA5">
        <w:rPr>
          <w:u w:val="single"/>
        </w:rPr>
        <w:t>http://www.indians.org/articles/native-american-tattoos.html</w:t>
      </w:r>
      <w:r w:rsidRPr="004C2FA5">
        <w:t xml:space="preserve"> (last visited Feb. 7, 2017).</w:t>
      </w:r>
    </w:p>
  </w:footnote>
  <w:footnote w:id="122">
    <w:p w:rsidR="00304B5F" w:rsidRDefault="00304B5F" w:rsidP="00304B5F">
      <w:pPr>
        <w:pStyle w:val="FootnoteText"/>
        <w:bidi w:val="0"/>
      </w:pPr>
      <w:r w:rsidRPr="00E20B98">
        <w:rPr>
          <w:rStyle w:val="FootnoteReference"/>
        </w:rPr>
        <w:footnoteRef/>
      </w:r>
      <w:r>
        <w:t xml:space="preserve"> </w:t>
      </w:r>
      <w:r w:rsidRPr="004C2FA5">
        <w:t xml:space="preserve">Van Geete, Staff Sgt. Stephanie, U.S. Army, </w:t>
      </w:r>
      <w:r w:rsidRPr="004C2FA5">
        <w:rPr>
          <w:i/>
          <w:iCs/>
        </w:rPr>
        <w:t xml:space="preserve">Tattoos and the Army: A Long and Colorful Tradition, </w:t>
      </w:r>
      <w:r w:rsidRPr="004C2FA5">
        <w:t xml:space="preserve">available at </w:t>
      </w:r>
      <w:r w:rsidRPr="004C2FA5">
        <w:rPr>
          <w:u w:val="single"/>
        </w:rPr>
        <w:t>https://www.army.mil/article/27582/Tattoos_and_the_Army__a_long_and_colorful_tradition</w:t>
      </w:r>
      <w:r w:rsidRPr="004C2FA5">
        <w:t xml:space="preserve"> (last</w:t>
      </w:r>
      <w:r>
        <w:t> </w:t>
      </w:r>
      <w:r w:rsidRPr="004C2FA5">
        <w:t>visited</w:t>
      </w:r>
      <w:r>
        <w:t> </w:t>
      </w:r>
      <w:r w:rsidRPr="004C2FA5">
        <w:t>Feb.</w:t>
      </w:r>
      <w:r>
        <w:t> </w:t>
      </w:r>
      <w:r w:rsidRPr="004C2FA5">
        <w:t>7,</w:t>
      </w:r>
      <w:r>
        <w:t> </w:t>
      </w:r>
      <w:r w:rsidRPr="004C2FA5">
        <w:t xml:space="preserve">2017); Mullin, Gemma, The Daily Mail, </w:t>
      </w:r>
      <w:r w:rsidRPr="004C2FA5">
        <w:rPr>
          <w:i/>
          <w:iCs/>
        </w:rPr>
        <w:t xml:space="preserve">Body Art of War: Army Lifts Ban on Hand and Neck Tattoos after Struggling to Attract New Recruits, </w:t>
      </w:r>
      <w:r w:rsidRPr="004C2FA5">
        <w:t xml:space="preserve">available at </w:t>
      </w:r>
      <w:r w:rsidRPr="004C2FA5">
        <w:rPr>
          <w:u w:val="single"/>
        </w:rPr>
        <w:t>http://www.dailymail.co.uk/news/article-2777588/Body-art-war-Army-lifts-ban-hand-neck-tattoos-struggling-attract-new-recruits.html</w:t>
      </w:r>
      <w:r w:rsidRPr="004C2FA5">
        <w:t xml:space="preserve"> (last visited Feb. 7, 2017).</w:t>
      </w:r>
    </w:p>
  </w:footnote>
  <w:footnote w:id="123">
    <w:p w:rsidR="00304B5F" w:rsidRDefault="00304B5F" w:rsidP="00304B5F">
      <w:pPr>
        <w:pStyle w:val="FootnoteText"/>
        <w:bidi w:val="0"/>
      </w:pPr>
      <w:r w:rsidRPr="00E20B98">
        <w:rPr>
          <w:rStyle w:val="FootnoteReference"/>
        </w:rPr>
        <w:footnoteRef/>
      </w:r>
      <w:r>
        <w:t xml:space="preserve"> </w:t>
      </w:r>
      <w:r w:rsidRPr="00434C3A">
        <w:t xml:space="preserve">Andersen, Flemming G., Otto Holapfel, and Thomas Pettit, </w:t>
      </w:r>
      <w:r w:rsidRPr="00434C3A">
        <w:rPr>
          <w:i/>
          <w:iCs/>
        </w:rPr>
        <w:t xml:space="preserve">The Ballad as Narrative: Studies in the Ballad Traditions of England, Scotland, Germany and Denmark, </w:t>
      </w:r>
      <w:r w:rsidRPr="00434C3A">
        <w:t>(Odense University Press, 1982).</w:t>
      </w:r>
    </w:p>
  </w:footnote>
  <w:footnote w:id="124">
    <w:p w:rsidR="00304B5F" w:rsidRDefault="00304B5F" w:rsidP="00304B5F">
      <w:pPr>
        <w:pStyle w:val="FootnoteText"/>
        <w:bidi w:val="0"/>
      </w:pPr>
      <w:r w:rsidRPr="00E20B98">
        <w:rPr>
          <w:rStyle w:val="FootnoteReference"/>
        </w:rPr>
        <w:footnoteRef/>
      </w:r>
      <w:r>
        <w:t xml:space="preserve"> </w:t>
      </w:r>
      <w:r w:rsidRPr="00434C3A">
        <w:t xml:space="preserve">Sharp, Verity, BBC, </w:t>
      </w:r>
      <w:r w:rsidRPr="00434C3A">
        <w:rPr>
          <w:i/>
          <w:iCs/>
        </w:rPr>
        <w:t xml:space="preserve">Never Heard of Barbara Allen? The World’s Most Collected Ballad Has Been Around for 450 Years, </w:t>
      </w:r>
      <w:r w:rsidRPr="00434C3A">
        <w:t xml:space="preserve">available at </w:t>
      </w:r>
      <w:r w:rsidRPr="00434C3A">
        <w:rPr>
          <w:u w:val="single"/>
        </w:rPr>
        <w:t>http://www.bbc.co.uk/programmes/articles/5jBl5r50P0zKGJm5nLTpwpq/never-heard-of-barbara-allen-the-worlds-most-collected-ballad-has-been-around-for-450-years</w:t>
      </w:r>
      <w:r w:rsidRPr="00434C3A">
        <w:t xml:space="preserve"> (last visited Feb. 7, 2017).</w:t>
      </w:r>
    </w:p>
  </w:footnote>
  <w:footnote w:id="125">
    <w:p w:rsidR="00304B5F" w:rsidRDefault="00304B5F" w:rsidP="00304B5F">
      <w:pPr>
        <w:pStyle w:val="FootnoteText"/>
        <w:bidi w:val="0"/>
      </w:pPr>
      <w:r w:rsidRPr="00E20B98">
        <w:rPr>
          <w:rStyle w:val="FootnoteReference"/>
        </w:rPr>
        <w:footnoteRef/>
      </w:r>
      <w:r>
        <w:t xml:space="preserve"> </w:t>
      </w:r>
      <w:r w:rsidRPr="00434C3A">
        <w:t xml:space="preserve">Platenga, Bart, The Guardian, </w:t>
      </w:r>
      <w:r w:rsidRPr="00434C3A">
        <w:rPr>
          <w:i/>
          <w:iCs/>
        </w:rPr>
        <w:t xml:space="preserve">High on a Hill . . . , </w:t>
      </w:r>
      <w:r w:rsidRPr="00434C3A">
        <w:t>available at https://www.theguardian.com/music/2006/sep/22/worldmusic (last visited Feb. 7, 2017).</w:t>
      </w:r>
    </w:p>
  </w:footnote>
  <w:footnote w:id="12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7">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8">
    <w:p w:rsidR="00304B5F" w:rsidRDefault="00304B5F" w:rsidP="00304B5F">
      <w:pPr>
        <w:pStyle w:val="FootnoteText"/>
        <w:bidi w:val="0"/>
        <w:ind w:right="991"/>
      </w:pPr>
      <w:r w:rsidRPr="00E20B98">
        <w:rPr>
          <w:rStyle w:val="FootnoteReference"/>
        </w:rPr>
        <w:footnoteRef/>
      </w:r>
      <w:r>
        <w:t xml:space="preserve"> </w:t>
      </w:r>
      <w:r w:rsidRPr="00434C3A">
        <w:t xml:space="preserve">New World Encyclopedia, </w:t>
      </w:r>
      <w:r w:rsidRPr="00434C3A">
        <w:rPr>
          <w:i/>
          <w:iCs/>
        </w:rPr>
        <w:t xml:space="preserve">Yodeling, </w:t>
      </w:r>
      <w:r w:rsidRPr="00434C3A">
        <w:t xml:space="preserve">available at </w:t>
      </w:r>
      <w:r w:rsidRPr="00434C3A">
        <w:rPr>
          <w:u w:val="single"/>
        </w:rPr>
        <w:t>http://www.newworldencyclopedia.org/entry/Yodeling</w:t>
      </w:r>
      <w:r w:rsidRPr="00434C3A">
        <w:t xml:space="preserve"> (last visited Feb. 7, 2017).</w:t>
      </w:r>
    </w:p>
  </w:footnote>
  <w:footnote w:id="129">
    <w:p w:rsidR="00304B5F" w:rsidRDefault="00304B5F" w:rsidP="00304B5F">
      <w:pPr>
        <w:pStyle w:val="FootnoteText"/>
        <w:bidi w:val="0"/>
      </w:pPr>
      <w:r w:rsidRPr="00E20B98">
        <w:rPr>
          <w:rStyle w:val="FootnoteReference"/>
        </w:rPr>
        <w:footnoteRef/>
      </w:r>
      <w:r>
        <w:rPr>
          <w:rtl/>
        </w:rPr>
        <w:t xml:space="preserve"> </w:t>
      </w:r>
      <w:r w:rsidRPr="00650AF0">
        <w:t xml:space="preserve">Jesse Weaver Shipley, </w:t>
      </w:r>
      <w:r w:rsidRPr="00650AF0">
        <w:rPr>
          <w:i/>
          <w:iCs/>
        </w:rPr>
        <w:t>Transnational Circulation and Digital Fatigue in Ghana’s Azonto Dance Craze</w:t>
      </w:r>
      <w:r w:rsidRPr="00650AF0">
        <w:t>, 40 American Ethnologist 362, 362</w:t>
      </w:r>
      <w:r w:rsidRPr="00650AF0">
        <w:rPr>
          <w:rtl/>
        </w:rPr>
        <w:t xml:space="preserve"> (2013).</w:t>
      </w:r>
    </w:p>
  </w:footnote>
  <w:footnote w:id="130">
    <w:p w:rsidR="00304B5F" w:rsidRDefault="00304B5F" w:rsidP="00304B5F">
      <w:pPr>
        <w:pStyle w:val="FootnoteText"/>
        <w:bidi w:val="0"/>
      </w:pPr>
      <w:r w:rsidRPr="00E20B98">
        <w:rPr>
          <w:rStyle w:val="FootnoteReference"/>
        </w:rPr>
        <w:footnoteRef/>
      </w:r>
      <w:r>
        <w:rPr>
          <w:rtl/>
        </w:rPr>
        <w:t xml:space="preserve"> </w:t>
      </w:r>
      <w:r w:rsidRPr="007E0E3F">
        <w:rPr>
          <w:i/>
        </w:rPr>
        <w:t>Id.</w:t>
      </w:r>
      <w:r w:rsidRPr="007E0E3F">
        <w:t xml:space="preserve"> at 369 (recounting interview with Reggie Rockstone).</w:t>
      </w:r>
    </w:p>
  </w:footnote>
  <w:footnote w:id="131">
    <w:p w:rsidR="00304B5F" w:rsidRDefault="00304B5F" w:rsidP="00304B5F">
      <w:pPr>
        <w:pStyle w:val="FootnoteText"/>
      </w:pPr>
      <w:r w:rsidRPr="00E20B98">
        <w:rPr>
          <w:rStyle w:val="FootnoteReference"/>
        </w:rPr>
        <w:footnoteRef/>
      </w:r>
      <w:r>
        <w:rPr>
          <w:rtl/>
        </w:rPr>
        <w:t xml:space="preserve"> </w:t>
      </w:r>
      <w:r w:rsidRPr="009930BA">
        <w:rPr>
          <w:rFonts w:hint="cs"/>
          <w:i/>
          <w:iCs/>
          <w:rtl/>
        </w:rPr>
        <w:t>مكرّر.</w:t>
      </w:r>
    </w:p>
  </w:footnote>
  <w:footnote w:id="132">
    <w:p w:rsidR="00304B5F" w:rsidRDefault="00304B5F" w:rsidP="00304B5F">
      <w:pPr>
        <w:pStyle w:val="FootnoteText"/>
        <w:bidi w:val="0"/>
      </w:pPr>
      <w:r w:rsidRPr="00E20B98">
        <w:rPr>
          <w:rStyle w:val="FootnoteReference"/>
        </w:rPr>
        <w:footnoteRef/>
      </w:r>
      <w:r>
        <w:rPr>
          <w:rtl/>
        </w:rPr>
        <w:t xml:space="preserve"> </w:t>
      </w:r>
      <w:r w:rsidRPr="009930BA">
        <w:rPr>
          <w:i/>
        </w:rPr>
        <w:t>Commencement 2012 – ‘Ghana needs you,’ says Guest Speaker, Kwaku Sintim-Misa</w:t>
      </w:r>
      <w:r w:rsidRPr="009930BA">
        <w:t xml:space="preserve">, </w:t>
      </w:r>
      <w:r w:rsidRPr="009930BA">
        <w:rPr>
          <w:smallCaps/>
        </w:rPr>
        <w:t xml:space="preserve">Ashei University College, (2012) </w:t>
      </w:r>
      <w:r w:rsidRPr="009930BA">
        <w:t xml:space="preserve">available at </w:t>
      </w:r>
      <w:r w:rsidRPr="009930BA">
        <w:rPr>
          <w:u w:val="single"/>
        </w:rPr>
        <w:t>http://archives.ashesi.edu.gh/V5_2014/past-ceremonies/1474-qghana-needs-youq-kwaku-sintim-misa-speaks-at-commencement-2012.html</w:t>
      </w:r>
      <w:r w:rsidRPr="009930BA">
        <w:t xml:space="preserve"> (last visited June 5, 2019)</w:t>
      </w:r>
      <w:r w:rsidRPr="009930BA">
        <w:rPr>
          <w:smallCaps/>
        </w:rPr>
        <w:t xml:space="preserve"> (</w:t>
      </w:r>
      <w:r w:rsidRPr="009930BA">
        <w:t xml:space="preserve">“In my time cocoa was Ghana’s biggest export…In your time it is ‘azonto’.”); </w:t>
      </w:r>
      <w:r w:rsidRPr="009930BA">
        <w:rPr>
          <w:i/>
        </w:rPr>
        <w:t>‘Azonto’ Tops All the Dances In Africa.  Check Out the List</w:t>
      </w:r>
      <w:r w:rsidRPr="009930BA">
        <w:t xml:space="preserve">, </w:t>
      </w:r>
      <w:r w:rsidRPr="009930BA">
        <w:rPr>
          <w:smallCaps/>
        </w:rPr>
        <w:t>News Ghana (</w:t>
      </w:r>
      <w:r w:rsidRPr="009930BA">
        <w:t xml:space="preserve">Feb. 17, 2012) available at </w:t>
      </w:r>
      <w:r w:rsidRPr="009930BA">
        <w:rPr>
          <w:u w:val="single"/>
        </w:rPr>
        <w:t>https://www.newsghana.com.gh/azonto-tops-all-the-dances-in-africa-check-out-the-list</w:t>
      </w:r>
      <w:r w:rsidRPr="009930BA">
        <w:t xml:space="preserve"> (last visited June 5, 2019).</w:t>
      </w:r>
    </w:p>
  </w:footnote>
  <w:footnote w:id="133">
    <w:p w:rsidR="00304B5F" w:rsidRPr="009930BA" w:rsidRDefault="00304B5F" w:rsidP="00304B5F">
      <w:pPr>
        <w:pStyle w:val="FootnoteText"/>
        <w:bidi w:val="0"/>
        <w:jc w:val="both"/>
        <w:rPr>
          <w:lang w:bidi="ar-SY"/>
        </w:rPr>
      </w:pPr>
      <w:r w:rsidRPr="00E20B98">
        <w:rPr>
          <w:rStyle w:val="FootnoteReference"/>
        </w:rPr>
        <w:footnoteRef/>
      </w:r>
      <w:r>
        <w:rPr>
          <w:rtl/>
        </w:rPr>
        <w:t xml:space="preserve"> </w:t>
      </w:r>
      <w:r w:rsidRPr="009930BA">
        <w:t xml:space="preserve">Mark, Monica, The Guardian, </w:t>
      </w:r>
      <w:r w:rsidRPr="009930BA">
        <w:rPr>
          <w:i/>
          <w:iCs/>
        </w:rPr>
        <w:t>Ghana’s Azonto Craze Takes Over Dancefloors Across the World</w:t>
      </w:r>
      <w:r w:rsidRPr="009930BA">
        <w:t xml:space="preserve"> (Sep. 3, 2012) available at https://www.theguardian.com/world/2012/sep/03/ghana-azonto-dance-craze-world (last visited June 5, 2019).  </w:t>
      </w:r>
    </w:p>
  </w:footnote>
  <w:footnote w:id="134">
    <w:p w:rsidR="00304B5F" w:rsidRDefault="00304B5F" w:rsidP="00304B5F">
      <w:pPr>
        <w:pStyle w:val="FootnoteText"/>
      </w:pPr>
      <w:r w:rsidRPr="00E20B98">
        <w:rPr>
          <w:rStyle w:val="FootnoteReference"/>
        </w:rPr>
        <w:footnoteRef/>
      </w:r>
      <w:r>
        <w:rPr>
          <w:rtl/>
        </w:rPr>
        <w:t xml:space="preserve"> </w:t>
      </w:r>
      <w:r w:rsidRPr="00780EFA">
        <w:t>Monica</w:t>
      </w:r>
      <w:r w:rsidRPr="00780EFA">
        <w:rPr>
          <w:rFonts w:hint="cs"/>
          <w:rtl/>
        </w:rPr>
        <w:t>، انظر الحاشية 5 أعلاه.</w:t>
      </w:r>
    </w:p>
  </w:footnote>
  <w:footnote w:id="135">
    <w:p w:rsidR="00304B5F" w:rsidRDefault="00304B5F" w:rsidP="00304B5F">
      <w:pPr>
        <w:pStyle w:val="FootnoteText"/>
        <w:bidi w:val="0"/>
      </w:pPr>
      <w:r w:rsidRPr="00E20B98">
        <w:rPr>
          <w:rStyle w:val="FootnoteReference"/>
        </w:rPr>
        <w:footnoteRef/>
      </w:r>
      <w:r>
        <w:t xml:space="preserve"> </w:t>
      </w:r>
      <w:r w:rsidRPr="00780EFA">
        <w:rPr>
          <w:i/>
        </w:rPr>
        <w:t>Where is Ghana’s Ones [sic] Popular Dance Azonto?</w:t>
      </w:r>
      <w:r w:rsidRPr="00780EFA">
        <w:t xml:space="preserve">, News Ghana (Jul. 22, 2015) available at </w:t>
      </w:r>
      <w:hyperlink r:id="rId3" w:history="1">
        <w:r w:rsidRPr="00013509">
          <w:rPr>
            <w:rStyle w:val="Hyperlink"/>
            <w:color w:val="auto"/>
          </w:rPr>
          <w:t>https://www.newsghana.com.gh/where-is-ghanas-ones-popular-dance-azonto/</w:t>
        </w:r>
      </w:hyperlink>
      <w:r w:rsidRPr="00013509">
        <w:t xml:space="preserve"> (la</w:t>
      </w:r>
      <w:r w:rsidRPr="00780EFA">
        <w:t xml:space="preserve">st visited June 5, 2019); Weaver Shipley </w:t>
      </w:r>
      <w:r w:rsidRPr="00780EFA">
        <w:rPr>
          <w:i/>
        </w:rPr>
        <w:t>supra</w:t>
      </w:r>
      <w:r w:rsidRPr="00780EFA">
        <w:t xml:space="preserve"> note 1 at 372 (Kpanlogo itself is also connected to apaa.)</w:t>
      </w:r>
    </w:p>
  </w:footnote>
  <w:footnote w:id="136">
    <w:p w:rsidR="00304B5F" w:rsidRDefault="00304B5F" w:rsidP="00304B5F">
      <w:pPr>
        <w:pStyle w:val="FootnoteText"/>
        <w:bidi w:val="0"/>
      </w:pPr>
      <w:r w:rsidRPr="00E20B98">
        <w:rPr>
          <w:rStyle w:val="FootnoteReference"/>
        </w:rPr>
        <w:footnoteRef/>
      </w:r>
      <w:r>
        <w:rPr>
          <w:rtl/>
        </w:rPr>
        <w:t xml:space="preserve"> </w:t>
      </w:r>
      <w:r w:rsidRPr="007E0E3F">
        <w:t xml:space="preserve">Weaver </w:t>
      </w:r>
      <w:r w:rsidRPr="00E72F80">
        <w:t xml:space="preserve">Shipley </w:t>
      </w:r>
      <w:r w:rsidRPr="007D45C9">
        <w:rPr>
          <w:i/>
        </w:rPr>
        <w:t xml:space="preserve">supra </w:t>
      </w:r>
      <w:r w:rsidRPr="007D45C9">
        <w:t>note</w:t>
      </w:r>
      <w:r w:rsidRPr="00E72F80">
        <w:t xml:space="preserve"> 1 at 372–74.</w:t>
      </w:r>
    </w:p>
  </w:footnote>
  <w:footnote w:id="137">
    <w:p w:rsidR="00304B5F" w:rsidRPr="00E72F80" w:rsidRDefault="00304B5F" w:rsidP="00304B5F">
      <w:pPr>
        <w:pStyle w:val="FootnoteText"/>
        <w:bidi w:val="0"/>
      </w:pPr>
      <w:r w:rsidRPr="00E20B98">
        <w:rPr>
          <w:rStyle w:val="FootnoteReference"/>
        </w:rPr>
        <w:footnoteRef/>
      </w:r>
      <w:r w:rsidRPr="00E72F80">
        <w:rPr>
          <w:rtl/>
        </w:rPr>
        <w:t xml:space="preserve"> </w:t>
      </w:r>
      <w:r w:rsidRPr="00E72F80">
        <w:rPr>
          <w:smallCaps/>
        </w:rPr>
        <w:t xml:space="preserve">News Ghana </w:t>
      </w:r>
      <w:r w:rsidRPr="00E72F80">
        <w:rPr>
          <w:i/>
        </w:rPr>
        <w:t>supra</w:t>
      </w:r>
      <w:r w:rsidRPr="00E72F80">
        <w:t xml:space="preserve"> note 7; K. Oteng, </w:t>
      </w:r>
      <w:r w:rsidRPr="00E72F80">
        <w:rPr>
          <w:i/>
        </w:rPr>
        <w:t>Azonto Music the Way for Us to Hit the International Market – Gasmilla</w:t>
      </w:r>
      <w:r w:rsidRPr="00E72F80">
        <w:t xml:space="preserve">, </w:t>
      </w:r>
      <w:r w:rsidRPr="00E72F80">
        <w:rPr>
          <w:smallCaps/>
        </w:rPr>
        <w:t xml:space="preserve">GHLinks </w:t>
      </w:r>
      <w:r w:rsidRPr="00E72F80">
        <w:t xml:space="preserve">(April 2019) available at </w:t>
      </w:r>
      <w:r w:rsidRPr="00E72F80">
        <w:rPr>
          <w:u w:val="single"/>
        </w:rPr>
        <w:t>https://www.ghlinks.com.gh/azonto-music-was-the-way-for-us-to-hit-the-international-market-gasmilla/</w:t>
      </w:r>
      <w:r w:rsidRPr="00E72F80">
        <w:t xml:space="preserve"> (last visited June 5, 2019).</w:t>
      </w:r>
    </w:p>
  </w:footnote>
  <w:footnote w:id="138">
    <w:p w:rsidR="00304B5F" w:rsidRDefault="00304B5F" w:rsidP="00304B5F">
      <w:pPr>
        <w:pStyle w:val="FootnoteText"/>
        <w:bidi w:val="0"/>
      </w:pPr>
      <w:r w:rsidRPr="00E20B98">
        <w:rPr>
          <w:rStyle w:val="FootnoteReference"/>
        </w:rPr>
        <w:footnoteRef/>
      </w:r>
      <w:r>
        <w:t xml:space="preserve"> </w:t>
      </w:r>
      <w:r w:rsidRPr="00B50D74">
        <w:t xml:space="preserve">New World Encyclopedia, </w:t>
      </w:r>
      <w:r w:rsidRPr="00B50D74">
        <w:rPr>
          <w:i/>
          <w:iCs/>
        </w:rPr>
        <w:t xml:space="preserve">Calypso Music, </w:t>
      </w:r>
      <w:r w:rsidRPr="00B50D74">
        <w:t xml:space="preserve">available at </w:t>
      </w:r>
      <w:r w:rsidRPr="00B50D74">
        <w:rPr>
          <w:u w:val="single"/>
        </w:rPr>
        <w:t>http://www.newworldencyclopedia.org/entry/Calypso_music</w:t>
      </w:r>
      <w:r w:rsidRPr="00B50D74">
        <w:t xml:space="preserve"> (last visited Feb. 7, 2017).</w:t>
      </w:r>
    </w:p>
  </w:footnote>
  <w:footnote w:id="139">
    <w:p w:rsidR="00304B5F" w:rsidRDefault="00304B5F" w:rsidP="00304B5F">
      <w:pPr>
        <w:pStyle w:val="FootnoteText"/>
        <w:bidi w:val="0"/>
      </w:pPr>
      <w:r w:rsidRPr="00E20B98">
        <w:rPr>
          <w:rStyle w:val="FootnoteReference"/>
        </w:rPr>
        <w:footnoteRef/>
      </w:r>
      <w:r>
        <w:t xml:space="preserve"> </w:t>
      </w:r>
      <w:r w:rsidRPr="00D34397">
        <w:t xml:space="preserve">Selvin, Joel, SFGate, </w:t>
      </w:r>
      <w:r w:rsidRPr="00D34397">
        <w:rPr>
          <w:i/>
          <w:iCs/>
        </w:rPr>
        <w:t xml:space="preserve">A Brief History of Ska, </w:t>
      </w:r>
      <w:r w:rsidRPr="00D34397">
        <w:t xml:space="preserve">available at </w:t>
      </w:r>
      <w:r w:rsidRPr="00D34397">
        <w:rPr>
          <w:u w:val="single"/>
        </w:rPr>
        <w:t>http://www.sfgate.com/entertainment/article/A-brief-history-of-ska-3221107.php</w:t>
      </w:r>
      <w:r w:rsidRPr="00D34397">
        <w:t xml:space="preserve"> (last visited Feb. 7, 2017).</w:t>
      </w:r>
    </w:p>
  </w:footnote>
  <w:footnote w:id="14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41">
    <w:p w:rsidR="00304B5F" w:rsidRDefault="00304B5F" w:rsidP="00304B5F">
      <w:pPr>
        <w:pStyle w:val="FootnoteText"/>
        <w:bidi w:val="0"/>
      </w:pPr>
      <w:r w:rsidRPr="00E20B98">
        <w:rPr>
          <w:rStyle w:val="FootnoteReference"/>
        </w:rPr>
        <w:footnoteRef/>
      </w:r>
      <w:r>
        <w:t xml:space="preserve"> </w:t>
      </w:r>
      <w:r w:rsidRPr="00D34397">
        <w:t xml:space="preserve">Cook, John, Bowling Green State University Libraries, </w:t>
      </w:r>
      <w:r w:rsidRPr="00D34397">
        <w:rPr>
          <w:i/>
          <w:iCs/>
        </w:rPr>
        <w:t xml:space="preserve">Ska, </w:t>
      </w:r>
      <w:r w:rsidRPr="00D34397">
        <w:t xml:space="preserve">available at </w:t>
      </w:r>
      <w:r w:rsidRPr="00D34397">
        <w:rPr>
          <w:u w:val="single"/>
        </w:rPr>
        <w:t>http://libguides.bgsu.edu/c.php?g=227204&amp;p=1505986</w:t>
      </w:r>
      <w:r w:rsidRPr="00D34397">
        <w:t xml:space="preserve"> (last visited Feb. 7, 2017).</w:t>
      </w:r>
    </w:p>
  </w:footnote>
  <w:footnote w:id="142">
    <w:p w:rsidR="00304B5F" w:rsidRDefault="00304B5F" w:rsidP="00304B5F">
      <w:pPr>
        <w:pStyle w:val="FootnoteText"/>
        <w:bidi w:val="0"/>
      </w:pPr>
      <w:r w:rsidRPr="00E20B98">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(ABC-CLIO 2013).</w:t>
      </w:r>
    </w:p>
  </w:footnote>
  <w:footnote w:id="143">
    <w:p w:rsidR="00304B5F" w:rsidRDefault="00304B5F" w:rsidP="00304B5F">
      <w:pPr>
        <w:pStyle w:val="FootnoteText"/>
        <w:bidi w:val="0"/>
      </w:pPr>
      <w:r w:rsidRPr="00E20B98">
        <w:rPr>
          <w:rStyle w:val="FootnoteReference"/>
        </w:rPr>
        <w:footnoteRef/>
      </w:r>
      <w:r>
        <w:t xml:space="preserve"> </w:t>
      </w:r>
      <w:r w:rsidRPr="00D34397">
        <w:t xml:space="preserve">Laurence, Rebecca, BBC, </w:t>
      </w:r>
      <w:r w:rsidRPr="00D34397">
        <w:rPr>
          <w:i/>
          <w:iCs/>
        </w:rPr>
        <w:t xml:space="preserve">40 Years on from the Party Where Hip Hop Was Born, </w:t>
      </w:r>
      <w:r w:rsidRPr="00D34397">
        <w:t xml:space="preserve">available at </w:t>
      </w:r>
      <w:r w:rsidRPr="00D34397">
        <w:rPr>
          <w:u w:val="single"/>
        </w:rPr>
        <w:t>http://www.bbc.com/culture/story/20130809-the-party-where-hip-hop-was-born</w:t>
      </w:r>
      <w:r w:rsidRPr="00D34397">
        <w:t xml:space="preserve"> (last visited Feb. 7, 2017).</w:t>
      </w:r>
    </w:p>
  </w:footnote>
  <w:footnote w:id="144">
    <w:p w:rsidR="00304B5F" w:rsidRDefault="00304B5F" w:rsidP="00304B5F">
      <w:pPr>
        <w:pStyle w:val="FootnoteText"/>
        <w:bidi w:val="0"/>
      </w:pPr>
      <w:r w:rsidRPr="00E20B98">
        <w:rPr>
          <w:rStyle w:val="FootnoteReference"/>
        </w:rPr>
        <w:footnoteRef/>
      </w:r>
      <w:r>
        <w:t xml:space="preserve"> </w:t>
      </w:r>
      <w:r w:rsidRPr="00D34397">
        <w:t xml:space="preserve">Shah, Vikas, Thought Economics, </w:t>
      </w:r>
      <w:r w:rsidRPr="00D34397">
        <w:rPr>
          <w:i/>
          <w:iCs/>
        </w:rPr>
        <w:t xml:space="preserve">The Role of Hip Hop in Culture, </w:t>
      </w:r>
      <w:r w:rsidRPr="00D34397">
        <w:t xml:space="preserve">available at </w:t>
      </w:r>
      <w:r w:rsidRPr="00D34397">
        <w:rPr>
          <w:u w:val="single"/>
        </w:rPr>
        <w:t xml:space="preserve">https://thoughteconomics.com/the-role-of-hip-hop-in-culture/ </w:t>
      </w:r>
      <w:r w:rsidRPr="00D34397">
        <w:t>(last visited Feb. 7, 2017).</w:t>
      </w:r>
    </w:p>
  </w:footnote>
  <w:footnote w:id="145">
    <w:p w:rsidR="00304B5F" w:rsidRDefault="00304B5F" w:rsidP="00304B5F">
      <w:pPr>
        <w:pStyle w:val="FootnoteText"/>
        <w:bidi w:val="0"/>
      </w:pPr>
      <w:r w:rsidRPr="00E20B98">
        <w:rPr>
          <w:rStyle w:val="FootnoteReference"/>
        </w:rPr>
        <w:footnoteRef/>
      </w:r>
      <w:r>
        <w:t xml:space="preserve"> </w:t>
      </w:r>
      <w:r w:rsidRPr="00D34397">
        <w:t xml:space="preserve">Zydeco.org, </w:t>
      </w:r>
      <w:r w:rsidRPr="00D34397">
        <w:rPr>
          <w:i/>
          <w:iCs/>
        </w:rPr>
        <w:t xml:space="preserve">History, </w:t>
      </w:r>
      <w:r w:rsidRPr="00D34397">
        <w:t xml:space="preserve">available at </w:t>
      </w:r>
      <w:r w:rsidRPr="00D34397">
        <w:rPr>
          <w:u w:val="single"/>
        </w:rPr>
        <w:t>http://www.zydeco.org/index.php?option=com_content&amp;task=view&amp;id=17</w:t>
      </w:r>
      <w:r w:rsidRPr="00D34397">
        <w:t xml:space="preserve"> (last</w:t>
      </w:r>
      <w:r>
        <w:t> </w:t>
      </w:r>
      <w:r w:rsidRPr="00D34397">
        <w:t>visited Feb. 7, 2017).</w:t>
      </w:r>
    </w:p>
  </w:footnote>
  <w:footnote w:id="146">
    <w:p w:rsidR="00304B5F" w:rsidRDefault="00304B5F" w:rsidP="00304B5F">
      <w:pPr>
        <w:pStyle w:val="FootnoteText"/>
        <w:bidi w:val="0"/>
      </w:pPr>
      <w:r w:rsidRPr="00E20B98">
        <w:rPr>
          <w:rStyle w:val="FootnoteReference"/>
        </w:rPr>
        <w:footnoteRef/>
      </w:r>
      <w:r>
        <w:t xml:space="preserve"> </w:t>
      </w:r>
      <w:r w:rsidRPr="00D34397">
        <w:t xml:space="preserve">Ancelet, Barry J., Folklife in Louisiana, </w:t>
      </w:r>
      <w:r w:rsidRPr="00D34397">
        <w:rPr>
          <w:i/>
          <w:iCs/>
        </w:rPr>
        <w:t xml:space="preserve">Cajun and Zydeco Music Traditions, </w:t>
      </w:r>
      <w:r w:rsidRPr="00D34397">
        <w:t xml:space="preserve">available at </w:t>
      </w:r>
      <w:r w:rsidRPr="00D34397">
        <w:rPr>
          <w:u w:val="single"/>
        </w:rPr>
        <w:t>http://www.louisianafolklife.org/LT/Articles_Essays/cajunzydeco.html</w:t>
      </w:r>
      <w:r w:rsidRPr="00D34397">
        <w:t xml:space="preserve"> (last visited Feb. 7, 2017).</w:t>
      </w:r>
    </w:p>
  </w:footnote>
  <w:footnote w:id="147">
    <w:p w:rsidR="00304B5F" w:rsidRDefault="00304B5F" w:rsidP="00304B5F">
      <w:pPr>
        <w:pStyle w:val="FootnoteText"/>
        <w:bidi w:val="0"/>
      </w:pPr>
      <w:r w:rsidRPr="00E20B98">
        <w:rPr>
          <w:rStyle w:val="FootnoteReference"/>
        </w:rPr>
        <w:footnoteRef/>
      </w:r>
      <w:r>
        <w:t xml:space="preserve"> </w:t>
      </w:r>
      <w:r w:rsidRPr="00763A5D">
        <w:t xml:space="preserve">Zydeco.org, </w:t>
      </w:r>
      <w:r w:rsidRPr="00763A5D">
        <w:rPr>
          <w:i/>
          <w:iCs/>
        </w:rPr>
        <w:t xml:space="preserve">History, </w:t>
      </w:r>
      <w:r w:rsidRPr="00763A5D">
        <w:t xml:space="preserve">available at </w:t>
      </w:r>
      <w:r w:rsidRPr="00763A5D">
        <w:rPr>
          <w:u w:val="single"/>
        </w:rPr>
        <w:t>http://www.zydeco.org/index.php?option=com_content&amp;task=view&amp;id=17</w:t>
      </w:r>
      <w:r w:rsidRPr="00763A5D">
        <w:t xml:space="preserve"> (last</w:t>
      </w:r>
      <w:r>
        <w:t> </w:t>
      </w:r>
      <w:r w:rsidRPr="00763A5D">
        <w:t>visited Feb. 7, 2017).</w:t>
      </w:r>
    </w:p>
  </w:footnote>
  <w:footnote w:id="148">
    <w:p w:rsidR="00304B5F" w:rsidRDefault="00304B5F" w:rsidP="00304B5F">
      <w:pPr>
        <w:pStyle w:val="FootnoteText"/>
        <w:bidi w:val="0"/>
      </w:pPr>
      <w:r w:rsidRPr="00E20B98">
        <w:rPr>
          <w:rStyle w:val="FootnoteReference"/>
        </w:rPr>
        <w:footnoteRef/>
      </w:r>
      <w:r>
        <w:t xml:space="preserve"> </w:t>
      </w:r>
      <w:r w:rsidRPr="00763A5D">
        <w:t>Merriam-Webster Dictionary (2017).</w:t>
      </w:r>
    </w:p>
  </w:footnote>
  <w:footnote w:id="14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50">
    <w:p w:rsidR="00304B5F" w:rsidRDefault="00304B5F" w:rsidP="00304B5F">
      <w:pPr>
        <w:pStyle w:val="FootnoteText"/>
        <w:bidi w:val="0"/>
      </w:pPr>
      <w:r w:rsidRPr="00E20B98">
        <w:rPr>
          <w:rStyle w:val="FootnoteReference"/>
        </w:rPr>
        <w:footnoteRef/>
      </w:r>
      <w:r>
        <w:t xml:space="preserve"> </w:t>
      </w:r>
      <w:r w:rsidRPr="00763A5D">
        <w:t xml:space="preserve">Classical Literature, </w:t>
      </w:r>
      <w:r w:rsidRPr="00763A5D">
        <w:rPr>
          <w:i/>
          <w:iCs/>
        </w:rPr>
        <w:t xml:space="preserve">Ancient Greece – Aesop – Fables, </w:t>
      </w:r>
      <w:r w:rsidRPr="00763A5D">
        <w:t xml:space="preserve">available at </w:t>
      </w:r>
      <w:r w:rsidRPr="00763A5D">
        <w:rPr>
          <w:u w:val="single"/>
        </w:rPr>
        <w:t>http://www.ancient-literature.com/greece_aesop_fables.html</w:t>
      </w:r>
      <w:r w:rsidRPr="00763A5D">
        <w:t xml:space="preserve"> (last visited Feb. 7, 2017).</w:t>
      </w:r>
    </w:p>
  </w:footnote>
  <w:footnote w:id="151">
    <w:p w:rsidR="00304B5F" w:rsidRDefault="00304B5F" w:rsidP="00304B5F">
      <w:pPr>
        <w:pStyle w:val="FootnoteText"/>
        <w:bidi w:val="0"/>
      </w:pPr>
      <w:r w:rsidRPr="00E20B98">
        <w:rPr>
          <w:rStyle w:val="FootnoteReference"/>
        </w:rPr>
        <w:footnoteRef/>
      </w:r>
      <w:r>
        <w:t xml:space="preserve"> </w:t>
      </w:r>
      <w:r w:rsidRPr="000A6A56">
        <w:t xml:space="preserve">Olivelle, Patrick, Religions of South Asia, </w:t>
      </w:r>
      <w:r w:rsidRPr="000A6A56">
        <w:rPr>
          <w:i/>
          <w:iCs/>
        </w:rPr>
        <w:t xml:space="preserve">Talking Animals: Explorations in an Indian Literary Genre, </w:t>
      </w:r>
      <w:r w:rsidRPr="000A6A56">
        <w:t xml:space="preserve">available at </w:t>
      </w:r>
      <w:r w:rsidRPr="000A6A56">
        <w:rPr>
          <w:u w:val="single"/>
        </w:rPr>
        <w:t>http://liberalarts.utexas.edu/_files/olivelle/2013a_Talking_Animals.pdf</w:t>
      </w:r>
      <w:r w:rsidRPr="000A6A56">
        <w:t xml:space="preserve"> (last visited Feb. 7, 2017).</w:t>
      </w:r>
    </w:p>
  </w:footnote>
  <w:footnote w:id="152">
    <w:p w:rsidR="00304B5F" w:rsidRDefault="00304B5F" w:rsidP="00304B5F">
      <w:pPr>
        <w:pStyle w:val="FootnoteText"/>
        <w:bidi w:val="0"/>
      </w:pPr>
      <w:r w:rsidRPr="00E20B98">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r w:rsidRPr="000A6A56">
        <w:rPr>
          <w:u w:val="single"/>
        </w:rPr>
        <w:t>http://www.bodleian.ox.ac.uk/whatson/whats-on/online/crossing-borders/fables</w:t>
      </w:r>
      <w:r w:rsidRPr="000A6A56">
        <w:t xml:space="preserve"> (last visited Feb. 3, 2017).</w:t>
      </w:r>
    </w:p>
  </w:footnote>
  <w:footnote w:id="153">
    <w:p w:rsidR="00304B5F" w:rsidRDefault="00304B5F" w:rsidP="00304B5F">
      <w:pPr>
        <w:pStyle w:val="FootnoteText"/>
        <w:bidi w:val="0"/>
      </w:pPr>
      <w:r w:rsidRPr="00E20B98">
        <w:rPr>
          <w:rStyle w:val="FootnoteReference"/>
        </w:rPr>
        <w:footnoteRef/>
      </w:r>
      <w:r>
        <w:t xml:space="preserve"> </w:t>
      </w:r>
      <w:r w:rsidRPr="000A6A56">
        <w:t xml:space="preserve">Anike Foundation, </w:t>
      </w:r>
      <w:r w:rsidRPr="000A6A56">
        <w:rPr>
          <w:i/>
          <w:iCs/>
        </w:rPr>
        <w:t xml:space="preserve">African Folktales, </w:t>
      </w:r>
      <w:r w:rsidRPr="000A6A56">
        <w:t xml:space="preserve">available at </w:t>
      </w:r>
      <w:r w:rsidRPr="000A6A56">
        <w:rPr>
          <w:u w:val="single"/>
        </w:rPr>
        <w:t>http://anikefoundation.org/index.php/african-folktales/</w:t>
      </w:r>
      <w:r w:rsidRPr="000A6A56">
        <w:t xml:space="preserve"> (last visited Feb. 7, 2017).</w:t>
      </w:r>
    </w:p>
  </w:footnote>
  <w:footnote w:id="154">
    <w:p w:rsidR="00304B5F" w:rsidRDefault="00304B5F" w:rsidP="00304B5F">
      <w:pPr>
        <w:pStyle w:val="FootnoteText"/>
        <w:bidi w:val="0"/>
      </w:pPr>
      <w:r w:rsidRPr="00E20B98">
        <w:rPr>
          <w:rStyle w:val="FootnoteReference"/>
        </w:rPr>
        <w:footnoteRef/>
      </w:r>
      <w:r>
        <w:t xml:space="preserve"> </w:t>
      </w:r>
      <w:r w:rsidRPr="000A6A56">
        <w:t xml:space="preserve">Harris, Trudier, Freedom’s Story: Teaching African American Literature, </w:t>
      </w:r>
      <w:r w:rsidRPr="000A6A56">
        <w:rPr>
          <w:i/>
          <w:iCs/>
        </w:rPr>
        <w:t xml:space="preserve">The Trickster in African American Literature, </w:t>
      </w:r>
      <w:r w:rsidRPr="000A6A56">
        <w:t xml:space="preserve">available at </w:t>
      </w:r>
      <w:r w:rsidRPr="000A6A56">
        <w:rPr>
          <w:u w:val="single"/>
        </w:rPr>
        <w:t>http://nationalhumanitiescenter.org/tserve/freedom/1865-1917/essays/trickster.htm</w:t>
      </w:r>
      <w:r w:rsidRPr="000A6A56">
        <w:t xml:space="preserve"> (last</w:t>
      </w:r>
      <w:r>
        <w:t> </w:t>
      </w:r>
      <w:r w:rsidRPr="000A6A56">
        <w:t>visited</w:t>
      </w:r>
      <w:r>
        <w:t> </w:t>
      </w:r>
      <w:r w:rsidRPr="000A6A56">
        <w:t>Feb. 7, 2017).</w:t>
      </w:r>
    </w:p>
  </w:footnote>
  <w:footnote w:id="155">
    <w:p w:rsidR="00304B5F" w:rsidRDefault="00304B5F" w:rsidP="00304B5F">
      <w:pPr>
        <w:pStyle w:val="FootnoteText"/>
        <w:bidi w:val="0"/>
      </w:pPr>
      <w:r w:rsidRPr="00E20B98">
        <w:rPr>
          <w:rStyle w:val="FootnoteReference"/>
        </w:rPr>
        <w:footnoteRef/>
      </w:r>
      <w:r>
        <w:t xml:space="preserve"> </w:t>
      </w:r>
      <w:r w:rsidRPr="000A6A56">
        <w:t xml:space="preserve">Cavendish, Richard, HistoryToday, </w:t>
      </w:r>
      <w:r w:rsidRPr="000A6A56">
        <w:rPr>
          <w:i/>
          <w:iCs/>
        </w:rPr>
        <w:t xml:space="preserve">Fairy Tales, </w:t>
      </w:r>
      <w:r w:rsidRPr="000A6A56">
        <w:t xml:space="preserve">available at </w:t>
      </w:r>
      <w:r w:rsidRPr="000A6A56">
        <w:rPr>
          <w:u w:val="single"/>
        </w:rPr>
        <w:t>http://www.historytoday.com/richard-cavendish/publication-grimm%E2%80%99s-fairy-tales</w:t>
      </w:r>
      <w:r w:rsidRPr="000A6A56">
        <w:t xml:space="preserve"> (last visited Feb. 7, 2017).</w:t>
      </w:r>
    </w:p>
  </w:footnote>
  <w:footnote w:id="15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57">
    <w:p w:rsidR="00304B5F" w:rsidRDefault="00304B5F" w:rsidP="00304B5F">
      <w:pPr>
        <w:pStyle w:val="FootnoteText"/>
        <w:bidi w:val="0"/>
      </w:pPr>
      <w:r w:rsidRPr="00E20B98">
        <w:rPr>
          <w:rStyle w:val="FootnoteReference"/>
        </w:rPr>
        <w:footnoteRef/>
      </w:r>
      <w:r>
        <w:t xml:space="preserve"> </w:t>
      </w:r>
      <w:r w:rsidRPr="000A6A56">
        <w:t xml:space="preserve">Classical Literature, </w:t>
      </w:r>
      <w:r w:rsidRPr="000A6A56">
        <w:rPr>
          <w:i/>
          <w:iCs/>
        </w:rPr>
        <w:t xml:space="preserve">Ancient Greece – Aesop – Fables, </w:t>
      </w:r>
      <w:r w:rsidRPr="000A6A56">
        <w:t xml:space="preserve">available at </w:t>
      </w:r>
      <w:r w:rsidRPr="000A6A56">
        <w:rPr>
          <w:u w:val="single"/>
        </w:rPr>
        <w:t>http://www.ancient-literature.com/greece_aesop_fables.html</w:t>
      </w:r>
      <w:r w:rsidRPr="000A6A56">
        <w:t xml:space="preserve"> (last visited Feb. 7, 2017).</w:t>
      </w:r>
    </w:p>
  </w:footnote>
  <w:footnote w:id="15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59">
    <w:p w:rsidR="00304B5F" w:rsidRDefault="00304B5F" w:rsidP="00304B5F">
      <w:pPr>
        <w:pStyle w:val="FootnoteText"/>
        <w:bidi w:val="0"/>
        <w:ind w:right="1558"/>
      </w:pPr>
      <w:r w:rsidRPr="00E20B98">
        <w:rPr>
          <w:rStyle w:val="FootnoteReference"/>
        </w:rPr>
        <w:footnoteRef/>
      </w:r>
      <w:r>
        <w:t xml:space="preserve"> </w:t>
      </w:r>
      <w:r w:rsidRPr="000A6A56">
        <w:t xml:space="preserve">New World Encyclopedia, </w:t>
      </w:r>
      <w:r w:rsidRPr="000A6A56">
        <w:rPr>
          <w:i/>
          <w:iCs/>
        </w:rPr>
        <w:t xml:space="preserve">The Book of One Thousand and One Nights, </w:t>
      </w:r>
      <w:r w:rsidRPr="000A6A56">
        <w:t xml:space="preserve">available at </w:t>
      </w:r>
      <w:r w:rsidRPr="000A6A56">
        <w:rPr>
          <w:u w:val="single"/>
        </w:rPr>
        <w:t>http://www.newworldencyclopedia.org/entry/The_Book_of_One_Thousand_and_One_Nights</w:t>
      </w:r>
      <w:r w:rsidRPr="000A6A56">
        <w:t xml:space="preserve"> (last visited Feb.7, 2017).</w:t>
      </w:r>
    </w:p>
  </w:footnote>
  <w:footnote w:id="16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1">
    <w:p w:rsidR="00304B5F" w:rsidRDefault="00304B5F" w:rsidP="00304B5F">
      <w:pPr>
        <w:pStyle w:val="FootnoteText"/>
        <w:bidi w:val="0"/>
        <w:ind w:right="708"/>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 visited Feb. 7, 2017).</w:t>
      </w:r>
    </w:p>
  </w:footnote>
  <w:footnote w:id="162">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3">
    <w:p w:rsidR="00304B5F" w:rsidRDefault="00304B5F" w:rsidP="00304B5F">
      <w:pPr>
        <w:pStyle w:val="FootnoteText"/>
        <w:bidi w:val="0"/>
      </w:pPr>
      <w:r w:rsidRPr="00E20B98">
        <w:rPr>
          <w:rStyle w:val="FootnoteReference"/>
        </w:rPr>
        <w:footnoteRef/>
      </w:r>
      <w:r>
        <w:t xml:space="preserve"> </w:t>
      </w:r>
      <w:r w:rsidRPr="004B789A">
        <w:t xml:space="preserve">Galloway, Laura, CNN.com, </w:t>
      </w:r>
      <w:r w:rsidRPr="004B789A">
        <w:rPr>
          <w:i/>
          <w:iCs/>
        </w:rPr>
        <w:t xml:space="preserve">How Santa Got His Reindeer, </w:t>
      </w:r>
      <w:r w:rsidRPr="004B789A">
        <w:t xml:space="preserve">available at </w:t>
      </w:r>
      <w:r w:rsidRPr="004B789A">
        <w:rPr>
          <w:u w:val="single"/>
        </w:rPr>
        <w:t>http://www.cnn.com/2012/12/22/opinion/galloway-reindeer/</w:t>
      </w:r>
      <w:r w:rsidRPr="004B789A">
        <w:t xml:space="preserve"> (last visited Feb. 7, 2017).</w:t>
      </w:r>
    </w:p>
  </w:footnote>
  <w:footnote w:id="164">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5">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7">
    <w:p w:rsidR="00304B5F" w:rsidRDefault="00304B5F" w:rsidP="00304B5F">
      <w:pPr>
        <w:pStyle w:val="FootnoteText"/>
        <w:bidi w:val="0"/>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w:t>
      </w:r>
      <w:r>
        <w:t> </w:t>
      </w:r>
      <w:r w:rsidRPr="004B789A">
        <w:t>visited Feb. 7, 2017).</w:t>
      </w:r>
    </w:p>
  </w:footnote>
  <w:footnote w:id="16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9">
    <w:p w:rsidR="00304B5F" w:rsidRDefault="00304B5F" w:rsidP="00304B5F">
      <w:pPr>
        <w:pStyle w:val="FootnoteText"/>
        <w:bidi w:val="0"/>
      </w:pPr>
      <w:r w:rsidRPr="00E20B98">
        <w:rPr>
          <w:rStyle w:val="FootnoteReference"/>
        </w:rPr>
        <w:footnoteRef/>
      </w:r>
      <w:r>
        <w:t xml:space="preserve"> </w:t>
      </w:r>
      <w:r w:rsidRPr="00CC63F8">
        <w:t xml:space="preserve">American Museum of Natural History, </w:t>
      </w:r>
      <w:r w:rsidRPr="00CC63F8">
        <w:rPr>
          <w:i/>
          <w:iCs/>
        </w:rPr>
        <w:t xml:space="preserve">Beyond Bigfoot, </w:t>
      </w:r>
      <w:r w:rsidRPr="00CC63F8">
        <w:t xml:space="preserve">available at </w:t>
      </w:r>
      <w:r w:rsidRPr="00CC63F8">
        <w:rPr>
          <w:u w:val="single"/>
        </w:rPr>
        <w:t>http://www.amnh.org/exhibitions/mythic-creatures/land-creatures-of-the-earth/beyond-bigfoot/</w:t>
      </w:r>
      <w:r w:rsidRPr="00CC63F8">
        <w:t xml:space="preserve"> (last visited Feb. 7, 2017).</w:t>
      </w:r>
    </w:p>
  </w:footnote>
  <w:footnote w:id="17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71">
    <w:p w:rsidR="00304B5F" w:rsidRDefault="00304B5F" w:rsidP="00304B5F">
      <w:pPr>
        <w:pStyle w:val="FootnoteText"/>
        <w:bidi w:val="0"/>
      </w:pPr>
      <w:r w:rsidRPr="00E20B98">
        <w:rPr>
          <w:rStyle w:val="FootnoteReference"/>
        </w:rPr>
        <w:footnoteRef/>
      </w:r>
      <w:r>
        <w:t xml:space="preserve"> </w:t>
      </w:r>
      <w:r w:rsidRPr="00CC63F8">
        <w:t xml:space="preserve">Biography, </w:t>
      </w:r>
      <w:r w:rsidRPr="00CC63F8">
        <w:rPr>
          <w:i/>
          <w:iCs/>
        </w:rPr>
        <w:t xml:space="preserve">Daniel Boone Biography, </w:t>
      </w:r>
      <w:r w:rsidRPr="00CC63F8">
        <w:rPr>
          <w:u w:val="single"/>
        </w:rPr>
        <w:t>available at http://www.biography.com/people/daniel-boone-9219543#synopsis</w:t>
      </w:r>
      <w:r w:rsidRPr="00CC63F8">
        <w:t xml:space="preserve"> (last visited Feb. 7, 2017).</w:t>
      </w:r>
    </w:p>
  </w:footnote>
  <w:footnote w:id="172">
    <w:p w:rsidR="00304B5F" w:rsidRDefault="00304B5F" w:rsidP="00304B5F">
      <w:pPr>
        <w:pStyle w:val="FootnoteText"/>
        <w:bidi w:val="0"/>
      </w:pPr>
      <w:r w:rsidRPr="00E20B98">
        <w:rPr>
          <w:rStyle w:val="FootnoteReference"/>
        </w:rPr>
        <w:footnoteRef/>
      </w:r>
      <w:r>
        <w:t xml:space="preserve"> </w:t>
      </w:r>
      <w:r w:rsidRPr="006274CE">
        <w:t xml:space="preserve">Geiling, Natasha, Smithsonian.com, </w:t>
      </w:r>
      <w:r w:rsidRPr="006274CE">
        <w:rPr>
          <w:i/>
          <w:iCs/>
        </w:rPr>
        <w:t xml:space="preserve">The Real Johnny Appleseed Brought Apples—and Booze—to the American Frontier, </w:t>
      </w:r>
      <w:r w:rsidRPr="006274CE">
        <w:t xml:space="preserve">available at </w:t>
      </w:r>
      <w:r w:rsidRPr="006274CE">
        <w:rPr>
          <w:u w:val="single"/>
        </w:rPr>
        <w:t>http://www.smithsonianmag.com/arts-culture/real-johnny-appleseed-brought-applesand-booze-american-frontier-180953263/</w:t>
      </w:r>
      <w:r w:rsidRPr="006274CE">
        <w:t xml:space="preserve"> (last visited Feb. 7, 2017).</w:t>
      </w:r>
    </w:p>
  </w:footnote>
  <w:footnote w:id="173">
    <w:p w:rsidR="00304B5F" w:rsidRDefault="00304B5F" w:rsidP="00304B5F">
      <w:pPr>
        <w:pStyle w:val="FootnoteText"/>
        <w:bidi w:val="0"/>
      </w:pPr>
      <w:r w:rsidRPr="00E20B98">
        <w:rPr>
          <w:rStyle w:val="FootnoteReference"/>
        </w:rPr>
        <w:footnoteRef/>
      </w:r>
      <w:r>
        <w:t xml:space="preserve"> </w:t>
      </w:r>
      <w:r w:rsidRPr="006274CE">
        <w:t xml:space="preserve">Biography, </w:t>
      </w:r>
      <w:r w:rsidRPr="006274CE">
        <w:rPr>
          <w:i/>
          <w:iCs/>
        </w:rPr>
        <w:t xml:space="preserve">Davy Crockett Biography, </w:t>
      </w:r>
      <w:r w:rsidRPr="006274CE">
        <w:t xml:space="preserve">available at </w:t>
      </w:r>
      <w:r w:rsidRPr="006274CE">
        <w:rPr>
          <w:u w:val="single"/>
        </w:rPr>
        <w:t>http://www.biography.com/people/daniel-boone-9219543#synopsis</w:t>
      </w:r>
      <w:r w:rsidRPr="006274CE">
        <w:t xml:space="preserve"> (last visited Feb. 7,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5F" w:rsidRPr="002326AB" w:rsidRDefault="00304B5F" w:rsidP="00A02F0F">
    <w:pPr>
      <w:bidi w:val="0"/>
      <w:rPr>
        <w:caps/>
      </w:rPr>
    </w:pPr>
    <w:bookmarkStart w:id="6" w:name="Code2"/>
    <w:bookmarkEnd w:id="6"/>
    <w:r>
      <w:rPr>
        <w:caps/>
      </w:rPr>
      <w:t xml:space="preserve">WIPO/GRTKf/IC/42/1 </w:t>
    </w:r>
    <w:r>
      <w:rPr>
        <w:lang w:bidi="ar-EG"/>
      </w:rPr>
      <w:t>Prov</w:t>
    </w:r>
    <w:r>
      <w:rPr>
        <w:caps/>
      </w:rPr>
      <w:t>.</w:t>
    </w:r>
  </w:p>
  <w:p w:rsidR="00304B5F" w:rsidRDefault="00304B5F" w:rsidP="00210D5F">
    <w:pPr>
      <w:bidi w:val="0"/>
    </w:pPr>
    <w:r>
      <w:fldChar w:fldCharType="begin"/>
    </w:r>
    <w:r>
      <w:instrText xml:space="preserve"> PAGE  \* MERGEFORMAT </w:instrText>
    </w:r>
    <w:r>
      <w:fldChar w:fldCharType="separate"/>
    </w:r>
    <w:r>
      <w:rPr>
        <w:noProof/>
      </w:rPr>
      <w:t>2</w:t>
    </w:r>
    <w:r>
      <w:fldChar w:fldCharType="end"/>
    </w:r>
  </w:p>
  <w:p w:rsidR="00304B5F" w:rsidRDefault="00304B5F" w:rsidP="00210D5F">
    <w:pPr>
      <w:bidi w:val="0"/>
    </w:pPr>
  </w:p>
  <w:p w:rsidR="00304B5F" w:rsidRDefault="00304B5F"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5F" w:rsidRDefault="00304B5F" w:rsidP="009A5DD4">
    <w:pPr>
      <w:bidi w:val="0"/>
      <w:rPr>
        <w:rFonts w:cs="Arial"/>
      </w:rPr>
    </w:pPr>
    <w:bookmarkStart w:id="7" w:name="Code3"/>
    <w:bookmarkEnd w:id="7"/>
    <w:r>
      <w:rPr>
        <w:rFonts w:cs="Arial"/>
      </w:rPr>
      <w:t>WIPO/GRTKF/IC/</w:t>
    </w:r>
    <w:r w:rsidR="009A5DD4">
      <w:rPr>
        <w:rFonts w:cs="Arial"/>
      </w:rPr>
      <w:t>45</w:t>
    </w:r>
    <w:r>
      <w:rPr>
        <w:rFonts w:cs="Arial"/>
      </w:rPr>
      <w:t>/12</w:t>
    </w:r>
  </w:p>
  <w:p w:rsidR="00304B5F" w:rsidRDefault="00304B5F" w:rsidP="00304B5F">
    <w:pPr>
      <w:bidi w:val="0"/>
      <w:rPr>
        <w:rFonts w:cs="Arial"/>
      </w:rPr>
    </w:pPr>
    <w:r>
      <w:rPr>
        <w:rFonts w:cs="Arial"/>
      </w:rPr>
      <w:t>Annex</w:t>
    </w:r>
  </w:p>
  <w:p w:rsidR="00304B5F" w:rsidRPr="00C50A61" w:rsidRDefault="00304B5F" w:rsidP="00304B5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3D6469">
      <w:rPr>
        <w:rFonts w:cs="Arial"/>
        <w:noProof/>
        <w:lang w:bidi="ar-EG"/>
      </w:rPr>
      <w:t>16</w:t>
    </w:r>
    <w:r w:rsidRPr="00C50A61">
      <w:rPr>
        <w:rFonts w:cs="Arial"/>
      </w:rPr>
      <w:fldChar w:fldCharType="end"/>
    </w:r>
  </w:p>
  <w:p w:rsidR="00304B5F" w:rsidRPr="00C50A61" w:rsidRDefault="00304B5F" w:rsidP="00304B5F">
    <w:pPr>
      <w:bidi w:val="0"/>
      <w:rPr>
        <w:rFonts w:cs="Arial"/>
      </w:rPr>
    </w:pPr>
  </w:p>
  <w:p w:rsidR="00304B5F" w:rsidRDefault="00304B5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5F" w:rsidRPr="00151689" w:rsidRDefault="00304B5F" w:rsidP="009A5DD4">
    <w:pPr>
      <w:pStyle w:val="Header"/>
      <w:bidi w:val="0"/>
      <w:rPr>
        <w:rFonts w:cs="Arial"/>
        <w:szCs w:val="20"/>
      </w:rPr>
    </w:pPr>
    <w:r>
      <w:rPr>
        <w:rFonts w:cs="Arial"/>
        <w:szCs w:val="20"/>
      </w:rPr>
      <w:t>WIPO/GRTKF/IC/</w:t>
    </w:r>
    <w:r w:rsidR="009A5DD4">
      <w:rPr>
        <w:rFonts w:cs="Arial"/>
        <w:szCs w:val="20"/>
      </w:rPr>
      <w:t>45</w:t>
    </w:r>
    <w:r>
      <w:rPr>
        <w:rFonts w:cs="Arial"/>
        <w:szCs w:val="20"/>
      </w:rPr>
      <w:t>/12</w:t>
    </w:r>
  </w:p>
  <w:p w:rsidR="00304B5F" w:rsidRDefault="00304B5F" w:rsidP="00304B5F">
    <w:pPr>
      <w:tabs>
        <w:tab w:val="center" w:pos="4536"/>
        <w:tab w:val="right" w:pos="9072"/>
      </w:tabs>
      <w:bidi w:val="0"/>
      <w:rPr>
        <w:rFonts w:cs="Arial"/>
        <w:szCs w:val="20"/>
      </w:rPr>
    </w:pPr>
    <w:r w:rsidRPr="00151689">
      <w:rPr>
        <w:rFonts w:cs="Arial"/>
        <w:szCs w:val="20"/>
      </w:rPr>
      <w:t>ANNEX</w:t>
    </w:r>
  </w:p>
  <w:p w:rsidR="00304B5F" w:rsidRPr="00151689" w:rsidRDefault="00304B5F" w:rsidP="00304B5F">
    <w:pPr>
      <w:tabs>
        <w:tab w:val="center" w:pos="4536"/>
        <w:tab w:val="right" w:pos="9072"/>
      </w:tabs>
      <w:jc w:val="right"/>
      <w:rPr>
        <w:rtl/>
      </w:rPr>
    </w:pPr>
    <w:r w:rsidRPr="00151689">
      <w:rPr>
        <w:rtl/>
      </w:rPr>
      <w:t>المرفق</w:t>
    </w:r>
  </w:p>
  <w:p w:rsidR="00304B5F" w:rsidRPr="00151689" w:rsidRDefault="00304B5F" w:rsidP="00304B5F">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E8B6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B29D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CEA3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6278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C45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FA0F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A7A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568A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9AC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1"/>
  </w:num>
  <w:num w:numId="2">
    <w:abstractNumId w:val="15"/>
  </w:num>
  <w:num w:numId="3">
    <w:abstractNumId w:val="8"/>
  </w:num>
  <w:num w:numId="4">
    <w:abstractNumId w:val="17"/>
  </w:num>
  <w:num w:numId="5">
    <w:abstractNumId w:val="10"/>
  </w:num>
  <w:num w:numId="6">
    <w:abstractNumId w:val="12"/>
  </w:num>
  <w:num w:numId="7">
    <w:abstractNumId w:val="18"/>
  </w:num>
  <w:num w:numId="8">
    <w:abstractNumId w:val="14"/>
  </w:num>
  <w:num w:numId="9">
    <w:abstractNumId w:val="16"/>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6"/>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509"/>
    <w:rsid w:val="00043CAA"/>
    <w:rsid w:val="00045944"/>
    <w:rsid w:val="00056816"/>
    <w:rsid w:val="00075432"/>
    <w:rsid w:val="000968ED"/>
    <w:rsid w:val="000A3D97"/>
    <w:rsid w:val="000A69FD"/>
    <w:rsid w:val="000F5E56"/>
    <w:rsid w:val="001362EE"/>
    <w:rsid w:val="001406E1"/>
    <w:rsid w:val="0014573D"/>
    <w:rsid w:val="00155D8A"/>
    <w:rsid w:val="00160172"/>
    <w:rsid w:val="001647D5"/>
    <w:rsid w:val="001656C2"/>
    <w:rsid w:val="001832A6"/>
    <w:rsid w:val="0019592A"/>
    <w:rsid w:val="00196855"/>
    <w:rsid w:val="001D4107"/>
    <w:rsid w:val="00203D24"/>
    <w:rsid w:val="00210D5F"/>
    <w:rsid w:val="0021217E"/>
    <w:rsid w:val="002326AB"/>
    <w:rsid w:val="00243430"/>
    <w:rsid w:val="0024540F"/>
    <w:rsid w:val="002634C4"/>
    <w:rsid w:val="002928D3"/>
    <w:rsid w:val="002937BA"/>
    <w:rsid w:val="002F1FE6"/>
    <w:rsid w:val="002F4E68"/>
    <w:rsid w:val="00304AC4"/>
    <w:rsid w:val="00304B5F"/>
    <w:rsid w:val="00312F7F"/>
    <w:rsid w:val="00361450"/>
    <w:rsid w:val="003673CF"/>
    <w:rsid w:val="003845C1"/>
    <w:rsid w:val="003862AF"/>
    <w:rsid w:val="00387778"/>
    <w:rsid w:val="003A6F89"/>
    <w:rsid w:val="003B355C"/>
    <w:rsid w:val="003B38C1"/>
    <w:rsid w:val="003C34E9"/>
    <w:rsid w:val="003C6AEE"/>
    <w:rsid w:val="003D6469"/>
    <w:rsid w:val="00423E3E"/>
    <w:rsid w:val="00427AF4"/>
    <w:rsid w:val="004647DA"/>
    <w:rsid w:val="00474062"/>
    <w:rsid w:val="00477D6B"/>
    <w:rsid w:val="004B5600"/>
    <w:rsid w:val="005019FF"/>
    <w:rsid w:val="005162A6"/>
    <w:rsid w:val="0053057A"/>
    <w:rsid w:val="00556076"/>
    <w:rsid w:val="00560A29"/>
    <w:rsid w:val="00584662"/>
    <w:rsid w:val="00596E97"/>
    <w:rsid w:val="005B01D9"/>
    <w:rsid w:val="005C6649"/>
    <w:rsid w:val="005E7B89"/>
    <w:rsid w:val="00605827"/>
    <w:rsid w:val="00621ED3"/>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A5DD4"/>
    <w:rsid w:val="009B0855"/>
    <w:rsid w:val="009E2791"/>
    <w:rsid w:val="009E3F6F"/>
    <w:rsid w:val="009E62DC"/>
    <w:rsid w:val="009F25BA"/>
    <w:rsid w:val="009F499F"/>
    <w:rsid w:val="00A02F0F"/>
    <w:rsid w:val="00A37342"/>
    <w:rsid w:val="00A42DAF"/>
    <w:rsid w:val="00A45BD8"/>
    <w:rsid w:val="00A869B7"/>
    <w:rsid w:val="00A90F0A"/>
    <w:rsid w:val="00A94103"/>
    <w:rsid w:val="00AA4217"/>
    <w:rsid w:val="00AC205C"/>
    <w:rsid w:val="00AC44FF"/>
    <w:rsid w:val="00AF0A6B"/>
    <w:rsid w:val="00B05A69"/>
    <w:rsid w:val="00B42CA9"/>
    <w:rsid w:val="00B51FF7"/>
    <w:rsid w:val="00B75281"/>
    <w:rsid w:val="00B92B95"/>
    <w:rsid w:val="00B92F1F"/>
    <w:rsid w:val="00B9734B"/>
    <w:rsid w:val="00BA289C"/>
    <w:rsid w:val="00BA30E2"/>
    <w:rsid w:val="00C11BFE"/>
    <w:rsid w:val="00C5068F"/>
    <w:rsid w:val="00C77AA6"/>
    <w:rsid w:val="00C86D74"/>
    <w:rsid w:val="00CB3DBA"/>
    <w:rsid w:val="00CC3E2D"/>
    <w:rsid w:val="00CD04F1"/>
    <w:rsid w:val="00CE19F8"/>
    <w:rsid w:val="00CF681A"/>
    <w:rsid w:val="00D07C78"/>
    <w:rsid w:val="00D45252"/>
    <w:rsid w:val="00D530E8"/>
    <w:rsid w:val="00D53424"/>
    <w:rsid w:val="00D60B2C"/>
    <w:rsid w:val="00D67EAE"/>
    <w:rsid w:val="00D71B4D"/>
    <w:rsid w:val="00D90B96"/>
    <w:rsid w:val="00D92546"/>
    <w:rsid w:val="00D93D55"/>
    <w:rsid w:val="00DD7B7F"/>
    <w:rsid w:val="00E15015"/>
    <w:rsid w:val="00E15F11"/>
    <w:rsid w:val="00E20B98"/>
    <w:rsid w:val="00E319DF"/>
    <w:rsid w:val="00E335FE"/>
    <w:rsid w:val="00E66CC5"/>
    <w:rsid w:val="00E7374D"/>
    <w:rsid w:val="00E90920"/>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FA353"/>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iPriority="99" w:unhideWhenUsed="1"/>
    <w:lsdException w:name="endnote text" w:semiHidden="1" w:unhideWhenUsed="1"/>
    <w:lsdException w:name="Title" w:qFormat="1"/>
    <w:lsdException w:name="Signature" w:semiHidden="1" w:unhideWhenUsed="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rsid w:val="009B0855"/>
    <w:rPr>
      <w:sz w:val="18"/>
      <w:szCs w:val="18"/>
    </w:rPr>
  </w:style>
  <w:style w:type="paragraph" w:styleId="Footer">
    <w:name w:val="footer"/>
    <w:basedOn w:val="Normal"/>
    <w:rsid w:val="00676C5C"/>
    <w:pPr>
      <w:tabs>
        <w:tab w:val="center" w:pos="4320"/>
        <w:tab w:val="right" w:pos="8640"/>
      </w:tabs>
    </w:pPr>
  </w:style>
  <w:style w:type="paragraph" w:styleId="FootnoteText">
    <w:name w:val="footnote text"/>
    <w:basedOn w:val="Normal"/>
    <w:rsid w:val="009B0855"/>
    <w:rPr>
      <w:sz w:val="18"/>
      <w:szCs w:val="18"/>
    </w:rPr>
  </w:style>
  <w:style w:type="paragraph" w:styleId="Header">
    <w:name w:val="header"/>
    <w:basedOn w:val="Normal"/>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uiPriority w:val="99"/>
    <w:rsid w:val="00196855"/>
    <w:rPr>
      <w:rFonts w:ascii="Calibri" w:hAnsi="Calibri" w:cs="Calibri"/>
      <w:caps w:val="0"/>
      <w:smallCaps w:val="0"/>
      <w:strike w:val="0"/>
      <w:dstrike w:val="0"/>
      <w:vanish w:val="0"/>
      <w:sz w:val="18"/>
      <w:szCs w:val="18"/>
      <w:vertAlign w:val="superscript"/>
      <w:lang w:eastAsia="en-US"/>
    </w:rPr>
  </w:style>
  <w:style w:type="character" w:styleId="Hyperlink">
    <w:name w:val="Hyperlink"/>
    <w:basedOn w:val="DefaultParagraphFont"/>
    <w:rsid w:val="00304B5F"/>
    <w:rPr>
      <w:color w:val="0000FF" w:themeColor="hyperlink"/>
      <w:u w:val="single"/>
    </w:rPr>
  </w:style>
  <w:style w:type="character" w:customStyle="1" w:styleId="BodyTextChar">
    <w:name w:val="Body Text Char"/>
    <w:basedOn w:val="DefaultParagraphFont"/>
    <w:link w:val="BodyText"/>
    <w:rsid w:val="00E90920"/>
    <w:rPr>
      <w:rFonts w:ascii="Arial" w:eastAsia="SimSun" w:hAnsi="Arial" w:cs="Calibri"/>
      <w:sz w:val="22"/>
      <w:szCs w:val="22"/>
      <w:lang w:val="en-US" w:eastAsia="zh-CN"/>
    </w:rPr>
  </w:style>
  <w:style w:type="character" w:customStyle="1" w:styleId="CommentTextChar">
    <w:name w:val="Comment Text Char"/>
    <w:basedOn w:val="DefaultParagraphFont"/>
    <w:link w:val="CommentText"/>
    <w:rsid w:val="00E90920"/>
    <w:rPr>
      <w:rFonts w:ascii="Arial" w:eastAsia="SimSun" w:hAnsi="Arial" w:cs="Calibri"/>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ewsghana.com.gh/where-is-ghanas-ones-popular-dance-azonto/"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E5B5E-EE66-4FD1-BEF6-9B9274DE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WIPO/GRTK/IC/44/12 (Arabic)</vt:lpstr>
    </vt:vector>
  </TitlesOfParts>
  <Company>WIPO</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WIPO/GRTK/IC/44/12 (Arabic)</dc:title>
  <dc:creator>MERZOUK Fawzi</dc:creator>
  <cp:keywords>FOR OFFICIAL USE ONLY</cp:keywords>
  <cp:lastModifiedBy>ALAKHRAS Basel</cp:lastModifiedBy>
  <cp:revision>10</cp:revision>
  <cp:lastPrinted>2022-12-02T11:37:00Z</cp:lastPrinted>
  <dcterms:created xsi:type="dcterms:W3CDTF">2022-12-02T11:36:00Z</dcterms:created>
  <dcterms:modified xsi:type="dcterms:W3CDTF">2022-12-02T11:37:00Z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