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300E4F">
        <w:rPr>
          <w:rFonts w:ascii="Arial Black" w:hAnsi="Arial Black"/>
          <w:caps/>
          <w:sz w:val="15"/>
          <w:szCs w:val="15"/>
        </w:rPr>
        <w:t>45</w:t>
      </w:r>
      <w:r>
        <w:rPr>
          <w:rFonts w:ascii="Arial Black" w:hAnsi="Arial Black"/>
          <w:caps/>
          <w:sz w:val="15"/>
          <w:szCs w:val="15"/>
        </w:rPr>
        <w:t>/</w:t>
      </w:r>
      <w:bookmarkStart w:id="0" w:name="Code"/>
      <w:bookmarkEnd w:id="0"/>
      <w:r w:rsidR="001F0DBC">
        <w:rPr>
          <w:rFonts w:ascii="Arial Black" w:hAnsi="Arial Black"/>
          <w:caps/>
          <w:sz w:val="15"/>
          <w:szCs w:val="15"/>
        </w:rPr>
        <w:t>INF/8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300E4F">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300E4F">
        <w:rPr>
          <w:rFonts w:asciiTheme="minorHAnsi" w:hAnsiTheme="minorHAnsi" w:cstheme="minorHAnsi" w:hint="cs"/>
          <w:b/>
          <w:bCs/>
          <w:caps/>
          <w:sz w:val="15"/>
          <w:szCs w:val="15"/>
          <w:rtl/>
        </w:rPr>
        <w:t>27</w:t>
      </w:r>
      <w:r w:rsidR="005A53BE">
        <w:rPr>
          <w:rFonts w:asciiTheme="minorHAnsi" w:hAnsiTheme="minorHAnsi" w:cstheme="minorHAnsi" w:hint="cs"/>
          <w:b/>
          <w:bCs/>
          <w:caps/>
          <w:sz w:val="15"/>
          <w:szCs w:val="15"/>
          <w:rtl/>
        </w:rPr>
        <w:t xml:space="preserve"> </w:t>
      </w:r>
      <w:r w:rsidR="00300E4F">
        <w:rPr>
          <w:rFonts w:asciiTheme="minorHAnsi" w:hAnsiTheme="minorHAnsi" w:cstheme="minorHAnsi" w:hint="cs"/>
          <w:b/>
          <w:bCs/>
          <w:caps/>
          <w:sz w:val="15"/>
          <w:szCs w:val="15"/>
          <w:rtl/>
        </w:rPr>
        <w:t>سبتمبر</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300E4F">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300E4F">
        <w:rPr>
          <w:rFonts w:asciiTheme="minorHAnsi" w:hAnsiTheme="minorHAnsi" w:cstheme="minorHAnsi" w:hint="cs"/>
          <w:bCs/>
          <w:sz w:val="24"/>
          <w:szCs w:val="24"/>
          <w:rtl/>
        </w:rPr>
        <w:t xml:space="preserve">خامسة </w:t>
      </w:r>
      <w:r w:rsidRPr="00D67EAE">
        <w:rPr>
          <w:rFonts w:asciiTheme="minorHAnsi" w:hAnsiTheme="minorHAnsi" w:cstheme="minorHAnsi" w:hint="cs"/>
          <w:bCs/>
          <w:sz w:val="24"/>
          <w:szCs w:val="24"/>
          <w:rtl/>
        </w:rPr>
        <w:t>والأربعون</w:t>
      </w:r>
    </w:p>
    <w:p w:rsidR="008B2CC1" w:rsidRPr="00D67EAE" w:rsidRDefault="00D67EAE" w:rsidP="00300E4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300E4F">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300E4F">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300E4F">
        <w:rPr>
          <w:rFonts w:asciiTheme="minorHAnsi" w:hAnsiTheme="minorHAnsi" w:cstheme="minorHAnsi" w:hint="cs"/>
          <w:bCs/>
          <w:sz w:val="24"/>
          <w:szCs w:val="24"/>
          <w:rtl/>
        </w:rPr>
        <w:t>ديس</w:t>
      </w:r>
      <w:r w:rsidR="00FC1833">
        <w:rPr>
          <w:rFonts w:asciiTheme="minorHAnsi" w:hAnsiTheme="minorHAnsi" w:cstheme="minorHAnsi" w:hint="cs"/>
          <w:bCs/>
          <w:sz w:val="24"/>
          <w:szCs w:val="24"/>
          <w:rtl/>
        </w:rPr>
        <w:t xml:space="preserve">مبر </w:t>
      </w:r>
      <w:r w:rsidR="00AA4217">
        <w:rPr>
          <w:rFonts w:asciiTheme="minorHAnsi" w:hAnsiTheme="minorHAnsi" w:cstheme="minorHAnsi" w:hint="cs"/>
          <w:bCs/>
          <w:sz w:val="24"/>
          <w:szCs w:val="24"/>
          <w:rtl/>
        </w:rPr>
        <w:t>2022</w:t>
      </w:r>
    </w:p>
    <w:p w:rsidR="008B2CC1" w:rsidRDefault="006E3BB4" w:rsidP="002A62C3">
      <w:pPr>
        <w:rPr>
          <w:rFonts w:ascii="Calibri" w:hAnsi="Calibri"/>
          <w:sz w:val="24"/>
          <w:szCs w:val="24"/>
          <w:lang w:eastAsia="ar"/>
        </w:rPr>
      </w:pPr>
      <w:bookmarkStart w:id="3"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xml:space="preserve">) (المُشار إليه فيما يلي باسم "الاستعراض التقني")، الذي أعدَّه أحد خبراء الشعوب الأصلية، وهو الأستاذ جيمس </w:t>
      </w:r>
      <w:proofErr w:type="spellStart"/>
      <w:r w:rsidRPr="002A62C3">
        <w:rPr>
          <w:rtl/>
        </w:rPr>
        <w:t>أنايا</w:t>
      </w:r>
      <w:proofErr w:type="spellEnd"/>
      <w:r w:rsidRPr="002A62C3">
        <w:rPr>
          <w:rtl/>
        </w:rPr>
        <w:t>،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rsidR="002A62C3" w:rsidRPr="002A62C3" w:rsidRDefault="002A62C3" w:rsidP="002A62C3">
      <w:pPr>
        <w:pStyle w:val="ONUMA"/>
        <w:rPr>
          <w:rFonts w:cstheme="minorHAnsi"/>
        </w:rPr>
      </w:pPr>
      <w:r w:rsidRPr="002A62C3">
        <w:rPr>
          <w:rtl/>
        </w:rPr>
        <w:t xml:space="preserve">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كبير المحاضرين ومدير البحوث بجامعة طميني </w:t>
      </w:r>
      <w:proofErr w:type="spellStart"/>
      <w:r w:rsidRPr="002A62C3">
        <w:rPr>
          <w:rtl/>
        </w:rPr>
        <w:t>ماكوميرا</w:t>
      </w:r>
      <w:proofErr w:type="spellEnd"/>
      <w:r w:rsidRPr="002A62C3">
        <w:rPr>
          <w:rtl/>
        </w:rPr>
        <w:t>،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rsidR="002A62C3" w:rsidRPr="002A62C3" w:rsidRDefault="002A62C3" w:rsidP="002A62C3">
      <w:pPr>
        <w:spacing w:after="480"/>
        <w:ind w:left="5533"/>
        <w:rPr>
          <w:rFonts w:ascii="Calibri" w:hAnsi="Calibri"/>
          <w:i/>
          <w:sz w:val="24"/>
          <w:rtl/>
          <w:lang w:bidi="ar-EG"/>
        </w:rPr>
      </w:pPr>
      <w:r>
        <w:rPr>
          <w:rFonts w:cstheme="minorHAnsi" w:hint="cs"/>
          <w:rtl/>
        </w:rPr>
        <w:t xml:space="preserve"> </w:t>
      </w:r>
      <w:r w:rsidR="00BE0E62">
        <w:rPr>
          <w:rFonts w:ascii="Calibri" w:hAnsi="Calibri"/>
          <w:i/>
          <w:iCs/>
          <w:sz w:val="24"/>
          <w:rtl/>
          <w:lang w:eastAsia="ar" w:bidi="ar-EG"/>
        </w:rPr>
        <w:t>3.</w:t>
      </w:r>
      <w:r w:rsidR="00BE0E62">
        <w:rPr>
          <w:rFonts w:ascii="Calibri" w:hAnsi="Calibri"/>
          <w:i/>
          <w:iCs/>
          <w:sz w:val="24"/>
          <w:rtl/>
          <w:lang w:eastAsia="ar" w:bidi="ar-EG"/>
        </w:rPr>
        <w:tab/>
      </w:r>
      <w:r w:rsidR="00BE0E62">
        <w:rPr>
          <w:rFonts w:ascii="Calibri" w:hAnsi="Calibri" w:hint="cs"/>
          <w:i/>
          <w:iCs/>
          <w:sz w:val="24"/>
          <w:rtl/>
          <w:lang w:val="fr-CH" w:eastAsia="ar" w:bidi="ar-EG"/>
        </w:rPr>
        <w:t xml:space="preserve">إن </w:t>
      </w:r>
      <w:r w:rsidRPr="00280A89">
        <w:rPr>
          <w:rFonts w:ascii="Calibri" w:hAnsi="Calibri"/>
          <w:i/>
          <w:iCs/>
          <w:sz w:val="24"/>
          <w:rtl/>
          <w:lang w:eastAsia="ar" w:bidi="ar-EG"/>
        </w:rPr>
        <w:t>اللجنة مدعوةٌ إلى الإحاطة علماً بمرفق هذه الوثيقة.</w:t>
      </w:r>
    </w:p>
    <w:p w:rsidR="002A62C3" w:rsidRDefault="002A62C3" w:rsidP="002A62C3">
      <w:pPr>
        <w:pStyle w:val="Endofdocument-Annex"/>
        <w:rPr>
          <w:rtl/>
        </w:rPr>
        <w:sectPr w:rsidR="002A62C3" w:rsidSect="00EB7752">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2A62C3" w:rsidRPr="006E3BB4" w:rsidRDefault="002A62C3" w:rsidP="006E3BB4">
      <w:pPr>
        <w:pStyle w:val="Heading1"/>
        <w:spacing w:after="360"/>
        <w:jc w:val="center"/>
        <w:rPr>
          <w:rFonts w:cstheme="minorHAnsi"/>
          <w:sz w:val="22"/>
          <w:szCs w:val="22"/>
          <w:rtl/>
        </w:rPr>
      </w:pPr>
      <w:r w:rsidRPr="006E3BB4">
        <w:rPr>
          <w:sz w:val="22"/>
          <w:szCs w:val="22"/>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6E3BB4">
      <w:pPr>
        <w:pStyle w:val="BodyText"/>
        <w:jc w:val="center"/>
        <w:rPr>
          <w:rFonts w:cstheme="minorHAnsi"/>
          <w:rtl/>
        </w:rPr>
      </w:pPr>
      <w:r w:rsidRPr="002A62C3">
        <w:rPr>
          <w:rtl/>
        </w:rPr>
        <w:t xml:space="preserve">من إعداد 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والسيدة نيفا كولينس</w:t>
      </w:r>
    </w:p>
    <w:p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rsidR="002A62C3" w:rsidRPr="002A62C3" w:rsidRDefault="002A62C3" w:rsidP="00A91F7C">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280A89">
        <w:rPr>
          <w:rFonts w:ascii="Calibri" w:hAnsi="Calibri"/>
          <w:sz w:val="24"/>
          <w:rtl/>
          <w:lang w:eastAsia="ar" w:bidi="ar-EG"/>
        </w:rPr>
        <w:t xml:space="preserve"> </w:t>
      </w:r>
      <w:r w:rsidRPr="00A91F7C">
        <w:rPr>
          <w:rtl/>
        </w:rPr>
        <w:t xml:space="preserve"> </w:t>
      </w:r>
      <w:r w:rsidRPr="002A62C3">
        <w:rPr>
          <w:rtl/>
        </w:rPr>
        <w:t xml:space="preserve"> 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w:t>
      </w:r>
      <w:proofErr w:type="spellStart"/>
      <w:r w:rsidRPr="002A62C3">
        <w:rPr>
          <w:rtl/>
        </w:rPr>
        <w:t>أنايا</w:t>
      </w:r>
      <w:proofErr w:type="spellEnd"/>
      <w:r w:rsidRPr="002A62C3">
        <w:rPr>
          <w:rtl/>
        </w:rPr>
        <w:t xml:space="preserve"> في عام 2014.</w:t>
      </w:r>
      <w:r w:rsidR="00A91F7C" w:rsidRPr="00280A89">
        <w:rPr>
          <w:rFonts w:ascii="Calibri" w:hAnsi="Calibri"/>
          <w:sz w:val="24"/>
          <w:vertAlign w:val="superscript"/>
          <w:rtl/>
          <w:lang w:eastAsia="ar" w:bidi="ar-EG"/>
        </w:rPr>
        <w:footnoteReference w:id="4"/>
      </w:r>
      <w:r w:rsidRPr="002A62C3">
        <w:rPr>
          <w:rtl/>
        </w:rPr>
        <w:t xml:space="preserve"> </w:t>
      </w:r>
    </w:p>
    <w:p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rsidR="002A62C3" w:rsidRPr="002A62C3" w:rsidRDefault="002A62C3" w:rsidP="00A91F7C">
      <w:pPr>
        <w:pStyle w:val="ONUMA"/>
        <w:rPr>
          <w:rFonts w:cstheme="minorHAnsi"/>
          <w:rtl/>
        </w:rPr>
      </w:pPr>
      <w:r w:rsidRPr="002A62C3">
        <w:rPr>
          <w:rtl/>
        </w:rPr>
        <w:t xml:space="preserve">ويُعدّ الاستعراض التقني الذي أجراه الأستاذ جيمس </w:t>
      </w:r>
      <w:proofErr w:type="spellStart"/>
      <w:r w:rsidRPr="002A62C3">
        <w:rPr>
          <w:rtl/>
        </w:rPr>
        <w:t>أنايا</w:t>
      </w:r>
      <w:proofErr w:type="spellEnd"/>
      <w:r w:rsidRPr="002A62C3">
        <w:rPr>
          <w:rtl/>
        </w:rPr>
        <w:t xml:space="preserve"> عملاً ذا أهمية </w:t>
      </w:r>
      <w:proofErr w:type="spellStart"/>
      <w:r w:rsidRPr="002A62C3">
        <w:rPr>
          <w:rtl/>
        </w:rPr>
        <w:t>مفاهيمية</w:t>
      </w:r>
      <w:proofErr w:type="spellEnd"/>
      <w:r w:rsidRPr="002A62C3">
        <w:rPr>
          <w:rtl/>
        </w:rPr>
        <w:t xml:space="preserve"> وعملية دائمة للربط بين حماية الملكية الفكرية والحقوق الإنسانية للشعوب الأصلية. </w:t>
      </w:r>
      <w:proofErr w:type="spellStart"/>
      <w:r w:rsidRPr="002A62C3">
        <w:rPr>
          <w:rtl/>
        </w:rPr>
        <w:t>ويُرسي</w:t>
      </w:r>
      <w:proofErr w:type="spellEnd"/>
      <w:r w:rsidRPr="002A62C3">
        <w:rPr>
          <w:rtl/>
        </w:rPr>
        <w:t xml:space="preserve">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ONUMA"/>
        <w:rPr>
          <w:rFonts w:cstheme="minorHAnsi"/>
          <w:rtl/>
        </w:rPr>
      </w:pPr>
      <w:r w:rsidRPr="002A62C3">
        <w:rPr>
          <w:rtl/>
        </w:rPr>
        <w:t xml:space="preserve">ولذلك فإن هذا الاستعراض التقني المُحدَّث يستند إلى عمل الأستاذ جيمس </w:t>
      </w:r>
      <w:proofErr w:type="spellStart"/>
      <w:r w:rsidRPr="002A62C3">
        <w:rPr>
          <w:rtl/>
        </w:rPr>
        <w:t>أنايا</w:t>
      </w:r>
      <w:proofErr w:type="spellEnd"/>
      <w:r w:rsidRPr="002A62C3">
        <w:rPr>
          <w:rtl/>
        </w:rPr>
        <w:t xml:space="preserve">،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w:t>
      </w:r>
      <w:proofErr w:type="spellStart"/>
      <w:r w:rsidRPr="002A62C3">
        <w:rPr>
          <w:rtl/>
        </w:rPr>
        <w:t>أنايا</w:t>
      </w:r>
      <w:proofErr w:type="spellEnd"/>
      <w:r w:rsidRPr="002A62C3">
        <w:rPr>
          <w:rtl/>
        </w:rPr>
        <w:t>.</w:t>
      </w:r>
    </w:p>
    <w:p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rsidR="002A62C3" w:rsidRPr="002A62C3" w:rsidRDefault="002A62C3" w:rsidP="002A62C3">
      <w:pPr>
        <w:pStyle w:val="ONUMA"/>
        <w:rPr>
          <w:rFonts w:cstheme="minorHAnsi"/>
          <w:rtl/>
        </w:rPr>
      </w:pPr>
      <w:r w:rsidRPr="002A62C3">
        <w:rPr>
          <w:rtl/>
        </w:rPr>
        <w:lastRenderedPageBreak/>
        <w:t>ويتحمل المؤلفان وحدهما مسؤولية إعداد هذا التحديث. ولا يُعبِّر التحديث بأ</w:t>
      </w:r>
      <w:bookmarkStart w:id="6" w:name="_GoBack"/>
      <w:bookmarkEnd w:id="6"/>
      <w:r w:rsidRPr="002A62C3">
        <w:rPr>
          <w:rtl/>
        </w:rPr>
        <w:t xml:space="preserve">ي حال من الأحوال عن آراء أمانة الويبو أو الدول الأعضاء أو المراقبين في الويبو.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rsidR="002A62C3" w:rsidRPr="002A62C3" w:rsidRDefault="002A62C3" w:rsidP="002A62C3">
      <w:pPr>
        <w:pStyle w:val="ONUMA"/>
        <w:rPr>
          <w:rFonts w:cstheme="minorHAnsi"/>
          <w:rtl/>
        </w:rPr>
      </w:pPr>
      <w:r w:rsidRPr="002A62C3">
        <w:rPr>
          <w:rtl/>
        </w:rPr>
        <w:t xml:space="preserve">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w:t>
      </w:r>
      <w:proofErr w:type="spellStart"/>
      <w:r w:rsidRPr="002A62C3">
        <w:rPr>
          <w:rtl/>
        </w:rPr>
        <w:t>تريبس</w:t>
      </w:r>
      <w:proofErr w:type="spellEnd"/>
      <w:r w:rsidRPr="002A62C3">
        <w:rPr>
          <w:rtl/>
        </w:rPr>
        <w:t>)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w:t>
      </w:r>
      <w:proofErr w:type="spellStart"/>
      <w:r w:rsidRPr="002A62C3">
        <w:rPr>
          <w:rtl/>
        </w:rPr>
        <w:t>المفاهيمية</w:t>
      </w:r>
      <w:proofErr w:type="spellEnd"/>
      <w:r w:rsidRPr="002A62C3">
        <w:rPr>
          <w:rtl/>
        </w:rPr>
        <w:t xml:space="preserve">،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 xml:space="preserve">لبيانات، </w:t>
      </w:r>
      <w:r w:rsidR="008F787E">
        <w:rPr>
          <w:rtl/>
        </w:rPr>
        <w:lastRenderedPageBreak/>
        <w:t>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rsidR="002A62C3" w:rsidRPr="002A62C3" w:rsidRDefault="002A62C3" w:rsidP="008F787E">
      <w:pPr>
        <w:pStyle w:val="ONUMA"/>
        <w:rPr>
          <w:rFonts w:cstheme="minorHAnsi"/>
          <w:rtl/>
        </w:rPr>
      </w:pPr>
      <w:r w:rsidRPr="002A62C3">
        <w:rPr>
          <w:rtl/>
        </w:rPr>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rsidR="002A62C3" w:rsidRPr="002A62C3" w:rsidRDefault="002A62C3" w:rsidP="008F787E">
      <w:pPr>
        <w:pStyle w:val="ONUMA"/>
        <w:rPr>
          <w:rFonts w:cstheme="minorHAnsi"/>
          <w:rtl/>
        </w:rPr>
      </w:pPr>
      <w:r w:rsidRPr="002A62C3">
        <w:rPr>
          <w:rtl/>
        </w:rPr>
        <w:t>وتكتسي "</w:t>
      </w:r>
      <w:r w:rsidRPr="001F42CA">
        <w:rPr>
          <w:i/>
          <w:iCs/>
          <w:rtl/>
        </w:rPr>
        <w:t xml:space="preserve">مبادئ </w:t>
      </w:r>
      <w:proofErr w:type="spellStart"/>
      <w:r w:rsidRPr="001F42CA">
        <w:rPr>
          <w:i/>
          <w:iCs/>
          <w:rtl/>
        </w:rPr>
        <w:t>روتسوليهيرساجيك</w:t>
      </w:r>
      <w:proofErr w:type="spellEnd"/>
      <w:r w:rsidRPr="001F42CA">
        <w:rPr>
          <w:i/>
          <w:iCs/>
          <w:rtl/>
        </w:rPr>
        <w:t xml:space="preserve">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rsidR="002A62C3" w:rsidRPr="002A62C3" w:rsidRDefault="002A62C3" w:rsidP="002A62C3">
      <w:pPr>
        <w:pStyle w:val="ONUMA"/>
        <w:rPr>
          <w:rFonts w:cstheme="minorHAnsi"/>
          <w:rtl/>
        </w:rPr>
      </w:pPr>
      <w:r w:rsidRPr="002A62C3">
        <w:rPr>
          <w:rtl/>
        </w:rPr>
        <w:t xml:space="preserve">وتنص مبادئ </w:t>
      </w:r>
      <w:proofErr w:type="spellStart"/>
      <w:r w:rsidRPr="002A62C3">
        <w:rPr>
          <w:rtl/>
        </w:rPr>
        <w:t>روتسوليهيرساجيك</w:t>
      </w:r>
      <w:proofErr w:type="spellEnd"/>
      <w:r w:rsidRPr="002A62C3">
        <w:rPr>
          <w:rtl/>
        </w:rPr>
        <w:t xml:space="preserve">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الملك العام </w:t>
      </w:r>
    </w:p>
    <w:p w:rsidR="002A62C3" w:rsidRPr="002A62C3" w:rsidRDefault="002A62C3" w:rsidP="008909D8">
      <w:pPr>
        <w:pStyle w:val="ONUMA"/>
        <w:rPr>
          <w:rFonts w:cstheme="minorHAnsi"/>
          <w:rtl/>
        </w:rPr>
      </w:pPr>
      <w:r w:rsidRPr="002A62C3">
        <w:rPr>
          <w:rtl/>
        </w:rPr>
        <w:t xml:space="preserve">يشيع استخدام مفهوم "الملك العام" في مجال حق المؤلف، ويشير، على سبيل المثال، إلى "انتهاء الحقوق </w:t>
      </w:r>
      <w:proofErr w:type="spellStart"/>
      <w:r w:rsidRPr="002A62C3">
        <w:rPr>
          <w:rtl/>
        </w:rPr>
        <w:t>الاستئثارية</w:t>
      </w:r>
      <w:proofErr w:type="spellEnd"/>
      <w:r w:rsidRPr="002A62C3">
        <w:rPr>
          <w:rtl/>
        </w:rPr>
        <w:t>"،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 xml:space="preserve">ويعني ذلك أنه بعد انتهاء الحقوق المالية </w:t>
      </w:r>
      <w:proofErr w:type="spellStart"/>
      <w:r w:rsidRPr="002A62C3">
        <w:rPr>
          <w:rtl/>
        </w:rPr>
        <w:t>الاستئثارية</w:t>
      </w:r>
      <w:proofErr w:type="spellEnd"/>
      <w:r w:rsidRPr="002A62C3">
        <w:rPr>
          <w:rtl/>
        </w:rPr>
        <w:t>،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rsidR="002A62C3" w:rsidRPr="002A62C3" w:rsidRDefault="002A62C3" w:rsidP="008909D8">
      <w:pPr>
        <w:pStyle w:val="ONUMA"/>
        <w:rPr>
          <w:rFonts w:cstheme="minorHAnsi"/>
          <w:rtl/>
        </w:rPr>
      </w:pPr>
      <w:r w:rsidRPr="002A62C3">
        <w:rPr>
          <w:rtl/>
        </w:rPr>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w:t>
      </w:r>
      <w:proofErr w:type="spellStart"/>
      <w:r w:rsidRPr="002A62C3">
        <w:rPr>
          <w:rtl/>
        </w:rPr>
        <w:t>الإجحافات</w:t>
      </w:r>
      <w:proofErr w:type="spellEnd"/>
      <w:r w:rsidRPr="002A62C3">
        <w:rPr>
          <w:rtl/>
        </w:rPr>
        <w:t xml:space="preserve"> السابقة عن طريق إعادة توطين المعارف التقليدية وأشكال التعبير الثقافي التقليدي المُختلَسة. </w:t>
      </w:r>
    </w:p>
    <w:p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w:t>
      </w:r>
      <w:r w:rsidRPr="002A62C3">
        <w:rPr>
          <w:rtl/>
        </w:rPr>
        <w:lastRenderedPageBreak/>
        <w:t>التعبير الثقافي التقليدي المقدسة والسرية لا يعنيها ما إذا كانت منتشرةً على نطاق واسع أو ضيق. وكونها غير منتشرة ينبغي ألا يكون 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w:t>
      </w:r>
      <w:r w:rsidRPr="002A62C3">
        <w:rPr>
          <w:rtl/>
        </w:rPr>
        <w:lastRenderedPageBreak/>
        <w:t>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rsidR="002A62C3" w:rsidRPr="002A62C3" w:rsidRDefault="002A62C3" w:rsidP="008909D8">
      <w:pPr>
        <w:pStyle w:val="ONUMA"/>
        <w:rPr>
          <w:rFonts w:cstheme="minorHAnsi"/>
          <w:rtl/>
        </w:rPr>
      </w:pPr>
      <w:r w:rsidRPr="002A62C3">
        <w:rPr>
          <w:rtl/>
        </w:rPr>
        <w:t xml:space="preserve">ووفقاً للاستعراض التقني الذي أجراه الأستاذ جيمس </w:t>
      </w:r>
      <w:proofErr w:type="spellStart"/>
      <w:r w:rsidRPr="002A62C3">
        <w:rPr>
          <w:rtl/>
        </w:rPr>
        <w:t>أنايا</w:t>
      </w:r>
      <w:proofErr w:type="spellEnd"/>
      <w:r w:rsidRPr="002A62C3">
        <w:rPr>
          <w:rtl/>
        </w:rPr>
        <w:t>،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 xml:space="preserve">بروتوكول </w:t>
      </w:r>
      <w:proofErr w:type="spellStart"/>
      <w:r w:rsidRPr="008909D8">
        <w:rPr>
          <w:i/>
          <w:iCs/>
          <w:rtl/>
        </w:rPr>
        <w:t>ناغويا</w:t>
      </w:r>
      <w:proofErr w:type="spellEnd"/>
      <w:r w:rsidRPr="008909D8">
        <w:rPr>
          <w:i/>
          <w:iCs/>
          <w:rtl/>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8909D8">
        <w:rPr>
          <w:i/>
          <w:iCs/>
          <w:rtl/>
        </w:rPr>
        <w:t>ناغويا</w:t>
      </w:r>
      <w:proofErr w:type="spellEnd"/>
      <w:r w:rsidRPr="008909D8">
        <w:rPr>
          <w:i/>
          <w:iCs/>
          <w:rtl/>
        </w:rPr>
        <w:t>)</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 xml:space="preserve">التقارير الوطنية المؤقتة بشأن تنفيذ بروتوكول </w:t>
      </w:r>
      <w:proofErr w:type="spellStart"/>
      <w:r w:rsidRPr="008909D8">
        <w:rPr>
          <w:i/>
          <w:iCs/>
          <w:rtl/>
        </w:rPr>
        <w:t>ناغويا</w:t>
      </w:r>
      <w:proofErr w:type="spellEnd"/>
      <w:r w:rsidRPr="008909D8">
        <w:rPr>
          <w:i/>
          <w:iCs/>
          <w:rtl/>
        </w:rPr>
        <w:t xml:space="preserve">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 xml:space="preserve">وسيقتضي هذا الشرط الكشف عن المعلومات ذات الصلة في الطلبات إذا كان الموضوع المطلوب حمايته يستخدم موارد وراثية أو </w:t>
      </w:r>
      <w:r w:rsidRPr="002A62C3">
        <w:rPr>
          <w:rtl/>
        </w:rPr>
        <w:lastRenderedPageBreak/>
        <w:t>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w:t>
      </w:r>
      <w:proofErr w:type="spellStart"/>
      <w:r w:rsidRPr="002A62C3">
        <w:rPr>
          <w:rtl/>
        </w:rPr>
        <w:t>بل</w:t>
      </w:r>
      <w:r w:rsidR="008909D8">
        <w:rPr>
          <w:rtl/>
        </w:rPr>
        <w:t>وكتشاين</w:t>
      </w:r>
      <w:proofErr w:type="spellEnd"/>
      <w:r w:rsidR="008909D8">
        <w:rPr>
          <w:rtl/>
        </w:rPr>
        <w:t>)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الجزء الثالث: اعتبارات ختامية </w:t>
      </w:r>
    </w:p>
    <w:p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rsidR="002A62C3" w:rsidRPr="002A62C3" w:rsidRDefault="002A62C3" w:rsidP="002A62C3">
      <w:pPr>
        <w:pStyle w:val="ONUMA"/>
        <w:rPr>
          <w:rtl/>
        </w:rPr>
      </w:pPr>
      <w:r w:rsidRPr="002A62C3">
        <w:rPr>
          <w:rtl/>
        </w:rPr>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171FF1">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7C4" w:rsidRDefault="006F27C4">
      <w:r>
        <w:separator/>
      </w:r>
    </w:p>
  </w:endnote>
  <w:endnote w:type="continuationSeparator" w:id="0">
    <w:p w:rsidR="006F27C4" w:rsidRDefault="006F27C4" w:rsidP="003B38C1">
      <w:r>
        <w:separator/>
      </w:r>
    </w:p>
    <w:p w:rsidR="006F27C4" w:rsidRPr="003B38C1" w:rsidRDefault="006F27C4" w:rsidP="003B38C1">
      <w:pPr>
        <w:spacing w:after="60"/>
        <w:rPr>
          <w:sz w:val="17"/>
        </w:rPr>
      </w:pPr>
      <w:r>
        <w:rPr>
          <w:sz w:val="17"/>
        </w:rPr>
        <w:t>[Endnote continued from previous page]</w:t>
      </w:r>
    </w:p>
  </w:endnote>
  <w:endnote w:type="continuationNotice" w:id="1">
    <w:p w:rsidR="006F27C4" w:rsidRPr="003B38C1" w:rsidRDefault="006F27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00000000"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7C4" w:rsidRDefault="006F27C4">
      <w:r>
        <w:separator/>
      </w:r>
    </w:p>
  </w:footnote>
  <w:footnote w:type="continuationSeparator" w:id="0">
    <w:p w:rsidR="006F27C4" w:rsidRDefault="006F27C4" w:rsidP="008B60B2">
      <w:r>
        <w:separator/>
      </w:r>
    </w:p>
    <w:p w:rsidR="006F27C4" w:rsidRPr="00ED77FB" w:rsidRDefault="006F27C4" w:rsidP="008B60B2">
      <w:pPr>
        <w:spacing w:after="60"/>
        <w:rPr>
          <w:sz w:val="17"/>
          <w:szCs w:val="17"/>
        </w:rPr>
      </w:pPr>
      <w:r w:rsidRPr="00ED77FB">
        <w:rPr>
          <w:sz w:val="17"/>
          <w:szCs w:val="17"/>
        </w:rPr>
        <w:t>[Footnote continued from previous page]</w:t>
      </w:r>
    </w:p>
  </w:footnote>
  <w:footnote w:type="continuationNotice" w:id="1">
    <w:p w:rsidR="006F27C4" w:rsidRPr="00ED77FB" w:rsidRDefault="006F27C4" w:rsidP="008B60B2">
      <w:pPr>
        <w:spacing w:before="60"/>
        <w:jc w:val="right"/>
        <w:rPr>
          <w:sz w:val="17"/>
          <w:szCs w:val="17"/>
        </w:rPr>
      </w:pPr>
      <w:r w:rsidRPr="00ED77FB">
        <w:rPr>
          <w:sz w:val="17"/>
          <w:szCs w:val="17"/>
        </w:rPr>
        <w:t>[Footnote continued on next page]</w:t>
      </w:r>
    </w:p>
  </w:footnote>
  <w:footnote w:id="2">
    <w:p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rsidR="00A91F7C" w:rsidRPr="006E3BB4" w:rsidRDefault="00A91F7C" w:rsidP="00A91F7C">
      <w:pPr>
        <w:pStyle w:val="FootnoteText"/>
      </w:pPr>
      <w:r w:rsidRPr="006E3BB4">
        <w:rPr>
          <w:rStyle w:val="FootnoteReference"/>
          <w:rFonts w:ascii="Arial" w:hAnsi="Arial" w:cs="Calibr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Pr="006E3BB4">
        <w:rPr>
          <w:rFonts w:hint="cs"/>
          <w:rtl/>
          <w:lang w:eastAsia="ar"/>
        </w:rPr>
        <w:t xml:space="preserve">: </w:t>
      </w:r>
      <w:hyperlink r:id="rId1" w:history="1">
        <w:r w:rsidRPr="006E3BB4">
          <w:rPr>
            <w:rStyle w:val="Hyperlink"/>
            <w:color w:val="auto"/>
            <w:u w:val="none"/>
            <w:lang w:eastAsia="ar"/>
          </w:rPr>
          <w:t>https://www.un.org/development/desa/indigenouspeoples/news/2019/06/18-session-report</w:t>
        </w:r>
        <w:r w:rsidRPr="006E3BB4">
          <w:rPr>
            <w:rStyle w:val="Hyperlink"/>
            <w:color w:val="auto"/>
            <w:u w:val="none"/>
            <w:rtl/>
            <w:lang w:eastAsia="ar"/>
          </w:rPr>
          <w:t>/</w:t>
        </w:r>
      </w:hyperlink>
      <w:r w:rsidRPr="006E3BB4">
        <w:rPr>
          <w:rFonts w:hint="cs"/>
          <w:rtl/>
          <w:lang w:eastAsia="ar"/>
        </w:rPr>
        <w:t>.</w:t>
      </w:r>
    </w:p>
  </w:footnote>
  <w:footnote w:id="4">
    <w:p w:rsidR="00A91F7C" w:rsidRPr="006E3BB4" w:rsidRDefault="00A91F7C" w:rsidP="00A91F7C">
      <w:pPr>
        <w:pStyle w:val="FootnoteText"/>
        <w:rPr>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p>
    <w:p w:rsidR="00A91F7C" w:rsidRPr="006E3BB4" w:rsidRDefault="006F27C4" w:rsidP="00A91F7C">
      <w:pPr>
        <w:pStyle w:val="FootnoteText"/>
        <w:rPr>
          <w:rtl/>
          <w:lang w:val="fr-CH" w:eastAsia="ar" w:bidi="ar-SY"/>
        </w:rPr>
      </w:pPr>
      <w:hyperlink r:id="rId2" w:history="1">
        <w:r w:rsidR="00A91F7C" w:rsidRPr="006E3BB4">
          <w:rPr>
            <w:rStyle w:val="Hyperlink"/>
            <w:color w:val="auto"/>
            <w:u w:val="none"/>
            <w:lang w:val="fr-CH" w:eastAsia="ar" w:bidi="ar-SY"/>
          </w:rPr>
          <w:t>https://www.wipo.int/edocs/mdocs/tk/ar/wipo_grtkf_ic_29/wipo_grtkf_ic_29_inf_10.pdf</w:t>
        </w:r>
      </w:hyperlink>
      <w:r w:rsidR="00A91F7C" w:rsidRPr="006E3BB4">
        <w:rPr>
          <w:rFonts w:hint="cs"/>
          <w:rtl/>
          <w:lang w:val="fr-CH" w:eastAsia="ar" w:bidi="ar-SY"/>
        </w:rPr>
        <w:t>.</w:t>
      </w:r>
    </w:p>
  </w:footnote>
  <w:footnote w:id="5">
    <w:p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5"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5"/>
      <w:r w:rsidRPr="006E3BB4">
        <w:rPr>
          <w:rtl/>
          <w:lang w:eastAsia="ar"/>
        </w:rPr>
        <w:t>.</w:t>
      </w:r>
    </w:p>
  </w:footnote>
  <w:footnote w:id="7">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الأول: حماية المعارف التقليدية: مشروع مواد، نسخة الميسِّرين المعدَّلة (19 يونيو 2019)، المتاح على </w:t>
      </w:r>
      <w:hyperlink r:id="rId3" w:history="1">
        <w:r w:rsidRPr="006E3BB4">
          <w:rPr>
            <w:rStyle w:val="Hyperlink"/>
            <w:color w:val="auto"/>
            <w:u w:val="none"/>
            <w:lang w:eastAsia="ar" w:bidi="en-US"/>
          </w:rPr>
          <w:t>https://www.wipo.int/meetings/en/doc_details.jsp?doc_id</w:t>
        </w:r>
        <w:r w:rsidRPr="006E3BB4">
          <w:rPr>
            <w:rStyle w:val="Hyperlink"/>
            <w:color w:val="auto"/>
            <w:u w:val="none"/>
            <w:lang w:eastAsia="ar"/>
          </w:rPr>
          <w:t>=443934</w:t>
        </w:r>
      </w:hyperlink>
      <w:r w:rsidRPr="006E3BB4">
        <w:rPr>
          <w:rtl/>
          <w:lang w:eastAsia="ar"/>
        </w:rPr>
        <w:t xml:space="preserve">. </w:t>
      </w:r>
    </w:p>
  </w:footnote>
  <w:footnote w:id="8">
    <w:p w:rsidR="00A91F7C" w:rsidRPr="006E3BB4" w:rsidRDefault="00A91F7C" w:rsidP="00A91F7C">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الثاني: حماية أشكال التعبير الثقافي التقليدي: مشروع مواد، نسخة الميسِّرين المعدَّلة (19 يونيو 2019)، المتاح على </w:t>
      </w:r>
      <w:hyperlink r:id="rId4" w:history="1">
        <w:r w:rsidRPr="006E3BB4">
          <w:rPr>
            <w:rStyle w:val="Hyperlink"/>
            <w:color w:val="auto"/>
            <w:u w:val="none"/>
            <w:lang w:eastAsia="ar" w:bidi="en-US"/>
          </w:rPr>
          <w:t>https://www.wipo.int/meetings/en/doc_details.jsp?doc_id</w:t>
        </w:r>
        <w:r w:rsidRPr="006E3BB4">
          <w:rPr>
            <w:rStyle w:val="Hyperlink"/>
            <w:color w:val="auto"/>
            <w:u w:val="none"/>
            <w:lang w:eastAsia="ar"/>
          </w:rPr>
          <w:t>=443934</w:t>
        </w:r>
      </w:hyperlink>
      <w:r w:rsidRPr="006E3BB4">
        <w:rPr>
          <w:rtl/>
          <w:lang w:eastAsia="ar"/>
        </w:rPr>
        <w:t xml:space="preserve">. </w:t>
      </w:r>
    </w:p>
  </w:footnote>
  <w:footnote w:id="9">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Pr="006E3BB4">
          <w:rPr>
            <w:rStyle w:val="Hyperlink"/>
            <w:color w:val="auto"/>
            <w:u w:val="none"/>
            <w:lang w:eastAsia="ar" w:bidi="en-US"/>
          </w:rPr>
          <w:t>https://www.wipo.int/meetings/en/doc_details.jsp?doc_id</w:t>
        </w:r>
        <w:r w:rsidRPr="006E3BB4">
          <w:rPr>
            <w:rStyle w:val="Hyperlink"/>
            <w:color w:val="auto"/>
            <w:u w:val="none"/>
            <w:lang w:eastAsia="ar"/>
          </w:rPr>
          <w:t>=443934</w:t>
        </w:r>
      </w:hyperlink>
      <w:r w:rsidRPr="006E3BB4">
        <w:rPr>
          <w:rStyle w:val="Hyperlink"/>
          <w:rFonts w:eastAsia="Times New Roman"/>
          <w:color w:val="auto"/>
          <w:u w:val="none"/>
          <w:rtl/>
          <w:lang w:eastAsia="ar"/>
        </w:rPr>
        <w:t xml:space="preserve">، </w:t>
      </w:r>
      <w:r w:rsidRPr="006E3BB4">
        <w:rPr>
          <w:rtl/>
          <w:lang w:eastAsia="ar"/>
        </w:rPr>
        <w:t xml:space="preserve">والمرفق الرابع: مشروع صك قانوني دولي بشأن الملكية الفكرية والموارد الوراثية والمعارف التقليدية المرتبطة بالموارد الوراثية، من إعداد السيد إيان </w:t>
      </w:r>
      <w:proofErr w:type="spellStart"/>
      <w:r w:rsidRPr="006E3BB4">
        <w:rPr>
          <w:rtl/>
          <w:lang w:eastAsia="ar"/>
        </w:rPr>
        <w:t>غوس</w:t>
      </w:r>
      <w:proofErr w:type="spellEnd"/>
      <w:r w:rsidRPr="006E3BB4">
        <w:rPr>
          <w:rtl/>
          <w:lang w:eastAsia="ar"/>
        </w:rPr>
        <w:t>، وهو متاح على</w:t>
      </w:r>
      <w:r w:rsidRPr="006E3BB4">
        <w:rPr>
          <w:rStyle w:val="Hyperlink"/>
          <w:rFonts w:eastAsia="Times New Roman"/>
          <w:color w:val="auto"/>
          <w:u w:val="none"/>
          <w:rtl/>
          <w:lang w:eastAsia="ar"/>
        </w:rPr>
        <w:t xml:space="preserve"> </w:t>
      </w:r>
      <w:hyperlink r:id="rId6" w:history="1">
        <w:r w:rsidRPr="006E3BB4">
          <w:rPr>
            <w:rStyle w:val="Hyperlink"/>
            <w:color w:val="auto"/>
            <w:u w:val="none"/>
            <w:lang w:eastAsia="ar" w:bidi="en-US"/>
          </w:rPr>
          <w:t>https://www.wipo.int/meetings/en/doc_details.jsp?doc_id</w:t>
        </w:r>
        <w:r w:rsidRPr="006E3BB4">
          <w:rPr>
            <w:rStyle w:val="Hyperlink"/>
            <w:color w:val="auto"/>
            <w:u w:val="none"/>
            <w:lang w:eastAsia="ar"/>
          </w:rPr>
          <w:t>=443934</w:t>
        </w:r>
      </w:hyperlink>
      <w:r w:rsidRPr="006E3BB4">
        <w:rPr>
          <w:rStyle w:val="Hyperlink"/>
          <w:rFonts w:eastAsia="Times New Roman"/>
          <w:color w:val="auto"/>
          <w:u w:val="none"/>
          <w:rtl/>
          <w:lang w:eastAsia="ar"/>
        </w:rPr>
        <w:t>.</w:t>
      </w:r>
    </w:p>
  </w:footnote>
  <w:footnote w:id="10">
    <w:p w:rsidR="00A91F7C" w:rsidRPr="006E3BB4" w:rsidRDefault="00A91F7C" w:rsidP="00A91F7C">
      <w:pPr>
        <w:rPr>
          <w:sz w:val="18"/>
          <w:szCs w:val="18"/>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hyperlink r:id="rId7" w:history="1">
        <w:r w:rsidRPr="006E3BB4">
          <w:rPr>
            <w:rStyle w:val="Hyperlink"/>
            <w:rFonts w:eastAsia="Times New Roman"/>
            <w:color w:val="auto"/>
            <w:sz w:val="18"/>
            <w:szCs w:val="18"/>
            <w:u w:val="none"/>
            <w:lang w:eastAsia="ar" w:bidi="en-US"/>
          </w:rPr>
          <w:t>https://www.wto.org/english/docs_e/legal_e/27-trips.pdf</w:t>
        </w:r>
      </w:hyperlink>
      <w:r w:rsidRPr="006E3BB4">
        <w:rPr>
          <w:rStyle w:val="Hyperlink"/>
          <w:rFonts w:eastAsia="Times New Roman"/>
          <w:color w:val="auto"/>
          <w:sz w:val="18"/>
          <w:szCs w:val="18"/>
          <w:u w:val="none"/>
          <w:rtl/>
          <w:lang w:eastAsia="ar"/>
        </w:rPr>
        <w:t>.</w:t>
      </w:r>
    </w:p>
  </w:footnote>
  <w:footnote w:id="11">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hyperlink r:id="rId8" w:history="1">
        <w:r w:rsidRPr="006E3BB4">
          <w:rPr>
            <w:rStyle w:val="Hyperlink"/>
            <w:color w:val="auto"/>
            <w:u w:val="none"/>
            <w:lang w:eastAsia="ar" w:bidi="en-US"/>
          </w:rPr>
          <w:t>https://undocs.org/ar/A/RES</w:t>
        </w:r>
        <w:r w:rsidRPr="006E3BB4">
          <w:rPr>
            <w:rStyle w:val="Hyperlink"/>
            <w:color w:val="auto"/>
            <w:u w:val="none"/>
            <w:lang w:eastAsia="ar"/>
          </w:rPr>
          <w:t>/61/295</w:t>
        </w:r>
      </w:hyperlink>
      <w:r w:rsidRPr="006E3BB4">
        <w:rPr>
          <w:rtl/>
          <w:lang w:eastAsia="ar"/>
        </w:rPr>
        <w:t>.</w:t>
      </w:r>
    </w:p>
  </w:footnote>
  <w:footnote w:id="12">
    <w:p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w:t>
      </w:r>
      <w:proofErr w:type="spellStart"/>
      <w:r w:rsidRPr="006E3BB4">
        <w:rPr>
          <w:rtl/>
          <w:lang w:eastAsia="ar"/>
        </w:rPr>
        <w:t>بلاكس</w:t>
      </w:r>
      <w:proofErr w:type="spellEnd"/>
      <w:r w:rsidRPr="006E3BB4">
        <w:rPr>
          <w:rtl/>
          <w:lang w:eastAsia="ar"/>
        </w:rPr>
        <w:t xml:space="preserve"> لو"، تعني فريداً من نوعه أو خاصاً أو منقطع النظير.</w:t>
      </w:r>
      <w:r w:rsidRPr="006E3BB4">
        <w:rPr>
          <w:rFonts w:asciiTheme="minorHAnsi" w:hAnsiTheme="minorHAnsi" w:cstheme="minorHAnsi"/>
          <w:rtl/>
          <w:lang w:eastAsia="ar"/>
        </w:rPr>
        <w:t xml:space="preserve"> </w:t>
      </w:r>
    </w:p>
  </w:footnote>
  <w:footnote w:id="14">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w:t>
      </w:r>
      <w:proofErr w:type="gramStart"/>
      <w:r w:rsidRPr="006E3BB4">
        <w:rPr>
          <w:rFonts w:eastAsia="Times New Roman"/>
          <w:sz w:val="18"/>
          <w:szCs w:val="18"/>
          <w:lang w:val="en-AU" w:eastAsia="en-GB"/>
        </w:rPr>
        <w:t>2015),</w:t>
      </w:r>
      <w:proofErr w:type="gramEnd"/>
      <w:r w:rsidRPr="006E3BB4">
        <w:rPr>
          <w:rFonts w:eastAsia="Times New Roman"/>
          <w:sz w:val="18"/>
          <w:szCs w:val="18"/>
          <w:lang w:val="en-AU" w:eastAsia="en-GB"/>
        </w:rPr>
        <w:t xml:space="preserve"> 748. &lt;</w:t>
      </w:r>
      <w:hyperlink r:id="rId9" w:history="1">
        <w:r w:rsidRPr="006E3BB4">
          <w:rPr>
            <w:rStyle w:val="Hyperlink"/>
            <w:rFonts w:eastAsia="Times New Roman"/>
            <w:color w:val="auto"/>
            <w:sz w:val="18"/>
            <w:szCs w:val="18"/>
            <w:u w:val="none"/>
            <w:lang w:val="en-AU" w:eastAsia="en-GB"/>
          </w:rPr>
          <w:t>https://papers.ssrn.com/abstract=2765827</w:t>
        </w:r>
      </w:hyperlink>
      <w:r w:rsidRPr="006E3BB4">
        <w:rPr>
          <w:rFonts w:eastAsia="Times New Roman"/>
          <w:sz w:val="18"/>
          <w:szCs w:val="18"/>
          <w:lang w:val="en-AU" w:eastAsia="en-GB"/>
        </w:rPr>
        <w:t>&gt;</w:t>
      </w:r>
      <w:r w:rsidRPr="006E3BB4">
        <w:rPr>
          <w:sz w:val="18"/>
          <w:szCs w:val="18"/>
        </w:rPr>
        <w:t xml:space="preserve">;  Graham </w:t>
      </w:r>
      <w:proofErr w:type="spellStart"/>
      <w:r w:rsidRPr="006E3BB4">
        <w:rPr>
          <w:sz w:val="18"/>
          <w:szCs w:val="18"/>
        </w:rPr>
        <w:t>Dutfield</w:t>
      </w:r>
      <w:proofErr w:type="spellEnd"/>
      <w:r w:rsidRPr="006E3BB4">
        <w:rPr>
          <w:sz w:val="18"/>
          <w:szCs w:val="18"/>
        </w:rPr>
        <w:t xml:space="preserve">, ‘Legal and Economic Aspects of Traditional Knowledge’ in Keith E </w:t>
      </w:r>
      <w:proofErr w:type="spellStart"/>
      <w:r w:rsidRPr="006E3BB4">
        <w:rPr>
          <w:sz w:val="18"/>
          <w:szCs w:val="18"/>
        </w:rPr>
        <w:t>Maskus</w:t>
      </w:r>
      <w:proofErr w:type="spellEnd"/>
      <w:r w:rsidRPr="006E3BB4">
        <w:rPr>
          <w:sz w:val="18"/>
          <w:szCs w:val="18"/>
        </w:rPr>
        <w:t xml:space="preserve"> and Jerome H </w:t>
      </w:r>
      <w:proofErr w:type="spellStart"/>
      <w:r w:rsidRPr="006E3BB4">
        <w:rPr>
          <w:sz w:val="18"/>
          <w:szCs w:val="18"/>
        </w:rPr>
        <w:t>Reichman</w:t>
      </w:r>
      <w:proofErr w:type="spellEnd"/>
      <w:r w:rsidRPr="006E3BB4">
        <w:rPr>
          <w:sz w:val="18"/>
          <w:szCs w:val="18"/>
        </w:rPr>
        <w:t xml:space="preserve"> (</w:t>
      </w:r>
      <w:proofErr w:type="spellStart"/>
      <w:r w:rsidRPr="006E3BB4">
        <w:rPr>
          <w:sz w:val="18"/>
          <w:szCs w:val="18"/>
        </w:rPr>
        <w:t>eds</w:t>
      </w:r>
      <w:proofErr w:type="spellEnd"/>
      <w:r w:rsidRPr="006E3BB4">
        <w:rPr>
          <w:sz w:val="18"/>
          <w:szCs w:val="18"/>
        </w:rPr>
        <w:t xml:space="preserve">),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w:t>
      </w:r>
      <w:proofErr w:type="spellStart"/>
      <w:r w:rsidRPr="006E3BB4">
        <w:rPr>
          <w:sz w:val="18"/>
          <w:szCs w:val="18"/>
        </w:rPr>
        <w:t>ed</w:t>
      </w:r>
      <w:proofErr w:type="spellEnd"/>
      <w:r w:rsidRPr="006E3BB4">
        <w:rPr>
          <w:sz w:val="18"/>
          <w:szCs w:val="18"/>
        </w:rPr>
        <w:t>, 2005), 506.</w:t>
      </w:r>
      <w:r w:rsidRPr="006E3BB4">
        <w:rPr>
          <w:rFonts w:asciiTheme="minorHAnsi" w:hAnsiTheme="minorHAnsi" w:cstheme="minorHAnsi"/>
          <w:sz w:val="18"/>
          <w:szCs w:val="18"/>
          <w:rtl/>
          <w:lang w:eastAsia="ar"/>
        </w:rPr>
        <w:t xml:space="preserve"> </w:t>
      </w:r>
    </w:p>
  </w:footnote>
  <w:footnote w:id="15">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 xml:space="preserve">Indigenous Knowledge and Culture in Australia — </w:t>
      </w:r>
      <w:proofErr w:type="gramStart"/>
      <w:r w:rsidRPr="006E3BB4">
        <w:rPr>
          <w:rFonts w:eastAsia="Times New Roman"/>
          <w:i/>
          <w:iCs/>
          <w:sz w:val="18"/>
          <w:szCs w:val="18"/>
          <w:lang w:val="en-AU" w:eastAsia="en-GB"/>
        </w:rPr>
        <w:t>The</w:t>
      </w:r>
      <w:proofErr w:type="gramEnd"/>
      <w:r w:rsidRPr="006E3BB4">
        <w:rPr>
          <w:rFonts w:eastAsia="Times New Roman"/>
          <w:i/>
          <w:iCs/>
          <w:sz w:val="18"/>
          <w:szCs w:val="18"/>
          <w:lang w:val="en-AU" w:eastAsia="en-GB"/>
        </w:rPr>
        <w:t xml:space="preserv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10" w:history="1">
        <w:r w:rsidRPr="006E3BB4">
          <w:rPr>
            <w:rStyle w:val="Hyperlink"/>
            <w:rFonts w:eastAsia="Times New Roman"/>
            <w:color w:val="auto"/>
            <w:sz w:val="18"/>
            <w:szCs w:val="18"/>
            <w:u w:val="none"/>
            <w:lang w:val="en-AU" w:eastAsia="en-GB"/>
          </w:rPr>
          <w:t>https://papers.ssrn.com/abstract=2765827</w:t>
        </w:r>
      </w:hyperlink>
      <w:r w:rsidRPr="006E3BB4">
        <w:rPr>
          <w:rFonts w:eastAsia="Times New Roman"/>
          <w:sz w:val="18"/>
          <w:szCs w:val="18"/>
          <w:lang w:val="en-AU" w:eastAsia="en-GB"/>
        </w:rPr>
        <w:t>&gt;.</w:t>
      </w:r>
    </w:p>
  </w:footnote>
  <w:footnote w:id="17">
    <w:p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w:t>
      </w:r>
      <w:proofErr w:type="spellStart"/>
      <w:r w:rsidRPr="006E3BB4">
        <w:rPr>
          <w:rFonts w:asciiTheme="minorHAnsi" w:hAnsiTheme="minorHAnsi" w:cstheme="minorHAnsi"/>
          <w:rtl/>
          <w:lang w:eastAsia="ar"/>
        </w:rPr>
        <w:t>تبتيبا</w:t>
      </w:r>
      <w:proofErr w:type="spellEnd"/>
      <w:r w:rsidRPr="006E3BB4">
        <w:rPr>
          <w:rFonts w:asciiTheme="minorHAnsi" w:hAnsiTheme="minorHAnsi" w:cstheme="minorHAnsi"/>
          <w:rtl/>
          <w:lang w:eastAsia="ar"/>
        </w:rPr>
        <w:t xml:space="preserve">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7"/>
    </w:p>
  </w:footnote>
  <w:footnote w:id="21">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 xml:space="preserve">: </w:t>
      </w:r>
      <w:hyperlink r:id="rId11" w:history="1">
        <w:r w:rsidRPr="006E3BB4">
          <w:rPr>
            <w:rStyle w:val="Hyperlink"/>
            <w:rFonts w:asciiTheme="minorHAnsi" w:eastAsia="Times New Roman" w:hAnsiTheme="minorHAnsi" w:cstheme="minorHAnsi"/>
            <w:color w:val="auto"/>
            <w:u w:val="none"/>
            <w:lang w:eastAsia="ar" w:bidi="en-US"/>
          </w:rPr>
          <w:t>https://www.cbd.int/doc/guidelines/cbd-RutzolijirisaxikGuidelines-en.pdf</w:t>
        </w:r>
      </w:hyperlink>
      <w:r w:rsidRPr="006E3BB4">
        <w:rPr>
          <w:rFonts w:asciiTheme="minorHAnsi" w:eastAsia="Times New Roman" w:hAnsiTheme="minorHAnsi" w:cstheme="minorHAnsi"/>
          <w:rtl/>
          <w:lang w:eastAsia="ar"/>
        </w:rPr>
        <w:t>.</w:t>
      </w:r>
    </w:p>
  </w:footnote>
  <w:footnote w:id="22">
    <w:p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مبادئ </w:t>
      </w:r>
      <w:proofErr w:type="spellStart"/>
      <w:r w:rsidRPr="006E3BB4">
        <w:rPr>
          <w:rFonts w:asciiTheme="minorHAnsi" w:hAnsiTheme="minorHAnsi" w:cstheme="minorHAnsi"/>
          <w:rtl/>
          <w:lang w:eastAsia="ar"/>
        </w:rPr>
        <w:t>روتسوليهيرساجيك</w:t>
      </w:r>
      <w:proofErr w:type="spellEnd"/>
      <w:r w:rsidRPr="006E3BB4">
        <w:rPr>
          <w:rFonts w:asciiTheme="minorHAnsi" w:hAnsiTheme="minorHAnsi" w:cstheme="minorHAnsi"/>
          <w:rtl/>
          <w:lang w:eastAsia="ar"/>
        </w:rPr>
        <w:t xml:space="preserve"> التوجيهية، الفقرة 11(ك).</w:t>
      </w:r>
    </w:p>
  </w:footnote>
  <w:footnote w:id="2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 xml:space="preserve">Ruth L. </w:t>
      </w:r>
      <w:proofErr w:type="spellStart"/>
      <w:r w:rsidRPr="006E3BB4">
        <w:rPr>
          <w:rFonts w:asciiTheme="minorHAnsi" w:hAnsiTheme="minorHAnsi" w:cstheme="minorHAnsi"/>
          <w:sz w:val="18"/>
          <w:szCs w:val="18"/>
          <w:lang w:eastAsia="ar" w:bidi="en-US"/>
        </w:rPr>
        <w:t>Okediji</w:t>
      </w:r>
      <w:proofErr w:type="spellEnd"/>
      <w:r w:rsidRPr="006E3BB4">
        <w:rPr>
          <w:rFonts w:asciiTheme="minorHAnsi" w:hAnsiTheme="minorHAnsi" w:cstheme="minorHAnsi"/>
          <w:sz w:val="18"/>
          <w:szCs w:val="18"/>
          <w:lang w:eastAsia="ar" w:bidi="en-US"/>
        </w:rPr>
        <w:t>,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xml:space="preserve">) بتاريخ يونيو 2018، ص 8، وهو متاح على </w:t>
      </w:r>
      <w:hyperlink r:id="rId12" w:history="1">
        <w:r w:rsidRPr="006E3BB4">
          <w:rPr>
            <w:rStyle w:val="Hyperlink"/>
            <w:rFonts w:asciiTheme="minorHAnsi" w:eastAsia="Times New Roman" w:hAnsiTheme="minorHAnsi" w:cstheme="minorHAnsi"/>
            <w:color w:val="auto"/>
            <w:sz w:val="18"/>
            <w:szCs w:val="18"/>
            <w:u w:val="none"/>
            <w:lang w:eastAsia="ar" w:bidi="en-US"/>
          </w:rPr>
          <w:t>https://www.cigionline.org/sites/default/files/documents/Paper%20no.176web.pdf</w:t>
        </w:r>
      </w:hyperlink>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53"/>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الفقرات من 4 إلى 6 من "الاستعراض التقني" المتاح على </w:t>
      </w:r>
      <w:hyperlink r:id="rId13" w:history="1">
        <w:r w:rsidRPr="006E3BB4">
          <w:rPr>
            <w:rStyle w:val="Hyperlink"/>
            <w:rFonts w:asciiTheme="minorHAnsi" w:hAnsiTheme="minorHAnsi" w:cstheme="minorHAnsi"/>
            <w:color w:val="auto"/>
            <w:u w:val="none"/>
            <w:lang w:eastAsia="ar" w:bidi="en-US"/>
          </w:rPr>
          <w:t>https://www.wipo.int/edocs/mdocs/tk/en/wipo_grtkf_ic_29/wipo_grtkf_ic_29_inf_10.pdf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8"/>
    </w:p>
  </w:footnote>
  <w:footnote w:id="26">
    <w:p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proofErr w:type="spellStart"/>
      <w:r w:rsidRPr="006E3BB4">
        <w:rPr>
          <w:rFonts w:asciiTheme="minorHAnsi" w:hAnsiTheme="minorHAnsi" w:cstheme="minorHAnsi"/>
          <w:rtl/>
          <w:lang w:eastAsia="ar"/>
        </w:rPr>
        <w:t>باغلي</w:t>
      </w:r>
      <w:proofErr w:type="spellEnd"/>
      <w:r w:rsidRPr="006E3BB4">
        <w:rPr>
          <w:rFonts w:asciiTheme="minorHAnsi" w:hAnsiTheme="minorHAnsi" w:cstheme="minorHAnsi"/>
          <w:rtl/>
          <w:lang w:eastAsia="ar"/>
        </w:rPr>
        <w:t xml:space="preserve">، المرجع السابق نفسه. </w:t>
      </w:r>
    </w:p>
  </w:footnote>
  <w:footnote w:id="27">
    <w:p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 </w:t>
      </w:r>
      <w:hyperlink r:id="rId14" w:history="1">
        <w:r w:rsidRPr="006E3BB4">
          <w:rPr>
            <w:rStyle w:val="Hyperlink"/>
            <w:rFonts w:asciiTheme="minorHAnsi" w:hAnsiTheme="minorHAnsi" w:cstheme="minorHAnsi"/>
            <w:color w:val="auto"/>
            <w:u w:val="none"/>
            <w:lang w:eastAsia="ar" w:bidi="en-US"/>
          </w:rPr>
          <w:t>https://www.wipo.int/edocs/mdocs/copyright/en/sccr_9/sccr_9_7.pdf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9"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9"/>
    </w:p>
  </w:footnote>
  <w:footnote w:id="30">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rsidR="008909D8" w:rsidRPr="00B04D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 xml:space="preserve">راجع المادة 32.5، المتاحة على </w:t>
      </w:r>
      <w:hyperlink r:id="rId15" w:history="1">
        <w:r w:rsidRPr="006E3BB4">
          <w:rPr>
            <w:rStyle w:val="Hyperlink"/>
            <w:rFonts w:asciiTheme="minorHAnsi" w:eastAsia="Times New Roman" w:hAnsiTheme="minorHAnsi" w:cstheme="minorHAnsi"/>
            <w:color w:val="auto"/>
            <w:sz w:val="18"/>
            <w:szCs w:val="18"/>
            <w:u w:val="none"/>
            <w:lang w:eastAsia="ar" w:bidi="en-US"/>
          </w:rPr>
          <w:t>https://ustr.gov/sites/default/files/files/agreements/FTA/USMCA/Text/32_Exceptions_and_General_Provisions.pdf</w:t>
        </w:r>
      </w:hyperlink>
      <w:r w:rsidRPr="006E3BB4">
        <w:rPr>
          <w:rStyle w:val="Hyperlink"/>
          <w:rFonts w:asciiTheme="minorHAnsi" w:eastAsia="Times New Roman" w:hAnsiTheme="minorHAnsi" w:cstheme="minorHAnsi"/>
          <w:color w:val="auto"/>
          <w:sz w:val="18"/>
          <w:szCs w:val="18"/>
          <w:u w:val="none"/>
          <w:rtl/>
          <w:lang w:eastAsia="ar"/>
        </w:rPr>
        <w:t>.</w:t>
      </w:r>
    </w:p>
  </w:footnote>
  <w:footnote w:id="32">
    <w:p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proofErr w:type="spellStart"/>
      <w:r w:rsidRPr="008909D8">
        <w:rPr>
          <w:rFonts w:asciiTheme="minorHAnsi" w:hAnsiTheme="minorHAnsi" w:cstheme="minorHAnsi"/>
          <w:lang w:eastAsia="ar" w:bidi="en-US"/>
        </w:rPr>
        <w:t>Anupam</w:t>
      </w:r>
      <w:proofErr w:type="spellEnd"/>
      <w:r w:rsidRPr="008909D8">
        <w:rPr>
          <w:rFonts w:asciiTheme="minorHAnsi" w:hAnsiTheme="minorHAnsi" w:cstheme="minorHAnsi"/>
          <w:lang w:eastAsia="ar" w:bidi="en-US"/>
        </w:rPr>
        <w:t xml:space="preserve"> </w:t>
      </w:r>
      <w:proofErr w:type="spellStart"/>
      <w:r w:rsidRPr="008909D8">
        <w:rPr>
          <w:rFonts w:asciiTheme="minorHAnsi" w:hAnsiTheme="minorHAnsi" w:cstheme="minorHAnsi"/>
          <w:lang w:eastAsia="ar" w:bidi="en-US"/>
        </w:rPr>
        <w:t>Chander</w:t>
      </w:r>
      <w:proofErr w:type="spellEnd"/>
      <w:r w:rsidRPr="008909D8">
        <w:rPr>
          <w:rFonts w:asciiTheme="minorHAnsi" w:hAnsiTheme="minorHAnsi" w:cstheme="minorHAnsi"/>
          <w:lang w:eastAsia="ar" w:bidi="en-US"/>
        </w:rPr>
        <w:t xml:space="preserve"> and </w:t>
      </w:r>
      <w:proofErr w:type="spellStart"/>
      <w:r w:rsidRPr="008909D8">
        <w:rPr>
          <w:rFonts w:asciiTheme="minorHAnsi" w:hAnsiTheme="minorHAnsi" w:cstheme="minorHAnsi"/>
          <w:lang w:eastAsia="ar" w:bidi="en-US"/>
        </w:rPr>
        <w:t>Madhavi</w:t>
      </w:r>
      <w:proofErr w:type="spellEnd"/>
      <w:r w:rsidRPr="008909D8">
        <w:rPr>
          <w:rFonts w:asciiTheme="minorHAnsi" w:hAnsiTheme="minorHAnsi" w:cstheme="minorHAnsi"/>
          <w:lang w:eastAsia="ar" w:bidi="en-US"/>
        </w:rPr>
        <w:t xml:space="preserve"> Sunder, The Romance of Public Domain, California Law Review</w:t>
      </w:r>
      <w:r w:rsidRPr="008909D8">
        <w:rPr>
          <w:rFonts w:asciiTheme="minorHAnsi" w:hAnsiTheme="minorHAnsi" w:cstheme="minorHAnsi"/>
          <w:rtl/>
          <w:lang w:eastAsia="ar"/>
        </w:rPr>
        <w:t xml:space="preserve"> [المجلد 92: 2004].  </w:t>
      </w:r>
    </w:p>
  </w:footnote>
  <w:footnote w:id="34">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xml:space="preserve">، المتاحة على </w:t>
      </w:r>
      <w:hyperlink r:id="rId16" w:history="1">
        <w:r w:rsidRPr="006E3BB4">
          <w:rPr>
            <w:rStyle w:val="Hyperlink"/>
            <w:rFonts w:asciiTheme="minorHAnsi" w:hAnsiTheme="minorHAnsi" w:cstheme="minorHAnsi"/>
            <w:color w:val="auto"/>
            <w:u w:val="none"/>
            <w:lang w:eastAsia="ar" w:bidi="en-US"/>
          </w:rPr>
          <w:t>https://www.wipo.int/edocs/mdocs/tk/en/wipo_grtkf_ic_29/wipo_grtkf_ic_29_inf_10.pdf</w:t>
        </w:r>
      </w:hyperlink>
      <w:r w:rsidRPr="006E3BB4">
        <w:rPr>
          <w:rStyle w:val="Hyperlink"/>
          <w:rFonts w:asciiTheme="minorHAnsi" w:hAnsiTheme="minorHAnsi" w:cstheme="minorHAnsi"/>
          <w:color w:val="auto"/>
          <w:u w:val="none"/>
          <w:rtl/>
          <w:lang w:eastAsia="ar"/>
        </w:rPr>
        <w:t>.</w:t>
      </w:r>
    </w:p>
  </w:footnote>
  <w:footnote w:id="38">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xml:space="preserve">، المتاحة على </w:t>
      </w:r>
      <w:hyperlink r:id="rId17" w:history="1">
        <w:r w:rsidRPr="006E3BB4">
          <w:rPr>
            <w:rStyle w:val="Hyperlink"/>
            <w:rFonts w:asciiTheme="minorHAnsi" w:hAnsiTheme="minorHAnsi" w:cstheme="minorHAnsi"/>
            <w:color w:val="auto"/>
            <w:u w:val="none"/>
            <w:lang w:eastAsia="ar" w:bidi="en-US"/>
          </w:rPr>
          <w:t>https://www.wipo.int/edocs/mdocs/tk/en/wipo_grtkf_ic_29/wipo_grtkf_ic_29_inf_10.pdf</w:t>
        </w:r>
      </w:hyperlink>
      <w:r w:rsidRPr="006E3BB4">
        <w:rPr>
          <w:rFonts w:asciiTheme="minorHAnsi" w:hAnsiTheme="minorHAnsi" w:cstheme="minorHAnsi"/>
          <w:rtl/>
          <w:lang w:eastAsia="ar"/>
        </w:rPr>
        <w:t>.</w:t>
      </w:r>
    </w:p>
  </w:footnote>
  <w:footnote w:id="39">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 xml:space="preserve">بروتوكول </w:t>
      </w:r>
      <w:proofErr w:type="spellStart"/>
      <w:r w:rsidRPr="006E3BB4">
        <w:rPr>
          <w:rFonts w:asciiTheme="minorHAnsi" w:hAnsiTheme="minorHAnsi" w:cstheme="minorHAnsi"/>
          <w:i/>
          <w:iCs/>
          <w:rtl/>
          <w:lang w:eastAsia="ar"/>
        </w:rPr>
        <w:t>ناغويا</w:t>
      </w:r>
      <w:proofErr w:type="spellEnd"/>
      <w:r w:rsidRPr="006E3BB4">
        <w:rPr>
          <w:rFonts w:asciiTheme="minorHAnsi" w:hAnsiTheme="minorHAnsi" w:cstheme="minorHAnsi"/>
          <w:rtl/>
          <w:lang w:eastAsia="ar"/>
        </w:rPr>
        <w:t xml:space="preserve">، المادة 6(3)؛ التقرير الوطني المؤقت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Pr="006E3BB4">
          <w:rPr>
            <w:rStyle w:val="Hyperlink"/>
            <w:rFonts w:asciiTheme="minorHAnsi" w:hAnsiTheme="minorHAnsi" w:cstheme="minorHAnsi"/>
            <w:color w:val="auto"/>
            <w:u w:val="none"/>
            <w:lang w:eastAsia="ar" w:bidi="en-US"/>
          </w:rPr>
          <w:t>https://absch.cbd.int/reports/analyzer</w:t>
        </w:r>
      </w:hyperlink>
      <w:r w:rsidRPr="006E3BB4">
        <w:rPr>
          <w:rFonts w:asciiTheme="minorHAnsi" w:hAnsiTheme="minorHAnsi" w:cstheme="minorHAnsi"/>
          <w:rtl/>
          <w:lang w:eastAsia="ar"/>
        </w:rPr>
        <w:t xml:space="preserve"> في 11 مايو 2020.</w:t>
      </w:r>
    </w:p>
  </w:footnote>
  <w:footnote w:id="40">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Pr="006E3BB4">
          <w:rPr>
            <w:rStyle w:val="Hyperlink"/>
            <w:rFonts w:asciiTheme="minorHAnsi" w:hAnsiTheme="minorHAnsi" w:cstheme="minorHAnsi"/>
            <w:color w:val="auto"/>
            <w:u w:val="none"/>
            <w:lang w:eastAsia="ar" w:bidi="en-US"/>
          </w:rPr>
          <w:t>https://absch.cbd.int/reports/analyzer</w:t>
        </w:r>
      </w:hyperlink>
      <w:r w:rsidRPr="006E3BB4">
        <w:rPr>
          <w:rFonts w:asciiTheme="minorHAnsi" w:hAnsiTheme="minorHAnsi" w:cstheme="minorHAnsi"/>
          <w:rtl/>
          <w:lang w:eastAsia="ar"/>
        </w:rPr>
        <w:t xml:space="preserve"> في 11 مايو 2020.</w:t>
      </w:r>
    </w:p>
    <w:p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w:t>
      </w:r>
      <w:proofErr w:type="gramStart"/>
      <w:r w:rsidRPr="006E3BB4">
        <w:t>&lt;</w:t>
      </w:r>
      <w:hyperlink r:id="rId20" w:history="1">
        <w:r w:rsidRPr="006E3BB4">
          <w:rPr>
            <w:rStyle w:val="Hyperlink"/>
            <w:color w:val="auto"/>
            <w:u w:val="none"/>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roofErr w:type="gramEnd"/>
    </w:p>
  </w:footnote>
  <w:footnote w:id="42">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16 ديسمبر 2016؛ ونص الرئيس، المادة 9.</w:t>
      </w:r>
    </w:p>
  </w:footnote>
  <w:footnote w:id="44">
    <w:p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w:t>
      </w:r>
      <w:proofErr w:type="spellStart"/>
      <w:r w:rsidRPr="008909D8">
        <w:rPr>
          <w:rFonts w:eastAsia="Times New Roman"/>
          <w:sz w:val="18"/>
          <w:szCs w:val="18"/>
          <w:lang w:val="en-AU" w:eastAsia="en-GB"/>
        </w:rPr>
        <w:t>Dutfield</w:t>
      </w:r>
      <w:proofErr w:type="spellEnd"/>
      <w:r w:rsidRPr="008909D8">
        <w:rPr>
          <w:rFonts w:eastAsia="Times New Roman"/>
          <w:sz w:val="18"/>
          <w:szCs w:val="18"/>
          <w:lang w:val="en-AU" w:eastAsia="en-GB"/>
        </w:rPr>
        <w:t xml:space="preserve">, ‘Legal and Economic Aspects of Traditional Knowledge’ in Keith E </w:t>
      </w:r>
      <w:proofErr w:type="spellStart"/>
      <w:r w:rsidRPr="008909D8">
        <w:rPr>
          <w:rFonts w:eastAsia="Times New Roman"/>
          <w:sz w:val="18"/>
          <w:szCs w:val="18"/>
          <w:lang w:val="en-AU" w:eastAsia="en-GB"/>
        </w:rPr>
        <w:t>Maskus</w:t>
      </w:r>
      <w:proofErr w:type="spellEnd"/>
      <w:r w:rsidRPr="008909D8">
        <w:rPr>
          <w:rFonts w:eastAsia="Times New Roman"/>
          <w:sz w:val="18"/>
          <w:szCs w:val="18"/>
          <w:lang w:val="en-AU" w:eastAsia="en-GB"/>
        </w:rPr>
        <w:t xml:space="preserve"> and Jerome H </w:t>
      </w:r>
      <w:proofErr w:type="spellStart"/>
      <w:r w:rsidRPr="008909D8">
        <w:rPr>
          <w:rFonts w:eastAsia="Times New Roman"/>
          <w:sz w:val="18"/>
          <w:szCs w:val="18"/>
          <w:lang w:val="en-AU" w:eastAsia="en-GB"/>
        </w:rPr>
        <w:t>Reichman</w:t>
      </w:r>
      <w:proofErr w:type="spellEnd"/>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eds</w:t>
      </w:r>
      <w:proofErr w:type="spellEnd"/>
      <w:proofErr w:type="gramStart"/>
      <w:r w:rsidRPr="008909D8">
        <w:rPr>
          <w:rFonts w:eastAsia="Times New Roman"/>
          <w:sz w:val="18"/>
          <w:szCs w:val="18"/>
          <w:lang w:val="en-AU" w:eastAsia="en-GB"/>
        </w:rPr>
        <w:t>),</w:t>
      </w:r>
      <w:proofErr w:type="gramEnd"/>
      <w:r w:rsidRPr="008909D8">
        <w:rPr>
          <w:rFonts w:eastAsia="Times New Roman"/>
          <w:sz w:val="18"/>
          <w:szCs w:val="18"/>
          <w:lang w:val="en-AU" w:eastAsia="en-GB"/>
        </w:rPr>
        <w:t xml:space="preserve">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w:t>
      </w:r>
      <w:proofErr w:type="spellEnd"/>
      <w:r w:rsidRPr="008909D8">
        <w:rPr>
          <w:rFonts w:eastAsia="Times New Roman"/>
          <w:sz w:val="18"/>
          <w:szCs w:val="18"/>
          <w:lang w:val="en-AU" w:eastAsia="en-GB"/>
        </w:rPr>
        <w:t>, 2005), 506.</w:t>
      </w:r>
    </w:p>
  </w:footnote>
  <w:footnote w:id="48">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w:t>
      </w:r>
      <w:proofErr w:type="spellStart"/>
      <w:r w:rsidRPr="008909D8">
        <w:rPr>
          <w:rFonts w:asciiTheme="minorHAnsi" w:hAnsiTheme="minorHAnsi" w:cstheme="minorHAnsi"/>
          <w:rtl/>
          <w:lang w:eastAsia="ar"/>
        </w:rPr>
        <w:t>تبتيبا</w:t>
      </w:r>
      <w:proofErr w:type="spellEnd"/>
      <w:r w:rsidRPr="008909D8">
        <w:rPr>
          <w:rFonts w:asciiTheme="minorHAnsi" w:hAnsiTheme="minorHAnsi" w:cstheme="minorHAnsi"/>
          <w:rtl/>
          <w:lang w:eastAsia="ar"/>
        </w:rPr>
        <w:t xml:space="preserve">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w:t>
      </w:r>
      <w:proofErr w:type="spellStart"/>
      <w:r w:rsidRPr="008909D8">
        <w:rPr>
          <w:rFonts w:asciiTheme="minorHAnsi" w:hAnsiTheme="minorHAnsi" w:cstheme="minorHAnsi"/>
          <w:sz w:val="18"/>
          <w:szCs w:val="18"/>
          <w:rtl/>
          <w:lang w:eastAsia="ar"/>
        </w:rPr>
        <w:t>بيرون</w:t>
      </w:r>
      <w:proofErr w:type="spellEnd"/>
      <w:r w:rsidRPr="008909D8">
        <w:rPr>
          <w:rFonts w:asciiTheme="minorHAnsi" w:hAnsiTheme="minorHAnsi" w:cstheme="minorHAnsi"/>
          <w:sz w:val="18"/>
          <w:szCs w:val="18"/>
          <w:rtl/>
          <w:lang w:eastAsia="ar"/>
        </w:rPr>
        <w:t xml:space="preserve"> ولش، تقنية سلسلة السجلات المغلقة والنفاذ وتقاسم المنافع، 7 أغسطس 2018. </w:t>
      </w:r>
    </w:p>
  </w:footnote>
  <w:footnote w:id="54">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Pr="002A62C3" w:rsidRDefault="00BD60D0" w:rsidP="00300E4F">
    <w:pPr>
      <w:pStyle w:val="Header"/>
      <w:bidi w:val="0"/>
      <w:rPr>
        <w:rtl/>
        <w:lang w:val="fr-CH"/>
      </w:rPr>
    </w:pPr>
    <w:r w:rsidRPr="00BD60D0">
      <w:t>WIPO/GRTKF/IC/</w:t>
    </w:r>
    <w:r w:rsidR="00300E4F">
      <w:t>45</w:t>
    </w:r>
    <w:r w:rsidRPr="00BD60D0">
      <w:t>/</w:t>
    </w:r>
    <w:r w:rsidR="001F0DBC">
      <w:t>INF/8</w:t>
    </w:r>
  </w:p>
  <w:p w:rsidR="002A62C3" w:rsidRPr="00300E4F" w:rsidRDefault="002A62C3" w:rsidP="002A62C3">
    <w:pPr>
      <w:pStyle w:val="Header"/>
      <w:bidi w:val="0"/>
    </w:pPr>
    <w:r w:rsidRPr="00300E4F">
      <w:t>Annex</w:t>
    </w:r>
  </w:p>
  <w:p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F1" w:rsidRPr="002A62C3" w:rsidRDefault="00171FF1" w:rsidP="00300E4F">
    <w:pPr>
      <w:pStyle w:val="Header"/>
      <w:bidi w:val="0"/>
      <w:rPr>
        <w:rtl/>
        <w:lang w:val="fr-CH"/>
      </w:rPr>
    </w:pPr>
    <w:r w:rsidRPr="00BD60D0">
      <w:t>WIPO/GRTKF/IC/</w:t>
    </w:r>
    <w:r>
      <w:t>45</w:t>
    </w:r>
    <w:r w:rsidRPr="00BD60D0">
      <w:t>/</w:t>
    </w:r>
    <w:r>
      <w:t>INF/8</w:t>
    </w:r>
  </w:p>
  <w:p w:rsidR="00171FF1" w:rsidRPr="00300E4F" w:rsidRDefault="00171FF1" w:rsidP="002A62C3">
    <w:pPr>
      <w:pStyle w:val="Header"/>
      <w:bidi w:val="0"/>
    </w:pPr>
    <w:r w:rsidRPr="00300E4F">
      <w:t>Annex</w:t>
    </w:r>
  </w:p>
  <w:p w:rsidR="00171FF1" w:rsidRDefault="00171FF1" w:rsidP="00655D5F">
    <w:pPr>
      <w:pStyle w:val="Header"/>
      <w:bidi w:val="0"/>
    </w:pPr>
    <w:r>
      <w:fldChar w:fldCharType="begin"/>
    </w:r>
    <w:r>
      <w:instrText xml:space="preserve"> PAGE   \* MERGEFORMAT </w:instrText>
    </w:r>
    <w:r>
      <w:fldChar w:fldCharType="separate"/>
    </w:r>
    <w:r>
      <w:rPr>
        <w:noProof/>
      </w:rPr>
      <w:t>9</w:t>
    </w:r>
    <w:r>
      <w:rPr>
        <w:noProof/>
      </w:rPr>
      <w:fldChar w:fldCharType="end"/>
    </w:r>
  </w:p>
  <w:p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2C3" w:rsidRPr="002A62C3" w:rsidRDefault="002A62C3" w:rsidP="00300E4F">
    <w:pPr>
      <w:pStyle w:val="Header"/>
      <w:bidi w:val="0"/>
      <w:rPr>
        <w:lang w:val="fr-FR"/>
      </w:rPr>
    </w:pPr>
    <w:r w:rsidRPr="00BD60D0">
      <w:t>WIPO/GRTKF/IC/</w:t>
    </w:r>
    <w:r w:rsidR="00300E4F">
      <w:t>45</w:t>
    </w:r>
    <w:r w:rsidRPr="00BD60D0">
      <w:t>/</w:t>
    </w:r>
    <w:r w:rsidR="001F0DBC">
      <w:rPr>
        <w:lang w:val="fr-FR"/>
      </w:rPr>
      <w:t>INF/8</w:t>
    </w:r>
  </w:p>
  <w:p w:rsidR="002A62C3" w:rsidRDefault="002A62C3" w:rsidP="002A62C3">
    <w:pPr>
      <w:pStyle w:val="Header"/>
      <w:bidi w:val="0"/>
      <w:rPr>
        <w:lang w:val="fr-FR"/>
      </w:rPr>
    </w:pPr>
    <w:r>
      <w:rPr>
        <w:lang w:val="fr-FR"/>
      </w:rPr>
      <w:t>ANNEX</w:t>
    </w:r>
  </w:p>
  <w:p w:rsidR="002A62C3" w:rsidRPr="002A62C3" w:rsidRDefault="002A62C3" w:rsidP="002A62C3">
    <w:pPr>
      <w:pStyle w:val="Header"/>
      <w:bidi w:val="0"/>
      <w:rPr>
        <w:rtl/>
        <w:lang w:val="fr-CH" w:bidi="ar-EG"/>
      </w:rPr>
    </w:pPr>
    <w:r>
      <w:rPr>
        <w:rFonts w:hint="cs"/>
        <w:rtl/>
        <w:lang w:val="fr-CH" w:bidi="ar-EG"/>
      </w:rPr>
      <w:t>المرفق</w:t>
    </w:r>
  </w:p>
  <w:p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71FF1"/>
    <w:rsid w:val="001832A6"/>
    <w:rsid w:val="001940A0"/>
    <w:rsid w:val="0019592A"/>
    <w:rsid w:val="00196044"/>
    <w:rsid w:val="001A0750"/>
    <w:rsid w:val="001D410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400F"/>
    <w:rsid w:val="005A53BE"/>
    <w:rsid w:val="005C5411"/>
    <w:rsid w:val="005C6324"/>
    <w:rsid w:val="005C6649"/>
    <w:rsid w:val="005E469E"/>
    <w:rsid w:val="005E7B89"/>
    <w:rsid w:val="00605827"/>
    <w:rsid w:val="00615CB0"/>
    <w:rsid w:val="00646050"/>
    <w:rsid w:val="00655D5F"/>
    <w:rsid w:val="00664F4E"/>
    <w:rsid w:val="006713CA"/>
    <w:rsid w:val="0067495A"/>
    <w:rsid w:val="00676C5C"/>
    <w:rsid w:val="006A4C55"/>
    <w:rsid w:val="006A729E"/>
    <w:rsid w:val="006B5C12"/>
    <w:rsid w:val="006E2AE3"/>
    <w:rsid w:val="006E3BB4"/>
    <w:rsid w:val="006F27C4"/>
    <w:rsid w:val="00720EFD"/>
    <w:rsid w:val="0073564F"/>
    <w:rsid w:val="007407CD"/>
    <w:rsid w:val="007854AF"/>
    <w:rsid w:val="00793A7C"/>
    <w:rsid w:val="007A398A"/>
    <w:rsid w:val="007A547D"/>
    <w:rsid w:val="007C4902"/>
    <w:rsid w:val="007D1613"/>
    <w:rsid w:val="007E4C0E"/>
    <w:rsid w:val="007F2029"/>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5C3A"/>
    <w:rsid w:val="00B268A1"/>
    <w:rsid w:val="00B42CA9"/>
    <w:rsid w:val="00B51FF7"/>
    <w:rsid w:val="00B605C6"/>
    <w:rsid w:val="00B63652"/>
    <w:rsid w:val="00B75281"/>
    <w:rsid w:val="00B92B95"/>
    <w:rsid w:val="00B92F1F"/>
    <w:rsid w:val="00B93CF5"/>
    <w:rsid w:val="00B9734B"/>
    <w:rsid w:val="00BA30E2"/>
    <w:rsid w:val="00BD60D0"/>
    <w:rsid w:val="00BE0E62"/>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15015"/>
    <w:rsid w:val="00E319DF"/>
    <w:rsid w:val="00E335FE"/>
    <w:rsid w:val="00E4597D"/>
    <w:rsid w:val="00E542D3"/>
    <w:rsid w:val="00E66CC5"/>
    <w:rsid w:val="00E7374D"/>
    <w:rsid w:val="00E94A9E"/>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622EE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ar/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E42E3-A68A-4CA5-AA20-045FD23D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TotalTime>
  <Pages>1</Pages>
  <Words>4155</Words>
  <Characters>23685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7</cp:revision>
  <cp:lastPrinted>2022-10-03T09:38:00Z</cp:lastPrinted>
  <dcterms:created xsi:type="dcterms:W3CDTF">2022-10-03T09:36:00Z</dcterms:created>
  <dcterms:modified xsi:type="dcterms:W3CDTF">2022-10-03T09:38:00Z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