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C73E7A" w:rsidRDefault="00D90B96" w:rsidP="00C73E7A">
      <w:pPr>
        <w:bidi w:val="0"/>
        <w:rPr>
          <w:rFonts w:ascii="Arial Black" w:hAnsi="Arial Black"/>
          <w:caps/>
          <w:sz w:val="15"/>
          <w:szCs w:val="15"/>
          <w:lang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C73E7A">
        <w:rPr>
          <w:rFonts w:ascii="Arial Black" w:hAnsi="Arial Black"/>
          <w:caps/>
          <w:sz w:val="15"/>
          <w:szCs w:val="15"/>
        </w:rPr>
        <w:t>44</w:t>
      </w:r>
      <w:r>
        <w:rPr>
          <w:rFonts w:ascii="Arial Black" w:hAnsi="Arial Black"/>
          <w:caps/>
          <w:sz w:val="15"/>
          <w:szCs w:val="15"/>
        </w:rPr>
        <w:t>/</w:t>
      </w:r>
      <w:bookmarkStart w:id="0" w:name="Code"/>
      <w:bookmarkEnd w:id="0"/>
      <w:r w:rsidR="00FF74BC">
        <w:rPr>
          <w:rFonts w:ascii="Arial Black" w:hAnsi="Arial Black"/>
          <w:caps/>
          <w:sz w:val="15"/>
          <w:szCs w:val="15"/>
        </w:rPr>
        <w:t>INF/3</w:t>
      </w:r>
      <w:r w:rsidR="002F17F6">
        <w:rPr>
          <w:rFonts w:ascii="Arial Black" w:hAnsi="Arial Black"/>
          <w:caps/>
          <w:sz w:val="15"/>
          <w:szCs w:val="15"/>
        </w:rPr>
        <w:t xml:space="preserve"> REV.</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2F17F6">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2F17F6">
        <w:rPr>
          <w:rFonts w:asciiTheme="minorHAnsi" w:hAnsiTheme="minorHAnsi" w:cstheme="minorHAnsi" w:hint="cs"/>
          <w:b/>
          <w:bCs/>
          <w:caps/>
          <w:sz w:val="15"/>
          <w:szCs w:val="15"/>
          <w:rtl/>
        </w:rPr>
        <w:t>7</w:t>
      </w:r>
      <w:r w:rsidR="006B2894">
        <w:rPr>
          <w:rFonts w:asciiTheme="minorHAnsi" w:hAnsiTheme="minorHAnsi" w:cstheme="minorHAnsi" w:hint="cs"/>
          <w:b/>
          <w:bCs/>
          <w:caps/>
          <w:sz w:val="15"/>
          <w:szCs w:val="15"/>
          <w:rtl/>
        </w:rPr>
        <w:t xml:space="preserve"> </w:t>
      </w:r>
      <w:r w:rsidR="002F17F6">
        <w:rPr>
          <w:rFonts w:asciiTheme="minorHAnsi" w:hAnsiTheme="minorHAnsi" w:cstheme="minorHAnsi" w:hint="cs"/>
          <w:b/>
          <w:bCs/>
          <w:caps/>
          <w:sz w:val="15"/>
          <w:szCs w:val="15"/>
          <w:rtl/>
        </w:rPr>
        <w:t>سبتمبر</w:t>
      </w:r>
      <w:r w:rsidR="002937BA">
        <w:rPr>
          <w:rFonts w:asciiTheme="minorHAnsi" w:hAnsiTheme="minorHAnsi" w:cstheme="minorHAnsi" w:hint="cs"/>
          <w:b/>
          <w:bCs/>
          <w:caps/>
          <w:sz w:val="15"/>
          <w:szCs w:val="15"/>
          <w:rtl/>
        </w:rPr>
        <w:t xml:space="preserve"> </w:t>
      </w:r>
      <w:r w:rsidR="006B2894">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C73E7A">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C73E7A" w:rsidRPr="00C73E7A">
        <w:rPr>
          <w:rFonts w:asciiTheme="minorHAnsi" w:hAnsiTheme="minorHAnsi"/>
          <w:bCs/>
          <w:sz w:val="24"/>
          <w:szCs w:val="24"/>
          <w:rtl/>
        </w:rPr>
        <w:t xml:space="preserve">الرابعة </w:t>
      </w:r>
      <w:r w:rsidRPr="00D67EAE">
        <w:rPr>
          <w:rFonts w:asciiTheme="minorHAnsi" w:hAnsiTheme="minorHAnsi" w:cstheme="minorHAnsi" w:hint="cs"/>
          <w:bCs/>
          <w:sz w:val="24"/>
          <w:szCs w:val="24"/>
          <w:rtl/>
        </w:rPr>
        <w:t>والأربعون</w:t>
      </w:r>
    </w:p>
    <w:p w:rsidR="008B2CC1" w:rsidRPr="00D67EAE" w:rsidRDefault="00D67EAE" w:rsidP="00C73E7A">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w:t>
      </w:r>
      <w:r w:rsidR="00C73E7A" w:rsidRPr="00C73E7A">
        <w:rPr>
          <w:rFonts w:asciiTheme="minorHAnsi" w:hAnsiTheme="minorHAnsi"/>
          <w:bCs/>
          <w:sz w:val="24"/>
          <w:szCs w:val="24"/>
          <w:rtl/>
        </w:rPr>
        <w:t>ن 12 إلى 16 سبتمبر 2022</w:t>
      </w:r>
    </w:p>
    <w:p w:rsidR="008B2CC1" w:rsidRPr="00D67EAE" w:rsidRDefault="00CD5D78" w:rsidP="00CD5D78">
      <w:pPr>
        <w:spacing w:after="360"/>
        <w:outlineLvl w:val="0"/>
        <w:rPr>
          <w:rFonts w:asciiTheme="minorHAnsi" w:hAnsiTheme="minorHAnsi" w:cstheme="minorHAnsi"/>
          <w:caps/>
          <w:sz w:val="24"/>
        </w:rPr>
      </w:pPr>
      <w:bookmarkStart w:id="3" w:name="TitleOfDoc"/>
      <w:r>
        <w:rPr>
          <w:rFonts w:asciiTheme="minorHAnsi" w:hAnsiTheme="minorHAnsi"/>
          <w:caps/>
          <w:sz w:val="28"/>
          <w:szCs w:val="24"/>
          <w:rtl/>
        </w:rPr>
        <w:t>مشروع برنامج الدورة ال</w:t>
      </w:r>
      <w:r>
        <w:rPr>
          <w:rFonts w:asciiTheme="minorHAnsi" w:hAnsiTheme="minorHAnsi" w:hint="cs"/>
          <w:caps/>
          <w:sz w:val="28"/>
          <w:szCs w:val="24"/>
          <w:rtl/>
        </w:rPr>
        <w:t>ر</w:t>
      </w:r>
      <w:r w:rsidR="00006C82" w:rsidRPr="00006C82">
        <w:rPr>
          <w:rFonts w:asciiTheme="minorHAnsi" w:hAnsiTheme="minorHAnsi"/>
          <w:caps/>
          <w:sz w:val="28"/>
          <w:szCs w:val="24"/>
          <w:rtl/>
        </w:rPr>
        <w:t>ابعة وال</w:t>
      </w:r>
      <w:r>
        <w:rPr>
          <w:rFonts w:asciiTheme="minorHAnsi" w:hAnsiTheme="minorHAnsi" w:hint="cs"/>
          <w:caps/>
          <w:sz w:val="28"/>
          <w:szCs w:val="24"/>
          <w:rtl/>
        </w:rPr>
        <w:t>أربع</w:t>
      </w:r>
      <w:r w:rsidR="00006C82" w:rsidRPr="00006C82">
        <w:rPr>
          <w:rFonts w:asciiTheme="minorHAnsi" w:hAnsiTheme="minorHAnsi"/>
          <w:caps/>
          <w:sz w:val="28"/>
          <w:szCs w:val="24"/>
          <w:rtl/>
        </w:rPr>
        <w:t>ين</w:t>
      </w:r>
    </w:p>
    <w:p w:rsidR="002928D3" w:rsidRDefault="00006C82" w:rsidP="001D4107">
      <w:pPr>
        <w:spacing w:after="1040"/>
        <w:rPr>
          <w:rFonts w:asciiTheme="minorHAnsi" w:hAnsiTheme="minorHAnsi" w:cstheme="minorHAnsi"/>
          <w:iCs/>
          <w:rtl/>
        </w:rPr>
      </w:pPr>
      <w:bookmarkStart w:id="4" w:name="Prepared"/>
      <w:bookmarkEnd w:id="3"/>
      <w:bookmarkEnd w:id="4"/>
      <w:r w:rsidRPr="00006C82">
        <w:rPr>
          <w:rFonts w:asciiTheme="minorHAnsi" w:hAnsiTheme="minorHAnsi"/>
          <w:iCs/>
          <w:rtl/>
        </w:rPr>
        <w:t xml:space="preserve">وثيقة </w:t>
      </w:r>
      <w:r w:rsidR="00D67EAE" w:rsidRPr="00D67EAE">
        <w:rPr>
          <w:rFonts w:asciiTheme="minorHAnsi" w:hAnsiTheme="minorHAnsi" w:cstheme="minorHAnsi" w:hint="cs"/>
          <w:iCs/>
          <w:rtl/>
        </w:rPr>
        <w:t>من إعداد</w:t>
      </w:r>
      <w:r w:rsidR="002937BA">
        <w:rPr>
          <w:rFonts w:asciiTheme="minorHAnsi" w:hAnsiTheme="minorHAnsi" w:cstheme="minorHAnsi" w:hint="cs"/>
          <w:iCs/>
          <w:rtl/>
        </w:rPr>
        <w:t xml:space="preserve"> الأمانة</w:t>
      </w:r>
    </w:p>
    <w:p w:rsidR="00006C82" w:rsidRPr="00006C82" w:rsidRDefault="00006C82" w:rsidP="00006C82">
      <w:pPr>
        <w:pStyle w:val="ONUMA"/>
        <w:rPr>
          <w:rtl/>
        </w:rPr>
      </w:pPr>
      <w:r w:rsidRPr="00006C82">
        <w:rPr>
          <w:rtl/>
        </w:rPr>
        <w:t>استجابة لطلب اللجنة الحكومية الدولية المعنية بالملكية الفكرية والموارد الوراثية والمعارف التقليدية والفولكلور ("اللجنة") أن يعمَّم برنامج عمل مقترح، تورد هذه الوثيقة مشروع برنامج العمل المقترح للدورة الرابعة والأربعين للجنة. ومشروع البرنامج هذا له طابع إرشادي فقط، ويعود التنظيم الفعلي لعمل اللجنة لرئيس اللجنة وأعضائها وفقا لنظامها الداخلي.</w:t>
      </w:r>
    </w:p>
    <w:tbl>
      <w:tblPr>
        <w:bidiVisual/>
        <w:tblW w:w="0" w:type="auto"/>
        <w:tblLook w:val="01E0" w:firstRow="1" w:lastRow="1" w:firstColumn="1" w:lastColumn="1" w:noHBand="0" w:noVBand="0"/>
      </w:tblPr>
      <w:tblGrid>
        <w:gridCol w:w="3527"/>
        <w:gridCol w:w="5828"/>
      </w:tblGrid>
      <w:tr w:rsidR="00006C82" w:rsidRPr="00006C82" w:rsidTr="0057080D">
        <w:tc>
          <w:tcPr>
            <w:tcW w:w="3628" w:type="dxa"/>
            <w:shd w:val="clear" w:color="auto" w:fill="auto"/>
          </w:tcPr>
          <w:p w:rsidR="00006C82" w:rsidRPr="00006C82" w:rsidRDefault="00006C82" w:rsidP="00006C82">
            <w:pPr>
              <w:pStyle w:val="BodyText"/>
              <w:rPr>
                <w:u w:val="single"/>
              </w:rPr>
            </w:pPr>
            <w:r w:rsidRPr="00006C82">
              <w:rPr>
                <w:rFonts w:hint="cs"/>
                <w:u w:val="single"/>
                <w:rtl/>
              </w:rPr>
              <w:t>الأحد، 11 سبتمبر 2022</w:t>
            </w:r>
          </w:p>
          <w:p w:rsidR="00006C82" w:rsidRPr="00006C82" w:rsidRDefault="00006C82" w:rsidP="00006C82">
            <w:pPr>
              <w:pStyle w:val="BodyText"/>
            </w:pPr>
            <w:r w:rsidRPr="00006C82">
              <w:rPr>
                <w:rFonts w:hint="cs"/>
                <w:rtl/>
              </w:rPr>
              <w:t>ابتداءً من الساعة 15:00</w:t>
            </w:r>
          </w:p>
        </w:tc>
        <w:tc>
          <w:tcPr>
            <w:tcW w:w="5943" w:type="dxa"/>
            <w:shd w:val="clear" w:color="auto" w:fill="auto"/>
          </w:tcPr>
          <w:p w:rsidR="00006C82" w:rsidRPr="00006C82" w:rsidRDefault="00006C82" w:rsidP="00006C82">
            <w:pPr>
              <w:pStyle w:val="BodyText"/>
            </w:pPr>
          </w:p>
          <w:p w:rsidR="00006C82" w:rsidRPr="00006C82" w:rsidRDefault="00006C82" w:rsidP="00006C82">
            <w:pPr>
              <w:pStyle w:val="BodyText"/>
            </w:pPr>
            <w:r w:rsidRPr="00006C82">
              <w:rPr>
                <w:rtl/>
              </w:rPr>
              <w:t>منتدى السكان الأصليين الاستشاري</w:t>
            </w:r>
          </w:p>
          <w:p w:rsidR="00006C82" w:rsidRPr="00006C82" w:rsidRDefault="00006C82" w:rsidP="00006C82">
            <w:pPr>
              <w:pStyle w:val="BodyText"/>
              <w:rPr>
                <w:iCs/>
              </w:rPr>
            </w:pPr>
            <w:r w:rsidRPr="00006C82">
              <w:rPr>
                <w:iCs/>
                <w:rtl/>
              </w:rPr>
              <w:t>يحضره ممثلون عن المنظمات التي تمثل الشعوب الأصلية والمجتمعات المحلية.</w:t>
            </w:r>
            <w:r w:rsidRPr="00006C82">
              <w:rPr>
                <w:rFonts w:hint="cs"/>
                <w:iCs/>
                <w:rtl/>
              </w:rPr>
              <w:t xml:space="preserve"> </w:t>
            </w:r>
            <w:r w:rsidRPr="00006C82">
              <w:rPr>
                <w:iCs/>
                <w:rtl/>
              </w:rPr>
              <w:t xml:space="preserve">وهو ليس جلسة رسمية من جلسات اللجنة أو اجتماعا رسميا من اجتماعات </w:t>
            </w:r>
            <w:proofErr w:type="spellStart"/>
            <w:r w:rsidRPr="00006C82">
              <w:rPr>
                <w:iCs/>
                <w:rtl/>
              </w:rPr>
              <w:t>الويبو</w:t>
            </w:r>
            <w:proofErr w:type="spellEnd"/>
            <w:r w:rsidRPr="00006C82">
              <w:rPr>
                <w:iCs/>
                <w:rtl/>
              </w:rPr>
              <w:t>، لكن تدعمه اللجنة وتيسره الأمانة.</w:t>
            </w:r>
          </w:p>
        </w:tc>
      </w:tr>
      <w:tr w:rsidR="00006C82" w:rsidRPr="00006C82" w:rsidTr="0057080D">
        <w:tc>
          <w:tcPr>
            <w:tcW w:w="3628" w:type="dxa"/>
            <w:shd w:val="clear" w:color="auto" w:fill="auto"/>
          </w:tcPr>
          <w:p w:rsidR="00006C82" w:rsidRPr="00006C82" w:rsidRDefault="00006C82" w:rsidP="00006C82">
            <w:pPr>
              <w:pStyle w:val="BodyText"/>
            </w:pPr>
          </w:p>
        </w:tc>
        <w:tc>
          <w:tcPr>
            <w:tcW w:w="5943" w:type="dxa"/>
            <w:shd w:val="clear" w:color="auto" w:fill="auto"/>
          </w:tcPr>
          <w:p w:rsidR="00006C82" w:rsidRPr="00006C82" w:rsidRDefault="00006C82" w:rsidP="00006C82">
            <w:pPr>
              <w:pStyle w:val="BodyText"/>
            </w:pPr>
          </w:p>
        </w:tc>
      </w:tr>
      <w:tr w:rsidR="00006C82" w:rsidRPr="00006C82" w:rsidTr="0057080D">
        <w:tc>
          <w:tcPr>
            <w:tcW w:w="3628" w:type="dxa"/>
            <w:shd w:val="clear" w:color="auto" w:fill="auto"/>
          </w:tcPr>
          <w:p w:rsidR="00006C82" w:rsidRPr="00006C82" w:rsidRDefault="00006C82" w:rsidP="00006C82">
            <w:pPr>
              <w:pStyle w:val="BodyText"/>
              <w:rPr>
                <w:u w:val="single"/>
              </w:rPr>
            </w:pPr>
            <w:r w:rsidRPr="00006C82">
              <w:rPr>
                <w:rFonts w:hint="cs"/>
                <w:u w:val="single"/>
                <w:rtl/>
              </w:rPr>
              <w:t>الإثنين، 12 سبتمبر 2022</w:t>
            </w:r>
          </w:p>
          <w:p w:rsidR="00006C82" w:rsidRPr="00006C82" w:rsidRDefault="00006C82" w:rsidP="00006C82">
            <w:pPr>
              <w:pStyle w:val="BodyText"/>
            </w:pPr>
            <w:r w:rsidRPr="00006C82">
              <w:rPr>
                <w:rFonts w:hint="cs"/>
                <w:rtl/>
              </w:rPr>
              <w:t xml:space="preserve">10.00 </w:t>
            </w:r>
            <w:r w:rsidRPr="00006C82">
              <w:rPr>
                <w:rtl/>
              </w:rPr>
              <w:t>–</w:t>
            </w:r>
            <w:r w:rsidRPr="00006C82">
              <w:rPr>
                <w:rFonts w:hint="cs"/>
                <w:rtl/>
              </w:rPr>
              <w:t xml:space="preserve"> 13.00</w:t>
            </w:r>
          </w:p>
        </w:tc>
        <w:tc>
          <w:tcPr>
            <w:tcW w:w="5943" w:type="dxa"/>
            <w:shd w:val="clear" w:color="auto" w:fill="auto"/>
          </w:tcPr>
          <w:p w:rsidR="00006C82" w:rsidRPr="00006C82" w:rsidRDefault="00006C82" w:rsidP="00006C82">
            <w:pPr>
              <w:pStyle w:val="BodyText"/>
            </w:pPr>
          </w:p>
          <w:p w:rsidR="00006C82" w:rsidRPr="00006C82" w:rsidRDefault="00006C82" w:rsidP="00006C82">
            <w:pPr>
              <w:pStyle w:val="BodyText"/>
            </w:pPr>
            <w:r w:rsidRPr="00006C82">
              <w:rPr>
                <w:rFonts w:hint="cs"/>
                <w:bCs/>
                <w:rtl/>
              </w:rPr>
              <w:t>البند 1:</w:t>
            </w:r>
            <w:r w:rsidRPr="00006C82">
              <w:rPr>
                <w:rtl/>
              </w:rPr>
              <w:tab/>
            </w:r>
            <w:r w:rsidRPr="00006C82">
              <w:rPr>
                <w:rFonts w:hint="cs"/>
                <w:rtl/>
              </w:rPr>
              <w:t>افتتاح الجلسة</w:t>
            </w:r>
          </w:p>
          <w:p w:rsidR="00006C82" w:rsidRPr="00006C82" w:rsidRDefault="00006C82" w:rsidP="00006C82">
            <w:pPr>
              <w:pStyle w:val="BodyText"/>
            </w:pPr>
          </w:p>
          <w:p w:rsidR="00006C82" w:rsidRPr="00006C82" w:rsidRDefault="00006C82" w:rsidP="00006C82">
            <w:pPr>
              <w:pStyle w:val="BodyText"/>
            </w:pPr>
            <w:r w:rsidRPr="00006C82">
              <w:rPr>
                <w:rFonts w:hint="cs"/>
                <w:bCs/>
                <w:rtl/>
              </w:rPr>
              <w:t>البند 2:</w:t>
            </w:r>
            <w:r w:rsidRPr="00006C82">
              <w:rPr>
                <w:rtl/>
              </w:rPr>
              <w:tab/>
            </w:r>
            <w:r w:rsidRPr="00006C82">
              <w:rPr>
                <w:rFonts w:hint="cs"/>
                <w:rtl/>
              </w:rPr>
              <w:t>اعتماد جدول الأعمال</w:t>
            </w:r>
          </w:p>
          <w:p w:rsidR="00006C82" w:rsidRPr="00006C82" w:rsidRDefault="002F17F6" w:rsidP="002F17F6">
            <w:pPr>
              <w:pStyle w:val="BodyText"/>
            </w:pPr>
            <w:r w:rsidRPr="002F17F6">
              <w:t>WIPO/GRTKF/IC/44/1 Prov. 2</w:t>
            </w:r>
          </w:p>
          <w:p w:rsidR="00006C82" w:rsidRPr="00006C82" w:rsidRDefault="002F17F6" w:rsidP="002F17F6">
            <w:pPr>
              <w:pStyle w:val="BodyText"/>
            </w:pPr>
            <w:r w:rsidRPr="002F17F6">
              <w:lastRenderedPageBreak/>
              <w:t>WIPO/GRTKF/IC/44/INF/2 Rev.</w:t>
            </w:r>
          </w:p>
          <w:p w:rsidR="00006C82" w:rsidRPr="00006C82" w:rsidRDefault="002F17F6" w:rsidP="002F17F6">
            <w:pPr>
              <w:pStyle w:val="BodyText"/>
            </w:pPr>
            <w:r w:rsidRPr="002F17F6">
              <w:t>WIPO/GRTKF/IC/44/INF/3 Rev.</w:t>
            </w:r>
          </w:p>
          <w:p w:rsidR="00006C82" w:rsidRPr="00006C82" w:rsidRDefault="00006C82" w:rsidP="00006C82">
            <w:pPr>
              <w:pStyle w:val="BodyText"/>
            </w:pPr>
            <w:bookmarkStart w:id="5" w:name="_GoBack"/>
            <w:bookmarkEnd w:id="5"/>
          </w:p>
          <w:p w:rsidR="00006C82" w:rsidRPr="00006C82" w:rsidRDefault="00006C82" w:rsidP="00006C82">
            <w:pPr>
              <w:pStyle w:val="BodyText"/>
            </w:pPr>
            <w:r w:rsidRPr="00006C82">
              <w:rPr>
                <w:rFonts w:hint="cs"/>
                <w:bCs/>
                <w:rtl/>
              </w:rPr>
              <w:t>البند 3:</w:t>
            </w:r>
            <w:r w:rsidRPr="00006C82">
              <w:rPr>
                <w:rtl/>
              </w:rPr>
              <w:tab/>
            </w:r>
            <w:r w:rsidRPr="00006C82">
              <w:rPr>
                <w:rFonts w:hint="cs"/>
                <w:rtl/>
              </w:rPr>
              <w:t>اعتماد بعض المنظمات</w:t>
            </w:r>
          </w:p>
          <w:p w:rsidR="00006C82" w:rsidRPr="00006C82" w:rsidRDefault="00006C82" w:rsidP="00006C82">
            <w:pPr>
              <w:pStyle w:val="BodyText"/>
            </w:pPr>
            <w:r w:rsidRPr="00006C82">
              <w:t>WIPO/GRTKF/IC/44/2</w:t>
            </w:r>
          </w:p>
          <w:p w:rsidR="00006C82" w:rsidRPr="00006C82" w:rsidRDefault="00006C82" w:rsidP="00006C82">
            <w:pPr>
              <w:pStyle w:val="BodyText"/>
            </w:pPr>
          </w:p>
          <w:p w:rsidR="00006C82" w:rsidRPr="00006C82" w:rsidRDefault="00006C82" w:rsidP="00006C82">
            <w:pPr>
              <w:pStyle w:val="BodyText"/>
            </w:pPr>
            <w:r w:rsidRPr="00006C82">
              <w:rPr>
                <w:rFonts w:hint="cs"/>
                <w:bCs/>
                <w:rtl/>
              </w:rPr>
              <w:t>البند 4:</w:t>
            </w:r>
            <w:r w:rsidRPr="00006C82">
              <w:rPr>
                <w:rtl/>
              </w:rPr>
              <w:tab/>
              <w:t>مشاركة الجماعات الأصلية والمحلية</w:t>
            </w:r>
          </w:p>
          <w:p w:rsidR="00006C82" w:rsidRPr="00006C82" w:rsidRDefault="00006C82" w:rsidP="00006C82">
            <w:pPr>
              <w:pStyle w:val="BodyText"/>
            </w:pPr>
            <w:r w:rsidRPr="00006C82">
              <w:rPr>
                <w:rFonts w:hint="cs"/>
                <w:rtl/>
              </w:rPr>
              <w:t>صندوق التبرعات</w:t>
            </w:r>
          </w:p>
          <w:p w:rsidR="00006C82" w:rsidRPr="00006C82" w:rsidRDefault="00006C82" w:rsidP="00006C82">
            <w:pPr>
              <w:pStyle w:val="BodyText"/>
            </w:pPr>
            <w:r w:rsidRPr="00006C82">
              <w:t>WIPO/GRTKF/IC/44/3</w:t>
            </w:r>
          </w:p>
          <w:p w:rsidR="00006C82" w:rsidRPr="00006C82" w:rsidRDefault="00006C82" w:rsidP="00006C82">
            <w:pPr>
              <w:pStyle w:val="BodyText"/>
            </w:pPr>
            <w:r w:rsidRPr="00006C82">
              <w:t>WIPO/GRTKF/IC/44/INF/4</w:t>
            </w:r>
          </w:p>
          <w:p w:rsidR="00006C82" w:rsidRPr="00006C82" w:rsidRDefault="00006C82" w:rsidP="00006C82">
            <w:pPr>
              <w:pStyle w:val="BodyText"/>
            </w:pPr>
            <w:r w:rsidRPr="00006C82">
              <w:t>WIPO/GRTKF/IC/44/INF/6</w:t>
            </w:r>
          </w:p>
          <w:p w:rsidR="00006C82" w:rsidRPr="00006C82" w:rsidRDefault="00006C82" w:rsidP="00006C82">
            <w:pPr>
              <w:pStyle w:val="BodyText"/>
            </w:pPr>
          </w:p>
          <w:p w:rsidR="00006C82" w:rsidRPr="00006C82" w:rsidRDefault="00006C82" w:rsidP="00006C82">
            <w:pPr>
              <w:pStyle w:val="BodyText"/>
            </w:pPr>
            <w:r w:rsidRPr="00006C82">
              <w:rPr>
                <w:rtl/>
              </w:rPr>
              <w:t>منبر الجماعات الأصلية والمحلية</w:t>
            </w:r>
          </w:p>
          <w:p w:rsidR="00006C82" w:rsidRPr="00006C82" w:rsidRDefault="00006C82" w:rsidP="00006C82">
            <w:pPr>
              <w:pStyle w:val="BodyText"/>
              <w:rPr>
                <w:iCs/>
              </w:rPr>
            </w:pPr>
            <w:r w:rsidRPr="00006C82">
              <w:rPr>
                <w:iCs/>
                <w:rtl/>
              </w:rPr>
              <w:t>ليس جزءا رسميا من دورة اللجنة، لكنه سيُذكر في تقريرها</w:t>
            </w:r>
          </w:p>
          <w:p w:rsidR="00006C82" w:rsidRPr="00006C82" w:rsidRDefault="00006C82" w:rsidP="00006C82">
            <w:pPr>
              <w:pStyle w:val="BodyText"/>
            </w:pPr>
            <w:r w:rsidRPr="00006C82">
              <w:t>WIPO/GRTKF/IC/44/INF/5</w:t>
            </w:r>
          </w:p>
          <w:p w:rsidR="00006C82" w:rsidRPr="00006C82" w:rsidRDefault="00006C82" w:rsidP="00006C82">
            <w:pPr>
              <w:pStyle w:val="BodyText"/>
            </w:pPr>
          </w:p>
          <w:p w:rsidR="00006C82" w:rsidRPr="00006C82" w:rsidRDefault="00006C82" w:rsidP="00006C82">
            <w:pPr>
              <w:pStyle w:val="BodyText"/>
            </w:pPr>
            <w:r w:rsidRPr="00006C82">
              <w:rPr>
                <w:rFonts w:hint="cs"/>
                <w:bCs/>
                <w:rtl/>
              </w:rPr>
              <w:t>البند 5:</w:t>
            </w:r>
            <w:r w:rsidRPr="00006C82">
              <w:rPr>
                <w:rtl/>
              </w:rPr>
              <w:tab/>
              <w:t>المعارف التقليدية/أشكال التعبير الثقافي التقليدي</w:t>
            </w:r>
          </w:p>
          <w:p w:rsidR="00006C82" w:rsidRPr="00006C82" w:rsidRDefault="00006C82" w:rsidP="00006C82">
            <w:pPr>
              <w:pStyle w:val="BodyText"/>
            </w:pPr>
            <w:r w:rsidRPr="00006C82">
              <w:t>WIPO/GRTKF/IC/44/4</w:t>
            </w:r>
          </w:p>
          <w:p w:rsidR="00006C82" w:rsidRPr="00006C82" w:rsidRDefault="00006C82" w:rsidP="00006C82">
            <w:pPr>
              <w:pStyle w:val="BodyText"/>
            </w:pPr>
            <w:r w:rsidRPr="00006C82">
              <w:t>WIPO/GRTKF/IC/44/5</w:t>
            </w:r>
          </w:p>
          <w:p w:rsidR="00006C82" w:rsidRPr="00006C82" w:rsidRDefault="00006C82" w:rsidP="00006C82">
            <w:pPr>
              <w:pStyle w:val="BodyText"/>
            </w:pPr>
            <w:r w:rsidRPr="00006C82">
              <w:t>WIPO/GRTKF/IC/44/6</w:t>
            </w:r>
          </w:p>
          <w:p w:rsidR="00006C82" w:rsidRPr="00006C82" w:rsidRDefault="00006C82" w:rsidP="00006C82">
            <w:pPr>
              <w:pStyle w:val="BodyText"/>
            </w:pPr>
            <w:r w:rsidRPr="00006C82">
              <w:t>WIPO/GRTKF/IC/44/7</w:t>
            </w:r>
          </w:p>
          <w:p w:rsidR="00006C82" w:rsidRPr="00006C82" w:rsidRDefault="00006C82" w:rsidP="00006C82">
            <w:pPr>
              <w:pStyle w:val="BodyText"/>
            </w:pPr>
            <w:r w:rsidRPr="00006C82">
              <w:t>WIPO/GRTKF/IC/44/8</w:t>
            </w:r>
          </w:p>
          <w:p w:rsidR="00006C82" w:rsidRDefault="00006C82" w:rsidP="00006C82">
            <w:pPr>
              <w:pStyle w:val="BodyText"/>
              <w:rPr>
                <w:rtl/>
              </w:rPr>
            </w:pPr>
            <w:r w:rsidRPr="00006C82">
              <w:t>WIPO/GRTKF/IC/44/9</w:t>
            </w:r>
          </w:p>
          <w:p w:rsidR="002F17F6" w:rsidRDefault="002F17F6" w:rsidP="002F17F6">
            <w:pPr>
              <w:pStyle w:val="BodyText"/>
              <w:rPr>
                <w:rtl/>
              </w:rPr>
            </w:pPr>
            <w:r w:rsidRPr="002F17F6">
              <w:t>WIPO/GRTKF/IC/44/</w:t>
            </w:r>
            <w:r>
              <w:t>10</w:t>
            </w:r>
          </w:p>
          <w:p w:rsidR="002F17F6" w:rsidRDefault="002F17F6" w:rsidP="002F17F6">
            <w:pPr>
              <w:pStyle w:val="BodyText"/>
              <w:rPr>
                <w:rtl/>
              </w:rPr>
            </w:pPr>
            <w:r w:rsidRPr="002F17F6">
              <w:t>WIPO/GRTKF/IC/44/</w:t>
            </w:r>
            <w:r>
              <w:t>11</w:t>
            </w:r>
          </w:p>
          <w:p w:rsidR="002F17F6" w:rsidRDefault="002F17F6" w:rsidP="002F17F6">
            <w:pPr>
              <w:pStyle w:val="BodyText"/>
              <w:rPr>
                <w:rtl/>
              </w:rPr>
            </w:pPr>
            <w:r w:rsidRPr="002F17F6">
              <w:t>WIPO/GRTKF/IC/44/</w:t>
            </w:r>
            <w:r>
              <w:t>12</w:t>
            </w:r>
          </w:p>
          <w:p w:rsidR="002F17F6" w:rsidRPr="00006C82" w:rsidRDefault="002F17F6" w:rsidP="002F17F6">
            <w:pPr>
              <w:pStyle w:val="BodyText"/>
            </w:pPr>
            <w:r w:rsidRPr="002F17F6">
              <w:t>WIPO/GRTKF/IC/44/</w:t>
            </w:r>
            <w:r>
              <w:t>13</w:t>
            </w:r>
          </w:p>
          <w:p w:rsidR="00006C82" w:rsidRPr="00006C82" w:rsidRDefault="00006C82" w:rsidP="00006C82">
            <w:pPr>
              <w:pStyle w:val="BodyText"/>
            </w:pPr>
            <w:r w:rsidRPr="00006C82">
              <w:t>WIPO/GRTKF/IC/44/INF/7</w:t>
            </w:r>
          </w:p>
          <w:p w:rsidR="00006C82" w:rsidRPr="00006C82" w:rsidRDefault="00006C82" w:rsidP="00006C82">
            <w:pPr>
              <w:pStyle w:val="BodyText"/>
            </w:pPr>
            <w:r w:rsidRPr="00006C82">
              <w:t>WIPO/GRTKF/IC/44/INF/8</w:t>
            </w:r>
          </w:p>
        </w:tc>
      </w:tr>
      <w:tr w:rsidR="00006C82" w:rsidRPr="00006C82" w:rsidTr="0057080D">
        <w:tc>
          <w:tcPr>
            <w:tcW w:w="3628" w:type="dxa"/>
            <w:shd w:val="clear" w:color="auto" w:fill="auto"/>
          </w:tcPr>
          <w:p w:rsidR="00006C82" w:rsidRPr="00006C82" w:rsidRDefault="00006C82" w:rsidP="00006C82">
            <w:pPr>
              <w:pStyle w:val="BodyText"/>
            </w:pPr>
            <w:r w:rsidRPr="00006C82">
              <w:rPr>
                <w:rFonts w:hint="cs"/>
                <w:rtl/>
              </w:rPr>
              <w:lastRenderedPageBreak/>
              <w:t xml:space="preserve">15.00 </w:t>
            </w:r>
            <w:r w:rsidRPr="00006C82">
              <w:rPr>
                <w:rtl/>
              </w:rPr>
              <w:t>–</w:t>
            </w:r>
            <w:r w:rsidRPr="00006C82">
              <w:rPr>
                <w:rFonts w:hint="cs"/>
                <w:rtl/>
              </w:rPr>
              <w:t xml:space="preserve"> 18.00</w:t>
            </w:r>
          </w:p>
          <w:p w:rsidR="00006C82" w:rsidRPr="00006C82" w:rsidRDefault="00006C82" w:rsidP="00006C82">
            <w:pPr>
              <w:pStyle w:val="BodyText"/>
            </w:pPr>
          </w:p>
        </w:tc>
        <w:tc>
          <w:tcPr>
            <w:tcW w:w="5943" w:type="dxa"/>
            <w:shd w:val="clear" w:color="auto" w:fill="auto"/>
          </w:tcPr>
          <w:p w:rsidR="00006C82" w:rsidRPr="00006C82" w:rsidRDefault="00006C82" w:rsidP="00006C82">
            <w:pPr>
              <w:pStyle w:val="BodyText"/>
            </w:pPr>
            <w:r w:rsidRPr="00006C82">
              <w:rPr>
                <w:rFonts w:hint="cs"/>
                <w:bCs/>
                <w:rtl/>
              </w:rPr>
              <w:t>البند 5:</w:t>
            </w:r>
            <w:r w:rsidRPr="00006C82">
              <w:rPr>
                <w:rtl/>
              </w:rPr>
              <w:tab/>
              <w:t>المعارف التقليدية/أشكال التعبير الثقافي التقليدي</w:t>
            </w:r>
            <w:r w:rsidRPr="00006C82">
              <w:rPr>
                <w:rFonts w:hint="cs"/>
                <w:rtl/>
              </w:rPr>
              <w:t xml:space="preserve"> </w:t>
            </w:r>
            <w:r w:rsidRPr="00006C82">
              <w:rPr>
                <w:rFonts w:hint="cs"/>
                <w:iCs/>
                <w:rtl/>
              </w:rPr>
              <w:t>(تابع)</w:t>
            </w:r>
          </w:p>
        </w:tc>
      </w:tr>
      <w:tr w:rsidR="00006C82" w:rsidRPr="00006C82" w:rsidTr="0057080D">
        <w:tc>
          <w:tcPr>
            <w:tcW w:w="3628" w:type="dxa"/>
            <w:shd w:val="clear" w:color="auto" w:fill="auto"/>
          </w:tcPr>
          <w:p w:rsidR="00006C82" w:rsidRPr="00006C82" w:rsidRDefault="00006C82" w:rsidP="00006C82">
            <w:pPr>
              <w:pStyle w:val="BodyText"/>
              <w:keepNext/>
              <w:rPr>
                <w:u w:val="single"/>
              </w:rPr>
            </w:pPr>
            <w:r w:rsidRPr="00006C82">
              <w:rPr>
                <w:rFonts w:hint="cs"/>
                <w:u w:val="single"/>
                <w:rtl/>
              </w:rPr>
              <w:t xml:space="preserve">الثلاثاء، </w:t>
            </w:r>
            <w:r w:rsidRPr="00006C82">
              <w:rPr>
                <w:u w:val="single"/>
              </w:rPr>
              <w:t>13</w:t>
            </w:r>
            <w:r w:rsidRPr="00006C82">
              <w:rPr>
                <w:rFonts w:hint="cs"/>
                <w:u w:val="single"/>
                <w:rtl/>
              </w:rPr>
              <w:t xml:space="preserve"> سبتمبر 2022</w:t>
            </w:r>
          </w:p>
          <w:p w:rsidR="00006C82" w:rsidRPr="00006C82" w:rsidRDefault="00006C82" w:rsidP="00006C82">
            <w:pPr>
              <w:pStyle w:val="BodyText"/>
            </w:pPr>
            <w:r w:rsidRPr="00006C82">
              <w:rPr>
                <w:rFonts w:hint="cs"/>
                <w:rtl/>
              </w:rPr>
              <w:t xml:space="preserve">10.00 </w:t>
            </w:r>
            <w:r w:rsidRPr="00006C82">
              <w:rPr>
                <w:rtl/>
              </w:rPr>
              <w:t>–</w:t>
            </w:r>
            <w:r w:rsidRPr="00006C82">
              <w:rPr>
                <w:rFonts w:hint="cs"/>
                <w:rtl/>
              </w:rPr>
              <w:t xml:space="preserve"> 13.00</w:t>
            </w:r>
          </w:p>
          <w:p w:rsidR="00006C82" w:rsidRPr="00006C82" w:rsidRDefault="00006C82" w:rsidP="00006C82">
            <w:pPr>
              <w:pStyle w:val="BodyText"/>
            </w:pPr>
          </w:p>
          <w:p w:rsidR="00006C82" w:rsidRPr="00006C82" w:rsidRDefault="00006C82" w:rsidP="00006C82">
            <w:pPr>
              <w:pStyle w:val="BodyText"/>
            </w:pPr>
            <w:r w:rsidRPr="00006C82">
              <w:rPr>
                <w:rFonts w:hint="cs"/>
                <w:rtl/>
              </w:rPr>
              <w:t xml:space="preserve">15.00 </w:t>
            </w:r>
            <w:r w:rsidRPr="00006C82">
              <w:rPr>
                <w:rtl/>
              </w:rPr>
              <w:t>–</w:t>
            </w:r>
            <w:r w:rsidRPr="00006C82">
              <w:rPr>
                <w:rFonts w:hint="cs"/>
                <w:rtl/>
              </w:rPr>
              <w:t xml:space="preserve"> 18.00</w:t>
            </w:r>
          </w:p>
        </w:tc>
        <w:tc>
          <w:tcPr>
            <w:tcW w:w="5943" w:type="dxa"/>
            <w:shd w:val="clear" w:color="auto" w:fill="auto"/>
          </w:tcPr>
          <w:p w:rsidR="00006C82" w:rsidRPr="00006C82" w:rsidRDefault="00006C82" w:rsidP="00006C82">
            <w:pPr>
              <w:pStyle w:val="BodyText"/>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p w:rsidR="00006C82" w:rsidRPr="00006C82" w:rsidRDefault="00006C82" w:rsidP="00006C82">
            <w:pPr>
              <w:pStyle w:val="BodyText"/>
              <w:rPr>
                <w:rtl/>
              </w:rPr>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p w:rsidR="00006C82" w:rsidRPr="00006C82" w:rsidRDefault="00006C82" w:rsidP="00006C82">
            <w:pPr>
              <w:pStyle w:val="BodyText"/>
            </w:pPr>
          </w:p>
        </w:tc>
      </w:tr>
      <w:tr w:rsidR="00006C82" w:rsidRPr="00006C82" w:rsidTr="0057080D">
        <w:tc>
          <w:tcPr>
            <w:tcW w:w="3628" w:type="dxa"/>
            <w:shd w:val="clear" w:color="auto" w:fill="auto"/>
          </w:tcPr>
          <w:p w:rsidR="00006C82" w:rsidRPr="00006C82" w:rsidRDefault="00006C82" w:rsidP="00006C82">
            <w:pPr>
              <w:pStyle w:val="BodyText"/>
            </w:pPr>
          </w:p>
          <w:p w:rsidR="00006C82" w:rsidRPr="00006C82" w:rsidRDefault="00006C82" w:rsidP="00006C82">
            <w:pPr>
              <w:pStyle w:val="BodyText"/>
              <w:rPr>
                <w:u w:val="single"/>
              </w:rPr>
            </w:pPr>
            <w:r w:rsidRPr="00006C82">
              <w:rPr>
                <w:rFonts w:hint="cs"/>
                <w:u w:val="single"/>
                <w:rtl/>
              </w:rPr>
              <w:t>الأربعاء، 14 سبتمبر 2022</w:t>
            </w:r>
          </w:p>
          <w:p w:rsidR="00006C82" w:rsidRPr="00006C82" w:rsidRDefault="00006C82" w:rsidP="00006C82">
            <w:pPr>
              <w:pStyle w:val="BodyText"/>
            </w:pPr>
          </w:p>
          <w:p w:rsidR="00006C82" w:rsidRPr="00006C82" w:rsidRDefault="00006C82" w:rsidP="00006C82">
            <w:pPr>
              <w:pStyle w:val="BodyText"/>
            </w:pPr>
            <w:r w:rsidRPr="00006C82">
              <w:rPr>
                <w:rFonts w:hint="cs"/>
                <w:rtl/>
              </w:rPr>
              <w:t xml:space="preserve">10.00 </w:t>
            </w:r>
            <w:r w:rsidRPr="00006C82">
              <w:rPr>
                <w:rtl/>
              </w:rPr>
              <w:t>–</w:t>
            </w:r>
            <w:r w:rsidRPr="00006C82">
              <w:rPr>
                <w:rFonts w:hint="cs"/>
                <w:rtl/>
              </w:rPr>
              <w:t xml:space="preserve"> 13.00</w:t>
            </w:r>
          </w:p>
          <w:p w:rsidR="00006C82" w:rsidRPr="00006C82" w:rsidRDefault="00006C82" w:rsidP="00006C82">
            <w:pPr>
              <w:pStyle w:val="BodyText"/>
            </w:pPr>
          </w:p>
          <w:p w:rsidR="00006C82" w:rsidRPr="00006C82" w:rsidRDefault="00006C82" w:rsidP="00006C82">
            <w:pPr>
              <w:pStyle w:val="BodyText"/>
            </w:pPr>
            <w:r w:rsidRPr="00006C82">
              <w:rPr>
                <w:rFonts w:hint="cs"/>
                <w:rtl/>
              </w:rPr>
              <w:t xml:space="preserve">15.00 </w:t>
            </w:r>
            <w:r w:rsidRPr="00006C82">
              <w:rPr>
                <w:rtl/>
              </w:rPr>
              <w:t>–</w:t>
            </w:r>
            <w:r w:rsidRPr="00006C82">
              <w:rPr>
                <w:rFonts w:hint="cs"/>
                <w:rtl/>
              </w:rPr>
              <w:t xml:space="preserve"> 18.00</w:t>
            </w:r>
          </w:p>
        </w:tc>
        <w:tc>
          <w:tcPr>
            <w:tcW w:w="5943" w:type="dxa"/>
            <w:shd w:val="clear" w:color="auto" w:fill="auto"/>
          </w:tcPr>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p w:rsidR="00006C82" w:rsidRPr="00006C82" w:rsidRDefault="00006C82" w:rsidP="00006C82">
            <w:pPr>
              <w:pStyle w:val="BodyText"/>
              <w:rPr>
                <w:rtl/>
              </w:rPr>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tc>
      </w:tr>
      <w:tr w:rsidR="00006C82" w:rsidRPr="00006C82" w:rsidTr="0057080D">
        <w:tc>
          <w:tcPr>
            <w:tcW w:w="3628" w:type="dxa"/>
            <w:shd w:val="clear" w:color="auto" w:fill="auto"/>
          </w:tcPr>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rPr>
                <w:u w:val="single"/>
              </w:rPr>
            </w:pPr>
            <w:r w:rsidRPr="00006C82">
              <w:rPr>
                <w:rFonts w:hint="cs"/>
                <w:u w:val="single"/>
                <w:rtl/>
              </w:rPr>
              <w:t>الخميس، 15 سبتمبر 2022</w:t>
            </w:r>
          </w:p>
          <w:p w:rsidR="00006C82" w:rsidRPr="00006C82" w:rsidRDefault="00006C82" w:rsidP="00006C82">
            <w:pPr>
              <w:pStyle w:val="BodyText"/>
            </w:pPr>
            <w:r w:rsidRPr="00006C82">
              <w:rPr>
                <w:rFonts w:hint="cs"/>
                <w:rtl/>
              </w:rPr>
              <w:t xml:space="preserve">10.00 </w:t>
            </w:r>
            <w:r w:rsidRPr="00006C82">
              <w:rPr>
                <w:rtl/>
              </w:rPr>
              <w:t>–</w:t>
            </w:r>
            <w:r w:rsidRPr="00006C82">
              <w:rPr>
                <w:rFonts w:hint="cs"/>
                <w:rtl/>
              </w:rPr>
              <w:t xml:space="preserve"> 13.00</w:t>
            </w:r>
          </w:p>
          <w:p w:rsidR="00006C82" w:rsidRPr="00006C82" w:rsidRDefault="00006C82" w:rsidP="00006C82">
            <w:pPr>
              <w:pStyle w:val="BodyText"/>
            </w:pPr>
          </w:p>
          <w:p w:rsidR="00006C82" w:rsidRPr="00006C82" w:rsidRDefault="00006C82" w:rsidP="00006C82">
            <w:pPr>
              <w:pStyle w:val="BodyText"/>
            </w:pPr>
            <w:r w:rsidRPr="00006C82">
              <w:rPr>
                <w:rFonts w:hint="cs"/>
                <w:rtl/>
              </w:rPr>
              <w:t xml:space="preserve">15.00 </w:t>
            </w:r>
            <w:r w:rsidRPr="00006C82">
              <w:rPr>
                <w:rtl/>
              </w:rPr>
              <w:t>–</w:t>
            </w:r>
            <w:r w:rsidRPr="00006C82">
              <w:rPr>
                <w:rFonts w:hint="cs"/>
                <w:rtl/>
              </w:rPr>
              <w:t xml:space="preserve"> 18.00</w:t>
            </w:r>
          </w:p>
        </w:tc>
        <w:tc>
          <w:tcPr>
            <w:tcW w:w="5943" w:type="dxa"/>
            <w:shd w:val="clear" w:color="auto" w:fill="auto"/>
          </w:tcPr>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p w:rsidR="00006C82" w:rsidRPr="00006C82" w:rsidRDefault="00006C82" w:rsidP="00006C82">
            <w:pPr>
              <w:pStyle w:val="BodyText"/>
              <w:rPr>
                <w:rtl/>
              </w:rPr>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tc>
      </w:tr>
      <w:tr w:rsidR="00006C82" w:rsidRPr="00006C82" w:rsidTr="0057080D">
        <w:tc>
          <w:tcPr>
            <w:tcW w:w="3628" w:type="dxa"/>
            <w:shd w:val="clear" w:color="auto" w:fill="auto"/>
          </w:tcPr>
          <w:p w:rsidR="00006C82" w:rsidRPr="00006C82" w:rsidRDefault="00006C82" w:rsidP="00006C82">
            <w:pPr>
              <w:pStyle w:val="BodyText"/>
            </w:pPr>
          </w:p>
        </w:tc>
        <w:tc>
          <w:tcPr>
            <w:tcW w:w="5943" w:type="dxa"/>
            <w:shd w:val="clear" w:color="auto" w:fill="auto"/>
          </w:tcPr>
          <w:p w:rsidR="00006C82" w:rsidRPr="00006C82" w:rsidRDefault="00006C82" w:rsidP="00006C82">
            <w:pPr>
              <w:pStyle w:val="BodyText"/>
            </w:pPr>
          </w:p>
        </w:tc>
      </w:tr>
      <w:tr w:rsidR="00006C82" w:rsidRPr="00006C82" w:rsidTr="0057080D">
        <w:trPr>
          <w:trHeight w:val="349"/>
        </w:trPr>
        <w:tc>
          <w:tcPr>
            <w:tcW w:w="3628" w:type="dxa"/>
            <w:shd w:val="clear" w:color="auto" w:fill="auto"/>
          </w:tcPr>
          <w:p w:rsidR="00006C82" w:rsidRPr="00006C82" w:rsidRDefault="00006C82" w:rsidP="00006C82">
            <w:pPr>
              <w:pStyle w:val="BodyText"/>
              <w:rPr>
                <w:u w:val="single"/>
              </w:rPr>
            </w:pPr>
            <w:r w:rsidRPr="00006C82">
              <w:rPr>
                <w:rFonts w:hint="cs"/>
                <w:u w:val="single"/>
                <w:rtl/>
              </w:rPr>
              <w:t>الجمعة، 16 سبتمبر 2022</w:t>
            </w:r>
          </w:p>
          <w:p w:rsidR="00006C82" w:rsidRPr="00006C82" w:rsidRDefault="00006C82" w:rsidP="00006C82">
            <w:pPr>
              <w:pStyle w:val="BodyText"/>
            </w:pPr>
            <w:r w:rsidRPr="00006C82">
              <w:rPr>
                <w:rFonts w:hint="cs"/>
                <w:rtl/>
              </w:rPr>
              <w:t xml:space="preserve">10.00 </w:t>
            </w:r>
            <w:r w:rsidRPr="00006C82">
              <w:rPr>
                <w:rtl/>
              </w:rPr>
              <w:t>–</w:t>
            </w:r>
            <w:r w:rsidRPr="00006C82">
              <w:rPr>
                <w:rFonts w:hint="cs"/>
                <w:rtl/>
              </w:rPr>
              <w:t xml:space="preserve"> 13.00</w:t>
            </w:r>
          </w:p>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p>
        </w:tc>
        <w:tc>
          <w:tcPr>
            <w:tcW w:w="5943" w:type="dxa"/>
            <w:shd w:val="clear" w:color="auto" w:fill="auto"/>
          </w:tcPr>
          <w:p w:rsidR="00006C82" w:rsidRPr="00006C82" w:rsidRDefault="00006C82" w:rsidP="00006C82">
            <w:pPr>
              <w:pStyle w:val="BodyText"/>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p w:rsidR="00006C82" w:rsidRPr="00006C82" w:rsidRDefault="00006C82" w:rsidP="00006C82">
            <w:pPr>
              <w:pStyle w:val="BodyText"/>
              <w:rPr>
                <w:bCs/>
                <w:iCs/>
                <w:lang w:val="en-GB"/>
              </w:rPr>
            </w:pPr>
          </w:p>
          <w:p w:rsidR="00006C82" w:rsidRPr="00006C82" w:rsidRDefault="00006C82" w:rsidP="00006C82">
            <w:pPr>
              <w:pStyle w:val="BodyText"/>
              <w:rPr>
                <w:bCs/>
                <w:iCs/>
              </w:rPr>
            </w:pPr>
            <w:r w:rsidRPr="00006C82">
              <w:rPr>
                <w:rFonts w:hint="cs"/>
                <w:bCs/>
                <w:rtl/>
              </w:rPr>
              <w:t>البند 6:</w:t>
            </w:r>
            <w:r w:rsidRPr="00006C82">
              <w:rPr>
                <w:bCs/>
                <w:rtl/>
              </w:rPr>
              <w:tab/>
            </w:r>
            <w:r w:rsidRPr="00006C82">
              <w:rPr>
                <w:rtl/>
              </w:rPr>
              <w:t>إنشاء فريق (أفرقة) خبراء مخصّص</w:t>
            </w:r>
          </w:p>
          <w:p w:rsidR="00006C82" w:rsidRPr="00006C82" w:rsidRDefault="00006C82" w:rsidP="00006C82">
            <w:pPr>
              <w:pStyle w:val="BodyText"/>
              <w:rPr>
                <w:bCs/>
                <w:iCs/>
              </w:rPr>
            </w:pPr>
          </w:p>
          <w:p w:rsidR="00006C82" w:rsidRPr="00006C82" w:rsidRDefault="00006C82" w:rsidP="00006C82">
            <w:pPr>
              <w:pStyle w:val="BodyText"/>
              <w:rPr>
                <w:bCs/>
                <w:rtl/>
              </w:rPr>
            </w:pPr>
            <w:r w:rsidRPr="00006C82">
              <w:rPr>
                <w:rFonts w:hint="cs"/>
                <w:bCs/>
                <w:rtl/>
              </w:rPr>
              <w:t>البند 7:</w:t>
            </w:r>
            <w:r w:rsidRPr="00006C82">
              <w:rPr>
                <w:bCs/>
                <w:rtl/>
              </w:rPr>
              <w:tab/>
            </w:r>
            <w:r w:rsidRPr="00006C82">
              <w:rPr>
                <w:rtl/>
              </w:rPr>
              <w:t>أية مسائل أخرى</w:t>
            </w:r>
          </w:p>
          <w:p w:rsidR="00006C82" w:rsidRPr="00006C82" w:rsidRDefault="00006C82" w:rsidP="00006C82">
            <w:pPr>
              <w:pStyle w:val="BodyText"/>
              <w:rPr>
                <w:bCs/>
                <w:iCs/>
              </w:rPr>
            </w:pPr>
          </w:p>
          <w:p w:rsidR="00006C82" w:rsidRPr="00006C82" w:rsidRDefault="00006C82" w:rsidP="00006C82">
            <w:pPr>
              <w:pStyle w:val="BodyText"/>
              <w:rPr>
                <w:bCs/>
              </w:rPr>
            </w:pPr>
            <w:r w:rsidRPr="00006C82">
              <w:rPr>
                <w:rFonts w:hint="cs"/>
                <w:bCs/>
                <w:rtl/>
              </w:rPr>
              <w:t>البند 8:</w:t>
            </w:r>
            <w:r w:rsidRPr="00006C82">
              <w:rPr>
                <w:bCs/>
                <w:rtl/>
              </w:rPr>
              <w:tab/>
            </w:r>
            <w:r w:rsidRPr="00006C82">
              <w:rPr>
                <w:rtl/>
              </w:rPr>
              <w:t>اختتام الدورة</w:t>
            </w:r>
          </w:p>
        </w:tc>
      </w:tr>
    </w:tbl>
    <w:p w:rsidR="00FE339E" w:rsidRPr="00FE339E" w:rsidRDefault="00FE339E" w:rsidP="00FF04BC">
      <w:pPr>
        <w:pStyle w:val="Endofdocument-Annex"/>
        <w:rPr>
          <w:lang w:bidi="ar-EG"/>
        </w:rPr>
      </w:pPr>
      <w:r w:rsidRPr="00FE339E">
        <w:rPr>
          <w:rtl/>
        </w:rPr>
        <w:t>[نهاية الوثيقة]</w:t>
      </w:r>
    </w:p>
    <w:sectPr w:rsidR="00FE339E" w:rsidRPr="00FE339E"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4CF" w:rsidRDefault="004424CF">
      <w:r>
        <w:separator/>
      </w:r>
    </w:p>
  </w:endnote>
  <w:endnote w:type="continuationSeparator" w:id="0">
    <w:p w:rsidR="004424CF" w:rsidRDefault="004424CF" w:rsidP="003B38C1">
      <w:r>
        <w:separator/>
      </w:r>
    </w:p>
    <w:p w:rsidR="004424CF" w:rsidRPr="003B38C1" w:rsidRDefault="004424CF" w:rsidP="003B38C1">
      <w:pPr>
        <w:spacing w:after="60"/>
        <w:rPr>
          <w:sz w:val="17"/>
        </w:rPr>
      </w:pPr>
      <w:r>
        <w:rPr>
          <w:sz w:val="17"/>
        </w:rPr>
        <w:t>[Endnote continued from previous page]</w:t>
      </w:r>
    </w:p>
  </w:endnote>
  <w:endnote w:type="continuationNotice" w:id="1">
    <w:p w:rsidR="004424CF" w:rsidRPr="003B38C1" w:rsidRDefault="004424C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4CF" w:rsidRDefault="004424CF">
      <w:r>
        <w:separator/>
      </w:r>
    </w:p>
  </w:footnote>
  <w:footnote w:type="continuationSeparator" w:id="0">
    <w:p w:rsidR="004424CF" w:rsidRDefault="004424CF" w:rsidP="008B60B2">
      <w:r>
        <w:separator/>
      </w:r>
    </w:p>
    <w:p w:rsidR="004424CF" w:rsidRPr="00ED77FB" w:rsidRDefault="004424CF" w:rsidP="008B60B2">
      <w:pPr>
        <w:spacing w:after="60"/>
        <w:rPr>
          <w:sz w:val="17"/>
          <w:szCs w:val="17"/>
        </w:rPr>
      </w:pPr>
      <w:r w:rsidRPr="00ED77FB">
        <w:rPr>
          <w:sz w:val="17"/>
          <w:szCs w:val="17"/>
        </w:rPr>
        <w:t>[Footnote continued from previous page]</w:t>
      </w:r>
    </w:p>
  </w:footnote>
  <w:footnote w:type="continuationNotice" w:id="1">
    <w:p w:rsidR="004424CF" w:rsidRPr="00ED77FB" w:rsidRDefault="004424C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C73E7A">
    <w:pPr>
      <w:bidi w:val="0"/>
      <w:rPr>
        <w:caps/>
      </w:rPr>
    </w:pPr>
    <w:bookmarkStart w:id="6" w:name="Code2"/>
    <w:bookmarkEnd w:id="6"/>
    <w:r>
      <w:rPr>
        <w:caps/>
      </w:rPr>
      <w:t>WIPO/GRTK</w:t>
    </w:r>
    <w:r w:rsidR="009B0855">
      <w:rPr>
        <w:caps/>
      </w:rPr>
      <w:t>f</w:t>
    </w:r>
    <w:r>
      <w:rPr>
        <w:caps/>
      </w:rPr>
      <w:t>/IC/</w:t>
    </w:r>
    <w:r w:rsidR="00C73E7A">
      <w:rPr>
        <w:caps/>
      </w:rPr>
      <w:t>44</w:t>
    </w:r>
    <w:r w:rsidR="00006C82">
      <w:rPr>
        <w:caps/>
      </w:rPr>
      <w:t>/INF/3</w:t>
    </w:r>
    <w:r w:rsidR="002F17F6">
      <w:rPr>
        <w:caps/>
      </w:rPr>
      <w:t xml:space="preserve"> </w:t>
    </w:r>
    <w:r w:rsidR="002F17F6" w:rsidRPr="002F17F6">
      <w:t>Rev.</w:t>
    </w:r>
  </w:p>
  <w:p w:rsidR="00D07C78" w:rsidRDefault="00D07C78" w:rsidP="00210D5F">
    <w:pPr>
      <w:bidi w:val="0"/>
    </w:pPr>
    <w:r>
      <w:fldChar w:fldCharType="begin"/>
    </w:r>
    <w:r>
      <w:instrText xml:space="preserve"> PAGE  \* MERGEFORMAT </w:instrText>
    </w:r>
    <w:r>
      <w:fldChar w:fldCharType="separate"/>
    </w:r>
    <w:r w:rsidR="00916A8A">
      <w:rPr>
        <w:noProof/>
      </w:rPr>
      <w:t>2</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9"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8"/>
  </w:num>
  <w:num w:numId="8">
    <w:abstractNumId w:val="4"/>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06C82"/>
    <w:rsid w:val="00034247"/>
    <w:rsid w:val="00043CAA"/>
    <w:rsid w:val="00045944"/>
    <w:rsid w:val="00056816"/>
    <w:rsid w:val="00071408"/>
    <w:rsid w:val="00075432"/>
    <w:rsid w:val="000912CE"/>
    <w:rsid w:val="000968ED"/>
    <w:rsid w:val="000978FB"/>
    <w:rsid w:val="000A3D97"/>
    <w:rsid w:val="000B30DA"/>
    <w:rsid w:val="000F5E56"/>
    <w:rsid w:val="001362EE"/>
    <w:rsid w:val="001406E1"/>
    <w:rsid w:val="00155D8A"/>
    <w:rsid w:val="00160172"/>
    <w:rsid w:val="001647D5"/>
    <w:rsid w:val="001832A6"/>
    <w:rsid w:val="0019592A"/>
    <w:rsid w:val="001A6C3E"/>
    <w:rsid w:val="001B40B8"/>
    <w:rsid w:val="001D4107"/>
    <w:rsid w:val="00203D24"/>
    <w:rsid w:val="00210D5F"/>
    <w:rsid w:val="0021217E"/>
    <w:rsid w:val="002326AB"/>
    <w:rsid w:val="00243430"/>
    <w:rsid w:val="0024540F"/>
    <w:rsid w:val="002634C4"/>
    <w:rsid w:val="002928D3"/>
    <w:rsid w:val="002937BA"/>
    <w:rsid w:val="002F17F6"/>
    <w:rsid w:val="002F1FE6"/>
    <w:rsid w:val="002F4E68"/>
    <w:rsid w:val="00303427"/>
    <w:rsid w:val="0031253F"/>
    <w:rsid w:val="00312F7F"/>
    <w:rsid w:val="00361450"/>
    <w:rsid w:val="003673CF"/>
    <w:rsid w:val="003845C1"/>
    <w:rsid w:val="003A6F89"/>
    <w:rsid w:val="003B355C"/>
    <w:rsid w:val="003B38C1"/>
    <w:rsid w:val="003C34E9"/>
    <w:rsid w:val="00423E3E"/>
    <w:rsid w:val="00427AF4"/>
    <w:rsid w:val="004424CF"/>
    <w:rsid w:val="004647DA"/>
    <w:rsid w:val="00474062"/>
    <w:rsid w:val="00477D6B"/>
    <w:rsid w:val="005019FF"/>
    <w:rsid w:val="0052161C"/>
    <w:rsid w:val="0053057A"/>
    <w:rsid w:val="00556076"/>
    <w:rsid w:val="00560A29"/>
    <w:rsid w:val="005A5C77"/>
    <w:rsid w:val="005C6649"/>
    <w:rsid w:val="005E7B89"/>
    <w:rsid w:val="00605827"/>
    <w:rsid w:val="00646050"/>
    <w:rsid w:val="006713CA"/>
    <w:rsid w:val="00676C5C"/>
    <w:rsid w:val="006A4C55"/>
    <w:rsid w:val="006B2894"/>
    <w:rsid w:val="006B5C12"/>
    <w:rsid w:val="006B751D"/>
    <w:rsid w:val="00720EFD"/>
    <w:rsid w:val="007854AF"/>
    <w:rsid w:val="00786074"/>
    <w:rsid w:val="00793A7C"/>
    <w:rsid w:val="007A398A"/>
    <w:rsid w:val="007C4902"/>
    <w:rsid w:val="007D1613"/>
    <w:rsid w:val="007E4C0E"/>
    <w:rsid w:val="007F2029"/>
    <w:rsid w:val="008A134B"/>
    <w:rsid w:val="008B2CC1"/>
    <w:rsid w:val="008B60B2"/>
    <w:rsid w:val="008E3021"/>
    <w:rsid w:val="0090731E"/>
    <w:rsid w:val="00916A8A"/>
    <w:rsid w:val="00916EE2"/>
    <w:rsid w:val="00966A22"/>
    <w:rsid w:val="0096722F"/>
    <w:rsid w:val="00980843"/>
    <w:rsid w:val="009B0855"/>
    <w:rsid w:val="009C4C16"/>
    <w:rsid w:val="009E2791"/>
    <w:rsid w:val="009E3F6F"/>
    <w:rsid w:val="009F25BA"/>
    <w:rsid w:val="009F499F"/>
    <w:rsid w:val="00A02F0F"/>
    <w:rsid w:val="00A37342"/>
    <w:rsid w:val="00A42DAF"/>
    <w:rsid w:val="00A45BD8"/>
    <w:rsid w:val="00A869B7"/>
    <w:rsid w:val="00A90F0A"/>
    <w:rsid w:val="00A94DD7"/>
    <w:rsid w:val="00AA283F"/>
    <w:rsid w:val="00AA4217"/>
    <w:rsid w:val="00AC205C"/>
    <w:rsid w:val="00AF0A6B"/>
    <w:rsid w:val="00B05A69"/>
    <w:rsid w:val="00B32FDD"/>
    <w:rsid w:val="00B42CA9"/>
    <w:rsid w:val="00B51FF7"/>
    <w:rsid w:val="00B75281"/>
    <w:rsid w:val="00B92B95"/>
    <w:rsid w:val="00B92F1F"/>
    <w:rsid w:val="00B9734B"/>
    <w:rsid w:val="00BA30E2"/>
    <w:rsid w:val="00BD2B24"/>
    <w:rsid w:val="00BF0277"/>
    <w:rsid w:val="00C11BFE"/>
    <w:rsid w:val="00C5068F"/>
    <w:rsid w:val="00C73E7A"/>
    <w:rsid w:val="00C86D74"/>
    <w:rsid w:val="00CB3DBA"/>
    <w:rsid w:val="00CC3E2D"/>
    <w:rsid w:val="00CD04F1"/>
    <w:rsid w:val="00CD5D78"/>
    <w:rsid w:val="00CE19F8"/>
    <w:rsid w:val="00CF681A"/>
    <w:rsid w:val="00D07C78"/>
    <w:rsid w:val="00D45252"/>
    <w:rsid w:val="00D530E8"/>
    <w:rsid w:val="00D60B2C"/>
    <w:rsid w:val="00D67EAE"/>
    <w:rsid w:val="00D71B4D"/>
    <w:rsid w:val="00D90B96"/>
    <w:rsid w:val="00D93D55"/>
    <w:rsid w:val="00DD7B7F"/>
    <w:rsid w:val="00E15015"/>
    <w:rsid w:val="00E319DF"/>
    <w:rsid w:val="00E335FE"/>
    <w:rsid w:val="00E66CC5"/>
    <w:rsid w:val="00E7374D"/>
    <w:rsid w:val="00EA7D6E"/>
    <w:rsid w:val="00EB2F76"/>
    <w:rsid w:val="00EC4E49"/>
    <w:rsid w:val="00ED77FB"/>
    <w:rsid w:val="00EE066C"/>
    <w:rsid w:val="00EE45FA"/>
    <w:rsid w:val="00F043DE"/>
    <w:rsid w:val="00F31179"/>
    <w:rsid w:val="00F62E64"/>
    <w:rsid w:val="00F66152"/>
    <w:rsid w:val="00F9165B"/>
    <w:rsid w:val="00F95B45"/>
    <w:rsid w:val="00FC482F"/>
    <w:rsid w:val="00FE339E"/>
    <w:rsid w:val="00FF04BC"/>
    <w:rsid w:val="00FF7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5E26AB"/>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F22FF-93CC-4526-8789-6646DDAA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7</TotalTime>
  <Pages>3</Pages>
  <Words>314</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WIPO/GRTK/IC/44/INF. 3 Rev. (Arabic)</vt:lpstr>
    </vt:vector>
  </TitlesOfParts>
  <Company>WIPO</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WIPO/GRTK/IC/44/INF. 3 Rev. (Arabic)</dc:title>
  <dc:creator>MERZOUK Fawzi</dc:creator>
  <cp:keywords>FOR OFFICIAL USE ONLY</cp:keywords>
  <cp:lastModifiedBy>MERZOUK Fawzi</cp:lastModifiedBy>
  <cp:revision>4</cp:revision>
  <cp:lastPrinted>2022-09-09T11:11:00Z</cp:lastPrinted>
  <dcterms:created xsi:type="dcterms:W3CDTF">2022-09-09T11:02:00Z</dcterms:created>
  <dcterms:modified xsi:type="dcterms:W3CDTF">2022-09-09T11:11:00Z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