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B7FA6" w:rsidRDefault="00D90B96" w:rsidP="00AA4217">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0912CE">
        <w:rPr>
          <w:rFonts w:ascii="Arial Black" w:hAnsi="Arial Black"/>
          <w:caps/>
          <w:sz w:val="15"/>
          <w:szCs w:val="15"/>
        </w:rPr>
        <w:t>43</w:t>
      </w:r>
      <w:r>
        <w:rPr>
          <w:rFonts w:ascii="Arial Black" w:hAnsi="Arial Black"/>
          <w:caps/>
          <w:sz w:val="15"/>
          <w:szCs w:val="15"/>
        </w:rPr>
        <w:t>/</w:t>
      </w:r>
      <w:bookmarkStart w:id="0" w:name="Code"/>
      <w:bookmarkEnd w:id="0"/>
      <w:r w:rsidR="004E7DC0" w:rsidRPr="00FB7FA6">
        <w:rPr>
          <w:rFonts w:ascii="Arial Black" w:hAnsi="Arial Black"/>
          <w:caps/>
          <w:sz w:val="15"/>
          <w:szCs w:val="15"/>
          <w:lang w:bidi="ar-SY"/>
        </w:rPr>
        <w:t>inf/2</w:t>
      </w:r>
      <w:r w:rsidR="00FB7FA6" w:rsidRPr="00FB7FA6">
        <w:rPr>
          <w:rFonts w:ascii="Arial Black" w:hAnsi="Arial Black"/>
          <w:caps/>
          <w:sz w:val="15"/>
          <w:szCs w:val="15"/>
          <w:lang w:bidi="ar-SY"/>
        </w:rPr>
        <w:t xml:space="preserve"> REV.</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FB7FA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FB7FA6">
        <w:rPr>
          <w:rFonts w:asciiTheme="minorHAnsi" w:hAnsiTheme="minorHAnsi" w:cstheme="minorHAnsi" w:hint="cs"/>
          <w:b/>
          <w:bCs/>
          <w:caps/>
          <w:sz w:val="15"/>
          <w:szCs w:val="15"/>
          <w:rtl/>
        </w:rPr>
        <w:t>19</w:t>
      </w:r>
      <w:r w:rsidR="004E7DC0">
        <w:rPr>
          <w:rFonts w:asciiTheme="minorHAnsi" w:hAnsiTheme="minorHAnsi" w:cstheme="minorHAnsi" w:hint="cs"/>
          <w:b/>
          <w:bCs/>
          <w:caps/>
          <w:sz w:val="15"/>
          <w:szCs w:val="15"/>
          <w:rtl/>
        </w:rPr>
        <w:t xml:space="preserve"> مايو</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0912C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0912CE">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0912C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912CE">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0912CE">
        <w:rPr>
          <w:rFonts w:asciiTheme="minorHAnsi" w:hAnsiTheme="minorHAnsi" w:cstheme="minorHAnsi" w:hint="cs"/>
          <w:bCs/>
          <w:sz w:val="24"/>
          <w:szCs w:val="24"/>
          <w:rtl/>
        </w:rPr>
        <w:t xml:space="preserve">مايو </w:t>
      </w:r>
      <w:r w:rsidRPr="00D67EAE">
        <w:rPr>
          <w:rFonts w:asciiTheme="minorHAnsi" w:hAnsiTheme="minorHAnsi" w:cstheme="minorHAnsi" w:hint="cs"/>
          <w:bCs/>
          <w:sz w:val="24"/>
          <w:szCs w:val="24"/>
          <w:rtl/>
        </w:rPr>
        <w:t xml:space="preserve">إلى </w:t>
      </w:r>
      <w:r w:rsidR="000912CE">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0912CE">
        <w:rPr>
          <w:rFonts w:asciiTheme="minorHAnsi" w:hAnsiTheme="minorHAnsi" w:cstheme="minorHAnsi" w:hint="cs"/>
          <w:bCs/>
          <w:sz w:val="24"/>
          <w:szCs w:val="24"/>
          <w:rtl/>
        </w:rPr>
        <w:t xml:space="preserve">يونيو </w:t>
      </w:r>
      <w:r w:rsidR="00AA4217">
        <w:rPr>
          <w:rFonts w:asciiTheme="minorHAnsi" w:hAnsiTheme="minorHAnsi" w:cstheme="minorHAnsi" w:hint="cs"/>
          <w:bCs/>
          <w:sz w:val="24"/>
          <w:szCs w:val="24"/>
          <w:rtl/>
        </w:rPr>
        <w:t>2022</w:t>
      </w:r>
    </w:p>
    <w:p w:rsidR="008B2CC1" w:rsidRPr="00D67EAE" w:rsidRDefault="004E7DC0"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تلخيص مقتضب للوثائق</w:t>
      </w:r>
    </w:p>
    <w:p w:rsidR="002928D3" w:rsidRDefault="004E7DC0"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4E7DC0" w:rsidRPr="00340213" w:rsidRDefault="004E7DC0" w:rsidP="004E7DC0">
      <w:pPr>
        <w:pStyle w:val="Heading2"/>
        <w:spacing w:after="240"/>
        <w:rPr>
          <w:b/>
          <w:bCs w:val="0"/>
          <w:i/>
          <w:iCs w:val="0"/>
          <w:sz w:val="24"/>
          <w:szCs w:val="24"/>
          <w:rtl/>
        </w:rPr>
      </w:pPr>
      <w:r w:rsidRPr="00340213">
        <w:rPr>
          <w:rFonts w:hint="cs"/>
          <w:b/>
          <w:bCs w:val="0"/>
          <w:i/>
          <w:iCs w:val="0"/>
          <w:sz w:val="24"/>
          <w:szCs w:val="24"/>
          <w:rtl/>
        </w:rPr>
        <w:t>أولاً.</w:t>
      </w:r>
      <w:r w:rsidRPr="00340213">
        <w:rPr>
          <w:rFonts w:hint="cs"/>
          <w:b/>
          <w:bCs w:val="0"/>
          <w:i/>
          <w:iCs w:val="0"/>
          <w:sz w:val="24"/>
          <w:szCs w:val="24"/>
          <w:rtl/>
        </w:rPr>
        <w:tab/>
        <w:t>وثائق العمل للدورة الثالثة والأربعين</w:t>
      </w:r>
    </w:p>
    <w:p w:rsidR="004E7DC0" w:rsidRDefault="004E7DC0" w:rsidP="00FB7FA6">
      <w:pPr>
        <w:pStyle w:val="ONUMA"/>
      </w:pPr>
      <w:r w:rsidRPr="004E7DC0">
        <w:rPr>
          <w:rtl/>
        </w:rPr>
        <w:t xml:space="preserve">فيما يلي تلخيص مقتضب للوثائق المعدة للدورة </w:t>
      </w:r>
      <w:r>
        <w:rPr>
          <w:rFonts w:hint="cs"/>
          <w:rtl/>
        </w:rPr>
        <w:t>الثالثة</w:t>
      </w:r>
      <w:r w:rsidRPr="004E7DC0">
        <w:rPr>
          <w:rtl/>
        </w:rPr>
        <w:t xml:space="preserve"> والأربعين للجنة الحكومية الدولية المعنية بالملكية الفكرية والموارد الوراثية والمعارف التقليدية والفولكلور ("اللجنة" أو "لجنة المعارف") حتى </w:t>
      </w:r>
      <w:r w:rsidR="00FB7FA6">
        <w:rPr>
          <w:rFonts w:hint="cs"/>
          <w:rtl/>
        </w:rPr>
        <w:t>19</w:t>
      </w:r>
      <w:r>
        <w:rPr>
          <w:rtl/>
        </w:rPr>
        <w:t xml:space="preserve"> </w:t>
      </w:r>
      <w:r>
        <w:rPr>
          <w:rFonts w:hint="cs"/>
          <w:rtl/>
        </w:rPr>
        <w:t>مايو 2022</w:t>
      </w:r>
      <w:r w:rsidRPr="004E7DC0">
        <w:rPr>
          <w:rtl/>
        </w:rPr>
        <w:t>. وستُنشر كل وثيقة من هذه الوثائق فضلاً عن أية وثائق إضافية، فور استكمالها على الرابط التالي:</w:t>
      </w:r>
      <w:r>
        <w:rPr>
          <w:rFonts w:hint="cs"/>
          <w:rtl/>
        </w:rPr>
        <w:t xml:space="preserve"> </w:t>
      </w:r>
      <w:hyperlink r:id="rId12" w:history="1">
        <w:r w:rsidRPr="00CC4B11">
          <w:rPr>
            <w:rStyle w:val="Hyperlink"/>
          </w:rPr>
          <w:t>https://www.wipo.int/meetings/ar/details.jsp?meeting_id=70088</w:t>
        </w:r>
      </w:hyperlink>
      <w:r>
        <w:rPr>
          <w:rFonts w:hint="cs"/>
          <w:rtl/>
        </w:rPr>
        <w:t>.</w:t>
      </w:r>
    </w:p>
    <w:p w:rsidR="004E7DC0" w:rsidRDefault="004E7DC0" w:rsidP="004E7DC0">
      <w:pPr>
        <w:pStyle w:val="BodyText"/>
      </w:pPr>
      <w:r w:rsidRPr="004E7DC0">
        <w:rPr>
          <w:u w:val="single"/>
          <w:rtl/>
        </w:rPr>
        <w:t xml:space="preserve">الوثيقة </w:t>
      </w:r>
      <w:r w:rsidRPr="004E7DC0">
        <w:rPr>
          <w:u w:val="single"/>
        </w:rPr>
        <w:t>WIPO/GRTKF/IC/</w:t>
      </w:r>
      <w:r>
        <w:rPr>
          <w:u w:val="single"/>
          <w:lang w:val="fr-CH"/>
        </w:rPr>
        <w:t>43</w:t>
      </w:r>
      <w:r w:rsidRPr="004E7DC0">
        <w:rPr>
          <w:u w:val="single"/>
        </w:rPr>
        <w:t>/1 Prov.</w:t>
      </w:r>
      <w:r w:rsidR="00FB7FA6">
        <w:rPr>
          <w:u w:val="single"/>
        </w:rPr>
        <w:t xml:space="preserve"> 2</w:t>
      </w:r>
      <w:r w:rsidRPr="004E7DC0">
        <w:rPr>
          <w:rFonts w:hint="cs"/>
          <w:u w:val="single"/>
          <w:rtl/>
        </w:rPr>
        <w:t xml:space="preserve">: مشروع جدول أعمال الدورة </w:t>
      </w:r>
      <w:r>
        <w:rPr>
          <w:rFonts w:hint="cs"/>
          <w:u w:val="single"/>
          <w:rtl/>
          <w:lang w:bidi="ar-SY"/>
        </w:rPr>
        <w:t>الثالثة</w:t>
      </w:r>
      <w:r w:rsidRPr="004E7DC0">
        <w:rPr>
          <w:u w:val="single"/>
          <w:rtl/>
        </w:rPr>
        <w:t xml:space="preserve"> و</w:t>
      </w:r>
      <w:r w:rsidRPr="004E7DC0">
        <w:rPr>
          <w:u w:val="single"/>
          <w:rtl/>
          <w:lang w:bidi="ar-SY"/>
        </w:rPr>
        <w:t>الأربعين</w:t>
      </w:r>
    </w:p>
    <w:p w:rsidR="004E7DC0" w:rsidRDefault="004E7DC0" w:rsidP="004E7DC0">
      <w:pPr>
        <w:pStyle w:val="ONUMA"/>
      </w:pPr>
      <w:r w:rsidRPr="004E7DC0">
        <w:rPr>
          <w:rtl/>
        </w:rPr>
        <w:t>تحتوي هذه الوثيقة على البنود المقترح تناولها في اللجنة وهي مطروحة عليها لاعتمادها المحتمل.</w:t>
      </w:r>
    </w:p>
    <w:p w:rsidR="004E7DC0" w:rsidRPr="004E7DC0" w:rsidRDefault="004E7DC0" w:rsidP="004E7DC0">
      <w:pPr>
        <w:pStyle w:val="BodyText"/>
        <w:rPr>
          <w:u w:val="single"/>
          <w:rtl/>
        </w:rPr>
      </w:pPr>
      <w:r w:rsidRPr="004E7DC0">
        <w:rPr>
          <w:u w:val="single"/>
          <w:rtl/>
        </w:rPr>
        <w:t xml:space="preserve">الوثيقة </w:t>
      </w:r>
      <w:r w:rsidRPr="004E7DC0">
        <w:rPr>
          <w:u w:val="single"/>
        </w:rPr>
        <w:t>WIPO/GRTKF/IC/4</w:t>
      </w:r>
      <w:r>
        <w:rPr>
          <w:u w:val="single"/>
        </w:rPr>
        <w:t>3</w:t>
      </w:r>
      <w:r w:rsidRPr="004E7DC0">
        <w:rPr>
          <w:u w:val="single"/>
        </w:rPr>
        <w:t>/2</w:t>
      </w:r>
      <w:r w:rsidRPr="004E7DC0">
        <w:rPr>
          <w:u w:val="single"/>
          <w:rtl/>
        </w:rPr>
        <w:t>: اعتماد بعض المنظمات</w:t>
      </w:r>
    </w:p>
    <w:p w:rsidR="004E7DC0" w:rsidRDefault="004E7DC0" w:rsidP="004E7DC0">
      <w:pPr>
        <w:pStyle w:val="ONUMA"/>
      </w:pPr>
      <w:r w:rsidRPr="004E7DC0">
        <w:rPr>
          <w:rtl/>
        </w:rPr>
        <w:t>تعرض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p>
    <w:p w:rsidR="004E7DC0" w:rsidRPr="004E7DC0" w:rsidRDefault="004E7DC0" w:rsidP="004E7DC0">
      <w:pPr>
        <w:pStyle w:val="BodyText"/>
        <w:rPr>
          <w:u w:val="single"/>
        </w:rPr>
      </w:pPr>
      <w:r w:rsidRPr="004E7DC0">
        <w:rPr>
          <w:u w:val="single"/>
          <w:rtl/>
        </w:rPr>
        <w:t xml:space="preserve">الوثيقة </w:t>
      </w:r>
      <w:r w:rsidRPr="004E7DC0">
        <w:rPr>
          <w:u w:val="single"/>
        </w:rPr>
        <w:t>WIPO/GRTKF/IC/4</w:t>
      </w:r>
      <w:r>
        <w:rPr>
          <w:u w:val="single"/>
        </w:rPr>
        <w:t>3</w:t>
      </w:r>
      <w:r w:rsidRPr="004E7DC0">
        <w:rPr>
          <w:u w:val="single"/>
        </w:rPr>
        <w:t>/3</w:t>
      </w:r>
      <w:r w:rsidRPr="004E7DC0">
        <w:rPr>
          <w:u w:val="single"/>
          <w:rtl/>
        </w:rPr>
        <w:t>: مشاركة الجماعات الأصلية والمحلية: صندوق التبرعات</w:t>
      </w:r>
    </w:p>
    <w:p w:rsidR="004E7DC0" w:rsidRPr="004E7DC0" w:rsidRDefault="004E7DC0" w:rsidP="004E7DC0">
      <w:pPr>
        <w:pStyle w:val="ONUMA"/>
        <w:rPr>
          <w:rFonts w:eastAsia="SimSun"/>
          <w:lang w:eastAsia="zh-CN"/>
        </w:rPr>
      </w:pPr>
      <w:r>
        <w:rPr>
          <w:rtl/>
        </w:rPr>
        <w:t xml:space="preserve">أنشأت الجمعية العامة للويبو، في عام 2005، "صندوق الويبو للتبرعات لفائدة الجماعات الأصلية والمحلية المعتمدة". واتُخذ ذلك القرار بالاستناد إلى الوثيقة </w:t>
      </w:r>
      <w:r>
        <w:t>WO/GA/32/6</w:t>
      </w:r>
      <w:r>
        <w:rPr>
          <w:rtl/>
        </w:rPr>
        <w:t xml:space="preserve">، التي عدلتها الجمعية العامة للويبو في سبتمبر 2010، والتي تحدّد أهداف الصندوق وطريقة عمله. وتشير هذه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t>WIPO/GRTKF/IC/43/INF/4</w:t>
      </w:r>
      <w:r>
        <w:rPr>
          <w:rtl/>
        </w:rPr>
        <w:t>.</w:t>
      </w:r>
    </w:p>
    <w:p w:rsidR="004E7DC0" w:rsidRPr="004E7DC0" w:rsidRDefault="004E7DC0" w:rsidP="004E7DC0">
      <w:pPr>
        <w:pStyle w:val="BodyText"/>
        <w:rPr>
          <w:u w:val="single"/>
        </w:rPr>
      </w:pPr>
      <w:r w:rsidRPr="004E7DC0">
        <w:rPr>
          <w:u w:val="single"/>
          <w:rtl/>
        </w:rPr>
        <w:lastRenderedPageBreak/>
        <w:t xml:space="preserve">الوثيقة </w:t>
      </w:r>
      <w:r w:rsidRPr="004E7DC0">
        <w:rPr>
          <w:u w:val="single"/>
        </w:rPr>
        <w:t>WIPO/GRTKF/IC/4</w:t>
      </w:r>
      <w:r>
        <w:rPr>
          <w:u w:val="single"/>
        </w:rPr>
        <w:t>3</w:t>
      </w:r>
      <w:r w:rsidRPr="004E7DC0">
        <w:rPr>
          <w:u w:val="single"/>
        </w:rPr>
        <w:t>/4</w:t>
      </w:r>
      <w:r w:rsidRPr="004E7DC0">
        <w:rPr>
          <w:u w:val="single"/>
          <w:rtl/>
        </w:rPr>
        <w:t>: وثيقة موحّدة بشأن الملكية الفكرية والموارد الوراثية</w:t>
      </w:r>
    </w:p>
    <w:p w:rsidR="004E7DC0" w:rsidRPr="005B53BE" w:rsidRDefault="004E7DC0" w:rsidP="00340213">
      <w:pPr>
        <w:pStyle w:val="ONUMA"/>
      </w:pPr>
      <w:r>
        <w:rPr>
          <w:rFonts w:hint="cs"/>
          <w:rtl/>
        </w:rPr>
        <w:t xml:space="preserve">أعدت اللجنة، في دورتها الثانية والأربعين، التي عُقدت في الفترة من 28 فبراير إلى 4 مارس 2022، </w:t>
      </w:r>
      <w:r w:rsidR="00340213">
        <w:rPr>
          <w:rFonts w:hint="cs"/>
          <w:rtl/>
        </w:rPr>
        <w:t>بالاستناد إلى</w:t>
      </w:r>
      <w:r>
        <w:rPr>
          <w:rFonts w:hint="cs"/>
          <w:rtl/>
        </w:rPr>
        <w:t xml:space="preserve"> الوثيقة </w:t>
      </w:r>
      <w:r>
        <w:t>WIPO/GRTKF/IC/42/4</w:t>
      </w:r>
      <w:r>
        <w:rPr>
          <w:rFonts w:hint="cs"/>
          <w:rtl/>
        </w:rPr>
        <w:t xml:space="preserve">، </w:t>
      </w:r>
      <w:r w:rsidR="005B53BE">
        <w:rPr>
          <w:rFonts w:hint="cs"/>
          <w:rtl/>
        </w:rPr>
        <w:t>نصاً آخر</w:t>
      </w:r>
      <w:r w:rsidR="00340213">
        <w:rPr>
          <w:rFonts w:hint="cs"/>
          <w:rtl/>
        </w:rPr>
        <w:t xml:space="preserve"> بعنوان</w:t>
      </w:r>
      <w:r>
        <w:rPr>
          <w:rFonts w:hint="cs"/>
          <w:rtl/>
        </w:rPr>
        <w:t>: "</w:t>
      </w:r>
      <w:r w:rsidRPr="004E7DC0">
        <w:rPr>
          <w:rtl/>
        </w:rPr>
        <w:t>وثيقة موحّدة بشأن الملكية الفكرية والموارد الوراثية</w:t>
      </w:r>
      <w:r w:rsidR="00340213">
        <w:rPr>
          <w:rFonts w:hint="cs"/>
          <w:rtl/>
        </w:rPr>
        <w:t xml:space="preserve"> </w:t>
      </w:r>
      <w:r w:rsidR="00340213">
        <w:rPr>
          <w:rtl/>
        </w:rPr>
        <w:t>–</w:t>
      </w:r>
      <w:r w:rsidR="00340213">
        <w:rPr>
          <w:rFonts w:hint="cs"/>
          <w:rtl/>
        </w:rPr>
        <w:t xml:space="preserve"> الصيغة </w:t>
      </w:r>
      <w:r>
        <w:rPr>
          <w:rFonts w:hint="cs"/>
          <w:rtl/>
        </w:rPr>
        <w:t xml:space="preserve">المُراجعة الثانية </w:t>
      </w:r>
      <w:r>
        <w:rPr>
          <w:lang w:val="fr-CH"/>
        </w:rPr>
        <w:t>(REV.2)</w:t>
      </w:r>
      <w:r>
        <w:rPr>
          <w:rFonts w:hint="cs"/>
          <w:rtl/>
          <w:lang w:val="fr-CH" w:bidi="ar-SY"/>
        </w:rPr>
        <w:t>". وقررت اللجنة</w:t>
      </w:r>
      <w:r w:rsidR="00340213" w:rsidRPr="00340213">
        <w:rPr>
          <w:rFonts w:hint="cs"/>
          <w:rtl/>
          <w:lang w:val="fr-CH" w:bidi="ar-SY"/>
        </w:rPr>
        <w:t xml:space="preserve"> </w:t>
      </w:r>
      <w:r w:rsidR="00340213">
        <w:rPr>
          <w:rFonts w:hint="cs"/>
          <w:rtl/>
          <w:lang w:val="fr-CH" w:bidi="ar-SY"/>
        </w:rPr>
        <w:t>إحالة ذلك النص، بالصيغة التي ورد بها</w:t>
      </w:r>
      <w:r>
        <w:rPr>
          <w:rFonts w:hint="cs"/>
          <w:rtl/>
          <w:lang w:val="fr-CH" w:bidi="ar-SY"/>
        </w:rPr>
        <w:t xml:space="preserve"> في </w:t>
      </w:r>
      <w:r w:rsidR="00340213">
        <w:rPr>
          <w:rFonts w:hint="cs"/>
          <w:rtl/>
          <w:lang w:val="fr-CH" w:bidi="ar-SY"/>
        </w:rPr>
        <w:t>اختتا</w:t>
      </w:r>
      <w:r>
        <w:rPr>
          <w:rFonts w:hint="cs"/>
          <w:rtl/>
          <w:lang w:val="fr-CH" w:bidi="ar-SY"/>
        </w:rPr>
        <w:t xml:space="preserve">م </w:t>
      </w:r>
      <w:r w:rsidR="00340213">
        <w:rPr>
          <w:rFonts w:hint="cs"/>
          <w:rtl/>
          <w:lang w:val="fr-CH" w:bidi="ar-SY"/>
        </w:rPr>
        <w:t xml:space="preserve">النظر في </w:t>
      </w:r>
      <w:r>
        <w:rPr>
          <w:rFonts w:hint="cs"/>
          <w:rtl/>
          <w:lang w:val="fr-CH" w:bidi="ar-SY"/>
        </w:rPr>
        <w:t>بند جدول الأعمال بشأن "الموارد الوراثية" في 4 مارس 2022، إلى دورتها</w:t>
      </w:r>
      <w:r w:rsidR="005B53BE">
        <w:rPr>
          <w:rFonts w:hint="cs"/>
          <w:rtl/>
          <w:lang w:val="fr-CH" w:bidi="ar-SY"/>
        </w:rPr>
        <w:t xml:space="preserve"> الثالثة والأربعين طبقاً لولايتها للثنائية 2022-2023 وبرنامج عملها لعام 2022. </w:t>
      </w:r>
      <w:r w:rsidR="001F671B">
        <w:rPr>
          <w:rFonts w:hint="cs"/>
          <w:rtl/>
          <w:lang w:val="fr-CH" w:bidi="ar-SY"/>
        </w:rPr>
        <w:t>و</w:t>
      </w:r>
      <w:r w:rsidR="005B53BE">
        <w:rPr>
          <w:rFonts w:hint="cs"/>
          <w:rtl/>
          <w:lang w:val="fr-CH" w:bidi="ar-SY"/>
        </w:rPr>
        <w:t xml:space="preserve">أُعدّت الوثيقة </w:t>
      </w:r>
      <w:r w:rsidR="005B53BE">
        <w:t>WIPO/GRTKF/IC/43</w:t>
      </w:r>
      <w:r w:rsidR="005B53BE" w:rsidRPr="00382599">
        <w:t>/4</w:t>
      </w:r>
      <w:r w:rsidR="005B53BE">
        <w:rPr>
          <w:rFonts w:hint="cs"/>
          <w:rtl/>
        </w:rPr>
        <w:t xml:space="preserve"> </w:t>
      </w:r>
      <w:r w:rsidR="005B53BE">
        <w:rPr>
          <w:rFonts w:hint="cs"/>
          <w:rtl/>
          <w:lang w:val="fr-CH" w:bidi="ar-SY"/>
        </w:rPr>
        <w:t>لأغراض هذه الدورة عملاً بذلك القرار.</w:t>
      </w:r>
    </w:p>
    <w:p w:rsidR="005B53BE" w:rsidRPr="001F671B" w:rsidRDefault="005B53BE" w:rsidP="005B53BE">
      <w:pPr>
        <w:pStyle w:val="BodyText"/>
        <w:rPr>
          <w:i/>
          <w:iCs/>
          <w:u w:val="single"/>
        </w:rPr>
      </w:pPr>
      <w:r w:rsidRPr="001F671B">
        <w:rPr>
          <w:rFonts w:hint="cs"/>
          <w:u w:val="single"/>
          <w:rtl/>
        </w:rPr>
        <w:t xml:space="preserve">الوثيقة </w:t>
      </w:r>
      <w:r w:rsidRPr="001F671B">
        <w:rPr>
          <w:rFonts w:asciiTheme="minorHAnsi" w:hAnsiTheme="minorHAnsi" w:cstheme="minorHAnsi"/>
          <w:u w:val="single"/>
        </w:rPr>
        <w:t>WIPO/GRTKF/IC/43/5</w:t>
      </w:r>
      <w:r w:rsidRPr="001F671B">
        <w:rPr>
          <w:rFonts w:asciiTheme="minorHAnsi" w:hAnsiTheme="minorHAnsi" w:cstheme="minorHAnsi" w:hint="cs"/>
          <w:u w:val="single"/>
          <w:rtl/>
        </w:rPr>
        <w:t>:</w:t>
      </w:r>
      <w:r w:rsidRPr="001F671B">
        <w:rPr>
          <w:rFonts w:asciiTheme="minorHAnsi" w:hAnsiTheme="minorHAnsi" w:cstheme="minorHAnsi" w:hint="cs"/>
          <w:i/>
          <w:iCs/>
          <w:u w:val="single"/>
          <w:rtl/>
        </w:rPr>
        <w:t xml:space="preserve"> </w:t>
      </w:r>
      <w:r w:rsidRPr="001F671B">
        <w:rPr>
          <w:rFonts w:asciiTheme="minorHAnsi" w:hAnsiTheme="minorHAnsi" w:cstheme="minorHAnsi"/>
          <w:i/>
          <w:iCs/>
          <w:u w:val="single"/>
          <w:rtl/>
        </w:rPr>
        <w:t>نص الرئيس حول مشروع صك قانوني دولي بشأن الملكية الفكرية والموارد الوراثية والمعارف التقليدية المرتبطة بالموارد الوراثية</w:t>
      </w:r>
    </w:p>
    <w:p w:rsidR="005B53BE" w:rsidRPr="005B53BE" w:rsidRDefault="005B53BE" w:rsidP="005B53BE">
      <w:pPr>
        <w:pStyle w:val="ONUMA"/>
      </w:pPr>
      <w:r>
        <w:rPr>
          <w:rtl/>
          <w:lang w:val="fr-CH" w:bidi="ar-SY"/>
        </w:rPr>
        <w:t xml:space="preserve">في أبريل 2019، </w:t>
      </w:r>
      <w:r>
        <w:rPr>
          <w:rtl/>
        </w:rPr>
        <w:t xml:space="preserve">أعد السيد إيان </w:t>
      </w:r>
      <w:proofErr w:type="spellStart"/>
      <w:r>
        <w:rPr>
          <w:rtl/>
        </w:rPr>
        <w:t>غوس</w:t>
      </w:r>
      <w:proofErr w:type="spellEnd"/>
      <w:r>
        <w:rPr>
          <w:rtl/>
        </w:rPr>
        <w:t xml:space="preserve">، رئيس اللجنة الحكومية الدولية لفترة السنتين 2018-2019، نصاً لمشروع </w:t>
      </w:r>
      <w:r>
        <w:rPr>
          <w:i/>
          <w:iCs/>
          <w:rtl/>
        </w:rPr>
        <w:t>صك قانوني دولي بشأن الملكية الفكرية والموارد الوراثية والمعارف التقليدية المرتبطة بالموارد الوراثية</w:t>
      </w:r>
      <w:r>
        <w:rPr>
          <w:rtl/>
        </w:rPr>
        <w:t xml:space="preserve">، لتنظر فيه </w:t>
      </w:r>
      <w:r>
        <w:rPr>
          <w:rtl/>
          <w:lang w:val="fr-CH" w:bidi="ar-SY"/>
        </w:rPr>
        <w:t>اللجنة</w:t>
      </w:r>
      <w:r>
        <w:rPr>
          <w:rtl/>
        </w:rPr>
        <w:t>.</w:t>
      </w:r>
      <w:r>
        <w:t xml:space="preserve"> </w:t>
      </w:r>
      <w:r>
        <w:rPr>
          <w:rFonts w:asciiTheme="minorHAnsi" w:hAnsiTheme="minorHAnsi"/>
          <w:rtl/>
        </w:rPr>
        <w:t>و</w:t>
      </w:r>
      <w:r w:rsidRPr="005B53BE">
        <w:rPr>
          <w:rFonts w:asciiTheme="minorHAnsi" w:hAnsiTheme="minorHAnsi"/>
          <w:rtl/>
        </w:rPr>
        <w:t xml:space="preserve">ستحيط السيدة </w:t>
      </w:r>
      <w:proofErr w:type="spellStart"/>
      <w:r w:rsidRPr="005B53BE">
        <w:rPr>
          <w:rFonts w:asciiTheme="minorHAnsi" w:hAnsiTheme="minorHAnsi"/>
          <w:rtl/>
        </w:rPr>
        <w:t>ليليكلاير</w:t>
      </w:r>
      <w:proofErr w:type="spellEnd"/>
      <w:r w:rsidRPr="005B53BE">
        <w:rPr>
          <w:rFonts w:asciiTheme="minorHAnsi" w:hAnsiTheme="minorHAnsi"/>
          <w:rtl/>
        </w:rPr>
        <w:t xml:space="preserve"> </w:t>
      </w:r>
      <w:proofErr w:type="spellStart"/>
      <w:r w:rsidRPr="005B53BE">
        <w:rPr>
          <w:rFonts w:asciiTheme="minorHAnsi" w:hAnsiTheme="minorHAnsi"/>
          <w:rtl/>
        </w:rPr>
        <w:t>ب</w:t>
      </w:r>
      <w:r>
        <w:rPr>
          <w:rFonts w:asciiTheme="minorHAnsi" w:hAnsiTheme="minorHAnsi"/>
          <w:rtl/>
        </w:rPr>
        <w:t>يلامي</w:t>
      </w:r>
      <w:proofErr w:type="spellEnd"/>
      <w:r>
        <w:rPr>
          <w:rFonts w:asciiTheme="minorHAnsi" w:hAnsiTheme="minorHAnsi"/>
          <w:rtl/>
        </w:rPr>
        <w:t xml:space="preserve"> علما</w:t>
      </w:r>
      <w:r>
        <w:rPr>
          <w:rFonts w:asciiTheme="minorHAnsi" w:hAnsiTheme="minorHAnsi" w:hint="cs"/>
          <w:rtl/>
        </w:rPr>
        <w:t>ً</w:t>
      </w:r>
      <w:r>
        <w:rPr>
          <w:rFonts w:asciiTheme="minorHAnsi" w:hAnsiTheme="minorHAnsi"/>
          <w:rtl/>
        </w:rPr>
        <w:t xml:space="preserve"> بأي تعليقات على النص</w:t>
      </w:r>
      <w:r w:rsidRPr="005B53BE">
        <w:rPr>
          <w:rFonts w:asciiTheme="minorHAnsi" w:hAnsiTheme="minorHAnsi"/>
          <w:rtl/>
        </w:rPr>
        <w:t xml:space="preserve">، </w:t>
      </w:r>
      <w:r>
        <w:rPr>
          <w:rFonts w:asciiTheme="minorHAnsi" w:hAnsiTheme="minorHAnsi"/>
          <w:rtl/>
        </w:rPr>
        <w:t>بصفتها الرئيسة الجديدة</w:t>
      </w:r>
      <w:r>
        <w:rPr>
          <w:rFonts w:asciiTheme="minorHAnsi" w:hAnsiTheme="minorHAnsi" w:hint="cs"/>
          <w:rtl/>
        </w:rPr>
        <w:t xml:space="preserve"> للجنة</w:t>
      </w:r>
      <w:r>
        <w:rPr>
          <w:rFonts w:asciiTheme="minorHAnsi" w:hAnsiTheme="minorHAnsi" w:hint="cs"/>
          <w:rtl/>
          <w:lang w:bidi="ar-SY"/>
        </w:rPr>
        <w:t>،</w:t>
      </w:r>
      <w:r w:rsidRPr="005B53BE">
        <w:rPr>
          <w:rFonts w:asciiTheme="minorHAnsi" w:hAnsiTheme="minorHAnsi"/>
          <w:rtl/>
        </w:rPr>
        <w:t xml:space="preserve"> و</w:t>
      </w:r>
      <w:r>
        <w:rPr>
          <w:rFonts w:asciiTheme="minorHAnsi" w:hAnsiTheme="minorHAnsi" w:hint="cs"/>
          <w:rtl/>
        </w:rPr>
        <w:t>س</w:t>
      </w:r>
      <w:r w:rsidRPr="005B53BE">
        <w:rPr>
          <w:rFonts w:asciiTheme="minorHAnsi" w:hAnsiTheme="minorHAnsi"/>
          <w:rtl/>
        </w:rPr>
        <w:t xml:space="preserve">تنظر في الخطوات التالية </w:t>
      </w:r>
      <w:r>
        <w:rPr>
          <w:rFonts w:asciiTheme="minorHAnsi" w:hAnsiTheme="minorHAnsi" w:hint="cs"/>
          <w:rtl/>
        </w:rPr>
        <w:t>ذات الصلة</w:t>
      </w:r>
      <w:r w:rsidRPr="005B53BE">
        <w:rPr>
          <w:rFonts w:asciiTheme="minorHAnsi" w:hAnsiTheme="minorHAnsi"/>
          <w:rtl/>
        </w:rPr>
        <w:t xml:space="preserve"> به. </w:t>
      </w:r>
      <w:r>
        <w:rPr>
          <w:rFonts w:asciiTheme="minorHAnsi" w:hAnsiTheme="minorHAnsi" w:hint="cs"/>
          <w:rtl/>
        </w:rPr>
        <w:t>وأُعدّت</w:t>
      </w:r>
      <w:r w:rsidRPr="005B53BE">
        <w:rPr>
          <w:rFonts w:asciiTheme="minorHAnsi" w:hAnsiTheme="minorHAnsi"/>
          <w:rtl/>
        </w:rPr>
        <w:t xml:space="preserve"> الوثيقة</w:t>
      </w:r>
      <w:r>
        <w:t>WIPO/GRTKF/IC/43</w:t>
      </w:r>
      <w:r w:rsidRPr="009D2D52">
        <w:t>/</w:t>
      </w:r>
      <w:proofErr w:type="gramStart"/>
      <w:r w:rsidRPr="009D2D52">
        <w:t>5</w:t>
      </w:r>
      <w:r>
        <w:t xml:space="preserve"> </w:t>
      </w:r>
      <w:r>
        <w:rPr>
          <w:rFonts w:hint="cs"/>
          <w:rtl/>
        </w:rPr>
        <w:t xml:space="preserve"> </w:t>
      </w:r>
      <w:r w:rsidRPr="005B53BE">
        <w:rPr>
          <w:rFonts w:asciiTheme="minorHAnsi" w:hAnsiTheme="minorHAnsi" w:hint="cs"/>
          <w:rtl/>
        </w:rPr>
        <w:t>لأغراض</w:t>
      </w:r>
      <w:proofErr w:type="gramEnd"/>
      <w:r>
        <w:rPr>
          <w:rFonts w:asciiTheme="minorHAnsi" w:hAnsiTheme="minorHAnsi" w:hint="cs"/>
          <w:rtl/>
        </w:rPr>
        <w:t xml:space="preserve"> هذه</w:t>
      </w:r>
      <w:r w:rsidRPr="005B53BE">
        <w:rPr>
          <w:rFonts w:asciiTheme="minorHAnsi" w:hAnsiTheme="minorHAnsi"/>
          <w:rtl/>
        </w:rPr>
        <w:t xml:space="preserve"> الدورة.</w:t>
      </w:r>
    </w:p>
    <w:p w:rsidR="005B53BE" w:rsidRPr="005B53BE" w:rsidRDefault="005B53BE" w:rsidP="005B53BE">
      <w:pPr>
        <w:pStyle w:val="BodyText"/>
        <w:rPr>
          <w:u w:val="single"/>
        </w:rPr>
      </w:pPr>
      <w:r w:rsidRPr="005B53BE">
        <w:rPr>
          <w:rFonts w:hint="cs"/>
          <w:u w:val="single"/>
          <w:rtl/>
        </w:rPr>
        <w:t xml:space="preserve">الوثيقة </w:t>
      </w:r>
      <w:r w:rsidRPr="005B53BE">
        <w:rPr>
          <w:rFonts w:asciiTheme="minorHAnsi" w:hAnsiTheme="minorHAnsi" w:cstheme="minorHAnsi"/>
          <w:u w:val="single"/>
        </w:rPr>
        <w:t>WIPO/GRTKF/IC/</w:t>
      </w:r>
      <w:r>
        <w:rPr>
          <w:rFonts w:asciiTheme="minorHAnsi" w:hAnsiTheme="minorHAnsi" w:cstheme="minorHAnsi"/>
          <w:u w:val="single"/>
        </w:rPr>
        <w:t>43</w:t>
      </w:r>
      <w:r w:rsidRPr="005B53BE">
        <w:rPr>
          <w:rFonts w:asciiTheme="minorHAnsi" w:hAnsiTheme="minorHAnsi" w:cstheme="minorHAnsi"/>
          <w:u w:val="single"/>
        </w:rPr>
        <w:t>/6</w:t>
      </w:r>
      <w:r w:rsidRPr="005B53BE">
        <w:rPr>
          <w:rFonts w:asciiTheme="minorHAnsi" w:hAnsiTheme="minorHAnsi" w:cstheme="minorHAnsi" w:hint="cs"/>
          <w:u w:val="single"/>
          <w:rtl/>
        </w:rPr>
        <w:t xml:space="preserve">: </w:t>
      </w:r>
      <w:r w:rsidRPr="005B53BE">
        <w:rPr>
          <w:rFonts w:asciiTheme="minorHAnsi" w:hAnsiTheme="minorHAnsi" w:cstheme="minorHAnsi"/>
          <w:u w:val="single"/>
          <w:rtl/>
        </w:rPr>
        <w:t>تقرير عن تجميع المواد بشأن قواعد البيانات المتعلقة بالموارد الوراثية والمعارف التقليدية المرتبطة بها</w:t>
      </w:r>
    </w:p>
    <w:p w:rsidR="005B53BE" w:rsidRDefault="005B53BE" w:rsidP="00463456">
      <w:pPr>
        <w:pStyle w:val="ONUMA"/>
      </w:pPr>
      <w:r w:rsidRPr="005B53BE">
        <w:rPr>
          <w:rtl/>
        </w:rPr>
        <w:t xml:space="preserve">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وعملاً بهذا القرار، أُعدت الوثيقة </w:t>
      </w:r>
      <w:r w:rsidRPr="005B53BE">
        <w:t>WIPO/GRTKF/IC/35/5</w:t>
      </w:r>
      <w:r w:rsidRPr="005B53BE">
        <w:rPr>
          <w:rtl/>
        </w:rPr>
        <w:t xml:space="preserve"> للدورة الخامسة والثلاثين، وأُعدت الوثائق </w:t>
      </w:r>
      <w:r w:rsidRPr="005B53BE">
        <w:t>WIPO/GRTKF/IC/36/5</w:t>
      </w:r>
      <w:r w:rsidRPr="005B53BE">
        <w:rPr>
          <w:rtl/>
        </w:rPr>
        <w:t xml:space="preserve"> و</w:t>
      </w:r>
      <w:r w:rsidRPr="005B53BE">
        <w:t>WIPO/GRTKF/IC/37/8</w:t>
      </w:r>
      <w:r w:rsidR="001F671B">
        <w:rPr>
          <w:lang w:val="fr-CH"/>
        </w:rPr>
        <w:t xml:space="preserve"> </w:t>
      </w:r>
      <w:proofErr w:type="spellStart"/>
      <w:r w:rsidR="001F671B">
        <w:rPr>
          <w:lang w:val="fr-CH"/>
        </w:rPr>
        <w:t>Rev</w:t>
      </w:r>
      <w:proofErr w:type="spellEnd"/>
      <w:r w:rsidR="001F671B">
        <w:rPr>
          <w:lang w:val="fr-CH"/>
        </w:rPr>
        <w:t>.</w:t>
      </w:r>
      <w:r w:rsidRPr="005B53BE">
        <w:rPr>
          <w:rtl/>
        </w:rPr>
        <w:t xml:space="preserve"> و</w:t>
      </w:r>
      <w:r w:rsidRPr="005B53BE">
        <w:t>WIPO/GRETKF/IC/38/8</w:t>
      </w:r>
      <w:r w:rsidRPr="005B53BE">
        <w:rPr>
          <w:rtl/>
        </w:rPr>
        <w:t xml:space="preserve"> و</w:t>
      </w:r>
      <w:r w:rsidRPr="005B53BE">
        <w:t>WIPO/GRETKF/IC/39/8</w:t>
      </w:r>
      <w:r w:rsidRPr="005B53BE">
        <w:rPr>
          <w:rtl/>
        </w:rPr>
        <w:t xml:space="preserve"> و</w:t>
      </w:r>
      <w:r w:rsidRPr="005B53BE">
        <w:t>WIPO/GRETKF/IC/40/9</w:t>
      </w:r>
      <w:r>
        <w:rPr>
          <w:rFonts w:hint="cs"/>
          <w:rtl/>
          <w:lang w:bidi="ar-SY"/>
        </w:rPr>
        <w:t xml:space="preserve"> </w:t>
      </w:r>
      <w:r w:rsidRPr="005B53BE">
        <w:rPr>
          <w:rtl/>
        </w:rPr>
        <w:t>و</w:t>
      </w:r>
      <w:r w:rsidRPr="005B53BE">
        <w:t>WIPO/GRETKF/IC/4</w:t>
      </w:r>
      <w:r>
        <w:t>2</w:t>
      </w:r>
      <w:r w:rsidRPr="005B53BE">
        <w:t>/</w:t>
      </w:r>
      <w:r>
        <w:t>6</w:t>
      </w:r>
      <w:r w:rsidRPr="005B53BE">
        <w:rPr>
          <w:rtl/>
        </w:rPr>
        <w:t>، مع إدخال بعض التحديثات عليها، لأغراض الدورات السادسة والثلاثين والسابعة والثلاثين والثامنة والثلاثين والتاسعة والثلاثين والأربعين</w:t>
      </w:r>
      <w:r w:rsidR="00463456">
        <w:rPr>
          <w:rFonts w:hint="cs"/>
          <w:rtl/>
          <w:lang w:bidi="ar-SY"/>
        </w:rPr>
        <w:t xml:space="preserve"> والثانية والأربعين</w:t>
      </w:r>
      <w:r w:rsidR="00463456">
        <w:rPr>
          <w:rtl/>
        </w:rPr>
        <w:t xml:space="preserve"> للجنة.</w:t>
      </w:r>
      <w:r w:rsidR="00463456">
        <w:rPr>
          <w:rFonts w:hint="cs"/>
          <w:rtl/>
          <w:lang w:bidi="ar-SY"/>
        </w:rPr>
        <w:t xml:space="preserve"> وسيجري إعداد</w:t>
      </w:r>
      <w:r w:rsidRPr="005B53BE">
        <w:rPr>
          <w:rtl/>
        </w:rPr>
        <w:t xml:space="preserve"> الوثيقة ذاتها، مع إدخال بعض التحديثات عليها، </w:t>
      </w:r>
      <w:r w:rsidR="00463456">
        <w:rPr>
          <w:rFonts w:hint="cs"/>
          <w:rtl/>
        </w:rPr>
        <w:t>تحت الرمز</w:t>
      </w:r>
      <w:r w:rsidRPr="005B53BE">
        <w:rPr>
          <w:rtl/>
        </w:rPr>
        <w:t xml:space="preserve"> </w:t>
      </w:r>
      <w:r w:rsidRPr="005B53BE">
        <w:t>WIPO/GRTKF/IC/</w:t>
      </w:r>
      <w:r w:rsidR="00463456">
        <w:t>43</w:t>
      </w:r>
      <w:r w:rsidRPr="005B53BE">
        <w:t>/6</w:t>
      </w:r>
      <w:r w:rsidRPr="005B53BE">
        <w:rPr>
          <w:rtl/>
        </w:rPr>
        <w:t>.</w:t>
      </w:r>
    </w:p>
    <w:p w:rsidR="00824E16" w:rsidRPr="00824E16" w:rsidRDefault="00824E16" w:rsidP="00824E16">
      <w:pPr>
        <w:pStyle w:val="BodyText"/>
        <w:rPr>
          <w:u w:val="single"/>
        </w:rPr>
      </w:pPr>
      <w:r w:rsidRPr="00824E16">
        <w:rPr>
          <w:rFonts w:hint="cs"/>
          <w:u w:val="single"/>
          <w:rtl/>
        </w:rPr>
        <w:t xml:space="preserve">الوثيقة </w:t>
      </w:r>
      <w:r w:rsidRPr="00824E16">
        <w:rPr>
          <w:u w:val="single"/>
        </w:rPr>
        <w:t>WIPO/GRTKF/IC/</w:t>
      </w:r>
      <w:r>
        <w:rPr>
          <w:u w:val="single"/>
        </w:rPr>
        <w:t>43</w:t>
      </w:r>
      <w:r w:rsidRPr="00824E16">
        <w:rPr>
          <w:u w:val="single"/>
        </w:rPr>
        <w:t>/7</w:t>
      </w:r>
      <w:r w:rsidRPr="00824E16">
        <w:rPr>
          <w:rFonts w:hint="cs"/>
          <w:u w:val="single"/>
          <w:rtl/>
        </w:rPr>
        <w:t xml:space="preserve">: </w:t>
      </w:r>
      <w:r w:rsidRPr="00824E16">
        <w:rPr>
          <w:u w:val="single"/>
          <w:rtl/>
        </w:rPr>
        <w:t>تقرير عن تجميع المواد بشأن أنظمة الكشف المتعلقة بالموارد الوراثية والمعارف التقليدية المرتبطة بها</w:t>
      </w:r>
    </w:p>
    <w:p w:rsidR="00824E16" w:rsidRPr="00FB7FA6" w:rsidRDefault="00824E16" w:rsidP="00824E16">
      <w:pPr>
        <w:pStyle w:val="ONUMA"/>
        <w:rPr>
          <w:rFonts w:eastAsia="SimSun"/>
          <w:lang w:eastAsia="zh-CN"/>
        </w:rPr>
      </w:pPr>
      <w:r>
        <w:rPr>
          <w:rtl/>
        </w:rPr>
        <w:t>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وعملاً بهذا القرار، أُعدت الوثيقة </w:t>
      </w:r>
      <w:r>
        <w:t>WIPO/GRTKF/IC/35/6</w:t>
      </w:r>
      <w:r>
        <w:rPr>
          <w:rtl/>
        </w:rPr>
        <w:t xml:space="preserve"> للدورة الخامسة والثلاثين، وأُعدت الوثائق </w:t>
      </w:r>
      <w:r>
        <w:t>WIPO/GRTKF/IC/36/6</w:t>
      </w:r>
      <w:r>
        <w:rPr>
          <w:rtl/>
        </w:rPr>
        <w:t xml:space="preserve"> و</w:t>
      </w:r>
      <w:r>
        <w:t>WIPO/GRTKF/IC/37/9</w:t>
      </w:r>
      <w:r>
        <w:rPr>
          <w:rtl/>
          <w:lang w:bidi="ar-SY"/>
        </w:rPr>
        <w:t xml:space="preserve"> </w:t>
      </w:r>
      <w:r>
        <w:rPr>
          <w:rtl/>
        </w:rPr>
        <w:t>و</w:t>
      </w:r>
      <w:r>
        <w:t>WIPO/GRETKF/IC/38/9</w:t>
      </w:r>
      <w:r>
        <w:rPr>
          <w:rtl/>
        </w:rPr>
        <w:t xml:space="preserve"> و</w:t>
      </w:r>
      <w:r>
        <w:t>WIPO/GRETKF/IC/39/9</w:t>
      </w:r>
      <w:r>
        <w:rPr>
          <w:rtl/>
        </w:rPr>
        <w:t xml:space="preserve"> </w:t>
      </w:r>
      <w:r>
        <w:rPr>
          <w:rFonts w:hint="cs"/>
          <w:rtl/>
        </w:rPr>
        <w:t>و</w:t>
      </w:r>
      <w:r>
        <w:t>WIPO/GRETKF/IC/40/10</w:t>
      </w:r>
      <w:r>
        <w:rPr>
          <w:rtl/>
        </w:rPr>
        <w:t xml:space="preserve"> </w:t>
      </w:r>
      <w:r>
        <w:rPr>
          <w:rFonts w:hint="cs"/>
          <w:rtl/>
        </w:rPr>
        <w:t>و</w:t>
      </w:r>
      <w:r>
        <w:t>WIPO/GRETKF/IC/42/7</w:t>
      </w:r>
      <w:r>
        <w:rPr>
          <w:rtl/>
        </w:rPr>
        <w:t xml:space="preserve"> </w:t>
      </w:r>
      <w:r>
        <w:rPr>
          <w:rFonts w:hint="cs"/>
          <w:rtl/>
        </w:rPr>
        <w:t>مع إدخال بعض التحديثات عليها، لأغراض الدورات السادسة والثلاثين والسابعة والثلاثين والثامنة والثلاثين</w:t>
      </w:r>
      <w:r>
        <w:rPr>
          <w:rtl/>
          <w:lang w:val="fr-CH" w:bidi="ar-SY"/>
        </w:rPr>
        <w:t xml:space="preserve"> والتاسعة والثلاثين </w:t>
      </w:r>
      <w:r>
        <w:rPr>
          <w:rFonts w:hint="cs"/>
          <w:rtl/>
          <w:lang w:val="fr-CH" w:bidi="ar-SY"/>
        </w:rPr>
        <w:t>والأربعين والثانية والأربعين</w:t>
      </w:r>
      <w:r>
        <w:rPr>
          <w:rtl/>
          <w:lang w:bidi="ar-SY"/>
        </w:rPr>
        <w:t xml:space="preserve"> </w:t>
      </w:r>
      <w:r>
        <w:rPr>
          <w:rtl/>
        </w:rPr>
        <w:t xml:space="preserve">للجنة. وأعيد إصدار الوثيقة ذاتها، مع إدخال بعض التحديثات عليها، تحت الرمز </w:t>
      </w:r>
      <w:r>
        <w:t>WIPO/GRTKF/IC/43/7</w:t>
      </w:r>
      <w:r>
        <w:rPr>
          <w:rtl/>
        </w:rPr>
        <w:t>.</w:t>
      </w:r>
    </w:p>
    <w:p w:rsidR="00FB7FA6" w:rsidRDefault="00FB7FA6" w:rsidP="00FB7FA6">
      <w:pPr>
        <w:pStyle w:val="BodyText"/>
        <w:rPr>
          <w:u w:val="single"/>
          <w:rtl/>
        </w:rPr>
      </w:pPr>
      <w:r w:rsidRPr="00824E16">
        <w:rPr>
          <w:rFonts w:hint="cs"/>
          <w:u w:val="single"/>
          <w:rtl/>
        </w:rPr>
        <w:t xml:space="preserve">الوثيقة </w:t>
      </w:r>
      <w:r w:rsidRPr="00FB7FA6">
        <w:rPr>
          <w:u w:val="single"/>
        </w:rPr>
        <w:t>WIPO/GRTKF/IC/43/8</w:t>
      </w:r>
      <w:r w:rsidRPr="00FB7FA6">
        <w:rPr>
          <w:rFonts w:hint="cs"/>
          <w:u w:val="single"/>
          <w:rtl/>
        </w:rPr>
        <w:t xml:space="preserve">: </w:t>
      </w:r>
      <w:r w:rsidRPr="00FB7FA6">
        <w:rPr>
          <w:u w:val="single"/>
          <w:rtl/>
        </w:rPr>
        <w:t>الأثر الاقتصادي لتأخر البراءات وعدم اليقين بشأنها: مخاوف الولايات المتحدة بشأن المقترحات المتعلقة بمتطلبات الكشف الجديدة عن البراءات</w:t>
      </w:r>
    </w:p>
    <w:p w:rsidR="00FB7FA6" w:rsidRDefault="002D7230" w:rsidP="002D7230">
      <w:pPr>
        <w:pStyle w:val="ONUMA"/>
        <w:rPr>
          <w:rtl/>
        </w:rPr>
      </w:pPr>
      <w:r>
        <w:rPr>
          <w:rFonts w:hint="cs"/>
          <w:rtl/>
        </w:rPr>
        <w:t>في</w:t>
      </w:r>
      <w:r w:rsidR="00FB7FA6" w:rsidRPr="00FB7FA6">
        <w:rPr>
          <w:rtl/>
        </w:rPr>
        <w:t xml:space="preserve"> الدورة السادسة والثلاثين للجنة المعارف، التي عُقدت في يونيو 2018، أتاح وفد الولايات المتحدة الأمريكية "الأثر الاقتصادي لتأخر البراءات وعدم اليقين بشأنها: مخاوف الولايات المتحدة بشأن المقترحات المتعلقة بمتطلبات الكشف الجديدة عن البراءات</w:t>
      </w:r>
      <w:r w:rsidR="00FB7FA6">
        <w:rPr>
          <w:rFonts w:hint="cs"/>
          <w:rtl/>
        </w:rPr>
        <w:t xml:space="preserve">". </w:t>
      </w:r>
      <w:r w:rsidR="00FB7FA6" w:rsidRPr="00FB7FA6">
        <w:rPr>
          <w:rtl/>
        </w:rPr>
        <w:t>وقد أعاد الوفد تقديم نفس الوثيقة كوثيقة عمل لهذه الدورة.</w:t>
      </w:r>
    </w:p>
    <w:p w:rsidR="00FB7FA6" w:rsidRDefault="00FB7FA6" w:rsidP="00FB7FA6">
      <w:pPr>
        <w:pStyle w:val="BodyText"/>
        <w:rPr>
          <w:u w:val="single"/>
          <w:rtl/>
        </w:rPr>
      </w:pPr>
      <w:r w:rsidRPr="00824E16">
        <w:rPr>
          <w:rFonts w:hint="cs"/>
          <w:u w:val="single"/>
          <w:rtl/>
        </w:rPr>
        <w:t>الوثيقة</w:t>
      </w:r>
      <w:r>
        <w:rPr>
          <w:rFonts w:hint="cs"/>
          <w:u w:val="single"/>
          <w:rtl/>
        </w:rPr>
        <w:t xml:space="preserve"> </w:t>
      </w:r>
      <w:r w:rsidRPr="00FB7FA6">
        <w:rPr>
          <w:u w:val="single"/>
        </w:rPr>
        <w:t>WIPO/GRTKF/IC/43/9</w:t>
      </w:r>
      <w:r>
        <w:rPr>
          <w:rFonts w:hint="cs"/>
          <w:u w:val="single"/>
          <w:rtl/>
        </w:rPr>
        <w:t xml:space="preserve">: </w:t>
      </w:r>
      <w:r w:rsidRPr="00FB7FA6">
        <w:rPr>
          <w:u w:val="single"/>
          <w:rtl/>
        </w:rPr>
        <w:t>توصية مشتركة بشأن الموارد الوراثية والمعارف التقليدية المرتبطة بها</w:t>
      </w:r>
    </w:p>
    <w:p w:rsidR="00FB7FA6" w:rsidRPr="002D7230" w:rsidRDefault="002D7230" w:rsidP="002D7230">
      <w:pPr>
        <w:pStyle w:val="ONUMA"/>
        <w:rPr>
          <w:rFonts w:eastAsia="SimSun"/>
        </w:rPr>
      </w:pPr>
      <w:r>
        <w:rPr>
          <w:rFonts w:hint="cs"/>
          <w:rtl/>
        </w:rPr>
        <w:t>في</w:t>
      </w:r>
      <w:r w:rsidR="00FB7FA6" w:rsidRPr="00FB7FA6">
        <w:rPr>
          <w:rtl/>
        </w:rPr>
        <w:t xml:space="preserve"> الدورة العشرين للجنة المعارف، التي عُقدت في فبراير 2012، أتاحت وفود كندا واليابان والنرويج وجمهورية كوريا والولايات المتحدة الأمريكية "توصية مشتركة بشأن الموارد الوراثية والمعارف التقليدية المرتبطة بها". وقد ورد</w:t>
      </w:r>
      <w:r>
        <w:rPr>
          <w:rFonts w:hint="cs"/>
          <w:rtl/>
        </w:rPr>
        <w:t>ت</w:t>
      </w:r>
      <w:r w:rsidR="00FB7FA6" w:rsidRPr="00FB7FA6">
        <w:rPr>
          <w:rtl/>
        </w:rPr>
        <w:t xml:space="preserve"> في </w:t>
      </w:r>
      <w:proofErr w:type="gramStart"/>
      <w:r w:rsidR="00FB7FA6" w:rsidRPr="00FB7FA6">
        <w:rPr>
          <w:rtl/>
        </w:rPr>
        <w:t>الوثيقة</w:t>
      </w:r>
      <w:r>
        <w:rPr>
          <w:rFonts w:hint="cs"/>
          <w:rtl/>
        </w:rPr>
        <w:t> .</w:t>
      </w:r>
      <w:r w:rsidR="00FB7FA6" w:rsidRPr="00FB7FA6">
        <w:t>WIPO</w:t>
      </w:r>
      <w:proofErr w:type="gramEnd"/>
      <w:r w:rsidR="00FB7FA6" w:rsidRPr="00FB7FA6">
        <w:t>/GRTKF/IC/20/9 Rev</w:t>
      </w:r>
      <w:r w:rsidR="00FB7FA6" w:rsidRPr="00FB7FA6">
        <w:rPr>
          <w:rtl/>
        </w:rPr>
        <w:t>. وقد أعادت وفود اليابان والنرويج وجمهورية كوريا والولايات المتحدة الأمريكية تقديم هذه التوصية المشتركة كوثيقة عمل لهذه الدورة.</w:t>
      </w:r>
    </w:p>
    <w:p w:rsidR="002D7230" w:rsidRDefault="002D7230" w:rsidP="002D7230">
      <w:pPr>
        <w:pStyle w:val="ONUMA"/>
        <w:numPr>
          <w:ilvl w:val="0"/>
          <w:numId w:val="0"/>
        </w:numPr>
        <w:rPr>
          <w:u w:val="single"/>
          <w:rtl/>
        </w:rPr>
      </w:pPr>
      <w:r w:rsidRPr="00824E16">
        <w:rPr>
          <w:rFonts w:hint="cs"/>
          <w:u w:val="single"/>
          <w:rtl/>
        </w:rPr>
        <w:lastRenderedPageBreak/>
        <w:t>الوثيقة</w:t>
      </w:r>
      <w:r>
        <w:rPr>
          <w:rFonts w:hint="cs"/>
          <w:u w:val="single"/>
          <w:rtl/>
        </w:rPr>
        <w:t xml:space="preserve"> </w:t>
      </w:r>
      <w:r w:rsidRPr="002D7230">
        <w:rPr>
          <w:u w:val="single"/>
        </w:rPr>
        <w:t>WIPO/GRTKF/IC/43/10</w:t>
      </w:r>
      <w:r>
        <w:rPr>
          <w:rFonts w:hint="cs"/>
          <w:u w:val="single"/>
          <w:rtl/>
        </w:rPr>
        <w:t xml:space="preserve">: </w:t>
      </w:r>
      <w:r w:rsidRPr="002D7230">
        <w:rPr>
          <w:u w:val="single"/>
          <w:rtl/>
        </w:rPr>
        <w:t>توصية مشتركة بشأن استخدام قواعد البيانات لأغراض الحماية الدفاعية للموارد الوراثية والمعارف التقليدية المرتبطة بها</w:t>
      </w:r>
    </w:p>
    <w:p w:rsidR="002D7230" w:rsidRPr="002D7230" w:rsidRDefault="002D7230" w:rsidP="00A364DC">
      <w:pPr>
        <w:pStyle w:val="ONUMA"/>
        <w:rPr>
          <w:rFonts w:eastAsia="SimSun"/>
          <w:rtl/>
        </w:rPr>
      </w:pPr>
      <w:r>
        <w:rPr>
          <w:rFonts w:hint="cs"/>
          <w:rtl/>
        </w:rPr>
        <w:t>في</w:t>
      </w:r>
      <w:r w:rsidRPr="002D7230">
        <w:rPr>
          <w:rtl/>
        </w:rPr>
        <w:t xml:space="preserve"> الدورة الثالثة والعشرين للجنة المعارف، التي عُقدت في فبراير 2013، </w:t>
      </w:r>
      <w:r>
        <w:rPr>
          <w:rFonts w:hint="cs"/>
          <w:rtl/>
        </w:rPr>
        <w:t xml:space="preserve">تشاركت </w:t>
      </w:r>
      <w:r w:rsidRPr="002D7230">
        <w:rPr>
          <w:rtl/>
        </w:rPr>
        <w:t>وف</w:t>
      </w:r>
      <w:r>
        <w:rPr>
          <w:rFonts w:hint="cs"/>
          <w:rtl/>
        </w:rPr>
        <w:t>و</w:t>
      </w:r>
      <w:r w:rsidRPr="002D7230">
        <w:rPr>
          <w:rtl/>
        </w:rPr>
        <w:t xml:space="preserve">د كندا واليابان </w:t>
      </w:r>
      <w:r w:rsidRPr="002D7230">
        <w:rPr>
          <w:rtl/>
        </w:rPr>
        <w:t>وجمهورية كوريا والولايات المتحدة الأمريكية</w:t>
      </w:r>
      <w:r w:rsidRPr="002D7230">
        <w:rPr>
          <w:rtl/>
        </w:rPr>
        <w:t xml:space="preserve"> في رعاية توصية مشتركة بشأن استخدام قواعد البيانات لأغراض </w:t>
      </w:r>
      <w:r>
        <w:rPr>
          <w:rFonts w:hint="cs"/>
          <w:rtl/>
        </w:rPr>
        <w:t>ا</w:t>
      </w:r>
      <w:r w:rsidRPr="002D7230">
        <w:rPr>
          <w:rtl/>
        </w:rPr>
        <w:t xml:space="preserve">لحماية الدفاعية للموارد الوراثية والمعارف التقليدية المرتبطة </w:t>
      </w:r>
      <w:r w:rsidR="00A364DC">
        <w:rPr>
          <w:rFonts w:hint="cs"/>
          <w:rtl/>
        </w:rPr>
        <w:t xml:space="preserve">بها. </w:t>
      </w:r>
      <w:r w:rsidRPr="002D7230">
        <w:rPr>
          <w:rtl/>
        </w:rPr>
        <w:t xml:space="preserve">وورد هذا الاقتراح في الوثيقة </w:t>
      </w:r>
      <w:r w:rsidRPr="002D7230">
        <w:t>WIPO/GRTKF/IC/23/7</w:t>
      </w:r>
      <w:r w:rsidRPr="002D7230">
        <w:rPr>
          <w:rtl/>
        </w:rPr>
        <w:t xml:space="preserve">. </w:t>
      </w:r>
      <w:r w:rsidR="00A364DC">
        <w:rPr>
          <w:rFonts w:hint="cs"/>
          <w:rtl/>
        </w:rPr>
        <w:t>و</w:t>
      </w:r>
      <w:r w:rsidRPr="002D7230">
        <w:rPr>
          <w:rtl/>
        </w:rPr>
        <w:t>أعادت وفود اليابان والنرويج وجمهورية كوريا والولايات المتحدة الأمريكية تقديم هذه التوصية المشتركة كوثيقة عمل لهذه الدورة.</w:t>
      </w:r>
    </w:p>
    <w:p w:rsidR="00824E16" w:rsidRPr="001F671B" w:rsidRDefault="00824E16" w:rsidP="00824E16">
      <w:pPr>
        <w:pStyle w:val="Heading2"/>
        <w:spacing w:after="240"/>
        <w:rPr>
          <w:b/>
          <w:bCs w:val="0"/>
          <w:i/>
          <w:iCs w:val="0"/>
          <w:sz w:val="24"/>
          <w:szCs w:val="24"/>
          <w:rtl/>
        </w:rPr>
      </w:pPr>
      <w:r w:rsidRPr="001F671B">
        <w:rPr>
          <w:rFonts w:hint="cs"/>
          <w:b/>
          <w:bCs w:val="0"/>
          <w:i/>
          <w:iCs w:val="0"/>
          <w:sz w:val="24"/>
          <w:szCs w:val="24"/>
          <w:rtl/>
        </w:rPr>
        <w:t>ثانياً.</w:t>
      </w:r>
      <w:r w:rsidRPr="001F671B">
        <w:rPr>
          <w:rFonts w:hint="cs"/>
          <w:b/>
          <w:bCs w:val="0"/>
          <w:i/>
          <w:iCs w:val="0"/>
          <w:sz w:val="24"/>
          <w:szCs w:val="24"/>
          <w:rtl/>
        </w:rPr>
        <w:tab/>
        <w:t>وثائق إعلامية للدورة الثالثة والأربعين</w:t>
      </w:r>
    </w:p>
    <w:p w:rsidR="00824E16" w:rsidRPr="00824E16" w:rsidRDefault="00824E16" w:rsidP="00824E16">
      <w:pPr>
        <w:pStyle w:val="BodyText"/>
        <w:rPr>
          <w:u w:val="single"/>
          <w:rtl/>
        </w:rPr>
      </w:pPr>
      <w:r w:rsidRPr="00824E16">
        <w:rPr>
          <w:u w:val="single"/>
          <w:rtl/>
        </w:rPr>
        <w:t xml:space="preserve">الوثيقة </w:t>
      </w:r>
      <w:r w:rsidRPr="00824E16">
        <w:rPr>
          <w:u w:val="single"/>
        </w:rPr>
        <w:t>WIPO/GRTKF/IC/4</w:t>
      </w:r>
      <w:r>
        <w:rPr>
          <w:u w:val="single"/>
        </w:rPr>
        <w:t>3</w:t>
      </w:r>
      <w:r w:rsidRPr="00824E16">
        <w:rPr>
          <w:u w:val="single"/>
        </w:rPr>
        <w:t>/INF/1</w:t>
      </w:r>
      <w:r w:rsidRPr="00824E16">
        <w:rPr>
          <w:u w:val="single"/>
          <w:rtl/>
        </w:rPr>
        <w:t>: قائمة المشاركين</w:t>
      </w:r>
    </w:p>
    <w:p w:rsidR="00824E16" w:rsidRPr="00824E16" w:rsidRDefault="00824E16" w:rsidP="00824E16">
      <w:pPr>
        <w:pStyle w:val="ONUMA"/>
        <w:rPr>
          <w:rFonts w:eastAsia="SimSun"/>
          <w:lang w:eastAsia="zh-CN"/>
        </w:rPr>
      </w:pPr>
      <w:r>
        <w:rPr>
          <w:rtl/>
        </w:rPr>
        <w:t xml:space="preserve">سيُوزّع مشروع قائمة المشاركين في الدورة </w:t>
      </w:r>
      <w:r>
        <w:rPr>
          <w:rFonts w:hint="cs"/>
          <w:rtl/>
          <w:lang w:val="fr-CH" w:bidi="ar-SY"/>
        </w:rPr>
        <w:t>الثالثة</w:t>
      </w:r>
      <w:r>
        <w:rPr>
          <w:rtl/>
          <w:lang w:val="fr-CH" w:bidi="ar-SY"/>
        </w:rPr>
        <w:t xml:space="preserve"> والأربعين</w:t>
      </w:r>
      <w:r>
        <w:rPr>
          <w:rtl/>
        </w:rPr>
        <w:t xml:space="preserve"> للجنة.</w:t>
      </w:r>
    </w:p>
    <w:p w:rsidR="00824E16" w:rsidRPr="00824E16" w:rsidRDefault="00824E16" w:rsidP="00824E16">
      <w:pPr>
        <w:pStyle w:val="BodyText"/>
        <w:rPr>
          <w:u w:val="single"/>
        </w:rPr>
      </w:pPr>
      <w:r w:rsidRPr="00824E16">
        <w:rPr>
          <w:rFonts w:hint="cs"/>
          <w:u w:val="single"/>
          <w:rtl/>
        </w:rPr>
        <w:t xml:space="preserve">الوثيقة </w:t>
      </w:r>
      <w:r w:rsidRPr="00824E16">
        <w:rPr>
          <w:u w:val="single"/>
        </w:rPr>
        <w:t>WIPO/GRTKF/IC/4</w:t>
      </w:r>
      <w:r>
        <w:rPr>
          <w:u w:val="single"/>
        </w:rPr>
        <w:t>3</w:t>
      </w:r>
      <w:r w:rsidRPr="00824E16">
        <w:rPr>
          <w:u w:val="single"/>
        </w:rPr>
        <w:t>/INF/2</w:t>
      </w:r>
      <w:r w:rsidR="00A364DC">
        <w:rPr>
          <w:u w:val="single"/>
        </w:rPr>
        <w:t xml:space="preserve"> Rev.</w:t>
      </w:r>
      <w:r w:rsidRPr="00824E16">
        <w:rPr>
          <w:u w:val="single"/>
          <w:rtl/>
        </w:rPr>
        <w:t>: تلخيص مقتضب للوثائق</w:t>
      </w:r>
    </w:p>
    <w:p w:rsidR="00824E16" w:rsidRPr="00824E16" w:rsidRDefault="00824E16" w:rsidP="00824E16">
      <w:pPr>
        <w:pStyle w:val="ONUMA"/>
        <w:rPr>
          <w:rFonts w:eastAsia="SimSun"/>
          <w:lang w:eastAsia="zh-CN"/>
        </w:rPr>
      </w:pPr>
      <w:r>
        <w:rPr>
          <w:rtl/>
        </w:rPr>
        <w:t>أُعدت هذه الوثيقة خارج الإطار الرسمي ليُستدل بها على وثائق اللجنة.</w:t>
      </w:r>
    </w:p>
    <w:p w:rsidR="00824E16" w:rsidRPr="00824E16" w:rsidRDefault="00824E16" w:rsidP="00824E16">
      <w:pPr>
        <w:pStyle w:val="BodyText"/>
        <w:rPr>
          <w:u w:val="single"/>
          <w:lang w:val="fr-CH" w:bidi="ar-SY"/>
        </w:rPr>
      </w:pPr>
      <w:r w:rsidRPr="00824E16">
        <w:rPr>
          <w:u w:val="single"/>
          <w:rtl/>
        </w:rPr>
        <w:t xml:space="preserve">الوثيقة </w:t>
      </w:r>
      <w:r w:rsidRPr="00824E16">
        <w:rPr>
          <w:u w:val="single"/>
        </w:rPr>
        <w:t>WIPO/GRTKF/IC/4</w:t>
      </w:r>
      <w:r>
        <w:rPr>
          <w:u w:val="single"/>
          <w:lang w:val="fr-CH"/>
        </w:rPr>
        <w:t>3</w:t>
      </w:r>
      <w:r w:rsidRPr="00824E16">
        <w:rPr>
          <w:u w:val="single"/>
        </w:rPr>
        <w:t>/INF/3</w:t>
      </w:r>
      <w:r w:rsidR="00A364DC">
        <w:rPr>
          <w:u w:val="single"/>
        </w:rPr>
        <w:t xml:space="preserve"> Rev.</w:t>
      </w:r>
      <w:r w:rsidRPr="00824E16">
        <w:rPr>
          <w:u w:val="single"/>
          <w:rtl/>
        </w:rPr>
        <w:t xml:space="preserve">: مشروع برنامج الدورة </w:t>
      </w:r>
      <w:r>
        <w:rPr>
          <w:rFonts w:hint="cs"/>
          <w:u w:val="single"/>
          <w:rtl/>
          <w:lang w:val="fr-CH" w:bidi="ar-SY"/>
        </w:rPr>
        <w:t>الثالثة</w:t>
      </w:r>
      <w:r w:rsidRPr="00824E16">
        <w:rPr>
          <w:u w:val="single"/>
          <w:rtl/>
          <w:lang w:val="fr-CH" w:bidi="ar-SY"/>
        </w:rPr>
        <w:t xml:space="preserve"> والأربعين</w:t>
      </w:r>
    </w:p>
    <w:p w:rsidR="00824E16" w:rsidRPr="00824E16" w:rsidRDefault="00824E16" w:rsidP="00824E16">
      <w:pPr>
        <w:pStyle w:val="ONUMA"/>
        <w:rPr>
          <w:rFonts w:eastAsia="SimSun"/>
          <w:lang w:eastAsia="zh-CN"/>
        </w:rPr>
      </w:pPr>
      <w:r>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 إرشادياً فقط، ذلك أن التنظيم الفعلي لعمل اللجنة يبقى في عهدة الرئيس وأعضاء اللجنة وفقا للنظام الداخلي.</w:t>
      </w:r>
    </w:p>
    <w:p w:rsidR="00824E16" w:rsidRPr="00824E16" w:rsidRDefault="00824E16" w:rsidP="00824E16">
      <w:pPr>
        <w:pStyle w:val="BodyText"/>
        <w:rPr>
          <w:u w:val="single"/>
        </w:rPr>
      </w:pPr>
      <w:r w:rsidRPr="00824E16">
        <w:rPr>
          <w:rFonts w:hint="cs"/>
          <w:u w:val="single"/>
          <w:rtl/>
        </w:rPr>
        <w:t xml:space="preserve">الوثيقة </w:t>
      </w:r>
      <w:r w:rsidRPr="00824E16">
        <w:rPr>
          <w:u w:val="single"/>
        </w:rPr>
        <w:t>WIPO/GRTKF/IC/4</w:t>
      </w:r>
      <w:r>
        <w:rPr>
          <w:u w:val="single"/>
        </w:rPr>
        <w:t>3</w:t>
      </w:r>
      <w:r w:rsidRPr="00824E16">
        <w:rPr>
          <w:u w:val="single"/>
        </w:rPr>
        <w:t>/INF/4</w:t>
      </w:r>
      <w:r w:rsidRPr="00824E16">
        <w:rPr>
          <w:rFonts w:hint="cs"/>
          <w:u w:val="single"/>
          <w:rtl/>
        </w:rPr>
        <w:t>: صندوق الويبو للتبرعات لفائدة الجماعات الأصلية والمحلية المعتمدة: مذكرة إعلامية عن التبرعات وطلبات الدعم</w:t>
      </w:r>
    </w:p>
    <w:p w:rsidR="00824E16" w:rsidRPr="00824E16" w:rsidRDefault="00824E16" w:rsidP="00824E16">
      <w:pPr>
        <w:pStyle w:val="ONUMA"/>
        <w:rPr>
          <w:rFonts w:eastAsia="SimSun"/>
          <w:lang w:eastAsia="zh-CN"/>
        </w:rPr>
      </w:pPr>
      <w:r>
        <w:rPr>
          <w:rtl/>
        </w:rPr>
        <w:t xml:space="preserve">تحتوي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t>WO/GA/32/6</w:t>
      </w:r>
      <w:r>
        <w:rPr>
          <w:rtl/>
        </w:rPr>
        <w:t xml:space="preserve"> بالصيغة التي وافقت عليها الجمعية العامة للويبو في دورتها الثانية والثلاثين ثم عدّلتها في سبتمبر 2010. وتتضمن خصوصاً معلومات عن التبرعات الواردة أو تلك المتعهد بها وعن الدعم الفعلي المقدم لممثلي الجماعات الأصلية والمحلية المعتمدة.</w:t>
      </w:r>
    </w:p>
    <w:p w:rsidR="00824E16" w:rsidRPr="00824E16" w:rsidRDefault="00824E16" w:rsidP="00824E16">
      <w:pPr>
        <w:pStyle w:val="BodyText"/>
        <w:rPr>
          <w:u w:val="single"/>
          <w:rtl/>
          <w:lang w:bidi="ar-SY"/>
        </w:rPr>
      </w:pPr>
      <w:r w:rsidRPr="00824E16">
        <w:rPr>
          <w:rFonts w:hint="cs"/>
          <w:u w:val="single"/>
          <w:rtl/>
          <w:lang w:bidi="ar-SY"/>
        </w:rPr>
        <w:t xml:space="preserve">الوثيقة </w:t>
      </w:r>
      <w:r w:rsidRPr="00824E16">
        <w:rPr>
          <w:u w:val="single"/>
        </w:rPr>
        <w:t>WIPO/GRTKF/IC/4</w:t>
      </w:r>
      <w:r>
        <w:rPr>
          <w:u w:val="single"/>
        </w:rPr>
        <w:t>3</w:t>
      </w:r>
      <w:r w:rsidRPr="00824E16">
        <w:rPr>
          <w:u w:val="single"/>
        </w:rPr>
        <w:t>/INF/5</w:t>
      </w:r>
      <w:r w:rsidRPr="00824E16">
        <w:rPr>
          <w:rFonts w:hint="cs"/>
          <w:u w:val="single"/>
          <w:rtl/>
        </w:rPr>
        <w:t>: مذكرة إعلامية لمنبر الجماعات الأصلية والمحلية</w:t>
      </w:r>
    </w:p>
    <w:p w:rsidR="00824E16" w:rsidRPr="00824E16" w:rsidRDefault="00824E16" w:rsidP="001F671B">
      <w:pPr>
        <w:pStyle w:val="ONUMA"/>
        <w:rPr>
          <w:rFonts w:eastAsia="SimSun"/>
          <w:lang w:eastAsia="zh-CN"/>
        </w:rPr>
      </w:pPr>
      <w:r>
        <w:rPr>
          <w:rtl/>
        </w:rPr>
        <w:t>وفقا</w:t>
      </w:r>
      <w:r>
        <w:rPr>
          <w:rFonts w:hint="cs"/>
          <w:rtl/>
          <w:lang w:bidi="ar-SY"/>
        </w:rPr>
        <w:t>ً</w:t>
      </w:r>
      <w:r>
        <w:rPr>
          <w:rtl/>
        </w:rPr>
        <w:t xml:space="preserve">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1F671B">
        <w:rPr>
          <w:rFonts w:hint="cs"/>
          <w:rtl/>
          <w:lang w:val="fr-CH" w:bidi="ar-SY"/>
        </w:rPr>
        <w:t>الأربع</w:t>
      </w:r>
      <w:r>
        <w:rPr>
          <w:rtl/>
          <w:lang w:val="fr-CH" w:bidi="ar-SY"/>
        </w:rPr>
        <w:t xml:space="preserve"> والثلاثين</w:t>
      </w:r>
      <w:r>
        <w:rPr>
          <w:rtl/>
        </w:rPr>
        <w:t xml:space="preserve"> السابقة. وفي كل مناسبة، قدم ممثلو الجماعات الأصلية والمحلية عروضاً حول محور محدّد ذي صلة بمفاوضات لجنة المعارف. وتلك العروض متاحة على موقع </w:t>
      </w:r>
      <w:proofErr w:type="spellStart"/>
      <w:r>
        <w:rPr>
          <w:rtl/>
        </w:rPr>
        <w:t>الويبو</w:t>
      </w:r>
      <w:proofErr w:type="spellEnd"/>
      <w:r>
        <w:rPr>
          <w:rtl/>
        </w:rPr>
        <w:t xml:space="preserve"> الإلكتروني عبر الرابط التالي: </w:t>
      </w:r>
      <w:hyperlink r:id="rId13" w:history="1">
        <w:r w:rsidRPr="001F671B">
          <w:rPr>
            <w:rStyle w:val="Hyperlink"/>
          </w:rPr>
          <w:t>https://wipo.int/tk/en/igc/panels.html</w:t>
        </w:r>
      </w:hyperlink>
      <w:r>
        <w:rPr>
          <w:rtl/>
        </w:rPr>
        <w:t xml:space="preserve"> ويمكن النفاذ إليها أيضاً من خلال بوابة الجماعات الأصلية المتاحة على موقع </w:t>
      </w:r>
      <w:proofErr w:type="spellStart"/>
      <w:r>
        <w:rPr>
          <w:rtl/>
        </w:rPr>
        <w:t>الويبو</w:t>
      </w:r>
      <w:proofErr w:type="spellEnd"/>
      <w:r>
        <w:rPr>
          <w:rtl/>
        </w:rPr>
        <w:t xml:space="preserve"> الإلكتروني. وتحدّد هذه الوثيقة الترتيبات العملية المقترحة للمنبر في الدورة </w:t>
      </w:r>
      <w:r>
        <w:rPr>
          <w:rFonts w:hint="cs"/>
          <w:rtl/>
        </w:rPr>
        <w:t>الثالثة والأربعين</w:t>
      </w:r>
      <w:r>
        <w:rPr>
          <w:rtl/>
        </w:rPr>
        <w:t xml:space="preserve"> للجنة.</w:t>
      </w:r>
    </w:p>
    <w:p w:rsidR="00824E16" w:rsidRPr="00824E16" w:rsidRDefault="00824E16" w:rsidP="00824E16">
      <w:pPr>
        <w:pStyle w:val="BodyText"/>
        <w:rPr>
          <w:u w:val="single"/>
        </w:rPr>
      </w:pPr>
      <w:r w:rsidRPr="00824E16">
        <w:rPr>
          <w:rFonts w:hint="cs"/>
          <w:u w:val="single"/>
          <w:rtl/>
        </w:rPr>
        <w:t xml:space="preserve">الوثيقة </w:t>
      </w:r>
      <w:r w:rsidRPr="00824E16">
        <w:rPr>
          <w:u w:val="single"/>
        </w:rPr>
        <w:t>WIPO/GRTKF/IC/</w:t>
      </w:r>
      <w:r>
        <w:rPr>
          <w:u w:val="single"/>
        </w:rPr>
        <w:t>43</w:t>
      </w:r>
      <w:r w:rsidRPr="00824E16">
        <w:rPr>
          <w:u w:val="single"/>
        </w:rPr>
        <w:t>/INF/7</w:t>
      </w:r>
      <w:r w:rsidRPr="00824E16">
        <w:rPr>
          <w:rFonts w:hint="cs"/>
          <w:u w:val="single"/>
          <w:rtl/>
        </w:rPr>
        <w:t>: مسرد بالمصطلحات الرئيسية المتعلقة بالملكية الفكرية والموارد الوراثية والمعارف التقليدية وأشكال التعبير الثقافي التقليدي</w:t>
      </w:r>
    </w:p>
    <w:p w:rsidR="00824E16" w:rsidRPr="00D30644" w:rsidRDefault="00824E16" w:rsidP="00824E16">
      <w:pPr>
        <w:pStyle w:val="ONUMA"/>
        <w:rPr>
          <w:rFonts w:eastAsia="SimSun"/>
          <w:lang w:eastAsia="zh-CN"/>
        </w:rPr>
      </w:pPr>
      <w:r>
        <w:rPr>
          <w:rtl/>
        </w:rPr>
        <w:t>في الدورة التاسعة عشرة، "دعت اللجنة الأمانة إلى تحديث المسارد المتاحة في الوثيقة </w:t>
      </w:r>
      <w:r>
        <w:t>WIPO/GRTKF/IC/19/INF/7</w:t>
      </w:r>
      <w:r>
        <w:rPr>
          <w:rtl/>
        </w:rPr>
        <w:t xml:space="preserve"> </w:t>
      </w:r>
      <w:proofErr w:type="gramStart"/>
      <w:r>
        <w:rPr>
          <w:rtl/>
        </w:rPr>
        <w:t>(’مسرد</w:t>
      </w:r>
      <w:proofErr w:type="gramEnd"/>
      <w:r>
        <w:rPr>
          <w:rtl/>
        </w:rPr>
        <w:t xml:space="preserve"> المصطلحات الرئيسية المتعلقة بالملكية الفكرية وأشكال التعبير الثقافي التقليدي‘) والوثيقة </w:t>
      </w:r>
      <w:r>
        <w:t>WIPO/GRTKF/IC/19/INF/8</w:t>
      </w:r>
      <w:r>
        <w:rPr>
          <w:rtl/>
        </w:rPr>
        <w:t xml:space="preserve"> (’مسرد المصطلحات الرئيسية المتعلقة بالملكية الفكرية والمعارف التقليدية‘) والوثيقة </w:t>
      </w:r>
      <w:r>
        <w:t>WIPO/GRTKF/IC/19/INF/9</w:t>
      </w:r>
      <w:r>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 الوثيقة للدورة في الصيغة ذاتها من المسرد الموحّد.</w:t>
      </w:r>
    </w:p>
    <w:p w:rsidR="00D30644" w:rsidRDefault="00D30644" w:rsidP="00A364DC">
      <w:pPr>
        <w:pStyle w:val="ONUMA"/>
        <w:keepNext/>
        <w:numPr>
          <w:ilvl w:val="0"/>
          <w:numId w:val="0"/>
        </w:numPr>
        <w:rPr>
          <w:rFonts w:eastAsia="SimSun"/>
          <w:rtl/>
          <w:lang w:eastAsia="zh-CN" w:bidi="ar-SY"/>
        </w:rPr>
      </w:pPr>
      <w:bookmarkStart w:id="5" w:name="_GoBack"/>
      <w:r>
        <w:rPr>
          <w:rFonts w:eastAsia="SimSun" w:hint="cs"/>
          <w:rtl/>
          <w:lang w:eastAsia="zh-CN" w:bidi="ar-SY"/>
        </w:rPr>
        <w:lastRenderedPageBreak/>
        <w:t xml:space="preserve">الوثيقة </w:t>
      </w:r>
      <w:r w:rsidRPr="00824E16">
        <w:rPr>
          <w:u w:val="single"/>
        </w:rPr>
        <w:t>WIPO/GRTKF/IC/</w:t>
      </w:r>
      <w:r>
        <w:rPr>
          <w:u w:val="single"/>
        </w:rPr>
        <w:t>43</w:t>
      </w:r>
      <w:r w:rsidRPr="00824E16">
        <w:rPr>
          <w:u w:val="single"/>
        </w:rPr>
        <w:t>/INF/</w:t>
      </w:r>
      <w:r>
        <w:rPr>
          <w:u w:val="single"/>
        </w:rPr>
        <w:t>8</w:t>
      </w:r>
      <w:r>
        <w:rPr>
          <w:rFonts w:hint="cs"/>
          <w:u w:val="single"/>
          <w:rtl/>
          <w:lang w:bidi="ar-SY"/>
        </w:rPr>
        <w:t>: تحديث "ال</w:t>
      </w:r>
      <w:r w:rsidRPr="00D30644">
        <w:rPr>
          <w:u w:val="single"/>
          <w:rtl/>
          <w:lang w:bidi="ar-SY"/>
        </w:rPr>
        <w:t xml:space="preserve">استعراض </w:t>
      </w:r>
      <w:r>
        <w:rPr>
          <w:rFonts w:hint="cs"/>
          <w:u w:val="single"/>
          <w:rtl/>
          <w:lang w:bidi="ar-SY"/>
        </w:rPr>
        <w:t>ال</w:t>
      </w:r>
      <w:r w:rsidRPr="00D30644">
        <w:rPr>
          <w:u w:val="single"/>
          <w:rtl/>
          <w:lang w:bidi="ar-SY"/>
        </w:rPr>
        <w:t>تقني ل</w:t>
      </w:r>
      <w:r>
        <w:rPr>
          <w:rFonts w:hint="cs"/>
          <w:u w:val="single"/>
          <w:rtl/>
          <w:lang w:bidi="ar-SY"/>
        </w:rPr>
        <w:t>ل</w:t>
      </w:r>
      <w:r w:rsidRPr="00D30644">
        <w:rPr>
          <w:u w:val="single"/>
          <w:rtl/>
          <w:lang w:bidi="ar-SY"/>
        </w:rPr>
        <w:t xml:space="preserve">قضايا </w:t>
      </w:r>
      <w:r>
        <w:rPr>
          <w:rFonts w:hint="cs"/>
          <w:u w:val="single"/>
          <w:rtl/>
          <w:lang w:bidi="ar-SY"/>
        </w:rPr>
        <w:t>ال</w:t>
      </w:r>
      <w:r w:rsidRPr="00D30644">
        <w:rPr>
          <w:u w:val="single"/>
          <w:rtl/>
          <w:lang w:bidi="ar-SY"/>
        </w:rPr>
        <w:t xml:space="preserve">رئيسية </w:t>
      </w:r>
      <w:r>
        <w:rPr>
          <w:rFonts w:hint="cs"/>
          <w:u w:val="single"/>
          <w:rtl/>
          <w:lang w:bidi="ar-SY"/>
        </w:rPr>
        <w:t>ال</w:t>
      </w:r>
      <w:r w:rsidRPr="00D30644">
        <w:rPr>
          <w:u w:val="single"/>
          <w:rtl/>
          <w:lang w:bidi="ar-SY"/>
        </w:rPr>
        <w:t>متصلة بالملكية الفكرية في</w:t>
      </w:r>
      <w:r>
        <w:rPr>
          <w:rFonts w:hint="cs"/>
          <w:u w:val="single"/>
          <w:rtl/>
          <w:lang w:bidi="ar-SY"/>
        </w:rPr>
        <w:t xml:space="preserve"> مشاريع</w:t>
      </w:r>
      <w:r w:rsidRPr="00D30644">
        <w:rPr>
          <w:u w:val="single"/>
          <w:rtl/>
          <w:lang w:bidi="ar-SY"/>
        </w:rPr>
        <w:t xml:space="preserve"> صكوك الويبو بشأن الموارد الوراثية والمعارف التقليدية و</w:t>
      </w:r>
      <w:r>
        <w:rPr>
          <w:u w:val="single"/>
          <w:rtl/>
          <w:lang w:bidi="ar-SY"/>
        </w:rPr>
        <w:t>أشكال التعبير الثقافي التقليد</w:t>
      </w:r>
      <w:r>
        <w:rPr>
          <w:rFonts w:hint="cs"/>
          <w:u w:val="single"/>
          <w:rtl/>
          <w:lang w:bidi="ar-SY"/>
        </w:rPr>
        <w:t>ي، في إطار الحقوق الإنسانية للشعوب الأصلية"</w:t>
      </w:r>
    </w:p>
    <w:bookmarkEnd w:id="5"/>
    <w:p w:rsidR="00824E16" w:rsidRPr="004E7DC0" w:rsidRDefault="00D30644" w:rsidP="001F671B">
      <w:pPr>
        <w:pStyle w:val="ONUMA"/>
        <w:spacing w:after="600"/>
        <w:rPr>
          <w:rtl/>
        </w:rPr>
      </w:pPr>
      <w:r>
        <w:rPr>
          <w:rtl/>
        </w:rPr>
        <w:t>التمست اللجنة</w:t>
      </w:r>
      <w:r>
        <w:rPr>
          <w:rFonts w:hint="cs"/>
          <w:rtl/>
        </w:rPr>
        <w:t>، في دورتها الأربعين،</w:t>
      </w:r>
      <w:r>
        <w:rPr>
          <w:rtl/>
        </w:rPr>
        <w:t xml:space="preserve"> من الأمانة أن تُكلِّف، في حدود الموارد المتاحة، أحد خبراء الشعوب الأصلية بتحديث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("الاستعراض التقني") وتقديمه إلى اللجنة كوثيقة إعلامية خلال الدورة التاسعة والعشرين للجنة.</w:t>
      </w:r>
      <w:r>
        <w:rPr>
          <w:rFonts w:hint="cs"/>
          <w:rtl/>
        </w:rPr>
        <w:t xml:space="preserve"> وقد كُلّفت</w:t>
      </w:r>
      <w:r>
        <w:rPr>
          <w:rtl/>
        </w:rPr>
        <w:t xml:space="preserve">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Pr>
          <w:rtl/>
        </w:rPr>
        <w:t>إليفوراها</w:t>
      </w:r>
      <w:proofErr w:type="spellEnd"/>
      <w:r>
        <w:rPr>
          <w:rtl/>
        </w:rPr>
        <w:t xml:space="preserve"> </w:t>
      </w:r>
      <w:proofErr w:type="spellStart"/>
      <w:r>
        <w:rPr>
          <w:rtl/>
        </w:rPr>
        <w:t>لالتيكا</w:t>
      </w:r>
      <w:proofErr w:type="spellEnd"/>
      <w:r>
        <w:rPr>
          <w:rtl/>
        </w:rPr>
        <w:t xml:space="preserve">، كبير المحاضرين ومدير البحوث بجامعة طميني </w:t>
      </w:r>
      <w:proofErr w:type="spellStart"/>
      <w:r>
        <w:rPr>
          <w:rtl/>
        </w:rPr>
        <w:t>ماكوميرا</w:t>
      </w:r>
      <w:proofErr w:type="spellEnd"/>
      <w:r>
        <w:rPr>
          <w:rtl/>
        </w:rPr>
        <w:t>، تنزانيا المتحدة، بتحديث الاستعراض التقني.</w:t>
      </w:r>
      <w:r>
        <w:rPr>
          <w:rFonts w:hint="cs"/>
          <w:rtl/>
        </w:rPr>
        <w:t xml:space="preserve"> </w:t>
      </w:r>
      <w:r>
        <w:rPr>
          <w:rtl/>
        </w:rPr>
        <w:t>وتعرض هذه الوثيقة نسخة محدّثة للاستعراض التقني.</w:t>
      </w:r>
    </w:p>
    <w:p w:rsidR="00FE339E" w:rsidRPr="001F671B" w:rsidRDefault="00FE339E" w:rsidP="001F671B">
      <w:pPr>
        <w:pStyle w:val="Endofdocument-Annex"/>
      </w:pPr>
      <w:r w:rsidRPr="001F671B">
        <w:rPr>
          <w:rtl/>
        </w:rPr>
        <w:t>[نهاية الوثيقة]</w:t>
      </w:r>
    </w:p>
    <w:sectPr w:rsidR="00FE339E" w:rsidRPr="001F671B"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DF" w:rsidRDefault="00DA02DF">
      <w:r>
        <w:separator/>
      </w:r>
    </w:p>
  </w:endnote>
  <w:endnote w:type="continuationSeparator" w:id="0">
    <w:p w:rsidR="00DA02DF" w:rsidRDefault="00DA02DF" w:rsidP="003B38C1">
      <w:r>
        <w:separator/>
      </w:r>
    </w:p>
    <w:p w:rsidR="00DA02DF" w:rsidRPr="003B38C1" w:rsidRDefault="00DA02DF" w:rsidP="003B38C1">
      <w:pPr>
        <w:spacing w:after="60"/>
        <w:rPr>
          <w:sz w:val="17"/>
        </w:rPr>
      </w:pPr>
      <w:r>
        <w:rPr>
          <w:sz w:val="17"/>
        </w:rPr>
        <w:t>[Endnote continued from previous page]</w:t>
      </w:r>
    </w:p>
  </w:endnote>
  <w:endnote w:type="continuationNotice" w:id="1">
    <w:p w:rsidR="00DA02DF" w:rsidRPr="003B38C1" w:rsidRDefault="00DA02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DF" w:rsidRDefault="00DA02DF">
      <w:r>
        <w:separator/>
      </w:r>
    </w:p>
  </w:footnote>
  <w:footnote w:type="continuationSeparator" w:id="0">
    <w:p w:rsidR="00DA02DF" w:rsidRDefault="00DA02DF" w:rsidP="008B60B2">
      <w:r>
        <w:separator/>
      </w:r>
    </w:p>
    <w:p w:rsidR="00DA02DF" w:rsidRPr="00ED77FB" w:rsidRDefault="00DA02DF" w:rsidP="008B60B2">
      <w:pPr>
        <w:spacing w:after="60"/>
        <w:rPr>
          <w:sz w:val="17"/>
          <w:szCs w:val="17"/>
        </w:rPr>
      </w:pPr>
      <w:r w:rsidRPr="00ED77FB">
        <w:rPr>
          <w:sz w:val="17"/>
          <w:szCs w:val="17"/>
        </w:rPr>
        <w:t>[Footnote continued from previous page]</w:t>
      </w:r>
    </w:p>
  </w:footnote>
  <w:footnote w:type="continuationNotice" w:id="1">
    <w:p w:rsidR="00DA02DF" w:rsidRPr="00ED77FB" w:rsidRDefault="00DA02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FB7FA6" w:rsidRDefault="005E7B89" w:rsidP="00A02F0F">
    <w:pPr>
      <w:bidi w:val="0"/>
      <w:rPr>
        <w:caps/>
        <w:lang w:bidi="ar-SY"/>
      </w:rPr>
    </w:pPr>
    <w:bookmarkStart w:id="6" w:name="Code2"/>
    <w:bookmarkEnd w:id="6"/>
    <w:r>
      <w:rPr>
        <w:caps/>
      </w:rPr>
      <w:t>WIPO/GRTK</w:t>
    </w:r>
    <w:r w:rsidR="009B0855">
      <w:rPr>
        <w:caps/>
      </w:rPr>
      <w:t>f</w:t>
    </w:r>
    <w:r>
      <w:rPr>
        <w:caps/>
      </w:rPr>
      <w:t>/IC/</w:t>
    </w:r>
    <w:r w:rsidR="005A5C77">
      <w:rPr>
        <w:caps/>
      </w:rPr>
      <w:t>43</w:t>
    </w:r>
    <w:r w:rsidR="004E7DC0">
      <w:rPr>
        <w:caps/>
      </w:rPr>
      <w:t>/</w:t>
    </w:r>
    <w:r w:rsidR="004E7DC0" w:rsidRPr="00FB7FA6">
      <w:rPr>
        <w:caps/>
        <w:lang w:bidi="ar-SY"/>
      </w:rPr>
      <w:t>inf/2</w:t>
    </w:r>
    <w:r w:rsidR="00FB7FA6" w:rsidRPr="00FB7FA6">
      <w:rPr>
        <w:caps/>
        <w:lang w:bidi="ar-SY"/>
      </w:rPr>
      <w:t xml:space="preserve"> </w:t>
    </w:r>
    <w:r w:rsidR="00FB7FA6">
      <w:t>Rev</w:t>
    </w:r>
    <w:r w:rsidR="00FB7FA6">
      <w:t>.</w:t>
    </w:r>
  </w:p>
  <w:p w:rsidR="00D07C78" w:rsidRDefault="00D07C78" w:rsidP="00210D5F">
    <w:pPr>
      <w:bidi w:val="0"/>
    </w:pPr>
    <w:r>
      <w:fldChar w:fldCharType="begin"/>
    </w:r>
    <w:r>
      <w:instrText xml:space="preserve"> PAGE  \* MERGEFORMAT </w:instrText>
    </w:r>
    <w:r>
      <w:fldChar w:fldCharType="separate"/>
    </w:r>
    <w:r w:rsidR="000E694A">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12CE"/>
    <w:rsid w:val="000968ED"/>
    <w:rsid w:val="000A3D97"/>
    <w:rsid w:val="000E694A"/>
    <w:rsid w:val="000F5E56"/>
    <w:rsid w:val="001362EE"/>
    <w:rsid w:val="001406E1"/>
    <w:rsid w:val="00155D8A"/>
    <w:rsid w:val="00160172"/>
    <w:rsid w:val="001647D5"/>
    <w:rsid w:val="001832A6"/>
    <w:rsid w:val="0019592A"/>
    <w:rsid w:val="001D4107"/>
    <w:rsid w:val="001F671B"/>
    <w:rsid w:val="00203D24"/>
    <w:rsid w:val="00210D5F"/>
    <w:rsid w:val="0021217E"/>
    <w:rsid w:val="002326AB"/>
    <w:rsid w:val="00243430"/>
    <w:rsid w:val="0024540F"/>
    <w:rsid w:val="00255FE7"/>
    <w:rsid w:val="002634C4"/>
    <w:rsid w:val="002928D3"/>
    <w:rsid w:val="002937BA"/>
    <w:rsid w:val="002B3ED1"/>
    <w:rsid w:val="002D7230"/>
    <w:rsid w:val="002F1FE6"/>
    <w:rsid w:val="002F4E68"/>
    <w:rsid w:val="00303427"/>
    <w:rsid w:val="0031253F"/>
    <w:rsid w:val="00312F7F"/>
    <w:rsid w:val="00340213"/>
    <w:rsid w:val="00361450"/>
    <w:rsid w:val="003673CF"/>
    <w:rsid w:val="003845C1"/>
    <w:rsid w:val="003A6F89"/>
    <w:rsid w:val="003B355C"/>
    <w:rsid w:val="003B38C1"/>
    <w:rsid w:val="003C34E9"/>
    <w:rsid w:val="00423E3E"/>
    <w:rsid w:val="00427AF4"/>
    <w:rsid w:val="00463456"/>
    <w:rsid w:val="004647DA"/>
    <w:rsid w:val="00474062"/>
    <w:rsid w:val="00477D6B"/>
    <w:rsid w:val="004D5607"/>
    <w:rsid w:val="004E7DC0"/>
    <w:rsid w:val="005019FF"/>
    <w:rsid w:val="0052161C"/>
    <w:rsid w:val="0053057A"/>
    <w:rsid w:val="00556076"/>
    <w:rsid w:val="00560A29"/>
    <w:rsid w:val="005A5C77"/>
    <w:rsid w:val="005B53BE"/>
    <w:rsid w:val="005C6649"/>
    <w:rsid w:val="005E7B89"/>
    <w:rsid w:val="00605827"/>
    <w:rsid w:val="00646050"/>
    <w:rsid w:val="006713CA"/>
    <w:rsid w:val="00676C5C"/>
    <w:rsid w:val="006A4C55"/>
    <w:rsid w:val="006B184E"/>
    <w:rsid w:val="006B2894"/>
    <w:rsid w:val="006B5C12"/>
    <w:rsid w:val="006B751D"/>
    <w:rsid w:val="00720EFD"/>
    <w:rsid w:val="007854AF"/>
    <w:rsid w:val="00786074"/>
    <w:rsid w:val="00793A7C"/>
    <w:rsid w:val="007A398A"/>
    <w:rsid w:val="007C4902"/>
    <w:rsid w:val="007D1613"/>
    <w:rsid w:val="007E4C0E"/>
    <w:rsid w:val="007F2029"/>
    <w:rsid w:val="00824E16"/>
    <w:rsid w:val="008A134B"/>
    <w:rsid w:val="008B2CC1"/>
    <w:rsid w:val="008B60B2"/>
    <w:rsid w:val="008E3021"/>
    <w:rsid w:val="0090731E"/>
    <w:rsid w:val="00916EE2"/>
    <w:rsid w:val="00966A22"/>
    <w:rsid w:val="0096722F"/>
    <w:rsid w:val="00980843"/>
    <w:rsid w:val="009B0855"/>
    <w:rsid w:val="009E2791"/>
    <w:rsid w:val="009E3F6F"/>
    <w:rsid w:val="009F25BA"/>
    <w:rsid w:val="009F499F"/>
    <w:rsid w:val="00A02F0F"/>
    <w:rsid w:val="00A364DC"/>
    <w:rsid w:val="00A37342"/>
    <w:rsid w:val="00A42DAF"/>
    <w:rsid w:val="00A45BD8"/>
    <w:rsid w:val="00A869B7"/>
    <w:rsid w:val="00A90F0A"/>
    <w:rsid w:val="00A9391F"/>
    <w:rsid w:val="00AA4217"/>
    <w:rsid w:val="00AC205C"/>
    <w:rsid w:val="00AF0A6B"/>
    <w:rsid w:val="00B05A69"/>
    <w:rsid w:val="00B32FDD"/>
    <w:rsid w:val="00B42CA9"/>
    <w:rsid w:val="00B51FF7"/>
    <w:rsid w:val="00B75281"/>
    <w:rsid w:val="00B92B95"/>
    <w:rsid w:val="00B92F1F"/>
    <w:rsid w:val="00B9734B"/>
    <w:rsid w:val="00BA30E2"/>
    <w:rsid w:val="00BD2B24"/>
    <w:rsid w:val="00BE0512"/>
    <w:rsid w:val="00BF0277"/>
    <w:rsid w:val="00C11BFE"/>
    <w:rsid w:val="00C5068F"/>
    <w:rsid w:val="00C86D74"/>
    <w:rsid w:val="00CB3DBA"/>
    <w:rsid w:val="00CC3E2D"/>
    <w:rsid w:val="00CD04F1"/>
    <w:rsid w:val="00CE19F8"/>
    <w:rsid w:val="00CF681A"/>
    <w:rsid w:val="00D07C78"/>
    <w:rsid w:val="00D30644"/>
    <w:rsid w:val="00D45252"/>
    <w:rsid w:val="00D530E8"/>
    <w:rsid w:val="00D60B2C"/>
    <w:rsid w:val="00D67EAE"/>
    <w:rsid w:val="00D71B4D"/>
    <w:rsid w:val="00D90B96"/>
    <w:rsid w:val="00D93D55"/>
    <w:rsid w:val="00DA02DF"/>
    <w:rsid w:val="00DD7B7F"/>
    <w:rsid w:val="00E15015"/>
    <w:rsid w:val="00E319DF"/>
    <w:rsid w:val="00E335FE"/>
    <w:rsid w:val="00E66CC5"/>
    <w:rsid w:val="00E7374D"/>
    <w:rsid w:val="00EA7D6E"/>
    <w:rsid w:val="00EB2F76"/>
    <w:rsid w:val="00EC4E49"/>
    <w:rsid w:val="00ED77FB"/>
    <w:rsid w:val="00EE066C"/>
    <w:rsid w:val="00EE45FA"/>
    <w:rsid w:val="00F043DE"/>
    <w:rsid w:val="00F31179"/>
    <w:rsid w:val="00F62E64"/>
    <w:rsid w:val="00F66152"/>
    <w:rsid w:val="00F9165B"/>
    <w:rsid w:val="00F95B45"/>
    <w:rsid w:val="00FB7FA6"/>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B0A98"/>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4E7DC0"/>
    <w:rPr>
      <w:color w:val="0000FF" w:themeColor="hyperlink"/>
      <w:u w:val="single"/>
    </w:rPr>
  </w:style>
  <w:style w:type="character" w:styleId="FollowedHyperlink">
    <w:name w:val="FollowedHyperlink"/>
    <w:basedOn w:val="DefaultParagraphFont"/>
    <w:semiHidden/>
    <w:unhideWhenUsed/>
    <w:rsid w:val="004E7D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0499">
      <w:bodyDiv w:val="1"/>
      <w:marLeft w:val="0"/>
      <w:marRight w:val="0"/>
      <w:marTop w:val="0"/>
      <w:marBottom w:val="0"/>
      <w:divBdr>
        <w:top w:val="none" w:sz="0" w:space="0" w:color="auto"/>
        <w:left w:val="none" w:sz="0" w:space="0" w:color="auto"/>
        <w:bottom w:val="none" w:sz="0" w:space="0" w:color="auto"/>
        <w:right w:val="none" w:sz="0" w:space="0" w:color="auto"/>
      </w:divBdr>
    </w:div>
    <w:div w:id="221673613">
      <w:bodyDiv w:val="1"/>
      <w:marLeft w:val="0"/>
      <w:marRight w:val="0"/>
      <w:marTop w:val="0"/>
      <w:marBottom w:val="0"/>
      <w:divBdr>
        <w:top w:val="none" w:sz="0" w:space="0" w:color="auto"/>
        <w:left w:val="none" w:sz="0" w:space="0" w:color="auto"/>
        <w:bottom w:val="none" w:sz="0" w:space="0" w:color="auto"/>
        <w:right w:val="none" w:sz="0" w:space="0" w:color="auto"/>
      </w:divBdr>
    </w:div>
    <w:div w:id="285357116">
      <w:bodyDiv w:val="1"/>
      <w:marLeft w:val="0"/>
      <w:marRight w:val="0"/>
      <w:marTop w:val="0"/>
      <w:marBottom w:val="0"/>
      <w:divBdr>
        <w:top w:val="none" w:sz="0" w:space="0" w:color="auto"/>
        <w:left w:val="none" w:sz="0" w:space="0" w:color="auto"/>
        <w:bottom w:val="none" w:sz="0" w:space="0" w:color="auto"/>
        <w:right w:val="none" w:sz="0" w:space="0" w:color="auto"/>
      </w:divBdr>
    </w:div>
    <w:div w:id="543177769">
      <w:bodyDiv w:val="1"/>
      <w:marLeft w:val="0"/>
      <w:marRight w:val="0"/>
      <w:marTop w:val="0"/>
      <w:marBottom w:val="0"/>
      <w:divBdr>
        <w:top w:val="none" w:sz="0" w:space="0" w:color="auto"/>
        <w:left w:val="none" w:sz="0" w:space="0" w:color="auto"/>
        <w:bottom w:val="none" w:sz="0" w:space="0" w:color="auto"/>
        <w:right w:val="none" w:sz="0" w:space="0" w:color="auto"/>
      </w:divBdr>
    </w:div>
    <w:div w:id="717364242">
      <w:bodyDiv w:val="1"/>
      <w:marLeft w:val="0"/>
      <w:marRight w:val="0"/>
      <w:marTop w:val="0"/>
      <w:marBottom w:val="0"/>
      <w:divBdr>
        <w:top w:val="none" w:sz="0" w:space="0" w:color="auto"/>
        <w:left w:val="none" w:sz="0" w:space="0" w:color="auto"/>
        <w:bottom w:val="none" w:sz="0" w:space="0" w:color="auto"/>
        <w:right w:val="none" w:sz="0" w:space="0" w:color="auto"/>
      </w:divBdr>
    </w:div>
    <w:div w:id="863589999">
      <w:bodyDiv w:val="1"/>
      <w:marLeft w:val="0"/>
      <w:marRight w:val="0"/>
      <w:marTop w:val="0"/>
      <w:marBottom w:val="0"/>
      <w:divBdr>
        <w:top w:val="none" w:sz="0" w:space="0" w:color="auto"/>
        <w:left w:val="none" w:sz="0" w:space="0" w:color="auto"/>
        <w:bottom w:val="none" w:sz="0" w:space="0" w:color="auto"/>
        <w:right w:val="none" w:sz="0" w:space="0" w:color="auto"/>
      </w:divBdr>
    </w:div>
    <w:div w:id="1035079953">
      <w:bodyDiv w:val="1"/>
      <w:marLeft w:val="0"/>
      <w:marRight w:val="0"/>
      <w:marTop w:val="0"/>
      <w:marBottom w:val="0"/>
      <w:divBdr>
        <w:top w:val="none" w:sz="0" w:space="0" w:color="auto"/>
        <w:left w:val="none" w:sz="0" w:space="0" w:color="auto"/>
        <w:bottom w:val="none" w:sz="0" w:space="0" w:color="auto"/>
        <w:right w:val="none" w:sz="0" w:space="0" w:color="auto"/>
      </w:divBdr>
    </w:div>
    <w:div w:id="1430076114">
      <w:bodyDiv w:val="1"/>
      <w:marLeft w:val="0"/>
      <w:marRight w:val="0"/>
      <w:marTop w:val="0"/>
      <w:marBottom w:val="0"/>
      <w:divBdr>
        <w:top w:val="none" w:sz="0" w:space="0" w:color="auto"/>
        <w:left w:val="none" w:sz="0" w:space="0" w:color="auto"/>
        <w:bottom w:val="none" w:sz="0" w:space="0" w:color="auto"/>
        <w:right w:val="none" w:sz="0" w:space="0" w:color="auto"/>
      </w:divBdr>
    </w:div>
    <w:div w:id="1475216450">
      <w:bodyDiv w:val="1"/>
      <w:marLeft w:val="0"/>
      <w:marRight w:val="0"/>
      <w:marTop w:val="0"/>
      <w:marBottom w:val="0"/>
      <w:divBdr>
        <w:top w:val="none" w:sz="0" w:space="0" w:color="auto"/>
        <w:left w:val="none" w:sz="0" w:space="0" w:color="auto"/>
        <w:bottom w:val="none" w:sz="0" w:space="0" w:color="auto"/>
        <w:right w:val="none" w:sz="0" w:space="0" w:color="auto"/>
      </w:divBdr>
    </w:div>
    <w:div w:id="1680766791">
      <w:bodyDiv w:val="1"/>
      <w:marLeft w:val="0"/>
      <w:marRight w:val="0"/>
      <w:marTop w:val="0"/>
      <w:marBottom w:val="0"/>
      <w:divBdr>
        <w:top w:val="none" w:sz="0" w:space="0" w:color="auto"/>
        <w:left w:val="none" w:sz="0" w:space="0" w:color="auto"/>
        <w:bottom w:val="none" w:sz="0" w:space="0" w:color="auto"/>
        <w:right w:val="none" w:sz="0" w:space="0" w:color="auto"/>
      </w:divBdr>
    </w:div>
    <w:div w:id="1806115424">
      <w:bodyDiv w:val="1"/>
      <w:marLeft w:val="0"/>
      <w:marRight w:val="0"/>
      <w:marTop w:val="0"/>
      <w:marBottom w:val="0"/>
      <w:divBdr>
        <w:top w:val="none" w:sz="0" w:space="0" w:color="auto"/>
        <w:left w:val="none" w:sz="0" w:space="0" w:color="auto"/>
        <w:bottom w:val="none" w:sz="0" w:space="0" w:color="auto"/>
        <w:right w:val="none" w:sz="0" w:space="0" w:color="auto"/>
      </w:divBdr>
    </w:div>
    <w:div w:id="1926718109">
      <w:bodyDiv w:val="1"/>
      <w:marLeft w:val="0"/>
      <w:marRight w:val="0"/>
      <w:marTop w:val="0"/>
      <w:marBottom w:val="0"/>
      <w:divBdr>
        <w:top w:val="none" w:sz="0" w:space="0" w:color="auto"/>
        <w:left w:val="none" w:sz="0" w:space="0" w:color="auto"/>
        <w:bottom w:val="none" w:sz="0" w:space="0" w:color="auto"/>
        <w:right w:val="none" w:sz="0" w:space="0" w:color="auto"/>
      </w:divBdr>
    </w:div>
    <w:div w:id="21179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po.int/tk/en/igc/panels.htm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700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FE35-8EAD-4FEF-A7A4-3D1288E9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11</cp:revision>
  <cp:lastPrinted>2022-05-23T10:25:00Z</cp:lastPrinted>
  <dcterms:created xsi:type="dcterms:W3CDTF">2022-05-23T10:24:00Z</dcterms:created>
  <dcterms:modified xsi:type="dcterms:W3CDTF">2022-05-23T10:25:00Z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