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AA4217">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42</w:t>
      </w:r>
      <w:r>
        <w:rPr>
          <w:rFonts w:ascii="Arial Black" w:hAnsi="Arial Black"/>
          <w:caps/>
          <w:sz w:val="15"/>
          <w:szCs w:val="15"/>
        </w:rPr>
        <w:t>/</w:t>
      </w:r>
      <w:bookmarkStart w:id="1" w:name="Code"/>
      <w:bookmarkEnd w:id="1"/>
      <w:r w:rsidR="005A53BE">
        <w:rPr>
          <w:rFonts w:ascii="Arial Black" w:hAnsi="Arial Black"/>
          <w:caps/>
          <w:sz w:val="15"/>
          <w:szCs w:val="15"/>
        </w:rPr>
        <w:t>6</w:t>
      </w:r>
    </w:p>
    <w:p w:rsidR="008B2CC1" w:rsidRPr="00BD60D0" w:rsidRDefault="00CC3E2D" w:rsidP="00CC3E2D">
      <w:pPr>
        <w:jc w:val="right"/>
        <w:rPr>
          <w:rFonts w:asciiTheme="minorHAnsi" w:hAnsiTheme="minorHAnsi" w:cstheme="minorHAnsi"/>
          <w:b/>
          <w:bCs/>
          <w:caps/>
          <w:sz w:val="15"/>
          <w:szCs w:val="15"/>
        </w:rPr>
      </w:pPr>
      <w:bookmarkStart w:id="2" w:name="Original"/>
      <w:r w:rsidRPr="00BD60D0">
        <w:rPr>
          <w:rFonts w:asciiTheme="minorHAnsi" w:hAnsiTheme="minorHAnsi" w:cstheme="minorHAnsi" w:hint="cs"/>
          <w:b/>
          <w:bCs/>
          <w:caps/>
          <w:sz w:val="15"/>
          <w:szCs w:val="15"/>
          <w:rtl/>
        </w:rPr>
        <w:t xml:space="preserve">الأصل: </w:t>
      </w:r>
      <w:r w:rsidR="002937BA" w:rsidRPr="00BD60D0">
        <w:rPr>
          <w:rFonts w:asciiTheme="minorHAnsi" w:hAnsiTheme="minorHAnsi" w:cstheme="minorHAnsi" w:hint="cs"/>
          <w:b/>
          <w:bCs/>
          <w:caps/>
          <w:sz w:val="15"/>
          <w:szCs w:val="15"/>
          <w:rtl/>
        </w:rPr>
        <w:t>بالإنكليزية</w:t>
      </w:r>
    </w:p>
    <w:p w:rsidR="008B2CC1" w:rsidRPr="00DF12E1" w:rsidRDefault="00CC3E2D" w:rsidP="00CC3E2D">
      <w:pPr>
        <w:spacing w:after="1200"/>
        <w:jc w:val="right"/>
        <w:rPr>
          <w:rFonts w:asciiTheme="minorHAnsi" w:hAnsiTheme="minorHAnsi" w:cstheme="minorHAnsi"/>
          <w:b/>
          <w:bCs/>
          <w:caps/>
          <w:sz w:val="15"/>
          <w:szCs w:val="15"/>
          <w:rtl/>
          <w:lang w:val="fr-CH"/>
        </w:rPr>
      </w:pPr>
      <w:bookmarkStart w:id="3" w:name="Date"/>
      <w:bookmarkEnd w:id="2"/>
      <w:r>
        <w:rPr>
          <w:rFonts w:asciiTheme="minorHAnsi" w:hAnsiTheme="minorHAnsi" w:cstheme="minorHAnsi" w:hint="cs"/>
          <w:b/>
          <w:bCs/>
          <w:caps/>
          <w:sz w:val="15"/>
          <w:szCs w:val="15"/>
          <w:rtl/>
        </w:rPr>
        <w:t xml:space="preserve">التاريخ: </w:t>
      </w:r>
      <w:r w:rsidR="005A53BE">
        <w:rPr>
          <w:rFonts w:asciiTheme="minorHAnsi" w:hAnsiTheme="minorHAnsi" w:cstheme="minorHAnsi"/>
          <w:b/>
          <w:bCs/>
          <w:caps/>
          <w:sz w:val="15"/>
          <w:szCs w:val="15"/>
        </w:rPr>
        <w:t>10</w:t>
      </w:r>
      <w:r w:rsidR="005A53BE">
        <w:rPr>
          <w:rFonts w:asciiTheme="minorHAnsi" w:hAnsiTheme="minorHAnsi" w:cstheme="minorHAnsi" w:hint="cs"/>
          <w:b/>
          <w:bCs/>
          <w:caps/>
          <w:sz w:val="15"/>
          <w:szCs w:val="15"/>
          <w:rtl/>
        </w:rPr>
        <w:t xml:space="preserve"> فبراير 2022</w:t>
      </w:r>
    </w:p>
    <w:bookmarkEnd w:id="3"/>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AA421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AA421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A4217">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فبراير</w:t>
      </w:r>
      <w:r w:rsidRPr="00D67EAE">
        <w:rPr>
          <w:rFonts w:asciiTheme="minorHAnsi" w:hAnsiTheme="minorHAnsi" w:cstheme="minorHAnsi" w:hint="cs"/>
          <w:bCs/>
          <w:sz w:val="24"/>
          <w:szCs w:val="24"/>
          <w:rtl/>
        </w:rPr>
        <w:t xml:space="preserve"> إلى </w:t>
      </w:r>
      <w:r w:rsidR="00AA421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C04F3B" w:rsidP="00C04F3B">
      <w:pPr>
        <w:spacing w:after="360"/>
        <w:outlineLvl w:val="0"/>
        <w:rPr>
          <w:rFonts w:asciiTheme="minorHAnsi" w:hAnsiTheme="minorHAnsi" w:cstheme="minorHAnsi"/>
          <w:caps/>
          <w:sz w:val="24"/>
        </w:rPr>
      </w:pPr>
      <w:bookmarkStart w:id="4" w:name="TitleOfDoc"/>
      <w:r w:rsidRPr="00C04F3B">
        <w:rPr>
          <w:rFonts w:asciiTheme="minorHAnsi" w:hAnsiTheme="minorHAnsi"/>
          <w:caps/>
          <w:sz w:val="28"/>
          <w:szCs w:val="24"/>
          <w:rtl/>
        </w:rPr>
        <w:t>تقرير عن تجميع المواد بشأن أنظمة الكشف المتعلقة بالموارد الوراثية والمعارف التقليدية المرتبطة بها</w:t>
      </w:r>
    </w:p>
    <w:p w:rsidR="002928D3" w:rsidRDefault="00D27931" w:rsidP="00C04F3B">
      <w:pPr>
        <w:spacing w:after="1040"/>
        <w:rPr>
          <w:rFonts w:asciiTheme="minorHAnsi" w:hAnsiTheme="minorHAnsi" w:cstheme="minorHAnsi"/>
          <w:iCs/>
          <w:rtl/>
        </w:rPr>
      </w:pPr>
      <w:bookmarkStart w:id="5" w:name="Prepared"/>
      <w:bookmarkEnd w:id="4"/>
      <w:bookmarkEnd w:id="5"/>
      <w:r w:rsidRPr="00D27931">
        <w:rPr>
          <w:rFonts w:asciiTheme="minorHAnsi" w:hAnsiTheme="minorHAnsi"/>
          <w:iCs/>
          <w:rtl/>
        </w:rPr>
        <w:t xml:space="preserve">وثيقة من إعداد </w:t>
      </w:r>
      <w:r w:rsidR="00C04F3B" w:rsidRPr="00C04F3B">
        <w:rPr>
          <w:rFonts w:asciiTheme="minorHAnsi" w:hAnsiTheme="minorHAnsi"/>
          <w:iCs/>
          <w:rtl/>
        </w:rPr>
        <w:t>الأمانة</w:t>
      </w:r>
    </w:p>
    <w:p w:rsidR="00C04F3B" w:rsidRPr="00C04F3B" w:rsidRDefault="00C04F3B" w:rsidP="00C04F3B">
      <w:pPr>
        <w:pStyle w:val="Heading1"/>
        <w:spacing w:after="240"/>
        <w:rPr>
          <w:sz w:val="24"/>
          <w:szCs w:val="24"/>
        </w:rPr>
      </w:pPr>
      <w:r w:rsidRPr="00C04F3B">
        <w:rPr>
          <w:sz w:val="24"/>
          <w:szCs w:val="24"/>
          <w:rtl/>
        </w:rPr>
        <w:t>الخلفية والسياق</w:t>
      </w:r>
    </w:p>
    <w:p w:rsidR="00DF12E1" w:rsidRPr="00B649F4" w:rsidRDefault="00DF12E1" w:rsidP="00DF12E1">
      <w:pPr>
        <w:pStyle w:val="ONUMA"/>
      </w:pPr>
      <w:r w:rsidRPr="00B649F4">
        <w:rPr>
          <w:rFonts w:hint="cs"/>
          <w:rtl/>
        </w:rPr>
        <w:t xml:space="preserve">تهدف </w:t>
      </w:r>
      <w:r w:rsidRPr="00B649F4">
        <w:rPr>
          <w:rtl/>
        </w:rPr>
        <w:t xml:space="preserve">عملية </w:t>
      </w:r>
      <w:r w:rsidRPr="00B649F4">
        <w:rPr>
          <w:rFonts w:hint="cs"/>
          <w:rtl/>
        </w:rPr>
        <w:t xml:space="preserve">التوثيق </w:t>
      </w:r>
      <w:r w:rsidRPr="00B649F4">
        <w:rPr>
          <w:rtl/>
        </w:rPr>
        <w:t xml:space="preserve">في </w:t>
      </w:r>
      <w:r w:rsidRPr="00B649F4">
        <w:rPr>
          <w:rFonts w:hint="cs"/>
          <w:rtl/>
        </w:rPr>
        <w:t xml:space="preserve">مجال </w:t>
      </w:r>
      <w:r w:rsidRPr="00B649F4">
        <w:rPr>
          <w:rtl/>
        </w:rPr>
        <w:t>الموارد الوراثية والمعارف التقليدية</w:t>
      </w:r>
      <w:r w:rsidRPr="00B649F4">
        <w:rPr>
          <w:rFonts w:hint="cs"/>
          <w:rtl/>
        </w:rPr>
        <w:t xml:space="preserve"> إلى </w:t>
      </w:r>
      <w:r w:rsidRPr="00B649F4">
        <w:rPr>
          <w:rtl/>
        </w:rPr>
        <w:t>توليد المعلومات المتعلقة بالموارد الوراثية والمعارف التقليدية و</w:t>
      </w:r>
      <w:r w:rsidRPr="00B649F4">
        <w:rPr>
          <w:rFonts w:hint="cs"/>
          <w:rtl/>
        </w:rPr>
        <w:t>تحديدها و</w:t>
      </w:r>
      <w:r w:rsidRPr="00B649F4">
        <w:rPr>
          <w:rtl/>
        </w:rPr>
        <w:t>جمعها وتسجيلها وتنظيمها و</w:t>
      </w:r>
      <w:r w:rsidRPr="00B649F4">
        <w:rPr>
          <w:rFonts w:hint="cs"/>
          <w:rtl/>
        </w:rPr>
        <w:t>تدوين</w:t>
      </w:r>
      <w:r w:rsidRPr="00B649F4">
        <w:rPr>
          <w:rtl/>
        </w:rPr>
        <w:t>ها بطريقة ما</w:t>
      </w:r>
      <w:r w:rsidRPr="00B649F4">
        <w:rPr>
          <w:rFonts w:hint="cs"/>
          <w:rtl/>
        </w:rPr>
        <w:t>،</w:t>
      </w:r>
      <w:r w:rsidRPr="00B649F4">
        <w:rPr>
          <w:rtl/>
        </w:rPr>
        <w:t xml:space="preserve"> كوسيلة لتوصيف الموارد الوراثية والمعارف التقليدية وصيان</w:t>
      </w:r>
      <w:r w:rsidRPr="00B649F4">
        <w:rPr>
          <w:rFonts w:hint="cs"/>
          <w:rtl/>
        </w:rPr>
        <w:t>تها</w:t>
      </w:r>
      <w:r w:rsidRPr="00B649F4">
        <w:rPr>
          <w:rtl/>
        </w:rPr>
        <w:t xml:space="preserve"> وحماي</w:t>
      </w:r>
      <w:r w:rsidRPr="00B649F4">
        <w:rPr>
          <w:rFonts w:hint="cs"/>
          <w:rtl/>
        </w:rPr>
        <w:t>تها و</w:t>
      </w:r>
      <w:r w:rsidRPr="00B649F4">
        <w:rPr>
          <w:rtl/>
        </w:rPr>
        <w:t xml:space="preserve">الحفاظ عليها وإدارتها واستخدامها ونشرها وحمايتها (سواء بشكل إيجابي أو دفاعي) وفقا لأهداف محددة. وقد </w:t>
      </w:r>
      <w:r w:rsidRPr="00B649F4">
        <w:rPr>
          <w:rFonts w:hint="cs"/>
          <w:rtl/>
        </w:rPr>
        <w:t>أشير إلى عملية الت</w:t>
      </w:r>
      <w:r w:rsidRPr="00B649F4">
        <w:rPr>
          <w:rtl/>
        </w:rPr>
        <w:t>وث</w:t>
      </w:r>
      <w:r w:rsidRPr="00B649F4">
        <w:rPr>
          <w:rFonts w:hint="cs"/>
          <w:rtl/>
        </w:rPr>
        <w:t>ي</w:t>
      </w:r>
      <w:r w:rsidRPr="00B649F4">
        <w:rPr>
          <w:rtl/>
        </w:rPr>
        <w:t xml:space="preserve">ق </w:t>
      </w:r>
      <w:r w:rsidRPr="00B649F4">
        <w:rPr>
          <w:rFonts w:hint="cs"/>
          <w:rtl/>
        </w:rPr>
        <w:t xml:space="preserve">ضمن </w:t>
      </w:r>
      <w:r w:rsidRPr="00B649F4">
        <w:rPr>
          <w:rtl/>
        </w:rPr>
        <w:t>قواعد بيانات وسجلات و</w:t>
      </w:r>
      <w:r w:rsidRPr="00B649F4">
        <w:rPr>
          <w:rFonts w:hint="cs"/>
          <w:rtl/>
        </w:rPr>
        <w:t>إلى ال</w:t>
      </w:r>
      <w:r w:rsidRPr="00B649F4">
        <w:rPr>
          <w:rtl/>
        </w:rPr>
        <w:t xml:space="preserve">قضايا </w:t>
      </w:r>
      <w:r w:rsidRPr="00B649F4">
        <w:rPr>
          <w:rFonts w:hint="cs"/>
          <w:rtl/>
        </w:rPr>
        <w:t>ال</w:t>
      </w:r>
      <w:r w:rsidRPr="00B649F4">
        <w:rPr>
          <w:rtl/>
        </w:rPr>
        <w:t xml:space="preserve">فنية </w:t>
      </w:r>
      <w:r w:rsidRPr="00B649F4">
        <w:rPr>
          <w:rFonts w:hint="cs"/>
          <w:rtl/>
        </w:rPr>
        <w:t>التي ت</w:t>
      </w:r>
      <w:r w:rsidRPr="00B649F4">
        <w:rPr>
          <w:rtl/>
        </w:rPr>
        <w:t xml:space="preserve">حيط بها في سياقات مختلفة </w:t>
      </w:r>
      <w:r w:rsidRPr="00B649F4">
        <w:rPr>
          <w:rFonts w:hint="cs"/>
          <w:rtl/>
        </w:rPr>
        <w:t xml:space="preserve">في </w:t>
      </w:r>
      <w:r w:rsidRPr="00B649F4">
        <w:rPr>
          <w:rtl/>
        </w:rPr>
        <w:t>دورات اللجنة الحكومية الدولية المعنية بالملكية الفكرية والموارد الوراثية والمعارف التقليدية والفولكلور</w:t>
      </w:r>
      <w:r w:rsidRPr="00B649F4">
        <w:rPr>
          <w:rFonts w:hint="cs"/>
          <w:rtl/>
        </w:rPr>
        <w:t xml:space="preserve"> (لجنة المعارف)</w:t>
      </w:r>
      <w:r w:rsidRPr="00B649F4">
        <w:rPr>
          <w:rtl/>
        </w:rPr>
        <w:t>.</w:t>
      </w:r>
    </w:p>
    <w:p w:rsidR="00DF12E1" w:rsidRPr="00B649F4" w:rsidRDefault="00DF12E1" w:rsidP="00DF12E1">
      <w:pPr>
        <w:pStyle w:val="ONUMA"/>
      </w:pPr>
      <w:r w:rsidRPr="00B649F4">
        <w:rPr>
          <w:rFonts w:hint="cs"/>
          <w:rtl/>
        </w:rPr>
        <w:t>و</w:t>
      </w:r>
      <w:r>
        <w:rPr>
          <w:rFonts w:hint="cs"/>
          <w:rtl/>
        </w:rPr>
        <w:t xml:space="preserve">بصورة أعم، </w:t>
      </w:r>
      <w:r w:rsidRPr="00B649F4">
        <w:rPr>
          <w:rtl/>
        </w:rPr>
        <w:t xml:space="preserve">ناقشت </w:t>
      </w:r>
      <w:r w:rsidRPr="00B649F4">
        <w:rPr>
          <w:rFonts w:hint="cs"/>
          <w:rtl/>
        </w:rPr>
        <w:t>لجنة المعارف</w:t>
      </w:r>
      <w:r w:rsidRPr="00B649F4">
        <w:rPr>
          <w:rtl/>
        </w:rPr>
        <w:t xml:space="preserve"> استخدام نظم الملكية الفكرية القائمة وإمكانية إنشاء نظام </w:t>
      </w:r>
      <w:r>
        <w:rPr>
          <w:rtl/>
        </w:rPr>
        <w:t>خاص</w:t>
      </w:r>
      <w:r w:rsidRPr="00B649F4">
        <w:rPr>
          <w:rtl/>
        </w:rPr>
        <w:t xml:space="preserve"> لحماية المعارف التقليدية و</w:t>
      </w:r>
      <w:r w:rsidRPr="00B649F4">
        <w:rPr>
          <w:rFonts w:hint="cs"/>
          <w:rtl/>
        </w:rPr>
        <w:t xml:space="preserve">معالجة </w:t>
      </w:r>
      <w:r w:rsidRPr="00B649F4">
        <w:rPr>
          <w:rtl/>
        </w:rPr>
        <w:t>قضايا الملكية الفكرية المتعلقة بالموارد الوراثية. وفي هذا السياق، نوقشت الوثائق لأغراض م</w:t>
      </w:r>
      <w:r w:rsidRPr="00B649F4">
        <w:rPr>
          <w:rFonts w:hint="cs"/>
          <w:rtl/>
        </w:rPr>
        <w:t>تعدد</w:t>
      </w:r>
      <w:r w:rsidRPr="00B649F4">
        <w:rPr>
          <w:rtl/>
        </w:rPr>
        <w:t xml:space="preserve">ة ومن منظورات مختلفة. </w:t>
      </w:r>
      <w:r w:rsidRPr="00B649F4">
        <w:rPr>
          <w:rFonts w:hint="cs"/>
          <w:rtl/>
        </w:rPr>
        <w:t>ف</w:t>
      </w:r>
      <w:r w:rsidRPr="00B649F4">
        <w:rPr>
          <w:rtl/>
        </w:rPr>
        <w:t>على سبيل المثال، ناقشت الدول الأعضاء في الدورة الأولى للجنة</w:t>
      </w:r>
      <w:r w:rsidRPr="00B649F4">
        <w:rPr>
          <w:rFonts w:hint="cs"/>
          <w:rtl/>
        </w:rPr>
        <w:t xml:space="preserve"> المعارف</w:t>
      </w:r>
      <w:r w:rsidRPr="00B649F4">
        <w:rPr>
          <w:rtl/>
        </w:rPr>
        <w:t xml:space="preserve"> (أبريل - مايو 2001) إحدى المهام الممكنة للجنة</w:t>
      </w:r>
      <w:r w:rsidRPr="00B649F4">
        <w:rPr>
          <w:rFonts w:hint="cs"/>
          <w:rtl/>
        </w:rPr>
        <w:t xml:space="preserve"> وهي النظر في </w:t>
      </w:r>
      <w:r w:rsidRPr="00B649F4">
        <w:rPr>
          <w:rtl/>
        </w:rPr>
        <w:t xml:space="preserve">المعايير القائمة ووضع معايير جديدة تسمح بدمج فعال لوثائق المعارف التقليدية في </w:t>
      </w:r>
      <w:r w:rsidRPr="00B649F4">
        <w:rPr>
          <w:rFonts w:hint="cs"/>
          <w:rtl/>
        </w:rPr>
        <w:t xml:space="preserve">الأدبيات السابقة التي </w:t>
      </w:r>
      <w:r w:rsidRPr="00B649F4">
        <w:rPr>
          <w:rtl/>
        </w:rPr>
        <w:t>يمكن</w:t>
      </w:r>
      <w:r w:rsidRPr="00B649F4">
        <w:t> </w:t>
      </w:r>
      <w:r w:rsidRPr="00B649F4">
        <w:rPr>
          <w:rtl/>
        </w:rPr>
        <w:t xml:space="preserve">البحث فيها (الفقرات من 78 إلى 80 من الوثيقة </w:t>
      </w:r>
      <w:r w:rsidRPr="00B649F4">
        <w:rPr>
          <w:bCs/>
        </w:rPr>
        <w:t>WIPO/GRTKF/IC/1/3</w:t>
      </w:r>
      <w:r w:rsidRPr="00B649F4">
        <w:rPr>
          <w:rtl/>
        </w:rPr>
        <w:t xml:space="preserve">). ونظرت لجنة </w:t>
      </w:r>
      <w:r w:rsidRPr="00B649F4">
        <w:rPr>
          <w:rFonts w:hint="cs"/>
          <w:rtl/>
        </w:rPr>
        <w:t>المعارف</w:t>
      </w:r>
      <w:r w:rsidRPr="00B649F4">
        <w:rPr>
          <w:rtl/>
        </w:rPr>
        <w:t xml:space="preserve"> </w:t>
      </w:r>
      <w:r w:rsidRPr="00B649F4">
        <w:rPr>
          <w:rFonts w:hint="cs"/>
          <w:rtl/>
        </w:rPr>
        <w:t xml:space="preserve">في </w:t>
      </w:r>
      <w:r w:rsidRPr="00B649F4">
        <w:rPr>
          <w:rtl/>
        </w:rPr>
        <w:t>دور قواعد البيانات والسجلات وغيرها من مجموعات الموارد الوراثية والمعارف التقليدية واستخدامات</w:t>
      </w:r>
      <w:r w:rsidRPr="00B649F4">
        <w:rPr>
          <w:rFonts w:hint="cs"/>
          <w:rtl/>
        </w:rPr>
        <w:t>ها</w:t>
      </w:r>
      <w:r w:rsidRPr="00B649F4">
        <w:rPr>
          <w:rtl/>
        </w:rPr>
        <w:t xml:space="preserve"> المحتملة كأدوات حماية إيجابية</w:t>
      </w:r>
      <w:r w:rsidRPr="00B649F4">
        <w:t> </w:t>
      </w:r>
      <w:r w:rsidRPr="00B649F4">
        <w:rPr>
          <w:rFonts w:hint="cs"/>
          <w:rtl/>
        </w:rPr>
        <w:t>أ</w:t>
      </w:r>
      <w:r w:rsidRPr="00B649F4">
        <w:rPr>
          <w:rtl/>
        </w:rPr>
        <w:t>و</w:t>
      </w:r>
      <w:r w:rsidRPr="00B649F4">
        <w:rPr>
          <w:rFonts w:hint="cs"/>
          <w:rtl/>
        </w:rPr>
        <w:t xml:space="preserve"> </w:t>
      </w:r>
      <w:r w:rsidRPr="00B649F4">
        <w:rPr>
          <w:rtl/>
        </w:rPr>
        <w:t>دفاعية</w:t>
      </w:r>
      <w:r w:rsidRPr="00B649F4">
        <w:rPr>
          <w:rFonts w:hint="cs"/>
          <w:rtl/>
        </w:rPr>
        <w:t>،</w:t>
      </w:r>
      <w:r w:rsidRPr="00B649F4">
        <w:rPr>
          <w:rtl/>
        </w:rPr>
        <w:t xml:space="preserve"> سواء كآليات قائمة بذاتها أو كجزء من تنفيذ نظام </w:t>
      </w:r>
      <w:r>
        <w:rPr>
          <w:rtl/>
        </w:rPr>
        <w:t>خاص</w:t>
      </w:r>
      <w:r w:rsidRPr="00B649F4">
        <w:rPr>
          <w:rtl/>
        </w:rPr>
        <w:t xml:space="preserve"> لحماية المعارف التقليدية (الفقرة 50 من الوثيقة</w:t>
      </w:r>
      <w:r w:rsidRPr="00B649F4">
        <w:rPr>
          <w:bCs/>
        </w:rPr>
        <w:t>WIPO/GRTKF/IC/3/</w:t>
      </w:r>
      <w:proofErr w:type="gramStart"/>
      <w:r w:rsidRPr="00B649F4">
        <w:rPr>
          <w:bCs/>
        </w:rPr>
        <w:t>8 </w:t>
      </w:r>
      <w:r w:rsidRPr="00B649F4">
        <w:rPr>
          <w:rtl/>
        </w:rPr>
        <w:t>)</w:t>
      </w:r>
      <w:proofErr w:type="gramEnd"/>
      <w:r w:rsidRPr="00B649F4">
        <w:rPr>
          <w:rtl/>
        </w:rPr>
        <w:t>.</w:t>
      </w:r>
    </w:p>
    <w:p w:rsidR="00DF12E1" w:rsidRPr="00DF12E1" w:rsidRDefault="00DF12E1" w:rsidP="00DF12E1">
      <w:pPr>
        <w:pStyle w:val="ONUMA"/>
      </w:pPr>
      <w:r w:rsidRPr="00DF12E1">
        <w:rPr>
          <w:rtl/>
        </w:rPr>
        <w:t xml:space="preserve">وتناولت الدورات الأولى للجنة </w:t>
      </w:r>
      <w:r w:rsidRPr="00DF12E1">
        <w:rPr>
          <w:rFonts w:hint="cs"/>
          <w:rtl/>
        </w:rPr>
        <w:t>المعارف نوعين من ال</w:t>
      </w:r>
      <w:r w:rsidRPr="00DF12E1">
        <w:rPr>
          <w:rtl/>
        </w:rPr>
        <w:t>تدابير المتعلقة بتوثيق المعارف التقليدية (الوثيقة</w:t>
      </w:r>
      <w:r w:rsidRPr="00DF12E1">
        <w:rPr>
          <w:rFonts w:hint="cs"/>
          <w:rtl/>
        </w:rPr>
        <w:t> </w:t>
      </w:r>
      <w:r w:rsidRPr="00DF12E1">
        <w:rPr>
          <w:bCs/>
        </w:rPr>
        <w:t>WIPO/GRTKF/IC/2/6</w:t>
      </w:r>
      <w:r w:rsidRPr="00DF12E1">
        <w:rPr>
          <w:rtl/>
        </w:rPr>
        <w:t>):</w:t>
      </w:r>
    </w:p>
    <w:p w:rsidR="00DF12E1" w:rsidRPr="00DF12E1" w:rsidRDefault="00DF12E1" w:rsidP="00DF12E1">
      <w:pPr>
        <w:pStyle w:val="ONUMA"/>
        <w:numPr>
          <w:ilvl w:val="0"/>
          <w:numId w:val="29"/>
        </w:numPr>
      </w:pPr>
      <w:r w:rsidRPr="00DF12E1">
        <w:rPr>
          <w:rtl/>
        </w:rPr>
        <w:t xml:space="preserve">التدابير المتعلقة بإجراءات سلطات منح البراءات، مثل إدراج المعارف التقليدية في الحد الأدنى </w:t>
      </w:r>
      <w:r w:rsidRPr="00DF12E1">
        <w:rPr>
          <w:rFonts w:hint="cs"/>
          <w:rtl/>
        </w:rPr>
        <w:t>لل</w:t>
      </w:r>
      <w:r w:rsidRPr="00DF12E1">
        <w:rPr>
          <w:rtl/>
        </w:rPr>
        <w:t xml:space="preserve">وثائق </w:t>
      </w:r>
      <w:r w:rsidRPr="00DF12E1">
        <w:rPr>
          <w:rFonts w:hint="cs"/>
          <w:rtl/>
        </w:rPr>
        <w:t xml:space="preserve">المنصوص عليها </w:t>
      </w:r>
      <w:r w:rsidRPr="00DF12E1">
        <w:rPr>
          <w:rtl/>
        </w:rPr>
        <w:t>معاهدة التعاون بشأن البراءات (انظر الفقرة 9 أدناه)، والاعتراف بالمعارف التقليدية في إجراءات البحث والفحص لفاحصي البراءات وم</w:t>
      </w:r>
      <w:r w:rsidRPr="00DF12E1">
        <w:rPr>
          <w:rFonts w:hint="cs"/>
          <w:rtl/>
        </w:rPr>
        <w:t>ودع</w:t>
      </w:r>
      <w:r w:rsidRPr="00DF12E1">
        <w:rPr>
          <w:rtl/>
        </w:rPr>
        <w:t>ي الطلبات؛</w:t>
      </w:r>
    </w:p>
    <w:p w:rsidR="00DF12E1" w:rsidRPr="00DF12E1" w:rsidRDefault="00DF12E1" w:rsidP="00DF12E1">
      <w:pPr>
        <w:pStyle w:val="ONUMA"/>
        <w:numPr>
          <w:ilvl w:val="0"/>
          <w:numId w:val="29"/>
        </w:numPr>
      </w:pPr>
      <w:r w:rsidRPr="00DF12E1">
        <w:rPr>
          <w:rFonts w:hint="cs"/>
          <w:rtl/>
        </w:rPr>
        <w:lastRenderedPageBreak/>
        <w:t>و</w:t>
      </w:r>
      <w:r w:rsidRPr="00DF12E1">
        <w:rPr>
          <w:rtl/>
        </w:rPr>
        <w:t>التدابير المتعلقة بمشاريع توثيق المعارف التقليدية ومبادرات</w:t>
      </w:r>
      <w:r w:rsidRPr="00DF12E1">
        <w:rPr>
          <w:rFonts w:hint="cs"/>
          <w:rtl/>
        </w:rPr>
        <w:t>ه</w:t>
      </w:r>
      <w:r w:rsidRPr="00DF12E1">
        <w:rPr>
          <w:rtl/>
        </w:rPr>
        <w:t>، مثل المبادئ التوجيهية لإدارة الملكية الفكرية أثناء عملية التوثيق، التي أدت</w:t>
      </w:r>
      <w:r w:rsidRPr="00DF12E1">
        <w:rPr>
          <w:rFonts w:hint="cs"/>
          <w:rtl/>
        </w:rPr>
        <w:t xml:space="preserve">، مثلا، </w:t>
      </w:r>
      <w:r w:rsidRPr="00DF12E1">
        <w:rPr>
          <w:rtl/>
        </w:rPr>
        <w:t>إلى وضع مجموعة أدوات توثيق المعارف التقليدية (انظر الفقرة 8 أدناه)، والروابط بين الوثائق وحماية المعارف التقليدية، سواء بشكل إيجابي أو دفاعي.</w:t>
      </w:r>
    </w:p>
    <w:p w:rsidR="00DF12E1" w:rsidRPr="00DF12E1" w:rsidRDefault="00DF12E1" w:rsidP="00DF12E1">
      <w:pPr>
        <w:pStyle w:val="ONUMA"/>
        <w:rPr>
          <w:rtl/>
        </w:rPr>
      </w:pPr>
      <w:r w:rsidRPr="00DF12E1">
        <w:rPr>
          <w:rtl/>
        </w:rPr>
        <w:t xml:space="preserve">وبداية، تطرقت اللجنة إلى وثائق المعارف التقليدية فقط. أمّا بالنسبة للموارد الوراثية، فبدأت مناقشات لجنة المعارف بشأن الصلة بين البراءات وقواعد بيانات الموارد الوراثية والمعارف التقليدية المرتبطة بها في الدورة التاسعة (أبريل 2006) حيث قدم وفد اليابان وثيقة (الوثيقة </w:t>
      </w:r>
      <w:r w:rsidRPr="00DF12E1">
        <w:t>WIPO/GRTKF/IC/9/13</w:t>
      </w:r>
      <w:r w:rsidRPr="00DF12E1">
        <w:rPr>
          <w:rtl/>
        </w:rPr>
        <w:t>) بعنوان "نظام البراءات والموارد الوراثية"، واقترح فيها إنشاء قاعدة بيانات للموارد الوراثية والمعارف التقليدية لينفذ إليها فاحصو البراءات في جميع أنحاء العالم.</w:t>
      </w:r>
    </w:p>
    <w:p w:rsidR="00DF12E1" w:rsidRPr="00B649F4" w:rsidRDefault="00DF12E1" w:rsidP="00DF12E1">
      <w:pPr>
        <w:pStyle w:val="ONUMA"/>
      </w:pPr>
      <w:r w:rsidRPr="00B649F4">
        <w:rPr>
          <w:rtl/>
        </w:rPr>
        <w:t>و</w:t>
      </w:r>
      <w:r w:rsidRPr="00B649F4">
        <w:rPr>
          <w:rFonts w:hint="cs"/>
          <w:rtl/>
        </w:rPr>
        <w:t xml:space="preserve">يزداد عدد </w:t>
      </w:r>
      <w:r w:rsidRPr="00B649F4">
        <w:rPr>
          <w:rtl/>
        </w:rPr>
        <w:t xml:space="preserve">المبادرات </w:t>
      </w:r>
      <w:r w:rsidRPr="00B649F4">
        <w:rPr>
          <w:rFonts w:hint="cs"/>
          <w:rtl/>
        </w:rPr>
        <w:t xml:space="preserve">الرامية </w:t>
      </w:r>
      <w:r w:rsidRPr="00B649F4">
        <w:rPr>
          <w:rtl/>
        </w:rPr>
        <w:t>إلى استخدام قواعد البيانات والمن</w:t>
      </w:r>
      <w:r w:rsidRPr="00B649F4">
        <w:rPr>
          <w:rFonts w:hint="cs"/>
          <w:rtl/>
        </w:rPr>
        <w:t xml:space="preserve">صات </w:t>
      </w:r>
      <w:r w:rsidRPr="00B649F4">
        <w:rPr>
          <w:rtl/>
        </w:rPr>
        <w:t xml:space="preserve">والسجلات لحفظ المعارف التقليدية والموارد الوراثية وحمايتها، سواء </w:t>
      </w:r>
      <w:r w:rsidRPr="00B649F4">
        <w:rPr>
          <w:rFonts w:hint="cs"/>
          <w:rtl/>
        </w:rPr>
        <w:t xml:space="preserve">بشكل </w:t>
      </w:r>
      <w:r w:rsidRPr="00B649F4">
        <w:rPr>
          <w:rtl/>
        </w:rPr>
        <w:t xml:space="preserve">إيجابي </w:t>
      </w:r>
      <w:r w:rsidRPr="00B649F4">
        <w:rPr>
          <w:rFonts w:hint="cs"/>
          <w:rtl/>
        </w:rPr>
        <w:t>و/</w:t>
      </w:r>
      <w:r w:rsidRPr="00B649F4">
        <w:rPr>
          <w:rtl/>
        </w:rPr>
        <w:t xml:space="preserve">أو دفاعي. وتقدم أمانة الويبو (في إطار البرنامج 4 للويبو) </w:t>
      </w:r>
      <w:r w:rsidRPr="00B649F4">
        <w:rPr>
          <w:rFonts w:hint="cs"/>
          <w:rtl/>
        </w:rPr>
        <w:t>عند ال</w:t>
      </w:r>
      <w:r w:rsidRPr="00B649F4">
        <w:rPr>
          <w:rtl/>
        </w:rPr>
        <w:t>طلب، معلومات ومساعدة تقنية ومعلومات</w:t>
      </w:r>
      <w:r w:rsidRPr="00B649F4">
        <w:rPr>
          <w:rFonts w:hint="cs"/>
          <w:rtl/>
        </w:rPr>
        <w:t xml:space="preserve"> بشأن </w:t>
      </w:r>
      <w:r w:rsidRPr="00B649F4">
        <w:rPr>
          <w:rtl/>
        </w:rPr>
        <w:t>الملكية الفكرية في</w:t>
      </w:r>
      <w:r w:rsidRPr="00B649F4">
        <w:rPr>
          <w:rFonts w:hint="cs"/>
          <w:rtl/>
        </w:rPr>
        <w:t xml:space="preserve"> مجال </w:t>
      </w:r>
      <w:r w:rsidRPr="00B649F4">
        <w:rPr>
          <w:rtl/>
        </w:rPr>
        <w:t>توثيق الموارد الوراثية والمعارف التقليدية. وت</w:t>
      </w:r>
      <w:r w:rsidRPr="00B649F4">
        <w:rPr>
          <w:rFonts w:hint="cs"/>
          <w:rtl/>
        </w:rPr>
        <w:t>رتبط</w:t>
      </w:r>
      <w:r w:rsidRPr="00B649F4">
        <w:rPr>
          <w:rtl/>
        </w:rPr>
        <w:t xml:space="preserve"> معظم الطلبات بالوثائق </w:t>
      </w:r>
      <w:r w:rsidRPr="00B649F4">
        <w:rPr>
          <w:rFonts w:hint="cs"/>
          <w:rtl/>
        </w:rPr>
        <w:t xml:space="preserve">المضطلع بها </w:t>
      </w:r>
      <w:r w:rsidRPr="00B649F4">
        <w:rPr>
          <w:rtl/>
        </w:rPr>
        <w:t>لأغراض تيسير الحماية الإيجابية والحماية الدفاعية والبحث والتطوير</w:t>
      </w:r>
      <w:r w:rsidRPr="00B649F4">
        <w:rPr>
          <w:rFonts w:hint="cs"/>
          <w:rtl/>
        </w:rPr>
        <w:t>.</w:t>
      </w:r>
    </w:p>
    <w:p w:rsidR="00DF12E1" w:rsidRPr="00B649F4" w:rsidRDefault="00DF12E1" w:rsidP="00DF12E1">
      <w:pPr>
        <w:pStyle w:val="ONUMA"/>
      </w:pPr>
      <w:r w:rsidRPr="00B649F4">
        <w:rPr>
          <w:rFonts w:hint="cs"/>
          <w:rtl/>
        </w:rPr>
        <w:t>والتمست الجمعية العامة للويبو في عام 2017 من الأمانة "</w:t>
      </w:r>
      <w:r w:rsidRPr="00B649F4">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B649F4">
        <w:rPr>
          <w:rFonts w:hint="cs"/>
          <w:rtl/>
        </w:rPr>
        <w:t>".</w:t>
      </w:r>
    </w:p>
    <w:p w:rsidR="00DF12E1" w:rsidRPr="00B649F4" w:rsidRDefault="00DF12E1" w:rsidP="00DF12E1">
      <w:pPr>
        <w:pStyle w:val="ONUMA"/>
      </w:pPr>
      <w:r w:rsidRPr="00B649F4">
        <w:rPr>
          <w:rFonts w:hint="cs"/>
          <w:rtl/>
        </w:rPr>
        <w:t xml:space="preserve">واستجابة لذلك القرار، أُعدت الوثيقة </w:t>
      </w:r>
      <w:r w:rsidRPr="00B649F4">
        <w:t>WIPO/GRTKF/IC/35/5</w:t>
      </w:r>
      <w:r w:rsidRPr="00B649F4">
        <w:rPr>
          <w:rFonts w:hint="cs"/>
          <w:rtl/>
          <w:lang w:bidi="ar-EG"/>
        </w:rPr>
        <w:t>.</w:t>
      </w:r>
      <w:r w:rsidRPr="00B649F4">
        <w:rPr>
          <w:rFonts w:hint="cs"/>
          <w:rtl/>
        </w:rPr>
        <w:t xml:space="preserve"> وتوفر تلك الوثيقة قائمة غير حصرية بالمواد المتاحة على موقع الويبو الإلكتروني والمتعلقة "بقواعد البيانات"</w:t>
      </w:r>
      <w:r w:rsidRPr="00B649F4">
        <w:rPr>
          <w:sz w:val="28"/>
          <w:szCs w:val="28"/>
          <w:vertAlign w:val="superscript"/>
          <w:rtl/>
        </w:rPr>
        <w:footnoteReference w:id="2"/>
      </w:r>
      <w:r w:rsidRPr="00B649F4">
        <w:rPr>
          <w:rFonts w:hint="cs"/>
          <w:rtl/>
        </w:rPr>
        <w:t xml:space="preserve">، بما في ذلك ملخص لمنشورات أمانة الويبو وأنشطتها، واقتراحات قدمتها الدول الأعضاء، وتجارب إقليمية ووطنية، والتسلسل التاريخي للمفاوضات القائمة على النصوص والجارية على مستوى لجنة المعارف بخصوص قواعد البيانات </w:t>
      </w:r>
      <w:r w:rsidRPr="00B649F4">
        <w:rPr>
          <w:rtl/>
        </w:rPr>
        <w:t>المتعلقة بالموارد الوراثية والمعارف التقليدية</w:t>
      </w:r>
      <w:r w:rsidRPr="00B649F4">
        <w:rPr>
          <w:rFonts w:hint="cs"/>
          <w:rtl/>
        </w:rPr>
        <w:t xml:space="preserve">. وتناولت </w:t>
      </w:r>
      <w:r w:rsidRPr="00B649F4">
        <w:rPr>
          <w:rtl/>
        </w:rPr>
        <w:t xml:space="preserve">الوثيقة </w:t>
      </w:r>
      <w:r w:rsidRPr="00B649F4">
        <w:rPr>
          <w:rFonts w:hint="cs"/>
          <w:rtl/>
        </w:rPr>
        <w:t xml:space="preserve">أيضاً </w:t>
      </w:r>
      <w:r w:rsidRPr="00B649F4">
        <w:rPr>
          <w:rtl/>
        </w:rPr>
        <w:t>الأدوات والأنشطة المتعلقة بقواعد البيانات ال</w:t>
      </w:r>
      <w:r w:rsidRPr="00B649F4">
        <w:rPr>
          <w:rFonts w:hint="cs"/>
          <w:rtl/>
        </w:rPr>
        <w:t>خاص</w:t>
      </w:r>
      <w:r w:rsidRPr="00B649F4">
        <w:rPr>
          <w:rtl/>
        </w:rPr>
        <w:t>ة بالموارد الوراثية والمعارف التقليدية المرتبطة بها</w:t>
      </w:r>
      <w:r w:rsidRPr="00B649F4">
        <w:rPr>
          <w:rFonts w:hint="cs"/>
          <w:rtl/>
        </w:rPr>
        <w:t>.</w:t>
      </w:r>
      <w:r w:rsidRPr="00B649F4">
        <w:rPr>
          <w:rFonts w:hint="cs"/>
          <w:rtl/>
          <w:lang w:bidi="ar-EG"/>
        </w:rPr>
        <w:t xml:space="preserve"> وأعيد إصدار الوثيقة ذاتها مع إدخال بعض التحديثات الطفيفة لأغراض </w:t>
      </w:r>
      <w:r>
        <w:rPr>
          <w:rFonts w:hint="cs"/>
          <w:rtl/>
          <w:lang w:bidi="ar-EG"/>
        </w:rPr>
        <w:t xml:space="preserve">الدورات 36 و37 و38 و39 </w:t>
      </w:r>
      <w:r>
        <w:rPr>
          <w:rFonts w:hint="cs"/>
          <w:rtl/>
          <w:lang w:val="fr-CH" w:bidi="ar-SY"/>
        </w:rPr>
        <w:t xml:space="preserve">و40 </w:t>
      </w:r>
      <w:r>
        <w:rPr>
          <w:rFonts w:hint="cs"/>
          <w:rtl/>
          <w:lang w:bidi="ar-EG"/>
        </w:rPr>
        <w:t xml:space="preserve">للجنة المعارف ولأغراض </w:t>
      </w:r>
      <w:r w:rsidRPr="00B649F4">
        <w:rPr>
          <w:rFonts w:hint="cs"/>
          <w:rtl/>
          <w:lang w:bidi="ar-EG"/>
        </w:rPr>
        <w:t>هذه الدورة</w:t>
      </w:r>
      <w:r>
        <w:rPr>
          <w:rFonts w:hint="cs"/>
          <w:rtl/>
          <w:lang w:bidi="ar-EG"/>
        </w:rPr>
        <w:t xml:space="preserve"> أيضاً</w:t>
      </w:r>
      <w:r w:rsidRPr="00B649F4">
        <w:rPr>
          <w:rFonts w:hint="cs"/>
          <w:rtl/>
          <w:lang w:bidi="ar-EG"/>
        </w:rPr>
        <w:t>.</w:t>
      </w:r>
    </w:p>
    <w:p w:rsidR="00C04F3B" w:rsidRPr="00C04F3B" w:rsidRDefault="003B76A4" w:rsidP="00C04F3B">
      <w:pPr>
        <w:pStyle w:val="Heading1"/>
        <w:spacing w:after="240"/>
        <w:rPr>
          <w:sz w:val="24"/>
          <w:szCs w:val="24"/>
        </w:rPr>
      </w:pPr>
      <w:r>
        <w:rPr>
          <w:rFonts w:hint="cs"/>
          <w:sz w:val="24"/>
          <w:szCs w:val="24"/>
          <w:rtl/>
        </w:rPr>
        <w:t>منشورات الويبو وأنشطتها</w:t>
      </w:r>
    </w:p>
    <w:p w:rsidR="00A42C18" w:rsidRPr="00B649F4" w:rsidRDefault="00A42C18" w:rsidP="00A42C18">
      <w:pPr>
        <w:pStyle w:val="ONUMA"/>
      </w:pPr>
      <w:r w:rsidRPr="00B649F4">
        <w:rPr>
          <w:rtl/>
        </w:rPr>
        <w:t>ي</w:t>
      </w:r>
      <w:r w:rsidRPr="00B649F4">
        <w:rPr>
          <w:rFonts w:hint="cs"/>
          <w:rtl/>
        </w:rPr>
        <w:t xml:space="preserve">ثير </w:t>
      </w:r>
      <w:r w:rsidRPr="00B649F4">
        <w:rPr>
          <w:rtl/>
        </w:rPr>
        <w:t xml:space="preserve">توثيق المعارف التقليدية قضايا هامة، لا سيما فيما </w:t>
      </w:r>
      <w:r w:rsidRPr="00B649F4">
        <w:rPr>
          <w:rFonts w:hint="cs"/>
          <w:rtl/>
        </w:rPr>
        <w:t xml:space="preserve">يخص </w:t>
      </w:r>
      <w:r w:rsidRPr="00B649F4">
        <w:rPr>
          <w:rtl/>
        </w:rPr>
        <w:t xml:space="preserve">الملكية الفكرية. </w:t>
      </w:r>
      <w:r w:rsidRPr="00B649F4">
        <w:rPr>
          <w:rFonts w:hint="cs"/>
          <w:rtl/>
        </w:rPr>
        <w:t xml:space="preserve">ويقدّم دليل </w:t>
      </w:r>
      <w:r w:rsidRPr="00B649F4">
        <w:rPr>
          <w:b/>
          <w:bCs/>
          <w:rtl/>
        </w:rPr>
        <w:t>توثيق المعارف التقليدية - مجموعة أدوات</w:t>
      </w:r>
      <w:r w:rsidRPr="00B649F4">
        <w:rPr>
          <w:rFonts w:hint="cs"/>
          <w:rtl/>
        </w:rPr>
        <w:t xml:space="preserve">، </w:t>
      </w:r>
      <w:r w:rsidRPr="00B649F4">
        <w:rPr>
          <w:rtl/>
        </w:rPr>
        <w:t xml:space="preserve">قوائم مرجعية سهلة الاستخدام وموارد </w:t>
      </w:r>
      <w:r w:rsidRPr="00B649F4">
        <w:rPr>
          <w:rFonts w:hint="cs"/>
          <w:rtl/>
        </w:rPr>
        <w:t>أخرى</w:t>
      </w:r>
      <w:r w:rsidRPr="00B649F4">
        <w:rPr>
          <w:rtl/>
        </w:rPr>
        <w:t xml:space="preserve"> </w:t>
      </w:r>
      <w:r w:rsidRPr="00B649F4">
        <w:rPr>
          <w:rFonts w:hint="cs"/>
          <w:rtl/>
        </w:rPr>
        <w:t xml:space="preserve">تساعد في تمكين </w:t>
      </w:r>
      <w:r w:rsidRPr="00B649F4">
        <w:rPr>
          <w:rtl/>
        </w:rPr>
        <w:t xml:space="preserve">أي </w:t>
      </w:r>
      <w:r w:rsidRPr="00B649F4">
        <w:rPr>
          <w:rFonts w:hint="cs"/>
          <w:rtl/>
        </w:rPr>
        <w:t>جهة ت</w:t>
      </w:r>
      <w:r w:rsidRPr="00B649F4">
        <w:rPr>
          <w:rtl/>
        </w:rPr>
        <w:t xml:space="preserve">نظر في مشروع توثيق، ولا سيما الشعوب الأصلية </w:t>
      </w:r>
      <w:r w:rsidRPr="00B649F4">
        <w:rPr>
          <w:rFonts w:hint="cs"/>
          <w:rtl/>
        </w:rPr>
        <w:t>والجماعات</w:t>
      </w:r>
      <w:r w:rsidRPr="00B649F4">
        <w:rPr>
          <w:rtl/>
        </w:rPr>
        <w:t xml:space="preserve"> المحلية، </w:t>
      </w:r>
      <w:r w:rsidRPr="00B649F4">
        <w:rPr>
          <w:rFonts w:hint="cs"/>
          <w:rtl/>
        </w:rPr>
        <w:t>من م</w:t>
      </w:r>
      <w:r w:rsidRPr="00B649F4">
        <w:rPr>
          <w:rtl/>
        </w:rPr>
        <w:t>عالج</w:t>
      </w:r>
      <w:r w:rsidRPr="00B649F4">
        <w:rPr>
          <w:rFonts w:hint="cs"/>
          <w:rtl/>
        </w:rPr>
        <w:t>ة</w:t>
      </w:r>
      <w:r w:rsidRPr="00B649F4">
        <w:rPr>
          <w:rtl/>
        </w:rPr>
        <w:t xml:space="preserve"> هذه المسائل بفعالية. </w:t>
      </w:r>
      <w:r w:rsidRPr="00B649F4">
        <w:rPr>
          <w:rFonts w:hint="cs"/>
          <w:rtl/>
        </w:rPr>
        <w:t>و</w:t>
      </w:r>
      <w:r w:rsidRPr="00B649F4">
        <w:rPr>
          <w:rtl/>
        </w:rPr>
        <w:t xml:space="preserve">يوفر </w:t>
      </w:r>
      <w:r w:rsidRPr="00B649F4">
        <w:rPr>
          <w:rFonts w:hint="cs"/>
          <w:rtl/>
        </w:rPr>
        <w:t xml:space="preserve">الدليل </w:t>
      </w:r>
      <w:r w:rsidRPr="00B649F4">
        <w:rPr>
          <w:rtl/>
        </w:rPr>
        <w:t>إرشادات عملية بشأن القضايا الرئيسية التي ينبغي الت</w:t>
      </w:r>
      <w:r w:rsidRPr="00B649F4">
        <w:rPr>
          <w:rFonts w:hint="cs"/>
          <w:rtl/>
        </w:rPr>
        <w:t>خطيط</w:t>
      </w:r>
      <w:r w:rsidRPr="00B649F4">
        <w:rPr>
          <w:rtl/>
        </w:rPr>
        <w:t xml:space="preserve"> </w:t>
      </w:r>
      <w:r w:rsidRPr="00B649F4">
        <w:rPr>
          <w:rFonts w:hint="cs"/>
          <w:rtl/>
        </w:rPr>
        <w:t>ل</w:t>
      </w:r>
      <w:r w:rsidRPr="00B649F4">
        <w:rPr>
          <w:rtl/>
        </w:rPr>
        <w:t xml:space="preserve">ها قبل </w:t>
      </w:r>
      <w:r w:rsidRPr="00B649F4">
        <w:rPr>
          <w:rFonts w:hint="cs"/>
          <w:rtl/>
        </w:rPr>
        <w:t xml:space="preserve">عملية </w:t>
      </w:r>
      <w:r w:rsidRPr="00B649F4">
        <w:rPr>
          <w:rtl/>
        </w:rPr>
        <w:t xml:space="preserve">توثيق المعارف التقليدية </w:t>
      </w:r>
      <w:r w:rsidRPr="00B649F4">
        <w:rPr>
          <w:rFonts w:hint="cs"/>
          <w:rtl/>
        </w:rPr>
        <w:t>وخلالها</w:t>
      </w:r>
      <w:r w:rsidRPr="00B649F4">
        <w:rPr>
          <w:rtl/>
        </w:rPr>
        <w:t xml:space="preserve"> وبعد</w:t>
      </w:r>
      <w:r w:rsidRPr="00B649F4">
        <w:rPr>
          <w:rFonts w:hint="cs"/>
          <w:rtl/>
        </w:rPr>
        <w:t>ها</w:t>
      </w:r>
      <w:r w:rsidRPr="00B649F4">
        <w:rPr>
          <w:rtl/>
        </w:rPr>
        <w:t>. وهو متاح على ال</w:t>
      </w:r>
      <w:r w:rsidRPr="00B649F4">
        <w:rPr>
          <w:rFonts w:hint="cs"/>
          <w:rtl/>
        </w:rPr>
        <w:t>رابط:</w:t>
      </w:r>
      <w:r w:rsidRPr="00B649F4">
        <w:rPr>
          <w:rtl/>
        </w:rPr>
        <w:t xml:space="preserve"> </w:t>
      </w:r>
      <w:hyperlink r:id="rId12" w:history="1">
        <w:r w:rsidRPr="003F2699">
          <w:rPr>
            <w:rStyle w:val="Hyperlink"/>
          </w:rPr>
          <w:t>https://www.wipo.int/publications/en/details.jsp?id=4235</w:t>
        </w:r>
      </w:hyperlink>
      <w:r w:rsidRPr="00A72E8E">
        <w:rPr>
          <w:rtl/>
        </w:rPr>
        <w:t xml:space="preserve">. </w:t>
      </w:r>
      <w:r w:rsidRPr="00B649F4">
        <w:rPr>
          <w:rtl/>
        </w:rPr>
        <w:t>وقد أعد</w:t>
      </w:r>
      <w:r w:rsidRPr="00B649F4">
        <w:rPr>
          <w:rFonts w:hint="cs"/>
          <w:rtl/>
        </w:rPr>
        <w:t>ّ</w:t>
      </w:r>
      <w:r w:rsidRPr="00B649F4">
        <w:rPr>
          <w:rtl/>
        </w:rPr>
        <w:t xml:space="preserve"> هذا المنشور </w:t>
      </w:r>
      <w:r w:rsidRPr="00B649F4">
        <w:rPr>
          <w:rFonts w:hint="cs"/>
          <w:rtl/>
        </w:rPr>
        <w:t xml:space="preserve">تحت </w:t>
      </w:r>
      <w:r w:rsidRPr="00B649F4">
        <w:rPr>
          <w:rtl/>
        </w:rPr>
        <w:t>رعاية لجنة ال</w:t>
      </w:r>
      <w:r w:rsidRPr="00B649F4">
        <w:rPr>
          <w:rFonts w:hint="cs"/>
          <w:rtl/>
        </w:rPr>
        <w:t>معارف</w:t>
      </w:r>
      <w:r w:rsidRPr="00B649F4">
        <w:rPr>
          <w:rtl/>
        </w:rPr>
        <w:t>،</w:t>
      </w:r>
      <w:r w:rsidRPr="00B649F4">
        <w:rPr>
          <w:rFonts w:hint="cs"/>
          <w:rtl/>
        </w:rPr>
        <w:t xml:space="preserve"> التي </w:t>
      </w:r>
      <w:r w:rsidRPr="00B649F4">
        <w:rPr>
          <w:rtl/>
        </w:rPr>
        <w:t>درس</w:t>
      </w:r>
      <w:r w:rsidRPr="00B649F4">
        <w:rPr>
          <w:rFonts w:hint="cs"/>
          <w:rtl/>
        </w:rPr>
        <w:t>ت</w:t>
      </w:r>
      <w:r w:rsidRPr="00B649F4">
        <w:rPr>
          <w:rtl/>
        </w:rPr>
        <w:t xml:space="preserve"> اقتراح</w:t>
      </w:r>
      <w:r w:rsidRPr="00B649F4">
        <w:rPr>
          <w:rFonts w:hint="cs"/>
          <w:rtl/>
        </w:rPr>
        <w:t>ه</w:t>
      </w:r>
      <w:r w:rsidRPr="00B649F4">
        <w:rPr>
          <w:rtl/>
        </w:rPr>
        <w:t xml:space="preserve"> واعتمد</w:t>
      </w:r>
      <w:r w:rsidRPr="00B649F4">
        <w:rPr>
          <w:rFonts w:hint="cs"/>
          <w:rtl/>
        </w:rPr>
        <w:t>ت</w:t>
      </w:r>
      <w:r w:rsidRPr="00B649F4">
        <w:rPr>
          <w:rtl/>
        </w:rPr>
        <w:t>ه في دور</w:t>
      </w:r>
      <w:r w:rsidRPr="00B649F4">
        <w:rPr>
          <w:rFonts w:hint="cs"/>
          <w:rtl/>
        </w:rPr>
        <w:t>تها</w:t>
      </w:r>
      <w:r w:rsidRPr="00B649F4">
        <w:rPr>
          <w:rtl/>
        </w:rPr>
        <w:t xml:space="preserve"> الثا</w:t>
      </w:r>
      <w:r w:rsidRPr="00B649F4">
        <w:rPr>
          <w:rFonts w:hint="cs"/>
          <w:rtl/>
        </w:rPr>
        <w:t xml:space="preserve">لثة </w:t>
      </w:r>
      <w:r w:rsidRPr="00B649F4">
        <w:rPr>
          <w:rtl/>
        </w:rPr>
        <w:t>(يونيو 2002). وبعد عدة مسودات مؤقتة، نشر مشروع للتشاور من مجموعة الأدوات في نوفمبر 2012</w:t>
      </w:r>
      <w:r w:rsidRPr="00B649F4">
        <w:rPr>
          <w:rFonts w:hint="cs"/>
          <w:rtl/>
        </w:rPr>
        <w:t>،</w:t>
      </w:r>
      <w:r w:rsidRPr="00B649F4">
        <w:rPr>
          <w:rtl/>
        </w:rPr>
        <w:t xml:space="preserve"> ونشرت النسخة النهائية بعنوان "توثيق المعارف التقليدية - مجموعة أدوات" في أواخر عام 2017.</w:t>
      </w:r>
    </w:p>
    <w:p w:rsidR="00A42C18" w:rsidRDefault="00A42C18" w:rsidP="00A42C18">
      <w:pPr>
        <w:pStyle w:val="ONUMA"/>
      </w:pPr>
      <w:r w:rsidRPr="00B649F4">
        <w:rPr>
          <w:rtl/>
        </w:rPr>
        <w:t>و</w:t>
      </w:r>
      <w:r w:rsidRPr="00B649F4">
        <w:rPr>
          <w:rFonts w:hint="cs"/>
          <w:rtl/>
        </w:rPr>
        <w:t xml:space="preserve">كما ذكر </w:t>
      </w:r>
      <w:r w:rsidRPr="00B649F4">
        <w:rPr>
          <w:rtl/>
        </w:rPr>
        <w:t>بإيجاز أعلاه</w:t>
      </w:r>
      <w:r w:rsidRPr="00B649F4">
        <w:rPr>
          <w:rFonts w:hint="cs"/>
          <w:rtl/>
        </w:rPr>
        <w:t>،</w:t>
      </w:r>
      <w:r w:rsidRPr="00B649F4">
        <w:rPr>
          <w:rtl/>
        </w:rPr>
        <w:t xml:space="preserve"> ناقشت الدول الأعضاء في الدورة الأولى للجنة </w:t>
      </w:r>
      <w:r w:rsidRPr="00B649F4">
        <w:rPr>
          <w:rFonts w:hint="cs"/>
          <w:rtl/>
        </w:rPr>
        <w:t>المعارف</w:t>
      </w:r>
      <w:r w:rsidRPr="00B649F4">
        <w:rPr>
          <w:rtl/>
        </w:rPr>
        <w:t xml:space="preserve"> (أبريل - مايو 2001) المسائل المتعلقة</w:t>
      </w:r>
      <w:r w:rsidRPr="00B649F4">
        <w:rPr>
          <w:rFonts w:hint="cs"/>
          <w:rtl/>
        </w:rPr>
        <w:t> </w:t>
      </w:r>
      <w:r w:rsidRPr="00B649F4">
        <w:rPr>
          <w:rtl/>
        </w:rPr>
        <w:t xml:space="preserve">بتوثيق المعارف التقليدية </w:t>
      </w:r>
      <w:r w:rsidRPr="00B649F4">
        <w:rPr>
          <w:rFonts w:hint="cs"/>
          <w:rtl/>
        </w:rPr>
        <w:t xml:space="preserve">والأدبيات السابقة التي </w:t>
      </w:r>
      <w:r w:rsidRPr="00B649F4">
        <w:rPr>
          <w:rtl/>
        </w:rPr>
        <w:t>يمكن البحث</w:t>
      </w:r>
      <w:r w:rsidRPr="00B649F4">
        <w:rPr>
          <w:rFonts w:hint="cs"/>
          <w:rtl/>
        </w:rPr>
        <w:t xml:space="preserve"> فيها، وخاصة غياب</w:t>
      </w:r>
      <w:r w:rsidRPr="00B649F4">
        <w:rPr>
          <w:rtl/>
        </w:rPr>
        <w:t xml:space="preserve"> قواعد بيانات لأدبيات </w:t>
      </w:r>
      <w:r w:rsidRPr="00B649F4">
        <w:rPr>
          <w:rFonts w:hint="cs"/>
          <w:rtl/>
        </w:rPr>
        <w:t>خلاف</w:t>
      </w:r>
      <w:r w:rsidRPr="00B649F4">
        <w:rPr>
          <w:rFonts w:hint="eastAsia"/>
          <w:rtl/>
        </w:rPr>
        <w:t> </w:t>
      </w:r>
      <w:r w:rsidRPr="00B649F4">
        <w:rPr>
          <w:rFonts w:hint="cs"/>
          <w:rtl/>
        </w:rPr>
        <w:t xml:space="preserve">البراءات تشمل </w:t>
      </w:r>
      <w:r w:rsidRPr="00B649F4">
        <w:rPr>
          <w:rtl/>
        </w:rPr>
        <w:t xml:space="preserve">بيانات وثائق المعارف التقليدية؛ </w:t>
      </w:r>
      <w:r w:rsidRPr="00B649F4">
        <w:rPr>
          <w:rFonts w:hint="cs"/>
          <w:rtl/>
        </w:rPr>
        <w:t>و</w:t>
      </w:r>
      <w:r w:rsidRPr="00B649F4">
        <w:rPr>
          <w:rtl/>
        </w:rPr>
        <w:t>عدم توافر أدوات تصنيف للمعارف التقليدية ال</w:t>
      </w:r>
      <w:r w:rsidRPr="00B649F4">
        <w:rPr>
          <w:rFonts w:hint="cs"/>
          <w:rtl/>
        </w:rPr>
        <w:t>لازم</w:t>
      </w:r>
      <w:r w:rsidRPr="00B649F4">
        <w:rPr>
          <w:rtl/>
        </w:rPr>
        <w:t>ة لإدماج المعارف</w:t>
      </w:r>
      <w:r w:rsidRPr="00B649F4">
        <w:rPr>
          <w:rFonts w:hint="cs"/>
          <w:rtl/>
        </w:rPr>
        <w:t> </w:t>
      </w:r>
      <w:r w:rsidRPr="00B649F4">
        <w:rPr>
          <w:rtl/>
        </w:rPr>
        <w:t>التقليدية في</w:t>
      </w:r>
      <w:r w:rsidRPr="00B649F4">
        <w:rPr>
          <w:rFonts w:hint="cs"/>
          <w:rtl/>
        </w:rPr>
        <w:t> </w:t>
      </w:r>
      <w:r w:rsidRPr="00B649F4">
        <w:rPr>
          <w:rtl/>
        </w:rPr>
        <w:t xml:space="preserve">نظم التصنيفات القائمة لوثائق البراءات؛ وعدم </w:t>
      </w:r>
      <w:r w:rsidRPr="00B649F4">
        <w:rPr>
          <w:rFonts w:hint="cs"/>
          <w:rtl/>
        </w:rPr>
        <w:t xml:space="preserve">توافر </w:t>
      </w:r>
      <w:r w:rsidRPr="00B649F4">
        <w:rPr>
          <w:rtl/>
        </w:rPr>
        <w:t>تفاصيل ببليوغرافية عن ال</w:t>
      </w:r>
      <w:r w:rsidRPr="00B649F4">
        <w:rPr>
          <w:rFonts w:hint="cs"/>
          <w:rtl/>
        </w:rPr>
        <w:t>جرائد</w:t>
      </w:r>
      <w:r w:rsidRPr="00B649F4">
        <w:rPr>
          <w:rtl/>
        </w:rPr>
        <w:t xml:space="preserve"> </w:t>
      </w:r>
      <w:r w:rsidRPr="00B649F4">
        <w:rPr>
          <w:rFonts w:hint="cs"/>
          <w:rtl/>
        </w:rPr>
        <w:t xml:space="preserve">الرسمية </w:t>
      </w:r>
      <w:r w:rsidRPr="00B649F4">
        <w:rPr>
          <w:rtl/>
        </w:rPr>
        <w:t>والمقالات</w:t>
      </w:r>
      <w:r w:rsidRPr="00B649F4">
        <w:rPr>
          <w:rFonts w:hint="cs"/>
          <w:rtl/>
        </w:rPr>
        <w:t> </w:t>
      </w:r>
      <w:r w:rsidRPr="00B649F4">
        <w:rPr>
          <w:rtl/>
        </w:rPr>
        <w:t>والنشرات</w:t>
      </w:r>
      <w:r w:rsidRPr="00B649F4">
        <w:rPr>
          <w:rFonts w:hint="cs"/>
          <w:rtl/>
        </w:rPr>
        <w:t> </w:t>
      </w:r>
      <w:r w:rsidRPr="00B649F4">
        <w:rPr>
          <w:rtl/>
        </w:rPr>
        <w:t>الإخبارية</w:t>
      </w:r>
      <w:r w:rsidRPr="00B649F4">
        <w:rPr>
          <w:rFonts w:hint="cs"/>
          <w:rtl/>
        </w:rPr>
        <w:t> </w:t>
      </w:r>
      <w:r w:rsidRPr="00B649F4">
        <w:rPr>
          <w:rtl/>
        </w:rPr>
        <w:t xml:space="preserve">المتعلقة بالمعارف التقليدية في قائمة الحد الأدنى </w:t>
      </w:r>
      <w:r>
        <w:rPr>
          <w:rFonts w:hint="cs"/>
          <w:rtl/>
        </w:rPr>
        <w:t>لل</w:t>
      </w:r>
      <w:r w:rsidRPr="00B649F4">
        <w:rPr>
          <w:rtl/>
        </w:rPr>
        <w:t>وثائق معاهدة البراءات (الفقرة 79 من</w:t>
      </w:r>
      <w:r w:rsidRPr="00B649F4">
        <w:rPr>
          <w:rFonts w:hint="cs"/>
          <w:rtl/>
        </w:rPr>
        <w:t> </w:t>
      </w:r>
      <w:r w:rsidRPr="00B649F4">
        <w:rPr>
          <w:rtl/>
        </w:rPr>
        <w:t>الوثيقة</w:t>
      </w:r>
      <w:r w:rsidRPr="00B649F4">
        <w:rPr>
          <w:rFonts w:hint="eastAsia"/>
          <w:rtl/>
        </w:rPr>
        <w:t> </w:t>
      </w:r>
      <w:r w:rsidRPr="00B649F4">
        <w:t>WIPO/GRTKF/IC/1/3</w:t>
      </w:r>
      <w:r w:rsidRPr="00B649F4">
        <w:rPr>
          <w:rtl/>
        </w:rPr>
        <w:t>). وفي الدورة الثانية للجنة ال</w:t>
      </w:r>
      <w:r w:rsidRPr="00B649F4">
        <w:rPr>
          <w:rFonts w:hint="cs"/>
          <w:rtl/>
        </w:rPr>
        <w:t xml:space="preserve">معارف </w:t>
      </w:r>
      <w:r w:rsidRPr="00B649F4">
        <w:rPr>
          <w:rtl/>
        </w:rPr>
        <w:t>(ديسمبر 2001)، أعد</w:t>
      </w:r>
      <w:r w:rsidRPr="00B649F4">
        <w:rPr>
          <w:rFonts w:hint="cs"/>
          <w:rtl/>
        </w:rPr>
        <w:t>ّ</w:t>
      </w:r>
      <w:r w:rsidRPr="00B649F4">
        <w:rPr>
          <w:rtl/>
        </w:rPr>
        <w:t>ت الوثيقة</w:t>
      </w:r>
      <w:r w:rsidRPr="00B649F4">
        <w:rPr>
          <w:rFonts w:hint="cs"/>
          <w:rtl/>
        </w:rPr>
        <w:t> </w:t>
      </w:r>
      <w:r w:rsidRPr="00B649F4">
        <w:t>WIPO/GRTKF/IC/2/6</w:t>
      </w:r>
      <w:r w:rsidRPr="00B649F4">
        <w:rPr>
          <w:rtl/>
        </w:rPr>
        <w:t xml:space="preserve"> بشأن </w:t>
      </w:r>
      <w:r w:rsidRPr="00B649F4">
        <w:rPr>
          <w:rFonts w:hint="cs"/>
          <w:rtl/>
        </w:rPr>
        <w:t>حالة</w:t>
      </w:r>
      <w:r w:rsidRPr="00B649F4">
        <w:rPr>
          <w:rtl/>
        </w:rPr>
        <w:t xml:space="preserve"> المعارف التقليدية </w:t>
      </w:r>
      <w:r w:rsidRPr="00B649F4">
        <w:rPr>
          <w:rFonts w:hint="cs"/>
          <w:rtl/>
        </w:rPr>
        <w:t>كأدبيات</w:t>
      </w:r>
      <w:r w:rsidRPr="00B649F4">
        <w:rPr>
          <w:rtl/>
        </w:rPr>
        <w:t xml:space="preserve"> سابقة، </w:t>
      </w:r>
      <w:r w:rsidRPr="00B649F4">
        <w:rPr>
          <w:rFonts w:hint="cs"/>
          <w:rtl/>
        </w:rPr>
        <w:t xml:space="preserve">ووضعت </w:t>
      </w:r>
      <w:r w:rsidRPr="00B649F4">
        <w:rPr>
          <w:rtl/>
        </w:rPr>
        <w:t xml:space="preserve">تدابير عملية لتحسين توافر </w:t>
      </w:r>
      <w:r w:rsidRPr="00B649F4">
        <w:rPr>
          <w:rFonts w:hint="cs"/>
          <w:rtl/>
        </w:rPr>
        <w:t>ال</w:t>
      </w:r>
      <w:r w:rsidRPr="00B649F4">
        <w:rPr>
          <w:rtl/>
        </w:rPr>
        <w:t xml:space="preserve">كتب المتعلقة بالمعارف التقليدية </w:t>
      </w:r>
      <w:r w:rsidRPr="00B649F4">
        <w:rPr>
          <w:rFonts w:hint="cs"/>
          <w:rtl/>
        </w:rPr>
        <w:t>خلاف البراءات</w:t>
      </w:r>
      <w:r w:rsidRPr="00B649F4">
        <w:rPr>
          <w:rtl/>
        </w:rPr>
        <w:t xml:space="preserve"> وإمكانية البحث </w:t>
      </w:r>
      <w:r w:rsidRPr="00B649F4">
        <w:rPr>
          <w:rFonts w:hint="cs"/>
          <w:rtl/>
        </w:rPr>
        <w:t xml:space="preserve">في هذه الكتب </w:t>
      </w:r>
      <w:r w:rsidRPr="00B649F4">
        <w:rPr>
          <w:rtl/>
        </w:rPr>
        <w:t xml:space="preserve">وتبادلها. وفي الدورة الثالثة للجنة </w:t>
      </w:r>
      <w:r w:rsidRPr="00B649F4">
        <w:rPr>
          <w:rFonts w:hint="cs"/>
          <w:rtl/>
        </w:rPr>
        <w:t>المعارف</w:t>
      </w:r>
      <w:r w:rsidRPr="00B649F4">
        <w:rPr>
          <w:rFonts w:hint="eastAsia"/>
          <w:rtl/>
        </w:rPr>
        <w:t> </w:t>
      </w:r>
      <w:r w:rsidRPr="00B649F4">
        <w:rPr>
          <w:rtl/>
        </w:rPr>
        <w:t>(يونيو 2002)، أعد</w:t>
      </w:r>
      <w:r w:rsidRPr="00B649F4">
        <w:rPr>
          <w:rFonts w:hint="cs"/>
          <w:rtl/>
        </w:rPr>
        <w:t>ّ</w:t>
      </w:r>
      <w:r w:rsidRPr="00B649F4">
        <w:rPr>
          <w:rtl/>
        </w:rPr>
        <w:t>ت الأمانة الوثيقة</w:t>
      </w:r>
      <w:r w:rsidRPr="00B649F4">
        <w:rPr>
          <w:rFonts w:hint="cs"/>
          <w:rtl/>
        </w:rPr>
        <w:t> </w:t>
      </w:r>
      <w:r w:rsidRPr="00B649F4">
        <w:t>WIPO/GRTKF/IC/3/6</w:t>
      </w:r>
      <w:r w:rsidRPr="00B649F4">
        <w:rPr>
          <w:rFonts w:hint="cs"/>
          <w:rtl/>
        </w:rPr>
        <w:t xml:space="preserve"> </w:t>
      </w:r>
      <w:r w:rsidRPr="00B649F4">
        <w:rPr>
          <w:rtl/>
        </w:rPr>
        <w:t>المعنونة "جرد قواعد البيانات الإلكترونية التي تتضمن بيانات عن المعارف التقليدية الموثقة"، التي تض</w:t>
      </w:r>
      <w:r w:rsidRPr="00B649F4">
        <w:rPr>
          <w:rFonts w:hint="cs"/>
          <w:rtl/>
        </w:rPr>
        <w:t>م</w:t>
      </w:r>
      <w:r w:rsidRPr="00B649F4">
        <w:rPr>
          <w:rtl/>
        </w:rPr>
        <w:t xml:space="preserve"> تجارب من الصين والهند وفنزويلا بشأن قواعد بيانات المعارف التقليدية. وت</w:t>
      </w:r>
      <w:r w:rsidRPr="00B649F4">
        <w:rPr>
          <w:rFonts w:hint="cs"/>
          <w:rtl/>
        </w:rPr>
        <w:t>حتوي</w:t>
      </w:r>
      <w:r w:rsidRPr="00B649F4">
        <w:rPr>
          <w:rtl/>
        </w:rPr>
        <w:t xml:space="preserve"> هذه الوثيقة </w:t>
      </w:r>
      <w:r w:rsidRPr="00B649F4">
        <w:rPr>
          <w:rFonts w:hint="cs"/>
          <w:rtl/>
        </w:rPr>
        <w:t xml:space="preserve">على </w:t>
      </w:r>
      <w:r w:rsidRPr="00B649F4">
        <w:rPr>
          <w:rtl/>
        </w:rPr>
        <w:t>جرد غير شامل للمجلات الدورية ذات الصلة بالمعارف التقليدية</w:t>
      </w:r>
      <w:r w:rsidRPr="00B649F4">
        <w:rPr>
          <w:rFonts w:hint="cs"/>
          <w:rtl/>
        </w:rPr>
        <w:t>،</w:t>
      </w:r>
      <w:r w:rsidRPr="00B649F4">
        <w:rPr>
          <w:rtl/>
        </w:rPr>
        <w:t xml:space="preserve"> </w:t>
      </w:r>
      <w:r w:rsidRPr="00B649F4">
        <w:rPr>
          <w:rFonts w:hint="cs"/>
          <w:rtl/>
        </w:rPr>
        <w:t>و</w:t>
      </w:r>
      <w:r w:rsidRPr="00B649F4">
        <w:rPr>
          <w:rtl/>
        </w:rPr>
        <w:t xml:space="preserve">توصي بأن تنظر إدارات البحث الدولي في </w:t>
      </w:r>
      <w:r w:rsidRPr="00B649F4">
        <w:rPr>
          <w:rFonts w:hint="cs"/>
          <w:rtl/>
        </w:rPr>
        <w:t>إدراج مجلات دورية</w:t>
      </w:r>
      <w:r w:rsidRPr="00B649F4">
        <w:rPr>
          <w:rtl/>
        </w:rPr>
        <w:t xml:space="preserve"> معينة في </w:t>
      </w:r>
      <w:r w:rsidRPr="00B649F4">
        <w:rPr>
          <w:b/>
          <w:bCs/>
          <w:rtl/>
        </w:rPr>
        <w:t xml:space="preserve">قائمة الحد الأدنى </w:t>
      </w:r>
      <w:r>
        <w:rPr>
          <w:rFonts w:hint="cs"/>
          <w:b/>
          <w:bCs/>
          <w:rtl/>
        </w:rPr>
        <w:t>لل</w:t>
      </w:r>
      <w:r w:rsidRPr="00B649F4">
        <w:rPr>
          <w:b/>
          <w:bCs/>
          <w:rtl/>
        </w:rPr>
        <w:t xml:space="preserve">وثائق </w:t>
      </w:r>
      <w:r>
        <w:rPr>
          <w:rFonts w:hint="cs"/>
          <w:b/>
          <w:bCs/>
          <w:rtl/>
        </w:rPr>
        <w:t xml:space="preserve">المنصوص عليها في </w:t>
      </w:r>
      <w:r w:rsidRPr="00B649F4">
        <w:rPr>
          <w:b/>
          <w:bCs/>
          <w:rtl/>
        </w:rPr>
        <w:t>معاهدة البراءات</w:t>
      </w:r>
      <w:r w:rsidRPr="00B649F4">
        <w:rPr>
          <w:rtl/>
        </w:rPr>
        <w:t>. وفي</w:t>
      </w:r>
      <w:r>
        <w:rPr>
          <w:rFonts w:hint="cs"/>
          <w:rtl/>
        </w:rPr>
        <w:t> </w:t>
      </w:r>
      <w:r w:rsidRPr="00B649F4">
        <w:rPr>
          <w:rtl/>
        </w:rPr>
        <w:t>عام</w:t>
      </w:r>
      <w:r>
        <w:rPr>
          <w:rFonts w:hint="cs"/>
          <w:rtl/>
        </w:rPr>
        <w:t> </w:t>
      </w:r>
      <w:r w:rsidRPr="00B649F4">
        <w:rPr>
          <w:rtl/>
        </w:rPr>
        <w:t xml:space="preserve">2005، </w:t>
      </w:r>
      <w:r>
        <w:rPr>
          <w:rFonts w:hint="cs"/>
          <w:rtl/>
        </w:rPr>
        <w:t xml:space="preserve">وافق اجتماع الإدارات الدولية العاملة في إطار معاهدة التعاون بشأن البراءات (اجتماع الإدارات الدولية) </w:t>
      </w:r>
      <w:r w:rsidRPr="00B649F4">
        <w:rPr>
          <w:rtl/>
        </w:rPr>
        <w:t xml:space="preserve">على إدراج بعض الوثائق المتعلقة بالمعارف التقليدية في الحد الأدنى </w:t>
      </w:r>
      <w:r>
        <w:rPr>
          <w:rFonts w:hint="cs"/>
          <w:rtl/>
        </w:rPr>
        <w:t>لل</w:t>
      </w:r>
      <w:r w:rsidRPr="00B649F4">
        <w:rPr>
          <w:rtl/>
        </w:rPr>
        <w:t xml:space="preserve">وثائق </w:t>
      </w:r>
      <w:r>
        <w:rPr>
          <w:rFonts w:hint="cs"/>
          <w:rtl/>
        </w:rPr>
        <w:t xml:space="preserve">المنصوص عليها في </w:t>
      </w:r>
      <w:r w:rsidRPr="00B649F4">
        <w:rPr>
          <w:rtl/>
        </w:rPr>
        <w:t>معاهدة البراءات (الوثيقة</w:t>
      </w:r>
      <w:r w:rsidRPr="00B649F4">
        <w:rPr>
          <w:rFonts w:hint="eastAsia"/>
          <w:rtl/>
        </w:rPr>
        <w:t> </w:t>
      </w:r>
      <w:r w:rsidRPr="00B649F4">
        <w:t>PCT/MIA/11/5</w:t>
      </w:r>
      <w:r w:rsidRPr="00B649F4">
        <w:rPr>
          <w:rtl/>
        </w:rPr>
        <w:t>).</w:t>
      </w:r>
      <w:r>
        <w:rPr>
          <w:rFonts w:hint="cs"/>
          <w:rtl/>
        </w:rPr>
        <w:t xml:space="preserve"> كما وافق على إنشاء فرقة عمل لتضطلع باستعراض شامل لقائمة الحد الأدنى للوثائق المنصوص عليها في معاهدة البراءات، على أن يتناول الاستعراض وثائق البراءات والوثائق </w:t>
      </w:r>
      <w:r>
        <w:rPr>
          <w:rFonts w:hint="cs"/>
          <w:rtl/>
        </w:rPr>
        <w:lastRenderedPageBreak/>
        <w:t xml:space="preserve">بخلاف سندات البراءات، بما في ذلك قواعد البيانات المتعلقة بالمعارف التقليدية (الفقرات من 9 إلى 12 والفقرة 18 من الوثيقة </w:t>
      </w:r>
      <w:r w:rsidRPr="007C6222">
        <w:t>PCT/MIA/11/14</w:t>
      </w:r>
      <w:r>
        <w:rPr>
          <w:rFonts w:hint="cs"/>
          <w:rtl/>
        </w:rPr>
        <w:t>).</w:t>
      </w:r>
    </w:p>
    <w:p w:rsidR="00A42C18" w:rsidRPr="00B649F4" w:rsidRDefault="00A42C18" w:rsidP="00A42C18">
      <w:pPr>
        <w:pStyle w:val="ONUMA"/>
      </w:pPr>
      <w:r>
        <w:rPr>
          <w:rFonts w:hint="cs"/>
          <w:rtl/>
        </w:rPr>
        <w:t>وفي عام 2015، قدمت الهند طلبا إلى اجتماع الإدارات الدولية التمست فيه إضافة المكتبة الرقمية الهندية للمعارف التقليدية (</w:t>
      </w:r>
      <w:r w:rsidRPr="00D141F8">
        <w:t>TKDL</w:t>
      </w:r>
      <w:r>
        <w:rPr>
          <w:rFonts w:hint="cs"/>
          <w:rtl/>
        </w:rPr>
        <w:t xml:space="preserve">) إلى الحد الأدنى للوثائق المنصوص عليها في معاهدة البراءات (الوثيقة </w:t>
      </w:r>
      <w:r w:rsidRPr="00D141F8">
        <w:t>PCT/MIA/22/8</w:t>
      </w:r>
      <w:r>
        <w:rPr>
          <w:rFonts w:hint="cs"/>
          <w:rtl/>
        </w:rPr>
        <w:t xml:space="preserve">). وفي العام التالي، أحال اجتماع الإدارات الدولية تلك المسألة إلى فرقة العمل المعنية بالحد الأدنى للوثائق المنصوص عليها في معاهدة البراءات، مع تجديد ولايتها (الفقرة 85 من الوثيقة </w:t>
      </w:r>
      <w:r w:rsidRPr="00D141F8">
        <w:t>PCT/MIA/23/14</w:t>
      </w:r>
      <w:r>
        <w:rPr>
          <w:rFonts w:hint="cs"/>
          <w:rtl/>
        </w:rPr>
        <w:t>). وفي اجتماع الإدارات الدولية المعقود في</w:t>
      </w:r>
      <w:r>
        <w:rPr>
          <w:rFonts w:hint="eastAsia"/>
          <w:rtl/>
        </w:rPr>
        <w:t> </w:t>
      </w:r>
      <w:r>
        <w:rPr>
          <w:rFonts w:hint="cs"/>
          <w:rtl/>
        </w:rPr>
        <w:t>فبراير</w:t>
      </w:r>
      <w:r>
        <w:rPr>
          <w:rFonts w:hint="eastAsia"/>
          <w:rtl/>
        </w:rPr>
        <w:t> </w:t>
      </w:r>
      <w:r>
        <w:rPr>
          <w:rFonts w:hint="cs"/>
          <w:rtl/>
        </w:rPr>
        <w:t>2018، قدمت الهند وثيقة أخرى بشأن إدراج المكتبة الرقمية المذكورة في الحد الأدنى للوثائق المنصوص عليها في معاهدة البراءات، مع اتفاق معدّل بشأن النفاذ يهدف إلى معالجة الشواغل التي أبدتها بعض الإدارات الدولية خلال المناقشات التي جرت سابقا بخصوص الاقتراح (الوثيقة</w:t>
      </w:r>
      <w:r>
        <w:rPr>
          <w:rFonts w:hint="eastAsia"/>
          <w:rtl/>
        </w:rPr>
        <w:t> </w:t>
      </w:r>
      <w:r w:rsidRPr="00D141F8">
        <w:t>PCT/MIA/25/9</w:t>
      </w:r>
      <w:r>
        <w:rPr>
          <w:rFonts w:hint="cs"/>
          <w:rtl/>
        </w:rPr>
        <w:t xml:space="preserve">). </w:t>
      </w:r>
      <w:r w:rsidR="005E469E">
        <w:rPr>
          <w:rFonts w:hint="cs"/>
          <w:rtl/>
        </w:rPr>
        <w:t xml:space="preserve">ومنذ ذلك التاريخ، أتاح المكتب الهندي للبراءات تلك الوثائق لفرقة العمل كي تنظر فيها بغرض التوصية، بناء على ولايتها المجدّدة، بمعايير ومقاييس لاستعراض وإضافة وصون الوثائق بخلاف سندات البراءات وحالة التقنية الصناعية السابقة المستندة إلى معارف تقليدية. وكخطوة أولى، عُمِّم على إدارات البحث الدولي والفحص التمهيدي الدولي، في </w:t>
      </w:r>
      <w:r w:rsidR="007A547D" w:rsidRPr="007A547D">
        <w:rPr>
          <w:rFonts w:hint="cs"/>
          <w:rtl/>
        </w:rPr>
        <w:t>يوليو</w:t>
      </w:r>
      <w:r w:rsidR="005E469E">
        <w:rPr>
          <w:rFonts w:hint="cs"/>
          <w:rtl/>
        </w:rPr>
        <w:t xml:space="preserve"> 2018، استبيان حول الوثائق بخلاف سندات البراءات وحالة التقنية الصناعية السابقة المستندة إلى معارف تقليدية وإمكانية إدراج قواعد البيانات في الحد الأدنى للوثائق المنصوص عليها في معاهدة البراءات</w:t>
      </w:r>
      <w:r w:rsidR="005E469E">
        <w:rPr>
          <w:rStyle w:val="FootnoteReference"/>
          <w:rtl/>
        </w:rPr>
        <w:footnoteReference w:id="3"/>
      </w:r>
      <w:r w:rsidR="005E469E">
        <w:rPr>
          <w:rFonts w:hint="cs"/>
          <w:rtl/>
        </w:rPr>
        <w:t xml:space="preserve">. واستلمت </w:t>
      </w:r>
      <w:r w:rsidR="005E469E">
        <w:rPr>
          <w:rtl/>
        </w:rPr>
        <w:t>الردود من 15</w:t>
      </w:r>
      <w:r w:rsidR="005E469E">
        <w:rPr>
          <w:rFonts w:hint="cs"/>
          <w:rtl/>
        </w:rPr>
        <w:t xml:space="preserve">إدارة </w:t>
      </w:r>
      <w:r w:rsidR="005E469E" w:rsidRPr="00111C34">
        <w:rPr>
          <w:rtl/>
        </w:rPr>
        <w:t xml:space="preserve">دولية. </w:t>
      </w:r>
      <w:r w:rsidR="005E469E">
        <w:rPr>
          <w:rFonts w:hint="cs"/>
          <w:rtl/>
        </w:rPr>
        <w:t>و</w:t>
      </w:r>
      <w:r w:rsidR="005E469E" w:rsidRPr="00111C34">
        <w:rPr>
          <w:rtl/>
        </w:rPr>
        <w:t>سي</w:t>
      </w:r>
      <w:r w:rsidR="005E469E">
        <w:rPr>
          <w:rFonts w:hint="cs"/>
          <w:rtl/>
        </w:rPr>
        <w:t>عرض</w:t>
      </w:r>
      <w:r w:rsidR="005E469E" w:rsidRPr="00111C34">
        <w:rPr>
          <w:rtl/>
        </w:rPr>
        <w:t xml:space="preserve"> تحليل</w:t>
      </w:r>
      <w:r w:rsidR="005E469E">
        <w:rPr>
          <w:rFonts w:hint="cs"/>
          <w:rtl/>
        </w:rPr>
        <w:t xml:space="preserve"> </w:t>
      </w:r>
      <w:r w:rsidR="005E469E" w:rsidRPr="00111C34">
        <w:rPr>
          <w:rtl/>
        </w:rPr>
        <w:t xml:space="preserve">كامل </w:t>
      </w:r>
      <w:r w:rsidR="005E469E">
        <w:rPr>
          <w:rFonts w:hint="cs"/>
          <w:rtl/>
        </w:rPr>
        <w:t>على صفحة</w:t>
      </w:r>
      <w:r w:rsidR="005E469E" w:rsidRPr="00111C34">
        <w:rPr>
          <w:rtl/>
        </w:rPr>
        <w:t xml:space="preserve"> ويكي </w:t>
      </w:r>
      <w:r w:rsidR="005E469E">
        <w:rPr>
          <w:rFonts w:hint="cs"/>
          <w:rtl/>
        </w:rPr>
        <w:t>التابعة ل</w:t>
      </w:r>
      <w:r w:rsidR="005E469E" w:rsidRPr="00111C34">
        <w:rPr>
          <w:rtl/>
        </w:rPr>
        <w:t>فرقة العمل و</w:t>
      </w:r>
      <w:r w:rsidR="005E469E">
        <w:rPr>
          <w:rFonts w:hint="cs"/>
          <w:rtl/>
        </w:rPr>
        <w:t>أمام</w:t>
      </w:r>
      <w:r w:rsidR="005E469E" w:rsidRPr="00111C34">
        <w:rPr>
          <w:rtl/>
        </w:rPr>
        <w:t xml:space="preserve"> الفريق العامل لمعاهدة </w:t>
      </w:r>
      <w:r w:rsidR="005E469E">
        <w:rPr>
          <w:rtl/>
        </w:rPr>
        <w:t xml:space="preserve">البراءات </w:t>
      </w:r>
      <w:r w:rsidR="005E469E">
        <w:rPr>
          <w:rFonts w:hint="cs"/>
          <w:rtl/>
        </w:rPr>
        <w:t xml:space="preserve">كي يشكّل </w:t>
      </w:r>
      <w:r w:rsidR="005E469E" w:rsidRPr="00111C34">
        <w:rPr>
          <w:rtl/>
        </w:rPr>
        <w:t>أساس</w:t>
      </w:r>
      <w:r w:rsidR="005E469E">
        <w:rPr>
          <w:rFonts w:hint="cs"/>
          <w:rtl/>
        </w:rPr>
        <w:t>اً</w:t>
      </w:r>
      <w:r w:rsidR="005E469E" w:rsidRPr="00111C34">
        <w:rPr>
          <w:rtl/>
        </w:rPr>
        <w:t xml:space="preserve"> لمزيد من المناقشات. </w:t>
      </w:r>
      <w:r w:rsidR="005E469E">
        <w:rPr>
          <w:rFonts w:hint="cs"/>
          <w:rtl/>
        </w:rPr>
        <w:t>و</w:t>
      </w:r>
      <w:r w:rsidR="005E469E" w:rsidRPr="00111C34">
        <w:rPr>
          <w:rtl/>
        </w:rPr>
        <w:t xml:space="preserve">اقترح استعراض أولي أن بعض الشواغل الرئيسية </w:t>
      </w:r>
      <w:r w:rsidR="005E469E">
        <w:rPr>
          <w:rFonts w:hint="cs"/>
          <w:rtl/>
        </w:rPr>
        <w:t>ترتبط بالتغير المستمر ل</w:t>
      </w:r>
      <w:r w:rsidR="005E469E" w:rsidRPr="00111C34">
        <w:rPr>
          <w:rtl/>
        </w:rPr>
        <w:t xml:space="preserve">أفضل مصادر أدب </w:t>
      </w:r>
      <w:r w:rsidR="005E469E">
        <w:rPr>
          <w:rFonts w:hint="cs"/>
          <w:rtl/>
        </w:rPr>
        <w:t>خلاف ا</w:t>
      </w:r>
      <w:r w:rsidR="005E469E" w:rsidRPr="00111C34">
        <w:rPr>
          <w:rtl/>
        </w:rPr>
        <w:t>لبراءات وصع</w:t>
      </w:r>
      <w:r w:rsidR="005E469E">
        <w:rPr>
          <w:rFonts w:hint="cs"/>
          <w:rtl/>
        </w:rPr>
        <w:t>و</w:t>
      </w:r>
      <w:r w:rsidR="005E469E" w:rsidRPr="00111C34">
        <w:rPr>
          <w:rtl/>
        </w:rPr>
        <w:t>ب</w:t>
      </w:r>
      <w:r w:rsidR="005E469E">
        <w:rPr>
          <w:rFonts w:hint="cs"/>
          <w:rtl/>
        </w:rPr>
        <w:t>ة</w:t>
      </w:r>
      <w:r w:rsidR="005E469E" w:rsidRPr="00111C34">
        <w:rPr>
          <w:rtl/>
        </w:rPr>
        <w:t xml:space="preserve"> توثيقها. </w:t>
      </w:r>
      <w:r w:rsidR="005E469E">
        <w:rPr>
          <w:rFonts w:hint="cs"/>
          <w:rtl/>
        </w:rPr>
        <w:t xml:space="preserve">وقد </w:t>
      </w:r>
      <w:r w:rsidR="005E469E" w:rsidRPr="00111C34">
        <w:rPr>
          <w:rtl/>
        </w:rPr>
        <w:t xml:space="preserve">استخدمت العديد من عمليات البحث مصادر خارج الحد الأدنى من الوثائق. </w:t>
      </w:r>
      <w:r w:rsidR="005E469E">
        <w:rPr>
          <w:rFonts w:hint="cs"/>
          <w:rtl/>
        </w:rPr>
        <w:t>و</w:t>
      </w:r>
      <w:r w:rsidR="005E469E" w:rsidRPr="00111C34">
        <w:rPr>
          <w:rtl/>
        </w:rPr>
        <w:t xml:space="preserve">كان الوصول إلى أدب </w:t>
      </w:r>
      <w:r w:rsidR="005E469E">
        <w:rPr>
          <w:rFonts w:hint="cs"/>
          <w:rtl/>
        </w:rPr>
        <w:t>خلاف ا</w:t>
      </w:r>
      <w:r w:rsidR="005E469E" w:rsidRPr="00111C34">
        <w:rPr>
          <w:rtl/>
        </w:rPr>
        <w:t>لبراءات صعباً في بعض الأحيان</w:t>
      </w:r>
      <w:r w:rsidR="005E469E">
        <w:rPr>
          <w:rFonts w:hint="cs"/>
          <w:rtl/>
        </w:rPr>
        <w:t>،</w:t>
      </w:r>
      <w:r w:rsidR="005E469E" w:rsidRPr="00111C34">
        <w:rPr>
          <w:rtl/>
        </w:rPr>
        <w:t xml:space="preserve"> و</w:t>
      </w:r>
      <w:r w:rsidR="005E469E">
        <w:rPr>
          <w:rFonts w:hint="cs"/>
          <w:rtl/>
        </w:rPr>
        <w:t>برز</w:t>
      </w:r>
      <w:r w:rsidR="005E469E" w:rsidRPr="00111C34">
        <w:rPr>
          <w:rtl/>
        </w:rPr>
        <w:t xml:space="preserve">ت مخاوف بشأن قيود السرية التي قد تحد من قدرة الفاحصين والمودعين والأطراف الثالثة على تقييم مراجع </w:t>
      </w:r>
      <w:r w:rsidR="005E469E">
        <w:rPr>
          <w:rFonts w:hint="cs"/>
          <w:rtl/>
        </w:rPr>
        <w:t xml:space="preserve">حالة التقنية الصناعية </w:t>
      </w:r>
      <w:r w:rsidR="005E469E" w:rsidRPr="00111C34">
        <w:rPr>
          <w:rtl/>
        </w:rPr>
        <w:t>السابقة بشكل صحيح</w:t>
      </w:r>
      <w:r w:rsidR="005E469E">
        <w:rPr>
          <w:rStyle w:val="FootnoteReference"/>
          <w:rtl/>
        </w:rPr>
        <w:footnoteReference w:id="4"/>
      </w:r>
      <w:r w:rsidR="005E469E">
        <w:rPr>
          <w:rFonts w:hint="cs"/>
          <w:rtl/>
        </w:rPr>
        <w:t>. وفي يوليو 2019، تم تعميم ا</w:t>
      </w:r>
      <w:r w:rsidR="005E469E" w:rsidRPr="00A42C18">
        <w:rPr>
          <w:rtl/>
        </w:rPr>
        <w:t>ستبيان إضافي بشأن أدبيات خلاف البراءات</w:t>
      </w:r>
      <w:r w:rsidR="005E469E">
        <w:rPr>
          <w:rFonts w:hint="cs"/>
          <w:rtl/>
        </w:rPr>
        <w:t xml:space="preserve">، ووردت ست إجابات بشأنه. وأفادت الإجابات الواردة بشأنه إلى </w:t>
      </w:r>
      <w:r w:rsidR="007A547D">
        <w:rPr>
          <w:rFonts w:hint="cs"/>
          <w:rtl/>
        </w:rPr>
        <w:t xml:space="preserve">وجود مجالات تتوافق فيها </w:t>
      </w:r>
      <w:r w:rsidR="005E469E">
        <w:rPr>
          <w:rFonts w:hint="cs"/>
          <w:rtl/>
        </w:rPr>
        <w:t xml:space="preserve">الآراء العامة فيما يخص المعايير المرجوة لتقييم أدبيات خلاف البراءات </w:t>
      </w:r>
      <w:r w:rsidR="007A547D">
        <w:rPr>
          <w:rFonts w:hint="cs"/>
          <w:rtl/>
        </w:rPr>
        <w:t xml:space="preserve">من أجل </w:t>
      </w:r>
      <w:r w:rsidR="005E469E">
        <w:rPr>
          <w:rFonts w:hint="cs"/>
          <w:rtl/>
        </w:rPr>
        <w:t>الحد الأدنى للوثائق المنصوص عليها في معاهدة البراءات.</w:t>
      </w:r>
      <w:r w:rsidR="005E469E">
        <w:rPr>
          <w:rStyle w:val="FootnoteReference"/>
          <w:rtl/>
        </w:rPr>
        <w:footnoteReference w:id="5"/>
      </w:r>
      <w:r w:rsidR="005E469E">
        <w:rPr>
          <w:rFonts w:hint="cs"/>
          <w:rtl/>
        </w:rPr>
        <w:t xml:space="preserve"> واستعرضت فرقة العمل معايير إدراج أدبيات خلاف البراءات، بما في ذلك مصادر المعارف التقليدية، في الحد الأدنى للوثائق المنصوص عليها في معاهدة البراءات. وسيستعرض اجتماع الإدارات الدولية التقرير المقدم من مجموعة العمل.</w:t>
      </w:r>
    </w:p>
    <w:p w:rsidR="00A42C18" w:rsidRPr="00B649F4" w:rsidRDefault="00A42C18" w:rsidP="00A42C18">
      <w:pPr>
        <w:pStyle w:val="ONUMA"/>
      </w:pPr>
      <w:r w:rsidRPr="00B649F4">
        <w:rPr>
          <w:rtl/>
        </w:rPr>
        <w:t>وأعد</w:t>
      </w:r>
      <w:r w:rsidRPr="00B649F4">
        <w:rPr>
          <w:rFonts w:hint="cs"/>
          <w:rtl/>
        </w:rPr>
        <w:t>ّ</w:t>
      </w:r>
      <w:r w:rsidRPr="00B649F4">
        <w:rPr>
          <w:rtl/>
        </w:rPr>
        <w:t>ت أمانة الويبو</w:t>
      </w:r>
      <w:r w:rsidRPr="00B649F4">
        <w:rPr>
          <w:rFonts w:hint="cs"/>
          <w:rtl/>
        </w:rPr>
        <w:t xml:space="preserve"> وواصل</w:t>
      </w:r>
      <w:r w:rsidRPr="00B649F4">
        <w:rPr>
          <w:rFonts w:hint="eastAsia"/>
          <w:rtl/>
        </w:rPr>
        <w:t>ت</w:t>
      </w:r>
      <w:r w:rsidRPr="00B649F4">
        <w:rPr>
          <w:rtl/>
        </w:rPr>
        <w:t xml:space="preserve"> </w:t>
      </w:r>
      <w:r w:rsidRPr="00B649F4">
        <w:rPr>
          <w:rFonts w:hint="cs"/>
          <w:rtl/>
        </w:rPr>
        <w:t xml:space="preserve">تحديث </w:t>
      </w:r>
      <w:r w:rsidRPr="00B649F4">
        <w:rPr>
          <w:b/>
          <w:bCs/>
          <w:rtl/>
        </w:rPr>
        <w:t xml:space="preserve">مجموعة من قواعد البيانات </w:t>
      </w:r>
      <w:r w:rsidRPr="00B649F4">
        <w:rPr>
          <w:rFonts w:hint="cs"/>
          <w:b/>
          <w:bCs/>
          <w:rtl/>
        </w:rPr>
        <w:t>الإلكترونية و</w:t>
      </w:r>
      <w:r w:rsidRPr="00B649F4">
        <w:rPr>
          <w:b/>
          <w:bCs/>
          <w:rtl/>
        </w:rPr>
        <w:t>سجلات المعارف التقليدية والموارد الوراثية</w:t>
      </w:r>
      <w:r w:rsidRPr="00B649F4">
        <w:rPr>
          <w:rtl/>
        </w:rPr>
        <w:t xml:space="preserve"> التي تقدمها الدول الأعضاء في الويبو وغيرها من المنظمات. ويمكن الاطلاع على القائمة على الموقع التالي: </w:t>
      </w:r>
      <w:hyperlink r:id="rId13" w:history="1">
        <w:r w:rsidRPr="003F2699">
          <w:rPr>
            <w:rStyle w:val="Hyperlink"/>
          </w:rPr>
          <w:t>https://www.wipo.int/tk/en/resources/db_registry.html</w:t>
        </w:r>
      </w:hyperlink>
      <w:r w:rsidRPr="00A72E8E">
        <w:rPr>
          <w:rtl/>
        </w:rPr>
        <w:t>.</w:t>
      </w:r>
    </w:p>
    <w:p w:rsidR="00C04F3B" w:rsidRPr="00C04F3B" w:rsidRDefault="00C04F3B" w:rsidP="00C04F3B">
      <w:pPr>
        <w:pStyle w:val="Heading1"/>
        <w:spacing w:after="240"/>
        <w:rPr>
          <w:sz w:val="24"/>
          <w:szCs w:val="24"/>
          <w:rtl/>
        </w:rPr>
      </w:pPr>
      <w:r w:rsidRPr="00C04F3B">
        <w:rPr>
          <w:rFonts w:hint="cs"/>
          <w:sz w:val="24"/>
          <w:szCs w:val="24"/>
          <w:rtl/>
        </w:rPr>
        <w:t>الاقتراحات المُقدمة من الدول الأعضاء</w:t>
      </w:r>
    </w:p>
    <w:p w:rsidR="00E542D3" w:rsidRPr="00B649F4" w:rsidRDefault="00E542D3" w:rsidP="00E542D3">
      <w:pPr>
        <w:pStyle w:val="ONUMA"/>
      </w:pPr>
      <w:r w:rsidRPr="00B649F4">
        <w:rPr>
          <w:rtl/>
        </w:rPr>
        <w:t xml:space="preserve">منذ إنشاء لجنة المعارف، قدمت الدول الأعضاء اقتراحات بشأن </w:t>
      </w:r>
      <w:r w:rsidRPr="00B649F4">
        <w:rPr>
          <w:rFonts w:hint="cs"/>
          <w:rtl/>
        </w:rPr>
        <w:t xml:space="preserve">قواعد البيانات </w:t>
      </w:r>
      <w:r w:rsidRPr="00B649F4">
        <w:rPr>
          <w:rtl/>
        </w:rPr>
        <w:t>فيما يتعلق بالموارد الوراثية والمعارف التقليدية المرتبطة بها. وفيما يلي تلك الاقتراحات، وفق التسلسل التاريخي لتقديمها</w:t>
      </w:r>
      <w:r w:rsidRPr="00B649F4">
        <w:rPr>
          <w:rFonts w:hint="cs"/>
          <w:rtl/>
        </w:rPr>
        <w:t>.</w:t>
      </w:r>
    </w:p>
    <w:p w:rsidR="00E542D3" w:rsidRPr="00B649F4" w:rsidRDefault="00E542D3" w:rsidP="00E542D3">
      <w:pPr>
        <w:pStyle w:val="ONUMA"/>
      </w:pPr>
      <w:r w:rsidRPr="00B649F4">
        <w:rPr>
          <w:rtl/>
        </w:rPr>
        <w:t>في الدورة الأولى للجنة ال</w:t>
      </w:r>
      <w:r w:rsidRPr="00B649F4">
        <w:rPr>
          <w:rFonts w:hint="cs"/>
          <w:rtl/>
        </w:rPr>
        <w:t xml:space="preserve">معارف </w:t>
      </w:r>
      <w:r w:rsidRPr="00B649F4">
        <w:rPr>
          <w:rtl/>
        </w:rPr>
        <w:t>(أبريل -</w:t>
      </w:r>
      <w:r w:rsidRPr="00B649F4">
        <w:rPr>
          <w:rFonts w:hint="cs"/>
          <w:rtl/>
        </w:rPr>
        <w:t xml:space="preserve"> </w:t>
      </w:r>
      <w:r w:rsidRPr="00B649F4">
        <w:rPr>
          <w:rtl/>
        </w:rPr>
        <w:t xml:space="preserve">مايو 2001)، اقترح وفد الاتحاد الأوروبي، </w:t>
      </w:r>
      <w:r w:rsidRPr="00B649F4">
        <w:rPr>
          <w:rFonts w:hint="cs"/>
          <w:rtl/>
        </w:rPr>
        <w:t xml:space="preserve">متحدثا </w:t>
      </w:r>
      <w:r w:rsidRPr="00B649F4">
        <w:rPr>
          <w:rtl/>
        </w:rPr>
        <w:t xml:space="preserve">باسم الاتحاد الأوروبي والدول الأعضاء فيه، </w:t>
      </w:r>
      <w:r w:rsidRPr="00B649F4">
        <w:rPr>
          <w:rFonts w:hint="cs"/>
          <w:rtl/>
        </w:rPr>
        <w:t xml:space="preserve">إجراء </w:t>
      </w:r>
      <w:r w:rsidRPr="00B649F4">
        <w:rPr>
          <w:rtl/>
        </w:rPr>
        <w:t xml:space="preserve">دراسة </w:t>
      </w:r>
      <w:r w:rsidRPr="00B649F4">
        <w:rPr>
          <w:rFonts w:hint="cs"/>
          <w:rtl/>
        </w:rPr>
        <w:t xml:space="preserve">عن </w:t>
      </w:r>
      <w:r w:rsidRPr="00B649F4">
        <w:rPr>
          <w:rtl/>
        </w:rPr>
        <w:t>"</w:t>
      </w:r>
      <w:r w:rsidRPr="00B649F4">
        <w:rPr>
          <w:rFonts w:hint="cs"/>
          <w:rtl/>
        </w:rPr>
        <w:t xml:space="preserve">كيفية تزويد </w:t>
      </w:r>
      <w:r w:rsidRPr="00B649F4">
        <w:rPr>
          <w:rtl/>
        </w:rPr>
        <w:t xml:space="preserve">مكاتب البراءات </w:t>
      </w:r>
      <w:r w:rsidRPr="00B649F4">
        <w:rPr>
          <w:rFonts w:hint="cs"/>
          <w:rtl/>
        </w:rPr>
        <w:t>ب</w:t>
      </w:r>
      <w:r w:rsidRPr="00B649F4">
        <w:rPr>
          <w:rtl/>
        </w:rPr>
        <w:t xml:space="preserve">معلومات </w:t>
      </w:r>
      <w:r w:rsidRPr="00B649F4">
        <w:rPr>
          <w:rFonts w:hint="cs"/>
          <w:rtl/>
        </w:rPr>
        <w:t xml:space="preserve">أوفر </w:t>
      </w:r>
      <w:r w:rsidRPr="00B649F4">
        <w:rPr>
          <w:rtl/>
        </w:rPr>
        <w:t>عن المعارف التقليدية (من خلال قواعد البيانات أو السجل</w:t>
      </w:r>
      <w:r w:rsidRPr="00B649F4">
        <w:rPr>
          <w:rFonts w:hint="cs"/>
          <w:rtl/>
        </w:rPr>
        <w:t>ات</w:t>
      </w:r>
      <w:r w:rsidRPr="00B649F4">
        <w:rPr>
          <w:rtl/>
        </w:rPr>
        <w:t xml:space="preserve">) كي </w:t>
      </w:r>
      <w:r w:rsidRPr="00B649F4">
        <w:rPr>
          <w:rFonts w:hint="cs"/>
          <w:rtl/>
        </w:rPr>
        <w:t>يراعيها ال</w:t>
      </w:r>
      <w:r w:rsidRPr="00B649F4">
        <w:rPr>
          <w:rtl/>
        </w:rPr>
        <w:t>فاحص</w:t>
      </w:r>
      <w:r w:rsidRPr="00B649F4">
        <w:rPr>
          <w:rFonts w:hint="cs"/>
          <w:rtl/>
        </w:rPr>
        <w:t>ون</w:t>
      </w:r>
      <w:r w:rsidRPr="00B649F4">
        <w:rPr>
          <w:rtl/>
        </w:rPr>
        <w:t xml:space="preserve"> </w:t>
      </w:r>
      <w:r w:rsidRPr="00B649F4">
        <w:rPr>
          <w:rFonts w:hint="cs"/>
          <w:rtl/>
        </w:rPr>
        <w:t>باعتبارها</w:t>
      </w:r>
      <w:r w:rsidRPr="00B649F4">
        <w:rPr>
          <w:rtl/>
        </w:rPr>
        <w:t xml:space="preserve"> </w:t>
      </w:r>
      <w:r w:rsidRPr="00B649F4">
        <w:rPr>
          <w:rFonts w:hint="cs"/>
          <w:rtl/>
        </w:rPr>
        <w:t>أدبيات</w:t>
      </w:r>
      <w:r w:rsidRPr="00B649F4">
        <w:rPr>
          <w:rtl/>
        </w:rPr>
        <w:t xml:space="preserve"> سابقة، </w:t>
      </w:r>
      <w:r w:rsidRPr="00B649F4">
        <w:rPr>
          <w:rFonts w:hint="cs"/>
          <w:rtl/>
        </w:rPr>
        <w:t xml:space="preserve">بغية </w:t>
      </w:r>
      <w:r w:rsidRPr="00B649F4">
        <w:rPr>
          <w:rtl/>
        </w:rPr>
        <w:t>الحد من مخاطر البراءات التعسفية"</w:t>
      </w:r>
      <w:r w:rsidRPr="00B649F4">
        <w:rPr>
          <w:rFonts w:hint="cs"/>
          <w:rtl/>
        </w:rPr>
        <w:t xml:space="preserve"> </w:t>
      </w:r>
      <w:r w:rsidRPr="00B649F4">
        <w:rPr>
          <w:rtl/>
        </w:rPr>
        <w:t>(الوثيقة</w:t>
      </w:r>
      <w:r w:rsidRPr="00B649F4">
        <w:rPr>
          <w:rFonts w:hint="cs"/>
          <w:rtl/>
        </w:rPr>
        <w:t> </w:t>
      </w:r>
      <w:r w:rsidRPr="00B649F4">
        <w:t>WIPO/GRTKF/IC/1/8</w:t>
      </w:r>
      <w:r w:rsidRPr="00B649F4">
        <w:rPr>
          <w:rtl/>
        </w:rPr>
        <w:t>).</w:t>
      </w:r>
    </w:p>
    <w:p w:rsidR="00E542D3" w:rsidRPr="00B649F4" w:rsidRDefault="00E542D3" w:rsidP="00E542D3">
      <w:pPr>
        <w:pStyle w:val="ONUMA"/>
      </w:pPr>
      <w:r w:rsidRPr="00B649F4">
        <w:rPr>
          <w:rtl/>
        </w:rPr>
        <w:t>وفي الدورة الثانية للجنة ال</w:t>
      </w:r>
      <w:r w:rsidRPr="00B649F4">
        <w:rPr>
          <w:rFonts w:hint="cs"/>
          <w:rtl/>
        </w:rPr>
        <w:t xml:space="preserve">معارف </w:t>
      </w:r>
      <w:r w:rsidRPr="00B649F4">
        <w:rPr>
          <w:rtl/>
        </w:rPr>
        <w:t>(ديسمبر 2001)، قدمت المجموعة الآسيوية ووفد الصين ورقة موقف (</w:t>
      </w:r>
      <w:r w:rsidRPr="00B649F4">
        <w:rPr>
          <w:rFonts w:hint="cs"/>
          <w:rtl/>
        </w:rPr>
        <w:t>الوثيقة</w:t>
      </w:r>
      <w:r w:rsidRPr="00B649F4">
        <w:rPr>
          <w:rFonts w:hint="eastAsia"/>
          <w:rtl/>
        </w:rPr>
        <w:t> </w:t>
      </w:r>
      <w:r w:rsidRPr="00B649F4">
        <w:t>WIPO/GRTKF/IC/2/10</w:t>
      </w:r>
      <w:r w:rsidRPr="00B649F4">
        <w:rPr>
          <w:rtl/>
        </w:rPr>
        <w:t xml:space="preserve">) بشأن المعارف التقليدية، </w:t>
      </w:r>
      <w:r w:rsidRPr="00B649F4">
        <w:rPr>
          <w:rFonts w:hint="cs"/>
          <w:rtl/>
        </w:rPr>
        <w:t>وشملت ا</w:t>
      </w:r>
      <w:r w:rsidRPr="00B649F4">
        <w:rPr>
          <w:rtl/>
        </w:rPr>
        <w:t>قتراحات بشأن قواعد البيانات.</w:t>
      </w:r>
    </w:p>
    <w:p w:rsidR="00E542D3" w:rsidRPr="00B649F4" w:rsidRDefault="00E542D3" w:rsidP="00E542D3">
      <w:pPr>
        <w:pStyle w:val="ONUMA"/>
      </w:pPr>
      <w:r w:rsidRPr="00B649F4">
        <w:rPr>
          <w:rtl/>
        </w:rPr>
        <w:t>وفي الدورة الثالثة للجنة ال</w:t>
      </w:r>
      <w:r w:rsidRPr="00B649F4">
        <w:rPr>
          <w:rFonts w:hint="cs"/>
          <w:rtl/>
        </w:rPr>
        <w:t xml:space="preserve">معارف </w:t>
      </w:r>
      <w:r w:rsidRPr="00B649F4">
        <w:rPr>
          <w:rtl/>
        </w:rPr>
        <w:t>(يونيو 2002)، قدمت مجموعة البلدان الأفريقية وثيقة (الوثيقة</w:t>
      </w:r>
      <w:r w:rsidRPr="00B649F4">
        <w:rPr>
          <w:rFonts w:hint="eastAsia"/>
          <w:rtl/>
        </w:rPr>
        <w:t> </w:t>
      </w:r>
      <w:r w:rsidRPr="00B649F4">
        <w:t>WIPO/GRTKF/IC/3/15</w:t>
      </w:r>
      <w:r w:rsidRPr="00B649F4">
        <w:rPr>
          <w:rtl/>
        </w:rPr>
        <w:t>) بعنوان "موقف المجموعة الأفريقية" أعربت فيها عن موقفها من قواعد البيانات،</w:t>
      </w:r>
      <w:r w:rsidRPr="00B649F4">
        <w:rPr>
          <w:rFonts w:hint="cs"/>
          <w:rtl/>
        </w:rPr>
        <w:t xml:space="preserve"> وحثّت </w:t>
      </w:r>
      <w:r w:rsidRPr="00B649F4">
        <w:rPr>
          <w:rFonts w:hint="cs"/>
          <w:rtl/>
        </w:rPr>
        <w:lastRenderedPageBreak/>
        <w:t>"</w:t>
      </w:r>
      <w:r w:rsidRPr="00B649F4">
        <w:rPr>
          <w:rtl/>
        </w:rPr>
        <w:t>الدول الأفريقية</w:t>
      </w:r>
      <w:r w:rsidRPr="00B649F4">
        <w:rPr>
          <w:rFonts w:hint="cs"/>
          <w:rtl/>
        </w:rPr>
        <w:t xml:space="preserve"> على </w:t>
      </w:r>
      <w:r w:rsidRPr="00B649F4">
        <w:rPr>
          <w:rtl/>
        </w:rPr>
        <w:t>إنشاء قواعد بيانات للمعارف التقليدية وإتاحتها، في الحالات التي تكون فيها</w:t>
      </w:r>
      <w:proofErr w:type="gramStart"/>
      <w:r w:rsidRPr="00B649F4">
        <w:rPr>
          <w:rtl/>
        </w:rPr>
        <w:t xml:space="preserve"> ’الحماية</w:t>
      </w:r>
      <w:proofErr w:type="gramEnd"/>
      <w:r w:rsidRPr="00B649F4">
        <w:rPr>
          <w:rFonts w:hint="cs"/>
          <w:rtl/>
        </w:rPr>
        <w:t> </w:t>
      </w:r>
      <w:r w:rsidRPr="00B649F4">
        <w:rPr>
          <w:rtl/>
        </w:rPr>
        <w:t>الدفاعية‘ للمعارف التقليدية المكشوفة مطلوبة".</w:t>
      </w:r>
    </w:p>
    <w:p w:rsidR="00E542D3" w:rsidRPr="00B649F4" w:rsidRDefault="00E542D3" w:rsidP="00E542D3">
      <w:pPr>
        <w:pStyle w:val="ONUMA"/>
      </w:pPr>
      <w:r w:rsidRPr="00B649F4">
        <w:rPr>
          <w:rtl/>
        </w:rPr>
        <w:t xml:space="preserve">وفي الدورة الرابعة للجنة </w:t>
      </w:r>
      <w:r w:rsidRPr="00B649F4">
        <w:rPr>
          <w:rFonts w:hint="cs"/>
          <w:rtl/>
        </w:rPr>
        <w:t>المعارف</w:t>
      </w:r>
      <w:r w:rsidRPr="00B649F4">
        <w:rPr>
          <w:rtl/>
        </w:rPr>
        <w:t xml:space="preserve"> (ديسمبر 2002)، قد</w:t>
      </w:r>
      <w:r w:rsidRPr="00B649F4">
        <w:rPr>
          <w:rFonts w:hint="cs"/>
          <w:rtl/>
        </w:rPr>
        <w:t>ّ</w:t>
      </w:r>
      <w:r w:rsidRPr="00B649F4">
        <w:rPr>
          <w:rtl/>
        </w:rPr>
        <w:t>مت المجموعة الآسيوية اقتراحا (الوثيق</w:t>
      </w:r>
      <w:r w:rsidRPr="00B649F4">
        <w:rPr>
          <w:rFonts w:hint="cs"/>
          <w:rtl/>
        </w:rPr>
        <w:t>ة</w:t>
      </w:r>
      <w:r w:rsidRPr="00B649F4">
        <w:rPr>
          <w:rFonts w:hint="eastAsia"/>
          <w:rtl/>
        </w:rPr>
        <w:t> </w:t>
      </w:r>
      <w:r w:rsidRPr="00B649F4">
        <w:t>WIPO/GRTKF/IC/4/14</w:t>
      </w:r>
      <w:r w:rsidRPr="00B649F4">
        <w:rPr>
          <w:rFonts w:hint="cs"/>
          <w:rtl/>
        </w:rPr>
        <w:t>)</w:t>
      </w:r>
      <w:r w:rsidRPr="00B649F4">
        <w:rPr>
          <w:rtl/>
        </w:rPr>
        <w:t xml:space="preserve"> بعنوان "مقترحات تقنية بشأن قواعد بيانات وسجلات </w:t>
      </w:r>
      <w:r w:rsidRPr="00B649F4">
        <w:rPr>
          <w:rFonts w:hint="cs"/>
          <w:rtl/>
        </w:rPr>
        <w:t>لل</w:t>
      </w:r>
      <w:r w:rsidRPr="00B649F4">
        <w:rPr>
          <w:rtl/>
        </w:rPr>
        <w:t>معارف التقليدية</w:t>
      </w:r>
      <w:r w:rsidRPr="00B649F4">
        <w:rPr>
          <w:rFonts w:hint="cs"/>
          <w:rtl/>
        </w:rPr>
        <w:t> </w:t>
      </w:r>
      <w:r w:rsidRPr="00B649F4">
        <w:rPr>
          <w:rtl/>
        </w:rPr>
        <w:t>والموارد</w:t>
      </w:r>
      <w:r w:rsidRPr="00B649F4">
        <w:rPr>
          <w:rFonts w:hint="cs"/>
          <w:rtl/>
        </w:rPr>
        <w:t> </w:t>
      </w:r>
      <w:r w:rsidRPr="00B649F4">
        <w:rPr>
          <w:rtl/>
        </w:rPr>
        <w:t>البيولوجية</w:t>
      </w:r>
      <w:r w:rsidRPr="00B649F4">
        <w:rPr>
          <w:rFonts w:hint="cs"/>
          <w:rtl/>
        </w:rPr>
        <w:t>/الوراثي</w:t>
      </w:r>
      <w:r w:rsidRPr="00B649F4">
        <w:rPr>
          <w:rtl/>
        </w:rPr>
        <w:t>ة (مقدمة من المجموعة الآسيوية)".</w:t>
      </w:r>
    </w:p>
    <w:p w:rsidR="00E542D3" w:rsidRPr="00B649F4" w:rsidRDefault="00E542D3" w:rsidP="00E542D3">
      <w:pPr>
        <w:pStyle w:val="ONUMA"/>
      </w:pPr>
      <w:r w:rsidRPr="00B649F4">
        <w:rPr>
          <w:rtl/>
        </w:rPr>
        <w:t xml:space="preserve">وفي الدورة التاسعة للجنة </w:t>
      </w:r>
      <w:r w:rsidRPr="00B649F4">
        <w:rPr>
          <w:rFonts w:hint="cs"/>
          <w:rtl/>
        </w:rPr>
        <w:t xml:space="preserve">المعارف </w:t>
      </w:r>
      <w:r w:rsidRPr="00B649F4">
        <w:rPr>
          <w:rtl/>
        </w:rPr>
        <w:t>(أبريل 2006)، قد</w:t>
      </w:r>
      <w:r w:rsidRPr="00B649F4">
        <w:rPr>
          <w:rFonts w:hint="cs"/>
          <w:rtl/>
        </w:rPr>
        <w:t>ّ</w:t>
      </w:r>
      <w:r w:rsidRPr="00B649F4">
        <w:rPr>
          <w:rtl/>
        </w:rPr>
        <w:t xml:space="preserve">م وفد اليابان وثيقة (الوثيقة </w:t>
      </w:r>
      <w:r w:rsidRPr="00B649F4">
        <w:t>WIPO/GRTKF/IC/9/13</w:t>
      </w:r>
      <w:r w:rsidRPr="00B649F4">
        <w:rPr>
          <w:rtl/>
        </w:rPr>
        <w:t>) بعنوان "نظام البراءات والموارد الوراثية"،</w:t>
      </w:r>
      <w:r w:rsidRPr="00B649F4">
        <w:rPr>
          <w:rFonts w:hint="cs"/>
          <w:rtl/>
        </w:rPr>
        <w:t xml:space="preserve"> و</w:t>
      </w:r>
      <w:r w:rsidRPr="00B649F4">
        <w:rPr>
          <w:rtl/>
        </w:rPr>
        <w:t>اقترح فيه</w:t>
      </w:r>
      <w:r w:rsidRPr="00B649F4">
        <w:rPr>
          <w:rFonts w:hint="cs"/>
          <w:rtl/>
        </w:rPr>
        <w:t>ا</w:t>
      </w:r>
      <w:r w:rsidRPr="00B649F4">
        <w:rPr>
          <w:rtl/>
        </w:rPr>
        <w:t xml:space="preserve"> إنشاء نظام قواعد بيانات </w:t>
      </w:r>
      <w:r w:rsidRPr="00B649F4">
        <w:rPr>
          <w:rFonts w:hint="cs"/>
          <w:rtl/>
        </w:rPr>
        <w:t>ل</w:t>
      </w:r>
      <w:r w:rsidRPr="00B649F4">
        <w:rPr>
          <w:rtl/>
        </w:rPr>
        <w:t>لموارد الوراثية والمعارف التقليدية</w:t>
      </w:r>
      <w:r w:rsidRPr="00B649F4">
        <w:rPr>
          <w:rFonts w:hint="cs"/>
          <w:rtl/>
        </w:rPr>
        <w:t xml:space="preserve"> تكون م</w:t>
      </w:r>
      <w:r w:rsidRPr="00B649F4">
        <w:rPr>
          <w:rtl/>
        </w:rPr>
        <w:t>يسر</w:t>
      </w:r>
      <w:r w:rsidRPr="00B649F4">
        <w:rPr>
          <w:rFonts w:hint="cs"/>
          <w:rtl/>
        </w:rPr>
        <w:t>ة</w:t>
      </w:r>
      <w:r w:rsidRPr="00B649F4">
        <w:rPr>
          <w:rtl/>
        </w:rPr>
        <w:t xml:space="preserve"> </w:t>
      </w:r>
      <w:r w:rsidRPr="00B649F4">
        <w:rPr>
          <w:rFonts w:hint="cs"/>
          <w:rtl/>
        </w:rPr>
        <w:t>لل</w:t>
      </w:r>
      <w:r w:rsidRPr="00B649F4">
        <w:rPr>
          <w:rtl/>
        </w:rPr>
        <w:t>فاحص</w:t>
      </w:r>
      <w:r w:rsidRPr="00B649F4">
        <w:rPr>
          <w:rFonts w:hint="cs"/>
          <w:rtl/>
        </w:rPr>
        <w:t>ي</w:t>
      </w:r>
      <w:r w:rsidRPr="00B649F4">
        <w:rPr>
          <w:rtl/>
        </w:rPr>
        <w:t>ن في جميع أنحاء العالم.</w:t>
      </w:r>
      <w:r w:rsidRPr="00B649F4">
        <w:rPr>
          <w:rFonts w:hint="cs"/>
          <w:rtl/>
        </w:rPr>
        <w:t xml:space="preserve"> </w:t>
      </w:r>
      <w:r w:rsidRPr="00B649F4">
        <w:rPr>
          <w:rtl/>
        </w:rPr>
        <w:t>و</w:t>
      </w:r>
      <w:r w:rsidRPr="00B649F4">
        <w:rPr>
          <w:rFonts w:hint="cs"/>
          <w:rtl/>
        </w:rPr>
        <w:t>أعيد ت</w:t>
      </w:r>
      <w:r w:rsidRPr="00B649F4">
        <w:rPr>
          <w:rtl/>
        </w:rPr>
        <w:t>ق</w:t>
      </w:r>
      <w:r w:rsidRPr="00B649F4">
        <w:rPr>
          <w:rFonts w:hint="cs"/>
          <w:rtl/>
        </w:rPr>
        <w:t>دي</w:t>
      </w:r>
      <w:r w:rsidRPr="00B649F4">
        <w:rPr>
          <w:rtl/>
        </w:rPr>
        <w:t xml:space="preserve">م </w:t>
      </w:r>
      <w:r w:rsidRPr="00B649F4">
        <w:rPr>
          <w:rFonts w:hint="cs"/>
          <w:rtl/>
        </w:rPr>
        <w:t xml:space="preserve">هذه </w:t>
      </w:r>
      <w:r w:rsidRPr="00B649F4">
        <w:rPr>
          <w:rtl/>
        </w:rPr>
        <w:t xml:space="preserve">الوثيقة في الدورة العشرين للجنة المعارف (فبراير 2012) </w:t>
      </w:r>
      <w:r w:rsidRPr="00B649F4">
        <w:rPr>
          <w:rFonts w:hint="cs"/>
          <w:rtl/>
        </w:rPr>
        <w:t>في</w:t>
      </w:r>
      <w:r w:rsidRPr="00B649F4">
        <w:rPr>
          <w:rtl/>
        </w:rPr>
        <w:t xml:space="preserve"> الوثيقة</w:t>
      </w:r>
      <w:r w:rsidRPr="00B649F4">
        <w:rPr>
          <w:rFonts w:hint="cs"/>
          <w:rtl/>
        </w:rPr>
        <w:t> </w:t>
      </w:r>
      <w:r w:rsidRPr="00B649F4">
        <w:t>WIPO/GRTKF/IC/20/INF/9</w:t>
      </w:r>
      <w:r w:rsidRPr="00B649F4">
        <w:rPr>
          <w:rFonts w:hint="cs"/>
          <w:rtl/>
        </w:rPr>
        <w:t xml:space="preserve">. </w:t>
      </w:r>
      <w:r w:rsidRPr="00B649F4">
        <w:rPr>
          <w:rtl/>
        </w:rPr>
        <w:t>وفي الدورة الحادية عشرة للجنة ال</w:t>
      </w:r>
      <w:r w:rsidRPr="00B649F4">
        <w:rPr>
          <w:rFonts w:hint="cs"/>
          <w:rtl/>
        </w:rPr>
        <w:t>معارف</w:t>
      </w:r>
      <w:r w:rsidRPr="00B649F4">
        <w:rPr>
          <w:rtl/>
        </w:rPr>
        <w:t xml:space="preserve"> (يوليو 2007)، قدم وفد اليابان وثيقة (</w:t>
      </w:r>
      <w:r w:rsidRPr="00B649F4">
        <w:t>WIPO/GRTKF/IC/11/11</w:t>
      </w:r>
      <w:r w:rsidRPr="00B649F4">
        <w:rPr>
          <w:rtl/>
        </w:rPr>
        <w:t>)</w:t>
      </w:r>
      <w:r w:rsidRPr="00B649F4">
        <w:rPr>
          <w:rFonts w:hint="cs"/>
          <w:rtl/>
        </w:rPr>
        <w:t xml:space="preserve"> معنونة </w:t>
      </w:r>
      <w:r w:rsidRPr="00B649F4">
        <w:rPr>
          <w:rtl/>
        </w:rPr>
        <w:t xml:space="preserve">"شرح إضافي من اليابان بشأن الوثيقة </w:t>
      </w:r>
      <w:r w:rsidRPr="00B649F4">
        <w:t>WIPO/GRTKF/IC/9/13</w:t>
      </w:r>
      <w:r w:rsidRPr="00B649F4">
        <w:rPr>
          <w:rtl/>
        </w:rPr>
        <w:t xml:space="preserve"> بعنوان نظام البراءات والموارد الوراثية</w:t>
      </w:r>
      <w:r w:rsidRPr="00B649F4">
        <w:rPr>
          <w:rFonts w:hint="cs"/>
          <w:rtl/>
        </w:rPr>
        <w:t>"، و</w:t>
      </w:r>
      <w:r w:rsidRPr="00B649F4">
        <w:rPr>
          <w:rtl/>
        </w:rPr>
        <w:t>اقترحت في</w:t>
      </w:r>
      <w:r w:rsidRPr="00B649F4">
        <w:rPr>
          <w:rFonts w:hint="cs"/>
          <w:rtl/>
        </w:rPr>
        <w:t>ها</w:t>
      </w:r>
      <w:r w:rsidRPr="00B649F4">
        <w:rPr>
          <w:rtl/>
        </w:rPr>
        <w:t xml:space="preserve"> </w:t>
      </w:r>
      <w:r w:rsidRPr="00B649F4">
        <w:rPr>
          <w:rFonts w:hint="cs"/>
          <w:rtl/>
        </w:rPr>
        <w:t>إن</w:t>
      </w:r>
      <w:r w:rsidRPr="00B649F4">
        <w:rPr>
          <w:rtl/>
        </w:rPr>
        <w:t xml:space="preserve">شاء </w:t>
      </w:r>
      <w:r w:rsidRPr="00B649F4">
        <w:rPr>
          <w:rFonts w:hint="cs"/>
          <w:rtl/>
        </w:rPr>
        <w:t>"</w:t>
      </w:r>
      <w:r w:rsidRPr="00B649F4">
        <w:rPr>
          <w:rtl/>
        </w:rPr>
        <w:t xml:space="preserve">نظام بحث </w:t>
      </w:r>
      <w:r w:rsidRPr="00B649F4">
        <w:rPr>
          <w:rFonts w:hint="cs"/>
          <w:rtl/>
        </w:rPr>
        <w:t xml:space="preserve">متاح </w:t>
      </w:r>
      <w:r w:rsidRPr="00B649F4">
        <w:rPr>
          <w:rtl/>
        </w:rPr>
        <w:t>بنقرة واحدة في قاعدة بيانات</w:t>
      </w:r>
      <w:r w:rsidRPr="00B649F4">
        <w:rPr>
          <w:rFonts w:hint="cs"/>
          <w:rtl/>
        </w:rPr>
        <w:t>"</w:t>
      </w:r>
      <w:r w:rsidRPr="00B649F4">
        <w:rPr>
          <w:rtl/>
        </w:rPr>
        <w:t xml:space="preserve"> للموارد الوراثية والمعارف التقليدية المقترنة بها. وقد أعيد تقديم الوثيقة في الدورة العشرين </w:t>
      </w:r>
      <w:r w:rsidRPr="00B649F4">
        <w:rPr>
          <w:rFonts w:hint="cs"/>
          <w:rtl/>
        </w:rPr>
        <w:t>للجنة المعارف</w:t>
      </w:r>
      <w:r w:rsidRPr="00B649F4">
        <w:rPr>
          <w:rtl/>
        </w:rPr>
        <w:t xml:space="preserve"> (فبراير 2012) </w:t>
      </w:r>
      <w:r w:rsidRPr="00B649F4">
        <w:rPr>
          <w:rFonts w:hint="cs"/>
          <w:rtl/>
        </w:rPr>
        <w:t>في</w:t>
      </w:r>
      <w:r w:rsidRPr="00B649F4">
        <w:rPr>
          <w:rtl/>
        </w:rPr>
        <w:t xml:space="preserve"> الوثيقة</w:t>
      </w:r>
      <w:r w:rsidRPr="00B649F4">
        <w:rPr>
          <w:rFonts w:hint="eastAsia"/>
          <w:rtl/>
        </w:rPr>
        <w:t> </w:t>
      </w:r>
      <w:r w:rsidRPr="00B649F4">
        <w:t>WIPO/GRTKF/IC/20/INF/11</w:t>
      </w:r>
      <w:r w:rsidRPr="00B649F4">
        <w:rPr>
          <w:rFonts w:hint="cs"/>
          <w:rtl/>
        </w:rPr>
        <w:t>.</w:t>
      </w:r>
    </w:p>
    <w:p w:rsidR="00E542D3" w:rsidRPr="00B649F4" w:rsidRDefault="00E542D3" w:rsidP="00E542D3">
      <w:pPr>
        <w:pStyle w:val="ONUMA"/>
      </w:pPr>
      <w:r w:rsidRPr="00B649F4">
        <w:rPr>
          <w:rtl/>
        </w:rPr>
        <w:t>وفي الدورة السابعة عشرة للجنة ال</w:t>
      </w:r>
      <w:r w:rsidRPr="00B649F4">
        <w:rPr>
          <w:rFonts w:hint="cs"/>
          <w:rtl/>
        </w:rPr>
        <w:t>معارف</w:t>
      </w:r>
      <w:r w:rsidRPr="00B649F4">
        <w:rPr>
          <w:rtl/>
        </w:rPr>
        <w:t xml:space="preserve"> (ديسمبر 2010)، قدمت المجموعة الأفريقية اقتراحا (الوثيقة</w:t>
      </w:r>
      <w:r w:rsidRPr="00B649F4">
        <w:rPr>
          <w:rFonts w:hint="cs"/>
          <w:rtl/>
        </w:rPr>
        <w:t> </w:t>
      </w:r>
      <w:r w:rsidRPr="00B649F4">
        <w:t>WIPO/GRTKF/IC/17/10</w:t>
      </w:r>
      <w:r w:rsidRPr="00B649F4">
        <w:rPr>
          <w:rtl/>
        </w:rPr>
        <w:t xml:space="preserve">) بشأن الموارد الوراثية والعمل المقبل، </w:t>
      </w:r>
      <w:r w:rsidRPr="00B649F4">
        <w:rPr>
          <w:rFonts w:hint="cs"/>
          <w:rtl/>
        </w:rPr>
        <w:t>و</w:t>
      </w:r>
      <w:r w:rsidRPr="00B649F4">
        <w:rPr>
          <w:rtl/>
        </w:rPr>
        <w:t xml:space="preserve">اقترحت </w:t>
      </w:r>
      <w:r w:rsidRPr="00B649F4">
        <w:rPr>
          <w:rFonts w:hint="cs"/>
          <w:rtl/>
        </w:rPr>
        <w:t xml:space="preserve">النظر في </w:t>
      </w:r>
      <w:r w:rsidRPr="00B649F4">
        <w:rPr>
          <w:rtl/>
        </w:rPr>
        <w:t>استخدام قواعد</w:t>
      </w:r>
      <w:r w:rsidRPr="00B649F4">
        <w:rPr>
          <w:rFonts w:hint="cs"/>
          <w:rtl/>
        </w:rPr>
        <w:t> </w:t>
      </w:r>
      <w:r w:rsidRPr="00B649F4">
        <w:rPr>
          <w:rtl/>
        </w:rPr>
        <w:t xml:space="preserve">البيانات المتاحة بشأن الموارد الوراثية والمعارف التقليدية المرتبطة بها </w:t>
      </w:r>
      <w:r w:rsidRPr="00B649F4">
        <w:rPr>
          <w:rFonts w:hint="cs"/>
          <w:rtl/>
        </w:rPr>
        <w:t>كوسيلة لل</w:t>
      </w:r>
      <w:r w:rsidRPr="00B649F4">
        <w:rPr>
          <w:rtl/>
        </w:rPr>
        <w:t>حماية الدفاعية. وقد أعيد تقديم الوثيقة</w:t>
      </w:r>
      <w:r w:rsidRPr="00B649F4">
        <w:rPr>
          <w:rFonts w:hint="cs"/>
          <w:rtl/>
        </w:rPr>
        <w:t> </w:t>
      </w:r>
      <w:r w:rsidRPr="00B649F4">
        <w:rPr>
          <w:rtl/>
        </w:rPr>
        <w:t xml:space="preserve">في الدورة العشرين للجنة </w:t>
      </w:r>
      <w:r w:rsidRPr="00B649F4">
        <w:rPr>
          <w:rFonts w:hint="cs"/>
          <w:rtl/>
        </w:rPr>
        <w:t xml:space="preserve">المعارف </w:t>
      </w:r>
      <w:r w:rsidRPr="00B649F4">
        <w:rPr>
          <w:rtl/>
        </w:rPr>
        <w:t xml:space="preserve">(فبراير 2012) </w:t>
      </w:r>
      <w:r w:rsidRPr="00B649F4">
        <w:rPr>
          <w:rFonts w:hint="cs"/>
          <w:rtl/>
        </w:rPr>
        <w:t>في</w:t>
      </w:r>
      <w:r w:rsidRPr="00B649F4">
        <w:rPr>
          <w:rtl/>
        </w:rPr>
        <w:t xml:space="preserve"> الوثيقة</w:t>
      </w:r>
      <w:r w:rsidRPr="00B649F4">
        <w:rPr>
          <w:rFonts w:hint="cs"/>
          <w:rtl/>
        </w:rPr>
        <w:t> </w:t>
      </w:r>
      <w:r w:rsidRPr="00B649F4">
        <w:t>WIPO/GRTKF/IC/20/INF/12</w:t>
      </w:r>
      <w:r w:rsidRPr="00B649F4">
        <w:rPr>
          <w:rtl/>
        </w:rPr>
        <w:t>.</w:t>
      </w:r>
    </w:p>
    <w:p w:rsidR="00E542D3" w:rsidRPr="00B649F4" w:rsidRDefault="00E542D3" w:rsidP="00E542D3">
      <w:pPr>
        <w:pStyle w:val="ONUMA"/>
      </w:pPr>
      <w:r w:rsidRPr="00B649F4">
        <w:rPr>
          <w:rtl/>
        </w:rPr>
        <w:t>وفي الدورة العشرين للجنة ال</w:t>
      </w:r>
      <w:r w:rsidRPr="00B649F4">
        <w:rPr>
          <w:rFonts w:hint="cs"/>
          <w:rtl/>
        </w:rPr>
        <w:t>معارف</w:t>
      </w:r>
      <w:r w:rsidRPr="00B649F4">
        <w:rPr>
          <w:rtl/>
        </w:rPr>
        <w:t xml:space="preserve"> (فبراير 2012)، قدمت وفود كندا واليابان والنرويج وجمهورية كوريا والولايات</w:t>
      </w:r>
      <w:r w:rsidRPr="00B649F4">
        <w:rPr>
          <w:rFonts w:hint="cs"/>
          <w:rtl/>
        </w:rPr>
        <w:t> </w:t>
      </w:r>
      <w:r w:rsidRPr="00B649F4">
        <w:rPr>
          <w:rtl/>
        </w:rPr>
        <w:t>المتحدة الأمريكية وثيقة (الوثيقة</w:t>
      </w:r>
      <w:r w:rsidRPr="00B649F4">
        <w:rPr>
          <w:rFonts w:hint="cs"/>
          <w:rtl/>
        </w:rPr>
        <w:t> </w:t>
      </w:r>
      <w:r w:rsidRPr="00B649F4">
        <w:t>WIPO/GRTKF/IC/20/9 REV.</w:t>
      </w:r>
      <w:r w:rsidRPr="00B649F4">
        <w:rPr>
          <w:rtl/>
        </w:rPr>
        <w:t>) بعنوان "توصية مشتركة بشأن الموارد</w:t>
      </w:r>
      <w:r w:rsidRPr="00B649F4">
        <w:rPr>
          <w:rFonts w:hint="cs"/>
          <w:rtl/>
        </w:rPr>
        <w:t> </w:t>
      </w:r>
      <w:r w:rsidRPr="00B649F4">
        <w:rPr>
          <w:rtl/>
        </w:rPr>
        <w:t xml:space="preserve">الوراثية والمعارف التقليدية المرتبطة بها"، </w:t>
      </w:r>
      <w:r w:rsidRPr="00B649F4">
        <w:rPr>
          <w:rFonts w:hint="cs"/>
          <w:rtl/>
        </w:rPr>
        <w:t>و</w:t>
      </w:r>
      <w:r w:rsidRPr="00B649F4">
        <w:rPr>
          <w:rtl/>
        </w:rPr>
        <w:t>اقترح</w:t>
      </w:r>
      <w:r w:rsidRPr="00B649F4">
        <w:rPr>
          <w:rFonts w:hint="cs"/>
          <w:rtl/>
        </w:rPr>
        <w:t>ت</w:t>
      </w:r>
      <w:r w:rsidRPr="00B649F4">
        <w:rPr>
          <w:rtl/>
        </w:rPr>
        <w:t xml:space="preserve"> فيها استخدام قواعد البيانات </w:t>
      </w:r>
      <w:r w:rsidRPr="00B649F4">
        <w:rPr>
          <w:rFonts w:hint="cs"/>
          <w:rtl/>
        </w:rPr>
        <w:t>ل</w:t>
      </w:r>
      <w:r w:rsidRPr="00B649F4">
        <w:rPr>
          <w:rtl/>
        </w:rPr>
        <w:t>تلا</w:t>
      </w:r>
      <w:r w:rsidRPr="00B649F4">
        <w:rPr>
          <w:rFonts w:hint="cs"/>
          <w:rtl/>
        </w:rPr>
        <w:t>في</w:t>
      </w:r>
      <w:r w:rsidRPr="00B649F4">
        <w:rPr>
          <w:rtl/>
        </w:rPr>
        <w:t xml:space="preserve"> منح البراءات عن خطأ</w:t>
      </w:r>
      <w:r w:rsidRPr="00B649F4">
        <w:rPr>
          <w:rFonts w:hint="cs"/>
          <w:rtl/>
        </w:rPr>
        <w:t> وا</w:t>
      </w:r>
      <w:r w:rsidRPr="00B649F4">
        <w:rPr>
          <w:rtl/>
        </w:rPr>
        <w:t>لسماح ل</w:t>
      </w:r>
      <w:r w:rsidRPr="00B649F4">
        <w:rPr>
          <w:rFonts w:hint="cs"/>
          <w:rtl/>
        </w:rPr>
        <w:t>لغير</w:t>
      </w:r>
      <w:r w:rsidRPr="00B649F4">
        <w:rPr>
          <w:rtl/>
        </w:rPr>
        <w:t xml:space="preserve"> بالطعن في صحة براءة. وقد أعيد تقديم هذه الوثيقة إلى اللجنة في دوراتها</w:t>
      </w:r>
      <w:r w:rsidRPr="00B649F4">
        <w:rPr>
          <w:rFonts w:hint="cs"/>
          <w:rtl/>
        </w:rPr>
        <w:t xml:space="preserve"> اللاحقة </w:t>
      </w:r>
      <w:r w:rsidRPr="00B649F4">
        <w:rPr>
          <w:rtl/>
        </w:rPr>
        <w:t>في إطار الوثائق:</w:t>
      </w:r>
      <w:r w:rsidRPr="00B649F4">
        <w:rPr>
          <w:rFonts w:hint="eastAsia"/>
          <w:rtl/>
        </w:rPr>
        <w:t> </w:t>
      </w:r>
      <w:r w:rsidRPr="00B649F4">
        <w:t>WIPO/GRTKF/IC/23/5</w:t>
      </w:r>
      <w:r w:rsidRPr="00B649F4">
        <w:rPr>
          <w:rFonts w:hint="cs"/>
          <w:rtl/>
        </w:rPr>
        <w:t xml:space="preserve"> و</w:t>
      </w:r>
      <w:r w:rsidRPr="00B649F4">
        <w:t>WIPO/GRTKF/IC/24/5</w:t>
      </w:r>
      <w:r w:rsidRPr="00B649F4">
        <w:rPr>
          <w:rFonts w:hint="cs"/>
          <w:rtl/>
        </w:rPr>
        <w:t xml:space="preserve"> و</w:t>
      </w:r>
      <w:r w:rsidRPr="00B649F4">
        <w:t>WIPO/GRTKF/IC/26/5</w:t>
      </w:r>
      <w:r w:rsidRPr="00B649F4">
        <w:rPr>
          <w:rFonts w:hint="cs"/>
          <w:rtl/>
        </w:rPr>
        <w:t xml:space="preserve"> و</w:t>
      </w:r>
      <w:r w:rsidRPr="00B649F4">
        <w:t>WIPO/GRTKF/IC/27/6</w:t>
      </w:r>
      <w:r w:rsidRPr="00B649F4">
        <w:rPr>
          <w:rFonts w:hint="cs"/>
          <w:rtl/>
        </w:rPr>
        <w:t xml:space="preserve"> و</w:t>
      </w:r>
      <w:r w:rsidRPr="00B649F4">
        <w:t>WIPO/GRTKF/IC/28/7</w:t>
      </w:r>
      <w:r w:rsidRPr="00B649F4">
        <w:rPr>
          <w:rFonts w:hint="cs"/>
          <w:rtl/>
        </w:rPr>
        <w:t xml:space="preserve"> و</w:t>
      </w:r>
      <w:r w:rsidRPr="00B649F4">
        <w:t>WIPO/GRTKF/IC/29/5</w:t>
      </w:r>
      <w:r w:rsidRPr="00B649F4">
        <w:rPr>
          <w:rFonts w:hint="cs"/>
          <w:rtl/>
        </w:rPr>
        <w:t xml:space="preserve"> و</w:t>
      </w:r>
      <w:r w:rsidRPr="00B649F4">
        <w:t>WIPO/GRTKF/IC/30/6</w:t>
      </w:r>
      <w:r w:rsidRPr="00B649F4">
        <w:rPr>
          <w:rFonts w:hint="cs"/>
          <w:rtl/>
        </w:rPr>
        <w:t xml:space="preserve"> </w:t>
      </w:r>
      <w:proofErr w:type="gramStart"/>
      <w:r w:rsidRPr="00B649F4">
        <w:rPr>
          <w:rFonts w:hint="cs"/>
          <w:rtl/>
        </w:rPr>
        <w:t>و</w:t>
      </w:r>
      <w:r w:rsidRPr="00B649F4">
        <w:t xml:space="preserve"> WIPO</w:t>
      </w:r>
      <w:proofErr w:type="gramEnd"/>
      <w:r w:rsidRPr="00B649F4">
        <w:t>/GRTKF/IC/31/5</w:t>
      </w:r>
      <w:r w:rsidRPr="00B649F4">
        <w:rPr>
          <w:rFonts w:hint="cs"/>
          <w:rtl/>
        </w:rPr>
        <w:t>و</w:t>
      </w:r>
      <w:r w:rsidRPr="00B649F4">
        <w:t>WIPO/GRTKF/IC/32/6</w:t>
      </w:r>
      <w:r w:rsidRPr="00B649F4">
        <w:rPr>
          <w:rFonts w:hint="cs"/>
          <w:rtl/>
        </w:rPr>
        <w:t xml:space="preserve"> و</w:t>
      </w:r>
      <w:r w:rsidRPr="00B649F4">
        <w:t>WIPO/GRTKF/IC/34/9</w:t>
      </w:r>
      <w:r w:rsidRPr="00B649F4">
        <w:rPr>
          <w:rFonts w:hint="cs"/>
          <w:rtl/>
        </w:rPr>
        <w:t xml:space="preserve"> و</w:t>
      </w:r>
      <w:r w:rsidRPr="00B649F4">
        <w:t>WIPO/GRTKF/IC/35/7</w:t>
      </w:r>
      <w:r>
        <w:rPr>
          <w:rFonts w:hint="cs"/>
          <w:rtl/>
        </w:rPr>
        <w:t xml:space="preserve"> </w:t>
      </w:r>
      <w:r w:rsidRPr="00B649F4">
        <w:rPr>
          <w:rFonts w:hint="cs"/>
          <w:rtl/>
        </w:rPr>
        <w:t>و</w:t>
      </w:r>
      <w:r w:rsidRPr="00B649F4">
        <w:t>WIPO/GRTKF/IC/</w:t>
      </w:r>
      <w:r>
        <w:t>36</w:t>
      </w:r>
      <w:r w:rsidRPr="00B649F4">
        <w:t>/7</w:t>
      </w:r>
      <w:r>
        <w:rPr>
          <w:rFonts w:hint="cs"/>
          <w:rtl/>
        </w:rPr>
        <w:t xml:space="preserve"> </w:t>
      </w:r>
      <w:r w:rsidRPr="00B649F4">
        <w:rPr>
          <w:rFonts w:hint="cs"/>
          <w:rtl/>
        </w:rPr>
        <w:t>و</w:t>
      </w:r>
      <w:r w:rsidRPr="00B649F4">
        <w:t>WIPO/GRTKF/IC/</w:t>
      </w:r>
      <w:r>
        <w:t>37</w:t>
      </w:r>
      <w:r w:rsidRPr="00B649F4">
        <w:t>/</w:t>
      </w:r>
      <w:r>
        <w:t>12</w:t>
      </w:r>
      <w:r>
        <w:rPr>
          <w:rFonts w:hint="cs"/>
          <w:rtl/>
        </w:rPr>
        <w:t xml:space="preserve"> </w:t>
      </w:r>
      <w:r w:rsidRPr="00B649F4">
        <w:rPr>
          <w:rFonts w:hint="cs"/>
          <w:rtl/>
        </w:rPr>
        <w:t>و</w:t>
      </w:r>
      <w:r w:rsidRPr="00B649F4">
        <w:t>WIPO/GRTKF/IC/</w:t>
      </w:r>
      <w:r>
        <w:t>38</w:t>
      </w:r>
      <w:r w:rsidRPr="00B649F4">
        <w:t>/</w:t>
      </w:r>
      <w:r>
        <w:t>10</w:t>
      </w:r>
      <w:r>
        <w:rPr>
          <w:rFonts w:hint="cs"/>
          <w:rtl/>
        </w:rPr>
        <w:t xml:space="preserve"> </w:t>
      </w:r>
      <w:r w:rsidRPr="00B649F4">
        <w:rPr>
          <w:rFonts w:hint="cs"/>
          <w:rtl/>
        </w:rPr>
        <w:t>و</w:t>
      </w:r>
      <w:r w:rsidRPr="00B649F4">
        <w:t>WIPO/GRTKF/IC/</w:t>
      </w:r>
      <w:r>
        <w:t>39</w:t>
      </w:r>
      <w:r w:rsidRPr="00B649F4">
        <w:t>/</w:t>
      </w:r>
      <w:r>
        <w:t>13</w:t>
      </w:r>
      <w:r>
        <w:rPr>
          <w:rFonts w:hint="cs"/>
          <w:rtl/>
        </w:rPr>
        <w:t xml:space="preserve"> </w:t>
      </w:r>
      <w:r w:rsidRPr="00B649F4">
        <w:rPr>
          <w:rFonts w:hint="cs"/>
          <w:rtl/>
        </w:rPr>
        <w:t>و</w:t>
      </w:r>
      <w:r w:rsidRPr="00B649F4">
        <w:t>WIPO/GRTKF/IC/</w:t>
      </w:r>
      <w:r>
        <w:t>40</w:t>
      </w:r>
      <w:r w:rsidRPr="00B649F4">
        <w:t>/</w:t>
      </w:r>
      <w:r>
        <w:t>15</w:t>
      </w:r>
      <w:r>
        <w:rPr>
          <w:rFonts w:hint="cs"/>
          <w:rtl/>
        </w:rPr>
        <w:t>.</w:t>
      </w:r>
    </w:p>
    <w:p w:rsidR="00E542D3" w:rsidRPr="00B649F4" w:rsidRDefault="00E542D3" w:rsidP="00E542D3">
      <w:pPr>
        <w:pStyle w:val="ONUMA"/>
        <w:rPr>
          <w:rtl/>
        </w:rPr>
      </w:pPr>
      <w:r w:rsidRPr="00B649F4">
        <w:rPr>
          <w:rtl/>
        </w:rPr>
        <w:t xml:space="preserve">وفي الدورة </w:t>
      </w:r>
      <w:r w:rsidRPr="00B649F4">
        <w:rPr>
          <w:rFonts w:hint="cs"/>
          <w:rtl/>
        </w:rPr>
        <w:t>الثالثة والعشرين</w:t>
      </w:r>
      <w:r w:rsidRPr="00B649F4">
        <w:rPr>
          <w:rtl/>
        </w:rPr>
        <w:t xml:space="preserve"> للجنة </w:t>
      </w:r>
      <w:r w:rsidRPr="00B649F4">
        <w:rPr>
          <w:rFonts w:hint="cs"/>
          <w:rtl/>
        </w:rPr>
        <w:t xml:space="preserve">المعارف </w:t>
      </w:r>
      <w:r w:rsidRPr="00B649F4">
        <w:rPr>
          <w:rtl/>
        </w:rPr>
        <w:t>(فبراير 2013)،</w:t>
      </w:r>
      <w:r w:rsidRPr="00B649F4">
        <w:rPr>
          <w:rFonts w:hint="cs"/>
          <w:rtl/>
        </w:rPr>
        <w:t xml:space="preserve"> </w:t>
      </w:r>
      <w:r w:rsidRPr="00B649F4">
        <w:rPr>
          <w:rtl/>
        </w:rPr>
        <w:t xml:space="preserve">قدمت وفود كندا واليابان وجمهورية كوريا والولايات المتحدة الأمريكية الوثيقة المعنونة </w:t>
      </w:r>
      <w:r w:rsidRPr="00B649F4">
        <w:rPr>
          <w:rFonts w:hint="cs"/>
          <w:rtl/>
        </w:rPr>
        <w:t>"</w:t>
      </w:r>
      <w:r w:rsidRPr="00B649F4">
        <w:rPr>
          <w:rtl/>
        </w:rPr>
        <w:t>توصية مشتركة بشأن استخدام قواعد البيانات لأغراض الحماية الدفاعية للموارد الوراثية والمعارف التقليدية المرتبطة بها</w:t>
      </w:r>
      <w:r w:rsidRPr="00B649F4">
        <w:rPr>
          <w:rFonts w:hint="cs"/>
          <w:rtl/>
        </w:rPr>
        <w:t xml:space="preserve">" وحملت رقم </w:t>
      </w:r>
      <w:r w:rsidRPr="00B649F4">
        <w:rPr>
          <w:rtl/>
        </w:rPr>
        <w:t xml:space="preserve">الوثيقة </w:t>
      </w:r>
      <w:r w:rsidRPr="00B649F4">
        <w:t>WIPO/GRTKF/IC/23/7</w:t>
      </w:r>
      <w:r w:rsidRPr="00B649F4">
        <w:rPr>
          <w:rFonts w:hint="cs"/>
          <w:rtl/>
        </w:rPr>
        <w:t xml:space="preserve">. </w:t>
      </w:r>
      <w:r w:rsidRPr="00B649F4">
        <w:rPr>
          <w:rtl/>
        </w:rPr>
        <w:t>وقدَّمت هذه التوصية المشتركة مجدّدا إلى اللجنة في دوراتها</w:t>
      </w:r>
      <w:r w:rsidRPr="00B649F4">
        <w:rPr>
          <w:rFonts w:hint="cs"/>
          <w:rtl/>
        </w:rPr>
        <w:t xml:space="preserve"> اللاحقة </w:t>
      </w:r>
      <w:r w:rsidRPr="00B649F4">
        <w:rPr>
          <w:rtl/>
        </w:rPr>
        <w:t>في إطار الوثائق</w:t>
      </w:r>
      <w:r w:rsidRPr="00B649F4">
        <w:rPr>
          <w:rFonts w:hint="cs"/>
          <w:rtl/>
        </w:rPr>
        <w:t>:</w:t>
      </w:r>
      <w:r w:rsidRPr="00B649F4">
        <w:rPr>
          <w:rtl/>
        </w:rPr>
        <w:t xml:space="preserve"> </w:t>
      </w:r>
      <w:r w:rsidRPr="00B649F4">
        <w:t>WIPO/GRTKF/IC/24/7</w:t>
      </w:r>
      <w:r w:rsidRPr="00B649F4">
        <w:rPr>
          <w:rtl/>
        </w:rPr>
        <w:t xml:space="preserve"> و</w:t>
      </w:r>
      <w:r w:rsidRPr="00B649F4">
        <w:t>WIPO/GRTKF/IC/26/6</w:t>
      </w:r>
      <w:r w:rsidRPr="00B649F4">
        <w:rPr>
          <w:rtl/>
        </w:rPr>
        <w:t xml:space="preserve"> و</w:t>
      </w:r>
      <w:r w:rsidRPr="00B649F4">
        <w:t>WIPO/GRTKF/IC/27/7</w:t>
      </w:r>
      <w:r w:rsidRPr="00B649F4">
        <w:rPr>
          <w:rtl/>
        </w:rPr>
        <w:t xml:space="preserve"> و</w:t>
      </w:r>
      <w:r w:rsidRPr="00B649F4">
        <w:t>WIPO/GRTKF/IC/28/8</w:t>
      </w:r>
      <w:r w:rsidRPr="00B649F4">
        <w:rPr>
          <w:rtl/>
        </w:rPr>
        <w:t xml:space="preserve"> و</w:t>
      </w:r>
      <w:r w:rsidRPr="00B649F4">
        <w:t>WIPO/GRTKF/IC/29/6</w:t>
      </w:r>
      <w:r w:rsidRPr="00B649F4">
        <w:rPr>
          <w:rtl/>
        </w:rPr>
        <w:t xml:space="preserve"> و</w:t>
      </w:r>
      <w:r w:rsidRPr="00B649F4">
        <w:t>WIPO/GRTKF/IC/30/7</w:t>
      </w:r>
      <w:r w:rsidRPr="00B649F4">
        <w:rPr>
          <w:rtl/>
        </w:rPr>
        <w:t xml:space="preserve"> و</w:t>
      </w:r>
      <w:r w:rsidRPr="00B649F4">
        <w:t>WIPO/GRTKF/IC/31/6</w:t>
      </w:r>
      <w:r w:rsidRPr="00B649F4">
        <w:rPr>
          <w:rtl/>
        </w:rPr>
        <w:t xml:space="preserve"> و</w:t>
      </w:r>
      <w:r w:rsidRPr="00B649F4">
        <w:t>WIPO/GRTKF/IC/32/7</w:t>
      </w:r>
      <w:r w:rsidRPr="00B649F4">
        <w:rPr>
          <w:rtl/>
        </w:rPr>
        <w:t xml:space="preserve"> </w:t>
      </w:r>
      <w:r w:rsidRPr="00B649F4">
        <w:rPr>
          <w:rFonts w:hint="cs"/>
          <w:rtl/>
        </w:rPr>
        <w:t>و</w:t>
      </w:r>
      <w:r w:rsidRPr="00B649F4">
        <w:t>WIPO/GRTKF/IC/34/10</w:t>
      </w:r>
      <w:r w:rsidRPr="00B649F4">
        <w:rPr>
          <w:rFonts w:hint="cs"/>
          <w:rtl/>
        </w:rPr>
        <w:t xml:space="preserve"> و</w:t>
      </w:r>
      <w:r w:rsidRPr="00B649F4">
        <w:t>WIPO/GRTKF/IC/35/8</w:t>
      </w:r>
      <w:r w:rsidRPr="00B649F4">
        <w:rPr>
          <w:rFonts w:hint="cs"/>
          <w:rtl/>
          <w:lang w:bidi="ar-EG"/>
        </w:rPr>
        <w:t xml:space="preserve"> </w:t>
      </w:r>
      <w:r w:rsidRPr="00B649F4">
        <w:rPr>
          <w:rFonts w:hint="cs"/>
          <w:rtl/>
        </w:rPr>
        <w:t>و</w:t>
      </w:r>
      <w:r w:rsidRPr="00B649F4">
        <w:t>WIPO/GRTKF/IC/</w:t>
      </w:r>
      <w:r>
        <w:t>36</w:t>
      </w:r>
      <w:r w:rsidRPr="00B649F4">
        <w:t>/8</w:t>
      </w:r>
      <w:r>
        <w:rPr>
          <w:rFonts w:hint="cs"/>
          <w:rtl/>
        </w:rPr>
        <w:t xml:space="preserve"> </w:t>
      </w:r>
      <w:r w:rsidRPr="00B649F4">
        <w:rPr>
          <w:rFonts w:hint="cs"/>
          <w:rtl/>
        </w:rPr>
        <w:t>و</w:t>
      </w:r>
      <w:r w:rsidRPr="00B649F4">
        <w:t>WIPO/GRTKF/IC/</w:t>
      </w:r>
      <w:r>
        <w:t>37</w:t>
      </w:r>
      <w:r w:rsidRPr="00B649F4">
        <w:t>/</w:t>
      </w:r>
      <w:r>
        <w:t>13</w:t>
      </w:r>
      <w:r>
        <w:rPr>
          <w:rFonts w:hint="cs"/>
          <w:rtl/>
        </w:rPr>
        <w:t xml:space="preserve"> </w:t>
      </w:r>
      <w:r w:rsidRPr="00B649F4">
        <w:rPr>
          <w:rFonts w:hint="cs"/>
          <w:rtl/>
        </w:rPr>
        <w:t>و</w:t>
      </w:r>
      <w:r w:rsidRPr="00B649F4">
        <w:t>WIPO/GRTKF/IC/</w:t>
      </w:r>
      <w:r>
        <w:t>38</w:t>
      </w:r>
      <w:r w:rsidRPr="00B649F4">
        <w:t>/</w:t>
      </w:r>
      <w:r>
        <w:t>11</w:t>
      </w:r>
      <w:r>
        <w:rPr>
          <w:rFonts w:hint="cs"/>
          <w:rtl/>
        </w:rPr>
        <w:t xml:space="preserve"> </w:t>
      </w:r>
      <w:r w:rsidRPr="00B649F4">
        <w:rPr>
          <w:rFonts w:hint="cs"/>
          <w:rtl/>
        </w:rPr>
        <w:t>و</w:t>
      </w:r>
      <w:r w:rsidRPr="00B649F4">
        <w:t>WIPO/GRTKF/IC/</w:t>
      </w:r>
      <w:r>
        <w:t>39</w:t>
      </w:r>
      <w:r w:rsidRPr="00B649F4">
        <w:t>/</w:t>
      </w:r>
      <w:r>
        <w:t>14</w:t>
      </w:r>
      <w:r>
        <w:rPr>
          <w:rFonts w:hint="cs"/>
          <w:rtl/>
        </w:rPr>
        <w:t xml:space="preserve"> </w:t>
      </w:r>
      <w:r w:rsidRPr="00B649F4">
        <w:rPr>
          <w:rFonts w:hint="cs"/>
          <w:rtl/>
        </w:rPr>
        <w:t>و</w:t>
      </w:r>
      <w:r w:rsidRPr="00B649F4">
        <w:t>WIPO/GRTKF/IC/</w:t>
      </w:r>
      <w:r>
        <w:t>40</w:t>
      </w:r>
      <w:r w:rsidRPr="00B649F4">
        <w:t>/</w:t>
      </w:r>
      <w:r>
        <w:t>16</w:t>
      </w:r>
      <w:r>
        <w:rPr>
          <w:rFonts w:hint="cs"/>
          <w:rtl/>
        </w:rPr>
        <w:t xml:space="preserve"> </w:t>
      </w:r>
      <w:r w:rsidRPr="00B649F4">
        <w:rPr>
          <w:rtl/>
        </w:rPr>
        <w:t>ع</w:t>
      </w:r>
      <w:r>
        <w:rPr>
          <w:rtl/>
        </w:rPr>
        <w:t>لى التوالي</w:t>
      </w:r>
      <w:r>
        <w:rPr>
          <w:rFonts w:hint="cs"/>
          <w:rtl/>
        </w:rPr>
        <w:t>.</w:t>
      </w:r>
    </w:p>
    <w:p w:rsidR="00C04F3B" w:rsidRPr="00BD60D0" w:rsidRDefault="00C04F3B" w:rsidP="00BD60D0">
      <w:pPr>
        <w:pStyle w:val="Heading1"/>
        <w:spacing w:after="240"/>
        <w:rPr>
          <w:sz w:val="24"/>
          <w:szCs w:val="24"/>
          <w:rtl/>
        </w:rPr>
      </w:pPr>
      <w:r w:rsidRPr="00BD60D0">
        <w:rPr>
          <w:sz w:val="24"/>
          <w:szCs w:val="24"/>
          <w:rtl/>
        </w:rPr>
        <w:t>التجارب الإقليمية والوطنية</w:t>
      </w:r>
    </w:p>
    <w:p w:rsidR="00E542D3" w:rsidRPr="00E542D3" w:rsidRDefault="00E542D3" w:rsidP="00E542D3">
      <w:pPr>
        <w:pStyle w:val="ONUMA"/>
      </w:pPr>
      <w:r w:rsidRPr="00E542D3">
        <w:rPr>
          <w:rFonts w:hint="cs"/>
          <w:rtl/>
        </w:rPr>
        <w:t xml:space="preserve">وافق فريق </w:t>
      </w:r>
      <w:proofErr w:type="spellStart"/>
      <w:r w:rsidRPr="00E542D3">
        <w:rPr>
          <w:rFonts w:hint="cs"/>
          <w:rtl/>
        </w:rPr>
        <w:t>الويبو</w:t>
      </w:r>
      <w:proofErr w:type="spellEnd"/>
      <w:r w:rsidRPr="00E542D3">
        <w:rPr>
          <w:rFonts w:hint="cs"/>
          <w:rtl/>
        </w:rPr>
        <w:t xml:space="preserve"> العامل المعني </w:t>
      </w:r>
      <w:proofErr w:type="spellStart"/>
      <w:r w:rsidRPr="00E542D3">
        <w:rPr>
          <w:rFonts w:hint="cs"/>
          <w:rtl/>
        </w:rPr>
        <w:t>بالبيوتكنولوجيا</w:t>
      </w:r>
      <w:proofErr w:type="spellEnd"/>
      <w:r w:rsidRPr="00E542D3">
        <w:rPr>
          <w:rFonts w:hint="cs"/>
          <w:rtl/>
        </w:rPr>
        <w:t xml:space="preserve">، في الاجتماع الذي عقده في نوفمبر 1999، على قائمة من الأسئلة حول الممارسات المتعلقة بحماية الدول الأعضاء في </w:t>
      </w:r>
      <w:proofErr w:type="spellStart"/>
      <w:r w:rsidRPr="00E542D3">
        <w:rPr>
          <w:rFonts w:hint="cs"/>
          <w:rtl/>
        </w:rPr>
        <w:t>الويبو</w:t>
      </w:r>
      <w:proofErr w:type="spellEnd"/>
      <w:r w:rsidRPr="00E542D3">
        <w:rPr>
          <w:rFonts w:hint="cs"/>
          <w:rtl/>
        </w:rPr>
        <w:t xml:space="preserve"> للاختراعات </w:t>
      </w:r>
      <w:proofErr w:type="spellStart"/>
      <w:r w:rsidRPr="00E542D3">
        <w:rPr>
          <w:rFonts w:hint="cs"/>
          <w:rtl/>
        </w:rPr>
        <w:t>البيوتكنولوجية</w:t>
      </w:r>
      <w:proofErr w:type="spellEnd"/>
      <w:r w:rsidRPr="00E542D3">
        <w:rPr>
          <w:rFonts w:hint="cs"/>
          <w:rtl/>
        </w:rPr>
        <w:t xml:space="preserve"> بناء على نظامي حماية البراءات وحماية الأصناف النباتية أو توليفة منهما. وتعلق السؤال 12 بقواعد البيانات. وردت 56 دولة عضوا (</w:t>
      </w:r>
      <w:r w:rsidRPr="00E542D3">
        <w:rPr>
          <w:rtl/>
        </w:rPr>
        <w:t xml:space="preserve">أستراليا، والنمسا، وبنغلاديش، وبيلاروس، وبلجيكا، وبنن، والبرازيل، وبلغاريا، والكاميرون، وكندا، والصين، وكولومبيا، وكوبا، وقبرص، وجمهورية كوريا، والدانمرك، وإكوادور، والسلفادور، وإستونيا، وإثيوبيا، وفنلندا، وألمانيا، وغواتيمالا، وهنغاريا، </w:t>
      </w:r>
      <w:proofErr w:type="spellStart"/>
      <w:r w:rsidRPr="00E542D3">
        <w:rPr>
          <w:rtl/>
        </w:rPr>
        <w:t>وآيسلندا</w:t>
      </w:r>
      <w:proofErr w:type="spellEnd"/>
      <w:r w:rsidRPr="00E542D3">
        <w:rPr>
          <w:rtl/>
        </w:rPr>
        <w:t xml:space="preserve">، والهند، </w:t>
      </w:r>
      <w:proofErr w:type="spellStart"/>
      <w:r w:rsidRPr="00E542D3">
        <w:rPr>
          <w:rtl/>
        </w:rPr>
        <w:t>و</w:t>
      </w:r>
      <w:r w:rsidRPr="00E542D3">
        <w:rPr>
          <w:rFonts w:hint="cs"/>
          <w:rtl/>
        </w:rPr>
        <w:t>آ</w:t>
      </w:r>
      <w:r w:rsidRPr="00E542D3">
        <w:rPr>
          <w:rtl/>
        </w:rPr>
        <w:t>يرلندا</w:t>
      </w:r>
      <w:proofErr w:type="spellEnd"/>
      <w:r w:rsidRPr="00E542D3">
        <w:rPr>
          <w:rtl/>
        </w:rPr>
        <w:t xml:space="preserve">،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sidRPr="00E542D3">
        <w:rPr>
          <w:rFonts w:hint="cs"/>
          <w:rtl/>
        </w:rPr>
        <w:t xml:space="preserve">وسلوفاكيا، </w:t>
      </w:r>
      <w:r w:rsidRPr="00E542D3">
        <w:rPr>
          <w:rtl/>
        </w:rPr>
        <w:t>وسلوفينيا، وسري</w:t>
      </w:r>
      <w:r w:rsidRPr="00E542D3">
        <w:rPr>
          <w:rFonts w:hint="cs"/>
          <w:rtl/>
        </w:rPr>
        <w:t> </w:t>
      </w:r>
      <w:r w:rsidRPr="00E542D3">
        <w:rPr>
          <w:rtl/>
        </w:rPr>
        <w:t xml:space="preserve">لانكا، والسويد، وسويسرا، وتايلند، </w:t>
      </w:r>
      <w:r w:rsidRPr="00E542D3">
        <w:rPr>
          <w:rFonts w:hint="cs"/>
          <w:rtl/>
        </w:rPr>
        <w:t xml:space="preserve">وجمهورية مقدونيا اليوغوسلافية سابقا، </w:t>
      </w:r>
      <w:r w:rsidRPr="00E542D3">
        <w:rPr>
          <w:rtl/>
        </w:rPr>
        <w:t>والمملكة المتحدة، والولايات المتحدة الأمريكية،</w:t>
      </w:r>
      <w:r w:rsidRPr="00E542D3">
        <w:rPr>
          <w:rFonts w:hint="cs"/>
          <w:rtl/>
        </w:rPr>
        <w:t> </w:t>
      </w:r>
      <w:r w:rsidRPr="00E542D3">
        <w:rPr>
          <w:rtl/>
        </w:rPr>
        <w:t>وأوروغواي، وأوزبكستان، وفنزويلا، وزامبيا</w:t>
      </w:r>
      <w:r w:rsidRPr="00E542D3">
        <w:rPr>
          <w:rFonts w:hint="cs"/>
          <w:rtl/>
        </w:rPr>
        <w:t xml:space="preserve"> )، والاتحاد الأوروبي، على قائمة الأسئلة ككل. وتبيّن الوثيقتان</w:t>
      </w:r>
      <w:r w:rsidRPr="00E542D3">
        <w:rPr>
          <w:rFonts w:hint="eastAsia"/>
          <w:rtl/>
        </w:rPr>
        <w:t> </w:t>
      </w:r>
      <w:r w:rsidRPr="00E542D3">
        <w:t>WIPO/GRTKF/IC/1/6</w:t>
      </w:r>
      <w:r w:rsidRPr="00E542D3">
        <w:rPr>
          <w:rFonts w:hint="cs"/>
          <w:rtl/>
        </w:rPr>
        <w:t xml:space="preserve"> و</w:t>
      </w:r>
      <w:r w:rsidRPr="00E542D3">
        <w:t>WIPO/GRTKF/IC/1/6 Corr.</w:t>
      </w:r>
      <w:r w:rsidRPr="00E542D3">
        <w:rPr>
          <w:rFonts w:hint="cs"/>
          <w:rtl/>
        </w:rPr>
        <w:t>، بطريقة شاملة، المعلومات المُستلمة.</w:t>
      </w:r>
    </w:p>
    <w:p w:rsidR="00E542D3" w:rsidRPr="00E542D3" w:rsidRDefault="00E542D3" w:rsidP="00E542D3">
      <w:pPr>
        <w:pStyle w:val="ONUMA"/>
      </w:pPr>
      <w:r w:rsidRPr="00E542D3">
        <w:rPr>
          <w:rtl/>
        </w:rPr>
        <w:t xml:space="preserve">وقدم وفد الولايات المتحدة الأمريكية الوثيقة </w:t>
      </w:r>
      <w:r w:rsidRPr="00E542D3">
        <w:t>WIPO/GRTKF/IC/4/13</w:t>
      </w:r>
      <w:r w:rsidRPr="00E542D3">
        <w:rPr>
          <w:rFonts w:hint="cs"/>
          <w:rtl/>
        </w:rPr>
        <w:t xml:space="preserve"> </w:t>
      </w:r>
      <w:r w:rsidRPr="00E542D3">
        <w:rPr>
          <w:rtl/>
        </w:rPr>
        <w:t xml:space="preserve">المعنونة "نظام النفاذ إلى الموارد الوراثية في الولايات المتحدة الأمريكية"، </w:t>
      </w:r>
      <w:r w:rsidRPr="00E542D3">
        <w:rPr>
          <w:rFonts w:hint="cs"/>
          <w:rtl/>
        </w:rPr>
        <w:t xml:space="preserve">واحتوت الوثيقة على </w:t>
      </w:r>
      <w:r w:rsidRPr="00E542D3">
        <w:rPr>
          <w:rtl/>
        </w:rPr>
        <w:t>خبر</w:t>
      </w:r>
      <w:r w:rsidRPr="00E542D3">
        <w:rPr>
          <w:rFonts w:hint="cs"/>
          <w:rtl/>
        </w:rPr>
        <w:t>ا</w:t>
      </w:r>
      <w:r w:rsidRPr="00E542D3">
        <w:rPr>
          <w:rtl/>
        </w:rPr>
        <w:t xml:space="preserve">ت </w:t>
      </w:r>
      <w:r w:rsidRPr="00E542D3">
        <w:rPr>
          <w:rFonts w:hint="cs"/>
          <w:rtl/>
        </w:rPr>
        <w:t xml:space="preserve">الوفد </w:t>
      </w:r>
      <w:r w:rsidRPr="00E542D3">
        <w:rPr>
          <w:rtl/>
        </w:rPr>
        <w:t>في قواعد البيانات المتعلقة بالموارد الوراثية والمعارف التقليدية المرتبطة بها.</w:t>
      </w:r>
    </w:p>
    <w:p w:rsidR="00E542D3" w:rsidRPr="00E542D3" w:rsidRDefault="00E542D3" w:rsidP="00E542D3">
      <w:pPr>
        <w:pStyle w:val="ONUMA"/>
      </w:pPr>
      <w:r w:rsidRPr="00E542D3">
        <w:rPr>
          <w:rtl/>
        </w:rPr>
        <w:lastRenderedPageBreak/>
        <w:t>وتتضمن الوثيقة</w:t>
      </w:r>
      <w:r w:rsidRPr="00E542D3">
        <w:rPr>
          <w:rFonts w:hint="cs"/>
          <w:rtl/>
        </w:rPr>
        <w:t> </w:t>
      </w:r>
      <w:r w:rsidRPr="00E542D3">
        <w:t>WIPO/GRTKF/IC/5/INF/2</w:t>
      </w:r>
      <w:r w:rsidRPr="00E542D3">
        <w:rPr>
          <w:rtl/>
        </w:rPr>
        <w:t xml:space="preserve"> التدبير المؤقت للبرازيل رقم</w:t>
      </w:r>
      <w:r w:rsidRPr="00E542D3">
        <w:rPr>
          <w:rFonts w:hint="cs"/>
          <w:rtl/>
        </w:rPr>
        <w:t> </w:t>
      </w:r>
      <w:r w:rsidRPr="00E542D3">
        <w:t>2.186-16</w:t>
      </w:r>
      <w:r w:rsidRPr="00E542D3">
        <w:rPr>
          <w:rFonts w:hint="cs"/>
          <w:rtl/>
        </w:rPr>
        <w:t xml:space="preserve"> </w:t>
      </w:r>
      <w:r w:rsidRPr="00E542D3">
        <w:rPr>
          <w:rtl/>
        </w:rPr>
        <w:t>المؤرخ 23 أغسطس</w:t>
      </w:r>
      <w:r w:rsidRPr="00E542D3">
        <w:rPr>
          <w:rFonts w:hint="cs"/>
          <w:rtl/>
        </w:rPr>
        <w:t> </w:t>
      </w:r>
      <w:r w:rsidRPr="00E542D3">
        <w:rPr>
          <w:rtl/>
        </w:rPr>
        <w:t>2001</w:t>
      </w:r>
      <w:r w:rsidRPr="00E542D3">
        <w:rPr>
          <w:rFonts w:hint="cs"/>
          <w:rtl/>
        </w:rPr>
        <w:t>،</w:t>
      </w:r>
      <w:r w:rsidRPr="00E542D3">
        <w:rPr>
          <w:rtl/>
        </w:rPr>
        <w:t xml:space="preserve"> الذي ي</w:t>
      </w:r>
      <w:r w:rsidRPr="00E542D3">
        <w:rPr>
          <w:rFonts w:hint="cs"/>
          <w:rtl/>
        </w:rPr>
        <w:t>نص</w:t>
      </w:r>
      <w:r w:rsidRPr="00E542D3">
        <w:rPr>
          <w:rtl/>
        </w:rPr>
        <w:t xml:space="preserve"> </w:t>
      </w:r>
      <w:r w:rsidRPr="00E542D3">
        <w:rPr>
          <w:rFonts w:hint="cs"/>
          <w:rtl/>
        </w:rPr>
        <w:t xml:space="preserve">على </w:t>
      </w:r>
      <w:r w:rsidRPr="00E542D3">
        <w:rPr>
          <w:rtl/>
        </w:rPr>
        <w:t xml:space="preserve">أحكام بشأن إنشاء قواعد بيانات </w:t>
      </w:r>
      <w:r w:rsidRPr="00E542D3">
        <w:rPr>
          <w:rFonts w:hint="cs"/>
          <w:rtl/>
        </w:rPr>
        <w:t>خاصة ب</w:t>
      </w:r>
      <w:r w:rsidRPr="00E542D3">
        <w:rPr>
          <w:rtl/>
        </w:rPr>
        <w:t>الموارد الوراثية والمعارف التقليدية المرتبطة بها.</w:t>
      </w:r>
    </w:p>
    <w:p w:rsidR="00E542D3" w:rsidRPr="00E542D3" w:rsidRDefault="00E542D3" w:rsidP="00E542D3">
      <w:pPr>
        <w:pStyle w:val="ONUMA"/>
      </w:pPr>
      <w:r w:rsidRPr="00E542D3">
        <w:rPr>
          <w:rtl/>
        </w:rPr>
        <w:t>وتتيح الوثيقة</w:t>
      </w:r>
      <w:r w:rsidRPr="00E542D3">
        <w:rPr>
          <w:rFonts w:hint="cs"/>
          <w:rtl/>
        </w:rPr>
        <w:t> </w:t>
      </w:r>
      <w:r w:rsidRPr="00E542D3">
        <w:t>WIPO/GRTKF/IC/7/7</w:t>
      </w:r>
      <w:r w:rsidRPr="00E542D3">
        <w:rPr>
          <w:rtl/>
        </w:rPr>
        <w:t xml:space="preserve"> تجارب قواعد البيانات</w:t>
      </w:r>
      <w:r w:rsidRPr="00E542D3">
        <w:rPr>
          <w:rFonts w:hint="cs"/>
          <w:rtl/>
        </w:rPr>
        <w:t xml:space="preserve"> أو </w:t>
      </w:r>
      <w:r w:rsidRPr="00E542D3">
        <w:rPr>
          <w:rtl/>
        </w:rPr>
        <w:t xml:space="preserve">السجلات التالية </w:t>
      </w:r>
      <w:r w:rsidRPr="00E542D3">
        <w:rPr>
          <w:rFonts w:hint="cs"/>
          <w:rtl/>
        </w:rPr>
        <w:t>ل</w:t>
      </w:r>
      <w:r w:rsidRPr="00E542D3">
        <w:rPr>
          <w:rtl/>
        </w:rPr>
        <w:t xml:space="preserve">قضايا الملكية الفكرية </w:t>
      </w:r>
      <w:r w:rsidRPr="00E542D3">
        <w:rPr>
          <w:rFonts w:hint="cs"/>
          <w:rtl/>
        </w:rPr>
        <w:t>المتعلقة ب</w:t>
      </w:r>
      <w:r w:rsidRPr="00E542D3">
        <w:rPr>
          <w:rtl/>
        </w:rPr>
        <w:t>المعارف التقليدية ال</w:t>
      </w:r>
      <w:r w:rsidRPr="00E542D3">
        <w:rPr>
          <w:rFonts w:hint="cs"/>
          <w:rtl/>
        </w:rPr>
        <w:t>مدوّن</w:t>
      </w:r>
      <w:r w:rsidRPr="00E542D3">
        <w:rPr>
          <w:rtl/>
        </w:rPr>
        <w:t xml:space="preserve">ة أو المسجلة: قاعدة بيانات براءات </w:t>
      </w:r>
      <w:r w:rsidRPr="00E542D3">
        <w:rPr>
          <w:rFonts w:hint="cs"/>
          <w:rtl/>
        </w:rPr>
        <w:t xml:space="preserve">الطب </w:t>
      </w:r>
      <w:r w:rsidRPr="00E542D3">
        <w:rPr>
          <w:rtl/>
        </w:rPr>
        <w:t xml:space="preserve">الصيني التقليدي، </w:t>
      </w:r>
      <w:r w:rsidRPr="00E542D3">
        <w:rPr>
          <w:rFonts w:hint="cs"/>
          <w:rtl/>
        </w:rPr>
        <w:t>وقاعدة "</w:t>
      </w:r>
      <w:proofErr w:type="spellStart"/>
      <w:r w:rsidRPr="00E542D3">
        <w:t>StoryBase</w:t>
      </w:r>
      <w:proofErr w:type="spellEnd"/>
      <w:r w:rsidRPr="00E542D3">
        <w:rPr>
          <w:rFonts w:hint="cs"/>
          <w:rtl/>
        </w:rPr>
        <w:t>"</w:t>
      </w:r>
      <w:r w:rsidRPr="00E542D3">
        <w:rPr>
          <w:rtl/>
        </w:rPr>
        <w:t xml:space="preserve"> </w:t>
      </w:r>
      <w:r w:rsidRPr="00E542D3">
        <w:rPr>
          <w:rFonts w:hint="cs"/>
          <w:rtl/>
        </w:rPr>
        <w:t>ل</w:t>
      </w:r>
      <w:r w:rsidRPr="00E542D3">
        <w:rPr>
          <w:rtl/>
        </w:rPr>
        <w:t>قبائل</w:t>
      </w:r>
      <w:r w:rsidRPr="00E542D3">
        <w:rPr>
          <w:rFonts w:hint="cs"/>
          <w:rtl/>
        </w:rPr>
        <w:t> </w:t>
      </w:r>
      <w:proofErr w:type="spellStart"/>
      <w:r w:rsidRPr="00E542D3">
        <w:rPr>
          <w:rtl/>
        </w:rPr>
        <w:t>تولاليب</w:t>
      </w:r>
      <w:proofErr w:type="spellEnd"/>
      <w:r w:rsidRPr="00E542D3">
        <w:rPr>
          <w:rtl/>
        </w:rPr>
        <w:t xml:space="preserve"> بولاية واشنطن، والمكتبة الرقمية للمعارف التقليدية </w:t>
      </w:r>
      <w:proofErr w:type="spellStart"/>
      <w:r w:rsidRPr="00E542D3">
        <w:rPr>
          <w:rtl/>
        </w:rPr>
        <w:t>للأيورفيدا</w:t>
      </w:r>
      <w:proofErr w:type="spellEnd"/>
      <w:r w:rsidRPr="00E542D3">
        <w:rPr>
          <w:rtl/>
        </w:rPr>
        <w:t>، وسجلات المعارف الجماعية للشعوب الأصلية</w:t>
      </w:r>
      <w:r w:rsidRPr="00E542D3">
        <w:rPr>
          <w:rFonts w:hint="cs"/>
          <w:rtl/>
        </w:rPr>
        <w:t> </w:t>
      </w:r>
      <w:r w:rsidRPr="00E542D3">
        <w:rPr>
          <w:rtl/>
        </w:rPr>
        <w:t>بموجب القانون رقم 27811 في بيرو. وقد</w:t>
      </w:r>
      <w:r w:rsidRPr="00E542D3">
        <w:rPr>
          <w:rFonts w:hint="cs"/>
          <w:rtl/>
        </w:rPr>
        <w:t xml:space="preserve"> </w:t>
      </w:r>
      <w:r w:rsidRPr="00E542D3">
        <w:rPr>
          <w:rtl/>
        </w:rPr>
        <w:t>حد</w:t>
      </w:r>
      <w:r w:rsidRPr="00E542D3">
        <w:rPr>
          <w:rFonts w:hint="cs"/>
          <w:rtl/>
        </w:rPr>
        <w:t>ّ</w:t>
      </w:r>
      <w:r w:rsidRPr="00E542D3">
        <w:rPr>
          <w:rtl/>
        </w:rPr>
        <w:t>ث</w:t>
      </w:r>
      <w:r w:rsidRPr="00E542D3">
        <w:rPr>
          <w:rFonts w:hint="cs"/>
          <w:rtl/>
        </w:rPr>
        <w:t>ت</w:t>
      </w:r>
      <w:r w:rsidRPr="00E542D3">
        <w:rPr>
          <w:rtl/>
        </w:rPr>
        <w:t xml:space="preserve"> الوثيقة في الدورة الثامنة للجنة (يونيو 2005) </w:t>
      </w:r>
      <w:r w:rsidRPr="00E542D3">
        <w:rPr>
          <w:rFonts w:hint="cs"/>
          <w:rtl/>
        </w:rPr>
        <w:t>في</w:t>
      </w:r>
      <w:r w:rsidRPr="00E542D3">
        <w:rPr>
          <w:rtl/>
        </w:rPr>
        <w:t xml:space="preserve"> </w:t>
      </w:r>
      <w:r w:rsidRPr="00E542D3">
        <w:rPr>
          <w:rFonts w:hint="cs"/>
          <w:rtl/>
        </w:rPr>
        <w:t xml:space="preserve">إطار </w:t>
      </w:r>
      <w:r w:rsidRPr="00E542D3">
        <w:rPr>
          <w:rtl/>
        </w:rPr>
        <w:t>الوثيقة</w:t>
      </w:r>
      <w:r w:rsidRPr="00E542D3">
        <w:rPr>
          <w:rFonts w:hint="cs"/>
          <w:rtl/>
        </w:rPr>
        <w:t> </w:t>
      </w:r>
      <w:r w:rsidRPr="00E542D3">
        <w:t>WIPO/GRTKF/IC/8/7</w:t>
      </w:r>
      <w:r w:rsidRPr="00E542D3">
        <w:rPr>
          <w:rtl/>
        </w:rPr>
        <w:t>.</w:t>
      </w:r>
    </w:p>
    <w:p w:rsidR="00E542D3" w:rsidRPr="00E542D3" w:rsidRDefault="00E542D3" w:rsidP="00E542D3">
      <w:pPr>
        <w:pStyle w:val="ONUMA"/>
      </w:pPr>
      <w:r w:rsidRPr="00E542D3">
        <w:rPr>
          <w:rtl/>
        </w:rPr>
        <w:t xml:space="preserve">وفي الدورة التاسعة للجنة </w:t>
      </w:r>
      <w:r w:rsidRPr="00E542D3">
        <w:rPr>
          <w:rFonts w:hint="cs"/>
          <w:rtl/>
        </w:rPr>
        <w:t>المعارف</w:t>
      </w:r>
      <w:r w:rsidRPr="00E542D3">
        <w:rPr>
          <w:rtl/>
        </w:rPr>
        <w:t xml:space="preserve"> (أبريل 2006)، قد</w:t>
      </w:r>
      <w:r w:rsidRPr="00E542D3">
        <w:rPr>
          <w:rFonts w:hint="cs"/>
          <w:rtl/>
        </w:rPr>
        <w:t>ّ</w:t>
      </w:r>
      <w:r w:rsidRPr="00E542D3">
        <w:rPr>
          <w:rtl/>
        </w:rPr>
        <w:t>م وفد جنوب أفريقيا الوثيقة</w:t>
      </w:r>
      <w:r w:rsidRPr="00E542D3">
        <w:rPr>
          <w:rFonts w:hint="cs"/>
          <w:rtl/>
        </w:rPr>
        <w:t> </w:t>
      </w:r>
      <w:r w:rsidRPr="00E542D3">
        <w:t>WIPO/GRTKF/IC/9/11</w:t>
      </w:r>
      <w:r w:rsidRPr="00E542D3">
        <w:rPr>
          <w:rFonts w:hint="cs"/>
          <w:rtl/>
        </w:rPr>
        <w:t xml:space="preserve"> ا</w:t>
      </w:r>
      <w:r w:rsidRPr="00E542D3">
        <w:rPr>
          <w:rtl/>
        </w:rPr>
        <w:t xml:space="preserve">لمعنونة "جمهورية جنوب أفريقيا: سياسة الأنظمة المعرفية الخاصة </w:t>
      </w:r>
      <w:r w:rsidRPr="00E542D3">
        <w:rPr>
          <w:rFonts w:hint="cs"/>
          <w:rtl/>
        </w:rPr>
        <w:t>بالجماعات</w:t>
      </w:r>
      <w:r w:rsidRPr="00E542D3">
        <w:rPr>
          <w:rtl/>
        </w:rPr>
        <w:t xml:space="preserve"> الأصلية"، </w:t>
      </w:r>
      <w:r w:rsidRPr="00E542D3">
        <w:rPr>
          <w:rFonts w:hint="cs"/>
          <w:rtl/>
        </w:rPr>
        <w:t xml:space="preserve">التي شملت </w:t>
      </w:r>
      <w:r w:rsidRPr="00E542D3">
        <w:rPr>
          <w:rtl/>
        </w:rPr>
        <w:t xml:space="preserve">سياسة بشأن قاعدة بيانات </w:t>
      </w:r>
      <w:r w:rsidRPr="00E542D3">
        <w:rPr>
          <w:rFonts w:hint="cs"/>
          <w:rtl/>
        </w:rPr>
        <w:t>ل</w:t>
      </w:r>
      <w:r w:rsidRPr="00E542D3">
        <w:rPr>
          <w:rtl/>
        </w:rPr>
        <w:t xml:space="preserve">معارف </w:t>
      </w:r>
      <w:r w:rsidRPr="00E542D3">
        <w:rPr>
          <w:rFonts w:hint="cs"/>
          <w:rtl/>
        </w:rPr>
        <w:t xml:space="preserve">الجماعات </w:t>
      </w:r>
      <w:r w:rsidRPr="00E542D3">
        <w:rPr>
          <w:rtl/>
        </w:rPr>
        <w:t>الأصلية.</w:t>
      </w:r>
    </w:p>
    <w:p w:rsidR="00E542D3" w:rsidRPr="00E542D3" w:rsidRDefault="00E542D3" w:rsidP="00E542D3">
      <w:pPr>
        <w:pStyle w:val="ONUMA"/>
        <w:rPr>
          <w:rtl/>
        </w:rPr>
      </w:pPr>
      <w:r w:rsidRPr="00E542D3">
        <w:rPr>
          <w:rFonts w:hint="cs"/>
          <w:rtl/>
        </w:rPr>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E542D3">
        <w:rPr>
          <w:rFonts w:hint="cs"/>
          <w:rtl/>
        </w:rPr>
        <w:t>باندونغ</w:t>
      </w:r>
      <w:proofErr w:type="spellEnd"/>
      <w:r w:rsidRPr="00E542D3">
        <w:rPr>
          <w:rFonts w:hint="cs"/>
          <w:rtl/>
        </w:rPr>
        <w:t xml:space="preserve"> في الفترة من 18 إلى 20 يونيو 2007. ويرد التقرير في الوثيقة</w:t>
      </w:r>
      <w:r w:rsidRPr="00E542D3">
        <w:rPr>
          <w:rFonts w:hint="eastAsia"/>
          <w:rtl/>
        </w:rPr>
        <w:t> </w:t>
      </w:r>
      <w:r w:rsidRPr="00E542D3">
        <w:t>WIPO/GRTKF/IC/11/12</w:t>
      </w:r>
      <w:r w:rsidRPr="00E542D3">
        <w:rPr>
          <w:rFonts w:hint="cs"/>
          <w:rtl/>
        </w:rPr>
        <w:t xml:space="preserve"> ويشتمل على ملخص للعروض المقدّمة خلال المنتدى. </w:t>
      </w:r>
      <w:r w:rsidRPr="00E542D3">
        <w:rPr>
          <w:rtl/>
        </w:rPr>
        <w:t>و</w:t>
      </w:r>
      <w:r w:rsidRPr="00E542D3">
        <w:rPr>
          <w:rFonts w:hint="cs"/>
          <w:rtl/>
        </w:rPr>
        <w:t>عرض</w:t>
      </w:r>
      <w:r w:rsidRPr="00E542D3">
        <w:rPr>
          <w:rtl/>
        </w:rPr>
        <w:t xml:space="preserve"> متحد</w:t>
      </w:r>
      <w:r w:rsidRPr="00E542D3">
        <w:rPr>
          <w:rFonts w:hint="cs"/>
          <w:rtl/>
        </w:rPr>
        <w:t>ّ</w:t>
      </w:r>
      <w:r w:rsidRPr="00E542D3">
        <w:rPr>
          <w:rtl/>
        </w:rPr>
        <w:t>ثون من الصين وبيرو وجنوب أفريقيا خبراتهم بشأن قواعد البيانات.</w:t>
      </w:r>
    </w:p>
    <w:p w:rsidR="00E542D3" w:rsidRPr="00E542D3" w:rsidRDefault="00E542D3" w:rsidP="00E542D3">
      <w:pPr>
        <w:pStyle w:val="ONUMA"/>
      </w:pPr>
      <w:r w:rsidRPr="00E542D3">
        <w:rPr>
          <w:rFonts w:hint="cs"/>
          <w:rtl/>
        </w:rPr>
        <w:t>ودُعيت الدول الأعضاء والجهات المراقبة، أثناء الدورة الخامسة عشرة للجنة المعارف (ديسمبر 2009)، إلى "</w:t>
      </w:r>
      <w:r w:rsidRPr="00E542D3">
        <w:rPr>
          <w:rtl/>
        </w:rPr>
        <w:t>تزويد الأمانة بدراسات تصف السياسات والتدابير والتج</w:t>
      </w:r>
      <w:r w:rsidRPr="00E542D3">
        <w:rPr>
          <w:rFonts w:hint="cs"/>
          <w:rtl/>
        </w:rPr>
        <w:t>ا</w:t>
      </w:r>
      <w:r w:rsidRPr="00E542D3">
        <w:rPr>
          <w:rtl/>
        </w:rPr>
        <w:t xml:space="preserve">رب المتعلقة بالملكية الفكرية والموارد الوراثية على صعيد الإقليم والبلد </w:t>
      </w:r>
      <w:r w:rsidRPr="00E542D3">
        <w:rPr>
          <w:rFonts w:hint="cs"/>
          <w:rtl/>
        </w:rPr>
        <w:t>والجماعات</w:t>
      </w:r>
      <w:r w:rsidRPr="00E542D3">
        <w:rPr>
          <w:rtl/>
        </w:rPr>
        <w:t xml:space="preserve"> المحلي</w:t>
      </w:r>
      <w:r w:rsidRPr="00E542D3">
        <w:rPr>
          <w:rFonts w:hint="cs"/>
          <w:rtl/>
        </w:rPr>
        <w:t>ة". وتقاسمت الدول الأعضاء التالية سياساتها أو تدابيرها أو تجاربها المتعلقة بقواعد البيانات:</w:t>
      </w:r>
    </w:p>
    <w:p w:rsidR="00E542D3" w:rsidRPr="00E542D3" w:rsidRDefault="00E542D3" w:rsidP="00E542D3">
      <w:pPr>
        <w:pStyle w:val="ONUMA"/>
        <w:numPr>
          <w:ilvl w:val="0"/>
          <w:numId w:val="31"/>
        </w:numPr>
      </w:pPr>
      <w:r w:rsidRPr="00E542D3">
        <w:rPr>
          <w:rFonts w:hint="cs"/>
          <w:rtl/>
        </w:rPr>
        <w:t>وفد الجزائر (الوثيقة</w:t>
      </w:r>
      <w:r w:rsidRPr="00E542D3">
        <w:rPr>
          <w:rFonts w:hint="eastAsia"/>
          <w:rtl/>
        </w:rPr>
        <w:t> </w:t>
      </w:r>
      <w:r w:rsidRPr="00E542D3">
        <w:t>WIPO/GRTKF/IC/16/INF/10</w:t>
      </w:r>
      <w:r w:rsidRPr="00E542D3">
        <w:rPr>
          <w:rFonts w:hint="cs"/>
          <w:rtl/>
        </w:rPr>
        <w:t>)؛</w:t>
      </w:r>
    </w:p>
    <w:p w:rsidR="00E542D3" w:rsidRPr="00E542D3" w:rsidRDefault="00E542D3" w:rsidP="00E542D3">
      <w:pPr>
        <w:pStyle w:val="ONUMA"/>
        <w:numPr>
          <w:ilvl w:val="0"/>
          <w:numId w:val="31"/>
        </w:numPr>
      </w:pPr>
      <w:r w:rsidRPr="00E542D3">
        <w:rPr>
          <w:rFonts w:hint="cs"/>
          <w:rtl/>
        </w:rPr>
        <w:t xml:space="preserve">وممثل </w:t>
      </w:r>
      <w:r w:rsidRPr="00E542D3">
        <w:rPr>
          <w:rtl/>
        </w:rPr>
        <w:t>المعهد الدولي للبيئة والتنمية (</w:t>
      </w:r>
      <w:r w:rsidRPr="00E542D3">
        <w:t>IIED</w:t>
      </w:r>
      <w:r w:rsidRPr="00E542D3">
        <w:rPr>
          <w:rtl/>
        </w:rPr>
        <w:t>)</w:t>
      </w:r>
      <w:r w:rsidRPr="00E542D3">
        <w:rPr>
          <w:rFonts w:hint="cs"/>
          <w:rtl/>
        </w:rPr>
        <w:t xml:space="preserve"> (الوثيقة </w:t>
      </w:r>
      <w:r w:rsidRPr="00E542D3">
        <w:t>WIPO/GRTKF/IC/16/INF/13</w:t>
      </w:r>
      <w:r w:rsidRPr="00E542D3">
        <w:rPr>
          <w:rFonts w:hint="cs"/>
          <w:rtl/>
        </w:rPr>
        <w:t>)؛</w:t>
      </w:r>
    </w:p>
    <w:p w:rsidR="00E542D3" w:rsidRPr="00E542D3" w:rsidRDefault="00E542D3" w:rsidP="00E542D3">
      <w:pPr>
        <w:pStyle w:val="ONUMA"/>
        <w:numPr>
          <w:ilvl w:val="0"/>
          <w:numId w:val="31"/>
        </w:numPr>
      </w:pPr>
      <w:r w:rsidRPr="00E542D3">
        <w:rPr>
          <w:rFonts w:hint="cs"/>
          <w:rtl/>
        </w:rPr>
        <w:t>ووفد المكسيك (الوثيقة </w:t>
      </w:r>
      <w:r w:rsidRPr="00E542D3">
        <w:t>WIPO/GRTKF/IC/16/INF/16</w:t>
      </w:r>
      <w:r w:rsidRPr="00E542D3">
        <w:rPr>
          <w:rFonts w:hint="cs"/>
          <w:rtl/>
        </w:rPr>
        <w:t>)؛</w:t>
      </w:r>
    </w:p>
    <w:p w:rsidR="00E542D3" w:rsidRPr="00E542D3" w:rsidRDefault="00E542D3" w:rsidP="00E542D3">
      <w:pPr>
        <w:pStyle w:val="ONUMA"/>
        <w:numPr>
          <w:ilvl w:val="0"/>
          <w:numId w:val="31"/>
        </w:numPr>
      </w:pPr>
      <w:r w:rsidRPr="00E542D3">
        <w:rPr>
          <w:rFonts w:hint="cs"/>
          <w:rtl/>
        </w:rPr>
        <w:t>ووفد كينيا (الوثيقة </w:t>
      </w:r>
      <w:r w:rsidRPr="00E542D3">
        <w:t>WIPO/GRTKF/IC/16/INF/25</w:t>
      </w:r>
      <w:r w:rsidRPr="00E542D3">
        <w:rPr>
          <w:rFonts w:hint="cs"/>
          <w:rtl/>
        </w:rPr>
        <w:t>).</w:t>
      </w:r>
    </w:p>
    <w:p w:rsidR="00E542D3" w:rsidRPr="00E542D3" w:rsidRDefault="00E542D3" w:rsidP="00E542D3">
      <w:pPr>
        <w:pStyle w:val="ONUMA"/>
      </w:pPr>
      <w:r w:rsidRPr="00E542D3">
        <w:rPr>
          <w:rFonts w:hint="cs"/>
          <w:rtl/>
        </w:rPr>
        <w:t>و</w:t>
      </w:r>
      <w:r w:rsidRPr="00E542D3">
        <w:rPr>
          <w:rtl/>
        </w:rPr>
        <w:t xml:space="preserve">في الدورة التاسعة والعشرين للجنة </w:t>
      </w:r>
      <w:r w:rsidRPr="00E542D3">
        <w:rPr>
          <w:rFonts w:hint="cs"/>
          <w:rtl/>
        </w:rPr>
        <w:t xml:space="preserve">المعارف </w:t>
      </w:r>
      <w:r w:rsidRPr="00E542D3">
        <w:rPr>
          <w:rtl/>
        </w:rPr>
        <w:t>(فبراير 2016)،</w:t>
      </w:r>
      <w:r w:rsidRPr="00E542D3">
        <w:rPr>
          <w:rFonts w:hint="cs"/>
          <w:rtl/>
        </w:rPr>
        <w:t xml:space="preserve"> </w:t>
      </w:r>
      <w:r w:rsidRPr="00E542D3">
        <w:rPr>
          <w:rtl/>
        </w:rPr>
        <w:t>‏قررت اللجنة أنه "فيما يخص الموارد التي قد يرغب المشاركون في اللجنة استخدامها كمواد مرجعية لدى الإعداد لدورات اللجنة: [...]</w:t>
      </w:r>
      <w:r w:rsidRPr="00E542D3">
        <w:rPr>
          <w:rFonts w:hint="cs"/>
          <w:rtl/>
        </w:rPr>
        <w:t xml:space="preserve"> </w:t>
      </w:r>
      <w:r w:rsidRPr="00E542D3">
        <w:rPr>
          <w:rtl/>
        </w:rPr>
        <w:t>[فإن] الدول الأعضاء والهيئات المراقبة مدعوة إلى أن ترسل إلى الأمانة، [...]</w:t>
      </w:r>
      <w:r w:rsidRPr="00E542D3">
        <w:rPr>
          <w:rFonts w:hint="cs"/>
          <w:rtl/>
        </w:rPr>
        <w:t xml:space="preserve"> </w:t>
      </w:r>
      <w:r w:rsidRPr="00E542D3">
        <w:rPr>
          <w:rtl/>
        </w:rPr>
        <w:t>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Pr="00E542D3">
        <w:rPr>
          <w:rFonts w:hint="cs"/>
          <w:rtl/>
        </w:rPr>
        <w:t xml:space="preserve"> </w:t>
      </w:r>
      <w:r w:rsidRPr="00E542D3">
        <w:rPr>
          <w:rtl/>
        </w:rPr>
        <w:t>و</w:t>
      </w:r>
      <w:r w:rsidRPr="00E542D3">
        <w:rPr>
          <w:rFonts w:hint="cs"/>
          <w:rtl/>
        </w:rPr>
        <w:t>عرض</w:t>
      </w:r>
      <w:r w:rsidRPr="00E542D3">
        <w:rPr>
          <w:rtl/>
        </w:rPr>
        <w:t xml:space="preserve"> وفدا جمهورية كوريا والولايات المتحدة الأمريكية عن تجربت</w:t>
      </w:r>
      <w:r w:rsidRPr="00E542D3">
        <w:rPr>
          <w:rFonts w:hint="cs"/>
          <w:rtl/>
        </w:rPr>
        <w:t>ي</w:t>
      </w:r>
      <w:r w:rsidRPr="00E542D3">
        <w:rPr>
          <w:rtl/>
        </w:rPr>
        <w:t>هما بشأن قواعد البيانات (الوثيقتان</w:t>
      </w:r>
      <w:r w:rsidRPr="00E542D3">
        <w:rPr>
          <w:rFonts w:hint="cs"/>
          <w:rtl/>
        </w:rPr>
        <w:t> </w:t>
      </w:r>
      <w:r w:rsidRPr="00E542D3">
        <w:t>WIPO/GRTKF/IC/30/INF/9</w:t>
      </w:r>
      <w:r w:rsidRPr="00E542D3">
        <w:rPr>
          <w:rFonts w:hint="cs"/>
          <w:rtl/>
        </w:rPr>
        <w:t xml:space="preserve"> </w:t>
      </w:r>
      <w:proofErr w:type="gramStart"/>
      <w:r w:rsidRPr="00E542D3">
        <w:rPr>
          <w:rFonts w:hint="cs"/>
          <w:rtl/>
        </w:rPr>
        <w:t>و </w:t>
      </w:r>
      <w:r w:rsidRPr="00E542D3">
        <w:t>WIPO</w:t>
      </w:r>
      <w:proofErr w:type="gramEnd"/>
      <w:r w:rsidRPr="00E542D3">
        <w:t>/GRTKF/IC/31/INF/8</w:t>
      </w:r>
      <w:r w:rsidRPr="00E542D3">
        <w:rPr>
          <w:rtl/>
        </w:rPr>
        <w:t>).</w:t>
      </w:r>
    </w:p>
    <w:p w:rsidR="00E542D3" w:rsidRPr="00615CB0" w:rsidRDefault="00E542D3" w:rsidP="00E542D3">
      <w:pPr>
        <w:pStyle w:val="ONUMA"/>
      </w:pPr>
      <w:r w:rsidRPr="00615CB0">
        <w:rPr>
          <w:rtl/>
        </w:rPr>
        <w:t xml:space="preserve">وفي مارس 2011، </w:t>
      </w:r>
      <w:r w:rsidRPr="00615CB0">
        <w:rPr>
          <w:rFonts w:hint="cs"/>
          <w:rtl/>
        </w:rPr>
        <w:t>ت</w:t>
      </w:r>
      <w:r w:rsidRPr="00615CB0">
        <w:rPr>
          <w:rtl/>
        </w:rPr>
        <w:t xml:space="preserve">شاركت حكومة الهند </w:t>
      </w:r>
      <w:r w:rsidRPr="00615CB0">
        <w:rPr>
          <w:rFonts w:hint="cs"/>
          <w:rtl/>
        </w:rPr>
        <w:t xml:space="preserve">مع </w:t>
      </w:r>
      <w:r w:rsidRPr="00615CB0">
        <w:rPr>
          <w:rtl/>
        </w:rPr>
        <w:t xml:space="preserve">أمانة الويبو في تنظيم مؤتمر دولي بشأن استخدام المكتبة الرقمية للمعارف التقليدية كنموذج لحماية المعارف التقليدية. وتبادل خبراء من الهند والمكتب الأوروبي للبراءات ومكتب الولايات المتحدة للبراءات والعلامات التجارية تجاربهم بشأن قواعد البيانات. ويمكن الاطلاع على عروضهم على الموقع التالي: </w:t>
      </w:r>
      <w:hyperlink r:id="rId14" w:history="1">
        <w:r w:rsidRPr="00615CB0">
          <w:rPr>
            <w:rStyle w:val="Hyperlink"/>
            <w:color w:val="auto"/>
            <w:u w:val="none"/>
          </w:rPr>
          <w:t>https://www.wipo.int/meetings/en/details.jsp?meeting_id=22423</w:t>
        </w:r>
      </w:hyperlink>
      <w:r w:rsidRPr="00615CB0">
        <w:rPr>
          <w:rFonts w:hint="cs"/>
          <w:rtl/>
        </w:rPr>
        <w:t>.</w:t>
      </w:r>
    </w:p>
    <w:p w:rsidR="00096CA1" w:rsidRPr="00E542D3" w:rsidRDefault="00096CA1" w:rsidP="00096CA1">
      <w:pPr>
        <w:pStyle w:val="ONUMA"/>
      </w:pPr>
      <w:r w:rsidRPr="00E542D3">
        <w:rPr>
          <w:rFonts w:hint="cs"/>
          <w:rtl/>
        </w:rPr>
        <w:t>وفي 2015 و2016 و2017</w:t>
      </w:r>
      <w:r>
        <w:rPr>
          <w:rFonts w:hint="cs"/>
          <w:rtl/>
        </w:rPr>
        <w:t xml:space="preserve"> و2021</w:t>
      </w:r>
      <w:r w:rsidRPr="00E542D3">
        <w:rPr>
          <w:rFonts w:hint="cs"/>
          <w:rtl/>
        </w:rPr>
        <w:t>،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096CA1" w:rsidRPr="008F02BC" w:rsidRDefault="00096CA1" w:rsidP="00096CA1">
      <w:pPr>
        <w:pStyle w:val="ONUMA"/>
        <w:numPr>
          <w:ilvl w:val="0"/>
          <w:numId w:val="12"/>
        </w:numPr>
        <w:spacing w:after="0"/>
        <w:ind w:left="1124" w:hanging="562"/>
      </w:pPr>
      <w:r w:rsidRPr="00615CB0">
        <w:rPr>
          <w:rtl/>
        </w:rPr>
        <w:t>المنظمة الإقليمية الأفريقية للملكية الصناعية (</w:t>
      </w:r>
      <w:r w:rsidRPr="00615CB0">
        <w:t>ARIPO</w:t>
      </w:r>
      <w:r w:rsidRPr="00615CB0">
        <w:rPr>
          <w:rtl/>
        </w:rPr>
        <w:t>)</w:t>
      </w:r>
      <w:r w:rsidRPr="00615CB0">
        <w:rPr>
          <w:rFonts w:hint="cs"/>
          <w:rtl/>
        </w:rPr>
        <w:t>:</w:t>
      </w:r>
      <w:r>
        <w:rPr>
          <w:rtl/>
        </w:rPr>
        <w:br/>
      </w:r>
      <w:hyperlink r:id="rId15" w:history="1">
        <w:r w:rsidRPr="008F02BC">
          <w:rPr>
            <w:rStyle w:val="Hyperlink"/>
            <w:color w:val="auto"/>
            <w:u w:val="none"/>
            <w:lang w:val="es-ES_tradnl"/>
          </w:rPr>
          <w:t>https://www.wipo.int/edocs/mdocs/tk/en/wipo_iptk_ge_16/wipo_iptk_ge_16_presentation_15sackey.pdf</w:t>
        </w:r>
      </w:hyperlink>
      <w:r w:rsidRPr="008F02BC">
        <w:rPr>
          <w:rFonts w:hint="cs"/>
          <w:rtl/>
        </w:rPr>
        <w:t>؛</w:t>
      </w:r>
    </w:p>
    <w:p w:rsidR="00096CA1" w:rsidRPr="008F02BC" w:rsidRDefault="00096CA1" w:rsidP="00096CA1">
      <w:pPr>
        <w:pStyle w:val="ONUMA"/>
        <w:numPr>
          <w:ilvl w:val="0"/>
          <w:numId w:val="12"/>
        </w:numPr>
        <w:spacing w:after="0"/>
        <w:ind w:left="1124" w:hanging="562"/>
      </w:pPr>
      <w:r w:rsidRPr="008F02BC">
        <w:rPr>
          <w:rFonts w:hint="cs"/>
          <w:rtl/>
        </w:rPr>
        <w:t>ال</w:t>
      </w:r>
      <w:r w:rsidRPr="008F02BC">
        <w:rPr>
          <w:rtl/>
        </w:rPr>
        <w:t xml:space="preserve">مكتب الأوروبي </w:t>
      </w:r>
      <w:r w:rsidRPr="008F02BC">
        <w:rPr>
          <w:rFonts w:hint="cs"/>
          <w:rtl/>
        </w:rPr>
        <w:t>لل</w:t>
      </w:r>
      <w:r w:rsidRPr="008F02BC">
        <w:rPr>
          <w:rtl/>
        </w:rPr>
        <w:t>براءات</w:t>
      </w:r>
      <w:r w:rsidRPr="008F02BC">
        <w:rPr>
          <w:rFonts w:hint="cs"/>
          <w:rtl/>
        </w:rPr>
        <w:t>:</w:t>
      </w:r>
      <w:r w:rsidRPr="008F02BC">
        <w:rPr>
          <w:rtl/>
        </w:rPr>
        <w:br/>
      </w:r>
      <w:hyperlink r:id="rId16" w:history="1">
        <w:r w:rsidRPr="008F02BC">
          <w:rPr>
            <w:rStyle w:val="Hyperlink"/>
            <w:color w:val="auto"/>
            <w:u w:val="none"/>
            <w:lang w:val="pt-BR"/>
          </w:rPr>
          <w:t>https://www.wipo.int/edocs/mdocs/tk/en/wipo_iptk_ge_2_15/wipo_iptk_ge_2_15_presentation_enrico_luzzatto.pdf</w:t>
        </w:r>
      </w:hyperlink>
      <w:r w:rsidRPr="008F02BC">
        <w:rPr>
          <w:rFonts w:hint="cs"/>
          <w:rtl/>
        </w:rPr>
        <w:t>؛</w:t>
      </w:r>
    </w:p>
    <w:p w:rsidR="00096CA1" w:rsidRPr="008F02BC" w:rsidRDefault="00096CA1" w:rsidP="00096CA1">
      <w:pPr>
        <w:pStyle w:val="ONUMA"/>
        <w:numPr>
          <w:ilvl w:val="0"/>
          <w:numId w:val="12"/>
        </w:numPr>
        <w:spacing w:after="0"/>
        <w:ind w:left="1124" w:hanging="562"/>
      </w:pPr>
      <w:r w:rsidRPr="008F02BC">
        <w:rPr>
          <w:rFonts w:hint="cs"/>
          <w:rtl/>
        </w:rPr>
        <w:t>الهند:</w:t>
      </w:r>
      <w:r w:rsidRPr="008F02BC">
        <w:rPr>
          <w:rtl/>
        </w:rPr>
        <w:br/>
      </w:r>
      <w:hyperlink r:id="rId17" w:history="1">
        <w:r w:rsidRPr="008F02BC">
          <w:rPr>
            <w:rStyle w:val="Hyperlink"/>
            <w:color w:val="auto"/>
            <w:u w:val="none"/>
            <w:lang w:val="pt-BR"/>
          </w:rPr>
          <w:t>https://www.wipo.int/edocs/mdocs/tk/en/wipo_iptk_ge_2_15/wipo_iptk_ge_2_15_presentation_enrico_luzzatto.pdf</w:t>
        </w:r>
        <w:r w:rsidRPr="008F02BC">
          <w:rPr>
            <w:rStyle w:val="Hyperlink"/>
            <w:rFonts w:hint="cs"/>
            <w:color w:val="auto"/>
            <w:u w:val="none"/>
            <w:rtl/>
          </w:rPr>
          <w:t>؛</w:t>
        </w:r>
      </w:hyperlink>
    </w:p>
    <w:p w:rsidR="00096CA1" w:rsidRPr="008F02BC" w:rsidRDefault="004A1F3D" w:rsidP="00096CA1">
      <w:pPr>
        <w:pStyle w:val="ONUMA"/>
        <w:numPr>
          <w:ilvl w:val="0"/>
          <w:numId w:val="0"/>
        </w:numPr>
        <w:spacing w:after="0"/>
        <w:ind w:left="1124"/>
      </w:pPr>
      <w:hyperlink r:id="rId18" w:history="1">
        <w:r w:rsidR="00096CA1" w:rsidRPr="008F02BC">
          <w:rPr>
            <w:rStyle w:val="Hyperlink"/>
            <w:color w:val="auto"/>
            <w:u w:val="none"/>
            <w:lang w:val="pt-BR"/>
          </w:rPr>
          <w:t>https://www.wipo.int/edocs/mdocs/tk/en/wipo_iptk_ge_2_16/wipo_iptk_ge_2_16_presentation_12javed.pdf</w:t>
        </w:r>
      </w:hyperlink>
      <w:r w:rsidR="00096CA1" w:rsidRPr="008F02BC">
        <w:rPr>
          <w:rFonts w:hint="cs"/>
          <w:rtl/>
        </w:rPr>
        <w:t>؛</w:t>
      </w:r>
      <w:r w:rsidR="00096CA1" w:rsidRPr="008F02BC">
        <w:rPr>
          <w:rtl/>
        </w:rPr>
        <w:br/>
      </w:r>
      <w:hyperlink r:id="rId19" w:history="1">
        <w:r w:rsidR="00096CA1" w:rsidRPr="008F02BC">
          <w:rPr>
            <w:rStyle w:val="Hyperlink"/>
            <w:color w:val="auto"/>
            <w:u w:val="none"/>
            <w:lang w:val="pt-BR"/>
          </w:rPr>
          <w:t>https://www.wipo.int/edocs/mdocs/tk/en/wipo_iptk_ge_16/wipo_iptk_ge_16_presentation_13dhar.pdf</w:t>
        </w:r>
      </w:hyperlink>
      <w:r w:rsidR="00096CA1" w:rsidRPr="008F02BC">
        <w:rPr>
          <w:rFonts w:hint="cs"/>
          <w:rtl/>
        </w:rPr>
        <w:t>؛</w:t>
      </w:r>
    </w:p>
    <w:p w:rsidR="00096CA1" w:rsidRPr="008F02BC" w:rsidRDefault="004A1F3D" w:rsidP="00096CA1">
      <w:pPr>
        <w:pStyle w:val="ONUMA"/>
        <w:numPr>
          <w:ilvl w:val="0"/>
          <w:numId w:val="12"/>
        </w:numPr>
        <w:spacing w:after="0"/>
        <w:ind w:left="1124" w:hanging="562"/>
      </w:pPr>
      <w:hyperlink r:id="rId20" w:history="1">
        <w:r w:rsidR="00096CA1" w:rsidRPr="008F02BC">
          <w:rPr>
            <w:rStyle w:val="Hyperlink"/>
            <w:color w:val="auto"/>
            <w:u w:val="none"/>
          </w:rPr>
          <w:t>https://www.wipo.int/edocs/mdocs/tk/en/wipo_iptk_ge_2_16/wipo_iptk_ge2_16_presentation_12javed.pdf</w:t>
        </w:r>
      </w:hyperlink>
      <w:r w:rsidR="00096CA1" w:rsidRPr="008F02BC">
        <w:rPr>
          <w:rFonts w:hint="cs"/>
          <w:rtl/>
        </w:rPr>
        <w:t>؛</w:t>
      </w:r>
    </w:p>
    <w:p w:rsidR="00096CA1" w:rsidRPr="008F02BC" w:rsidRDefault="00096CA1" w:rsidP="00096CA1">
      <w:pPr>
        <w:pStyle w:val="ONUMA"/>
        <w:numPr>
          <w:ilvl w:val="0"/>
          <w:numId w:val="12"/>
        </w:numPr>
        <w:spacing w:after="0"/>
        <w:ind w:left="1124" w:hanging="562"/>
      </w:pPr>
      <w:r w:rsidRPr="008F02BC">
        <w:rPr>
          <w:rFonts w:hint="cs"/>
          <w:rtl/>
        </w:rPr>
        <w:t>اليابان:</w:t>
      </w:r>
      <w:r w:rsidRPr="008F02BC">
        <w:rPr>
          <w:rtl/>
        </w:rPr>
        <w:br/>
      </w:r>
      <w:hyperlink r:id="rId21" w:history="1">
        <w:r w:rsidRPr="008F02BC">
          <w:rPr>
            <w:rStyle w:val="Hyperlink"/>
            <w:color w:val="auto"/>
            <w:u w:val="none"/>
          </w:rPr>
          <w:t>https://www.wipo.int/edocs/mdocs/tk/en/wipo_iptk_ge_2_15/wipo_iptk_ge_2_15_presentation_yoshinari_oyama.pdf</w:t>
        </w:r>
      </w:hyperlink>
      <w:r w:rsidRPr="008F02BC">
        <w:rPr>
          <w:rFonts w:hint="cs"/>
          <w:rtl/>
        </w:rPr>
        <w:t>؛</w:t>
      </w:r>
    </w:p>
    <w:p w:rsidR="00096CA1" w:rsidRPr="008F02BC" w:rsidRDefault="00096CA1" w:rsidP="00096CA1">
      <w:pPr>
        <w:pStyle w:val="ONUMA"/>
        <w:numPr>
          <w:ilvl w:val="0"/>
          <w:numId w:val="12"/>
        </w:numPr>
        <w:spacing w:after="0"/>
        <w:ind w:left="1124" w:hanging="562"/>
      </w:pPr>
      <w:r w:rsidRPr="008F02BC">
        <w:rPr>
          <w:rtl/>
        </w:rPr>
        <w:t>الحدائق النباتية الملكية، كيو، المملكة المتحدة</w:t>
      </w:r>
      <w:r w:rsidRPr="008F02BC">
        <w:rPr>
          <w:rFonts w:hint="cs"/>
          <w:rtl/>
        </w:rPr>
        <w:t xml:space="preserve">: </w:t>
      </w:r>
      <w:r w:rsidRPr="008F02BC">
        <w:rPr>
          <w:rtl/>
        </w:rPr>
        <w:br/>
      </w:r>
      <w:hyperlink r:id="rId22" w:history="1">
        <w:r w:rsidRPr="008F02BC">
          <w:rPr>
            <w:rStyle w:val="Hyperlink"/>
            <w:color w:val="auto"/>
            <w:u w:val="none"/>
          </w:rPr>
          <w:t>https://www.wipo.int/edocs/mdocs/tk/en/wipo_iptk_ge_16/wipo_iptk_ge_16_presentation_17williams.pdf</w:t>
        </w:r>
      </w:hyperlink>
      <w:hyperlink r:id="rId23" w:history="1">
        <w:r w:rsidRPr="008F02BC">
          <w:rPr>
            <w:rStyle w:val="Hyperlink"/>
            <w:rFonts w:hint="cs"/>
            <w:color w:val="auto"/>
            <w:u w:val="none"/>
            <w:rtl/>
          </w:rPr>
          <w:t>؛</w:t>
        </w:r>
      </w:hyperlink>
    </w:p>
    <w:p w:rsidR="00096CA1" w:rsidRPr="008F02BC" w:rsidRDefault="00096CA1" w:rsidP="00096CA1">
      <w:pPr>
        <w:pStyle w:val="ONUMA"/>
        <w:numPr>
          <w:ilvl w:val="0"/>
          <w:numId w:val="12"/>
        </w:numPr>
        <w:spacing w:after="0"/>
        <w:ind w:left="1124" w:hanging="562"/>
      </w:pPr>
      <w:r w:rsidRPr="008F02BC">
        <w:rPr>
          <w:rFonts w:hint="cs"/>
          <w:rtl/>
        </w:rPr>
        <w:t xml:space="preserve">جنوب أفريقيا: </w:t>
      </w:r>
      <w:r w:rsidRPr="008F02BC">
        <w:rPr>
          <w:rtl/>
        </w:rPr>
        <w:br/>
      </w:r>
      <w:hyperlink r:id="rId24" w:history="1">
        <w:r w:rsidRPr="008F02BC">
          <w:rPr>
            <w:rStyle w:val="Hyperlink"/>
            <w:color w:val="auto"/>
            <w:u w:val="none"/>
          </w:rPr>
          <w:t>https://www.wipo.int/edocs/mdocs/tk/en/wipo_iptk_ge_2_15/wipo_iptk_ge_2_15_presentation_yonah_seleti.pdf</w:t>
        </w:r>
      </w:hyperlink>
      <w:r w:rsidRPr="008F02BC">
        <w:rPr>
          <w:rFonts w:hint="cs"/>
          <w:rtl/>
        </w:rPr>
        <w:t>؛</w:t>
      </w:r>
    </w:p>
    <w:p w:rsidR="00096CA1" w:rsidRPr="008F02BC" w:rsidRDefault="00096CA1" w:rsidP="00096CA1">
      <w:pPr>
        <w:pStyle w:val="ONUMA"/>
        <w:numPr>
          <w:ilvl w:val="0"/>
          <w:numId w:val="12"/>
        </w:numPr>
        <w:ind w:left="1124" w:hanging="562"/>
        <w:rPr>
          <w:rtl/>
        </w:rPr>
      </w:pPr>
      <w:r w:rsidRPr="008F02BC">
        <w:rPr>
          <w:rFonts w:hint="cs"/>
          <w:rtl/>
        </w:rPr>
        <w:t>إندونيسيا:</w:t>
      </w:r>
      <w:r w:rsidRPr="008F02BC">
        <w:rPr>
          <w:rtl/>
        </w:rPr>
        <w:br/>
      </w:r>
      <w:hyperlink r:id="rId25" w:history="1">
        <w:r w:rsidRPr="008F02BC">
          <w:rPr>
            <w:rStyle w:val="Hyperlink"/>
            <w:color w:val="auto"/>
            <w:u w:val="none"/>
          </w:rPr>
          <w:t>https://www.wipo.int/edocs/mdocs/tk/en/wipo_iptk_ge_21/wipo_iptk_ge_21_presentation_8_yusanti.pdf</w:t>
        </w:r>
      </w:hyperlink>
      <w:r w:rsidRPr="008F02BC">
        <w:rPr>
          <w:rFonts w:hint="cs"/>
          <w:rtl/>
        </w:rPr>
        <w:t>.</w:t>
      </w:r>
    </w:p>
    <w:p w:rsidR="00096CA1" w:rsidRDefault="00096CA1" w:rsidP="00096CA1">
      <w:pPr>
        <w:pStyle w:val="Heading1"/>
        <w:spacing w:after="240"/>
      </w:pPr>
      <w:r w:rsidRPr="00BD60D0">
        <w:rPr>
          <w:sz w:val="24"/>
          <w:szCs w:val="24"/>
          <w:rtl/>
        </w:rPr>
        <w:t xml:space="preserve">التطور التاريخي لنص </w:t>
      </w:r>
      <w:r>
        <w:rPr>
          <w:rFonts w:hint="cs"/>
          <w:sz w:val="24"/>
          <w:szCs w:val="24"/>
          <w:rtl/>
        </w:rPr>
        <w:t>المعارف التقليدية</w:t>
      </w:r>
    </w:p>
    <w:p w:rsidR="00096CA1" w:rsidRPr="00DB03B9" w:rsidRDefault="00096CA1" w:rsidP="00096CA1">
      <w:pPr>
        <w:pStyle w:val="ONUMA"/>
        <w:rPr>
          <w:b/>
          <w:bCs/>
          <w:caps/>
          <w:rtl/>
        </w:rPr>
      </w:pPr>
      <w:r w:rsidRPr="00DB03B9">
        <w:rPr>
          <w:rtl/>
        </w:rPr>
        <w:t xml:space="preserve">بناء على طلب الدول الأعضاء، أعدّت الأمانة في الدورة السابعة للجنة المعارف (نوفمبر 2004) لمحة عامة عن أهداف السياسة العامة والمبادئ الأساسية المتعلقة بحماية المعارف التقليدية، وأوردتها في الوثيقة </w:t>
      </w:r>
      <w:r w:rsidRPr="00DB03B9">
        <w:t>WIPO/GRTKF/IC/7/5</w:t>
      </w:r>
      <w:r w:rsidRPr="00DB03B9">
        <w:rPr>
          <w:rtl/>
        </w:rPr>
        <w:t xml:space="preserve">، كي تستفيد منها اللجنة في وضع معايير موضوعية لحماية المعارف التقليدية. وتناولت الوثيقة قواعد بيانات المعارف التقليدية. وأعيد النظر فيها وإصدارها عدة مرات في الدورات اللاحقة للجنة المعارف (الوثائق </w:t>
      </w:r>
      <w:r w:rsidRPr="00DB03B9">
        <w:t>WIPO/GRTKF/IC/8/5</w:t>
      </w:r>
      <w:r w:rsidRPr="00DB03B9">
        <w:rPr>
          <w:rtl/>
        </w:rPr>
        <w:t xml:space="preserve"> و</w:t>
      </w:r>
      <w:r w:rsidRPr="00DB03B9">
        <w:t>WIPO/GRTKF/IC/9/5</w:t>
      </w:r>
      <w:r w:rsidRPr="00DB03B9">
        <w:rPr>
          <w:rtl/>
        </w:rPr>
        <w:t xml:space="preserve"> </w:t>
      </w:r>
      <w:proofErr w:type="gramStart"/>
      <w:r w:rsidRPr="00DB03B9">
        <w:rPr>
          <w:rtl/>
        </w:rPr>
        <w:t xml:space="preserve">و </w:t>
      </w:r>
      <w:r w:rsidRPr="00DB03B9">
        <w:t>WIPO</w:t>
      </w:r>
      <w:proofErr w:type="gramEnd"/>
      <w:r w:rsidRPr="00DB03B9">
        <w:t>/GRTKF/IC/16/5</w:t>
      </w:r>
      <w:r w:rsidR="006A729E">
        <w:rPr>
          <w:rFonts w:hint="cs"/>
          <w:rtl/>
        </w:rPr>
        <w:t xml:space="preserve"> </w:t>
      </w:r>
      <w:r w:rsidRPr="00DB03B9">
        <w:rPr>
          <w:rtl/>
        </w:rPr>
        <w:t>و</w:t>
      </w:r>
      <w:r w:rsidRPr="00DB03B9">
        <w:t>WIPO/GRTKF/IC/17/5</w:t>
      </w:r>
      <w:r w:rsidRPr="00DB03B9">
        <w:rPr>
          <w:rtl/>
        </w:rPr>
        <w:t xml:space="preserve"> و</w:t>
      </w:r>
      <w:r w:rsidRPr="00DB03B9">
        <w:t>WIPO/GRTKF/IC/18/5</w:t>
      </w:r>
      <w:r w:rsidRPr="00DB03B9">
        <w:rPr>
          <w:rtl/>
        </w:rPr>
        <w:t>).</w:t>
      </w:r>
    </w:p>
    <w:p w:rsidR="00096CA1" w:rsidRPr="00DB03B9" w:rsidRDefault="00096CA1" w:rsidP="00096CA1">
      <w:pPr>
        <w:pStyle w:val="ONUMA"/>
        <w:rPr>
          <w:b/>
          <w:bCs/>
          <w:caps/>
          <w:rtl/>
        </w:rPr>
      </w:pPr>
      <w:r w:rsidRPr="00DB03B9">
        <w:rPr>
          <w:rtl/>
        </w:rPr>
        <w:t xml:space="preserve">واجتمع الفريق العامل الثاني ما بين الدورات من 21 إلى 25 فبراير 2011 من أجل مناقشة المعارف التقليدية. وأعدّ الفريق الوثيقة </w:t>
      </w:r>
      <w:r w:rsidRPr="00DB03B9">
        <w:t>WIPO/GRTKF/IC/19/5</w:t>
      </w:r>
      <w:r w:rsidRPr="00DB03B9">
        <w:rPr>
          <w:rtl/>
        </w:rPr>
        <w:t xml:space="preserve"> المعنونة "حماية أشكال التعبير الثقافي التقليدي: مشروع مواد"، والتي تضمنت مادة واحدة بشأن الاحتفاظ بسجلات أو تسجيلات للمعارف التقليدية لأغراض الشفافية واليقين وحفظ المعارف التقليدية. ونوقش هذا المشروع في الدورة الحادية والعشرين للجنة المعارف (الوثيقة </w:t>
      </w:r>
      <w:r w:rsidRPr="00DB03B9">
        <w:t>WIPO/GRTKF/IC/21/4</w:t>
      </w:r>
      <w:r w:rsidRPr="00DB03B9">
        <w:rPr>
          <w:rtl/>
        </w:rPr>
        <w:t xml:space="preserve">). وقدّمت البلدان المتشابهة التفكير مساهمة في الوثيقة </w:t>
      </w:r>
      <w:r w:rsidRPr="00DB03B9">
        <w:t>WIPO/GRTKF/IC/18/9</w:t>
      </w:r>
      <w:r w:rsidRPr="00DB03B9">
        <w:rPr>
          <w:rtl/>
        </w:rPr>
        <w:t xml:space="preserve">، التي صدرت في الوثيقتين </w:t>
      </w:r>
      <w:r w:rsidRPr="00DB03B9">
        <w:t>WIPO/GRTKF/IC/19/11</w:t>
      </w:r>
      <w:r w:rsidRPr="00DB03B9">
        <w:rPr>
          <w:rtl/>
        </w:rPr>
        <w:t xml:space="preserve"> و</w:t>
      </w:r>
      <w:r w:rsidRPr="00DB03B9">
        <w:t>WIPO/GRTKF/IC/20/6</w:t>
      </w:r>
      <w:r w:rsidRPr="00DB03B9">
        <w:rPr>
          <w:rtl/>
        </w:rPr>
        <w:t>. وشملت هذه المساهمة أحكاما بشأن قواعد البيانات.</w:t>
      </w:r>
    </w:p>
    <w:p w:rsidR="00096CA1" w:rsidRPr="00096CA1" w:rsidRDefault="00096CA1" w:rsidP="00096CA1">
      <w:pPr>
        <w:pStyle w:val="ONUMA"/>
        <w:rPr>
          <w:b/>
          <w:bCs/>
          <w:caps/>
        </w:rPr>
      </w:pPr>
      <w:r w:rsidRPr="00DB03B9">
        <w:rPr>
          <w:rtl/>
        </w:rPr>
        <w:t xml:space="preserve">وأعدت لجنة المعارف في دورتها الحادية والعشرين (أبريل 2012) مشروع مواد أصبح الوثيقة </w:t>
      </w:r>
      <w:r w:rsidRPr="00DB03B9">
        <w:t>WIPO/GRTKF/IC/24/4</w:t>
      </w:r>
      <w:r w:rsidRPr="00DB03B9">
        <w:rPr>
          <w:rtl/>
        </w:rPr>
        <w:t>، وتضمنت الوثيقة عدة أحكام تتعلق بقواعد البيانات. وناقشت اللجنة النص وتقدمت به في الدورات التالية للجنة المعارف (</w:t>
      </w:r>
      <w:r w:rsidRPr="00DB03B9">
        <w:t>WIPO/GRTKF/IC/25/6</w:t>
      </w:r>
      <w:r w:rsidRPr="00DB03B9">
        <w:rPr>
          <w:rtl/>
        </w:rPr>
        <w:t xml:space="preserve"> و</w:t>
      </w:r>
      <w:r w:rsidRPr="00DB03B9">
        <w:t>WIPO/GRTKF/IC/27/4</w:t>
      </w:r>
      <w:r w:rsidRPr="00DB03B9">
        <w:rPr>
          <w:rtl/>
        </w:rPr>
        <w:t xml:space="preserve"> و</w:t>
      </w:r>
      <w:r w:rsidRPr="00DB03B9">
        <w:t>WIPO/GRTKF/IC/28/5</w:t>
      </w:r>
      <w:r w:rsidRPr="00DB03B9">
        <w:rPr>
          <w:rtl/>
        </w:rPr>
        <w:t xml:space="preserve"> </w:t>
      </w:r>
      <w:proofErr w:type="gramStart"/>
      <w:r w:rsidRPr="00DB03B9">
        <w:rPr>
          <w:rtl/>
        </w:rPr>
        <w:t xml:space="preserve">و </w:t>
      </w:r>
      <w:r w:rsidRPr="00DB03B9">
        <w:t>WIPO</w:t>
      </w:r>
      <w:proofErr w:type="gramEnd"/>
      <w:r w:rsidRPr="00DB03B9">
        <w:t>/GRTKF/IC/31/4</w:t>
      </w:r>
      <w:r w:rsidR="006A729E">
        <w:rPr>
          <w:rFonts w:hint="cs"/>
          <w:rtl/>
        </w:rPr>
        <w:t xml:space="preserve"> </w:t>
      </w:r>
      <w:r w:rsidRPr="00DB03B9">
        <w:rPr>
          <w:rtl/>
        </w:rPr>
        <w:t>و</w:t>
      </w:r>
      <w:r w:rsidRPr="00DB03B9">
        <w:t>WIPO/GRTKF/IC/32/4</w:t>
      </w:r>
      <w:r w:rsidRPr="00DB03B9">
        <w:rPr>
          <w:rtl/>
        </w:rPr>
        <w:t xml:space="preserve"> و</w:t>
      </w:r>
      <w:r w:rsidRPr="00DB03B9">
        <w:t>WIPO/GRTKF/IC/34/5</w:t>
      </w:r>
      <w:r w:rsidRPr="00DB03B9">
        <w:rPr>
          <w:rtl/>
        </w:rPr>
        <w:t xml:space="preserve"> و</w:t>
      </w:r>
      <w:r w:rsidRPr="00DB03B9">
        <w:t>WIPO/GRTKF/IC/37/4</w:t>
      </w:r>
      <w:r w:rsidRPr="00DB03B9">
        <w:rPr>
          <w:rtl/>
        </w:rPr>
        <w:t xml:space="preserve"> و</w:t>
      </w:r>
      <w:r w:rsidRPr="00DB03B9">
        <w:t>WIPO/GRTKF/IC/38/4</w:t>
      </w:r>
      <w:r w:rsidRPr="00DB03B9">
        <w:rPr>
          <w:rtl/>
        </w:rPr>
        <w:t xml:space="preserve"> و</w:t>
      </w:r>
      <w:r w:rsidRPr="00DB03B9">
        <w:t>WIPO/GRTKF/IC/39/4</w:t>
      </w:r>
      <w:r w:rsidRPr="00DB03B9">
        <w:rPr>
          <w:rtl/>
        </w:rPr>
        <w:t xml:space="preserve"> و</w:t>
      </w:r>
      <w:r w:rsidRPr="00DB03B9">
        <w:t>WIPO/GRTKF/IC/40/4</w:t>
      </w:r>
      <w:r w:rsidRPr="00DB03B9">
        <w:rPr>
          <w:rtl/>
        </w:rPr>
        <w:t xml:space="preserve"> و</w:t>
      </w:r>
      <w:r w:rsidRPr="00DB03B9">
        <w:t>WIPO/GRTKF/IC/4</w:t>
      </w:r>
      <w:r w:rsidR="006A729E">
        <w:t>0</w:t>
      </w:r>
      <w:r w:rsidRPr="00DB03B9">
        <w:t>/18</w:t>
      </w:r>
      <w:r w:rsidRPr="00DB03B9">
        <w:rPr>
          <w:rtl/>
        </w:rPr>
        <w:t>).</w:t>
      </w:r>
    </w:p>
    <w:p w:rsidR="00C04F3B" w:rsidRDefault="00C04F3B" w:rsidP="00BD60D0">
      <w:pPr>
        <w:pStyle w:val="Heading1"/>
        <w:spacing w:after="240"/>
        <w:rPr>
          <w:rtl/>
        </w:rPr>
      </w:pPr>
      <w:r w:rsidRPr="00BD60D0">
        <w:rPr>
          <w:sz w:val="24"/>
          <w:szCs w:val="24"/>
          <w:rtl/>
        </w:rPr>
        <w:t xml:space="preserve">التطور التاريخي لنص </w:t>
      </w:r>
      <w:r w:rsidR="006A729E" w:rsidRPr="00BD60D0">
        <w:rPr>
          <w:sz w:val="24"/>
          <w:szCs w:val="24"/>
          <w:rtl/>
        </w:rPr>
        <w:t>الموارد الوراثية</w:t>
      </w:r>
    </w:p>
    <w:p w:rsidR="00C04F3B" w:rsidRDefault="006A729E" w:rsidP="006A729E">
      <w:pPr>
        <w:pStyle w:val="ONUMA"/>
        <w:rPr>
          <w:rtl/>
        </w:rPr>
      </w:pPr>
      <w:r w:rsidRPr="00B649F4">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B649F4">
        <w:t>WIPO/GRTKF/IC/11/8 (A)</w:t>
      </w:r>
      <w:r w:rsidRPr="00B649F4">
        <w:rPr>
          <w:rFonts w:hint="cs"/>
          <w:rtl/>
        </w:rPr>
        <w:t xml:space="preserve"> لأغراض مواصلة العمل الخاص بالموارد الوراثية أو إنجاز المزيد من ذلك العمل. ومن الخيارات الواردة في الوثيقة "</w:t>
      </w:r>
      <w:r w:rsidRPr="00B649F4">
        <w:rPr>
          <w:rtl/>
        </w:rPr>
        <w:t>جرد قواعد البيانات ومصادر المعلومات حول الموارد الوراثية</w:t>
      </w:r>
      <w:r w:rsidRPr="00B649F4">
        <w:rPr>
          <w:rFonts w:hint="cs"/>
          <w:rtl/>
        </w:rPr>
        <w:t>" وخيار "</w:t>
      </w:r>
      <w:r w:rsidRPr="00B649F4">
        <w:rPr>
          <w:rtl/>
        </w:rPr>
        <w:t>أنظمة المعلومات عن الموارد الوراثية لأغراض الحماية الدفاعية</w:t>
      </w:r>
      <w:r w:rsidRPr="00B649F4">
        <w:rPr>
          <w:rFonts w:hint="cs"/>
          <w:rtl/>
        </w:rPr>
        <w:t>". وحُدِّثت الوثيقة وأعيد إصدارها عدة مرات في الدورات التالية للجنة المعارف (</w:t>
      </w:r>
      <w:r w:rsidRPr="00B649F4">
        <w:t>WIPO/GRTKF/IC/12/8 (A)</w:t>
      </w:r>
      <w:r w:rsidRPr="00B649F4">
        <w:rPr>
          <w:rFonts w:hint="cs"/>
          <w:rtl/>
        </w:rPr>
        <w:t xml:space="preserve"> و</w:t>
      </w:r>
      <w:r w:rsidRPr="00B649F4">
        <w:t>WIPO/GRTKF/IC/13/8 (A)</w:t>
      </w:r>
      <w:r w:rsidRPr="00B649F4">
        <w:rPr>
          <w:rFonts w:hint="cs"/>
          <w:rtl/>
        </w:rPr>
        <w:t xml:space="preserve"> و</w:t>
      </w:r>
      <w:r w:rsidRPr="00B649F4">
        <w:t>WIPO/GRTKF/IC/16/6</w:t>
      </w:r>
      <w:r w:rsidRPr="00B649F4">
        <w:rPr>
          <w:rFonts w:hint="cs"/>
          <w:rtl/>
        </w:rPr>
        <w:t xml:space="preserve"> و</w:t>
      </w:r>
      <w:r w:rsidRPr="00B649F4">
        <w:t>WIPO/GRTKF/IC/17/6</w:t>
      </w:r>
      <w:r w:rsidRPr="00B649F4">
        <w:rPr>
          <w:rFonts w:hint="cs"/>
          <w:rtl/>
        </w:rPr>
        <w:t xml:space="preserve"> و</w:t>
      </w:r>
      <w:r w:rsidRPr="00B649F4">
        <w:t>WIPO/GRTKF/IC/18/10</w:t>
      </w:r>
      <w:r w:rsidRPr="00B649F4">
        <w:rPr>
          <w:rFonts w:hint="cs"/>
          <w:rtl/>
        </w:rPr>
        <w:t xml:space="preserve"> و</w:t>
      </w:r>
      <w:r w:rsidRPr="00B649F4">
        <w:t>WIPO/GRTKF/IC/19/7</w:t>
      </w:r>
      <w:r w:rsidRPr="00B649F4">
        <w:rPr>
          <w:rFonts w:hint="cs"/>
          <w:rtl/>
        </w:rPr>
        <w:t xml:space="preserve"> و</w:t>
      </w:r>
      <w:r w:rsidRPr="00B649F4">
        <w:t>WIPO/GRTKF/IC/20/5</w:t>
      </w:r>
      <w:r w:rsidRPr="00B649F4">
        <w:rPr>
          <w:rFonts w:hint="cs"/>
          <w:rtl/>
        </w:rPr>
        <w:t>).</w:t>
      </w:r>
    </w:p>
    <w:p w:rsidR="006A729E" w:rsidRPr="00B649F4" w:rsidRDefault="006A729E" w:rsidP="006A729E">
      <w:pPr>
        <w:pStyle w:val="ONUMA"/>
      </w:pPr>
      <w:r w:rsidRPr="00B649F4">
        <w:rPr>
          <w:rFonts w:hint="cs"/>
          <w:rtl/>
        </w:rPr>
        <w:t>واجتمع الفريق العامل الثالث ما بين الدورات في الفترة من 28 فبراير إلى 4 مارس 2011 لمناقشة الموارد الوراثية. وأعدّ الوثيقة</w:t>
      </w:r>
      <w:r w:rsidRPr="00B649F4">
        <w:rPr>
          <w:rFonts w:hint="eastAsia"/>
          <w:rtl/>
        </w:rPr>
        <w:t> </w:t>
      </w:r>
      <w:r w:rsidRPr="00B649F4">
        <w:t>WIPO/GRTKF/IC/18/9</w:t>
      </w:r>
      <w:r w:rsidRPr="00B649F4">
        <w:rPr>
          <w:rFonts w:hint="cs"/>
          <w:rtl/>
        </w:rPr>
        <w:t xml:space="preserve"> المعنونة "</w:t>
      </w:r>
      <w:r w:rsidRPr="00B649F4">
        <w:rPr>
          <w:rtl/>
        </w:rPr>
        <w:t>مشروع الأهداف والمبادئ المتعلقة بالملكية الفكرية والموارد الوراثية</w:t>
      </w:r>
      <w:r w:rsidRPr="00B649F4">
        <w:rPr>
          <w:rFonts w:hint="cs"/>
          <w:rtl/>
        </w:rPr>
        <w:t xml:space="preserve">"، الذي شمل مبادئ عن قواعد البيانات. ونوقش ذلك المشروع أيضا في الدورتين التاسعة عشرة والعشرين للجنة المعارف (الوثيقتان </w:t>
      </w:r>
      <w:r w:rsidRPr="00B649F4">
        <w:lastRenderedPageBreak/>
        <w:t>WIPO/GRTKF/IC/19/6</w:t>
      </w:r>
      <w:r w:rsidRPr="00B649F4">
        <w:rPr>
          <w:rFonts w:hint="cs"/>
          <w:rtl/>
        </w:rPr>
        <w:t xml:space="preserve"> و</w:t>
      </w:r>
      <w:r w:rsidRPr="00B649F4">
        <w:t>WIPO/GRTKF/IC/20/4</w:t>
      </w:r>
      <w:r w:rsidRPr="00B649F4">
        <w:rPr>
          <w:rFonts w:hint="cs"/>
          <w:rtl/>
        </w:rPr>
        <w:t>). وقدّمت البلدان المتشابهة التفكير</w:t>
      </w:r>
      <w:r w:rsidRPr="00B649F4">
        <w:rPr>
          <w:rFonts w:hint="eastAsia"/>
          <w:rtl/>
        </w:rPr>
        <w:t> </w:t>
      </w:r>
      <w:r w:rsidRPr="00B649F4">
        <w:rPr>
          <w:rFonts w:hint="cs"/>
          <w:rtl/>
        </w:rPr>
        <w:t xml:space="preserve">إسهاما بخصوص الوثيقة </w:t>
      </w:r>
      <w:r w:rsidRPr="00B649F4">
        <w:t>WIPO/GRTKF/IC/18/9</w:t>
      </w:r>
      <w:r w:rsidRPr="00B649F4">
        <w:rPr>
          <w:rFonts w:hint="cs"/>
          <w:rtl/>
        </w:rPr>
        <w:t xml:space="preserve"> (الوثيقة</w:t>
      </w:r>
      <w:r w:rsidRPr="00B649F4">
        <w:rPr>
          <w:rFonts w:hint="eastAsia"/>
          <w:rtl/>
        </w:rPr>
        <w:t> </w:t>
      </w:r>
      <w:r w:rsidRPr="00B649F4">
        <w:t>WIPO/GRTKF/IC/19/11</w:t>
      </w:r>
      <w:r w:rsidRPr="00B649F4">
        <w:rPr>
          <w:rFonts w:hint="cs"/>
          <w:rtl/>
        </w:rPr>
        <w:t>، والوثيقة</w:t>
      </w:r>
      <w:r w:rsidRPr="00B649F4">
        <w:rPr>
          <w:rFonts w:hint="eastAsia"/>
          <w:rtl/>
        </w:rPr>
        <w:t> </w:t>
      </w:r>
      <w:r w:rsidRPr="00B649F4">
        <w:t>WIPO/GRTKF/IC/20/6</w:t>
      </w:r>
      <w:r w:rsidRPr="00B649F4">
        <w:rPr>
          <w:rFonts w:hint="cs"/>
          <w:rtl/>
        </w:rPr>
        <w:t>).</w:t>
      </w:r>
    </w:p>
    <w:p w:rsidR="006A729E" w:rsidRDefault="006A729E" w:rsidP="006A729E">
      <w:pPr>
        <w:pStyle w:val="ONUMA"/>
      </w:pPr>
      <w:r w:rsidRPr="00B649F4">
        <w:rPr>
          <w:rFonts w:hint="cs"/>
          <w:rtl/>
        </w:rPr>
        <w:t>وأعدّت لجنة المعارف في دورتها العشرين (فبراير 2012) "</w:t>
      </w:r>
      <w:r w:rsidRPr="00B649F4">
        <w:rPr>
          <w:rtl/>
        </w:rPr>
        <w:t>وثيقة موحدة بشأن الملكية الفكرية والموارد الوراثية</w:t>
      </w:r>
      <w:r w:rsidRPr="00B649F4">
        <w:rPr>
          <w:rFonts w:hint="cs"/>
          <w:rtl/>
        </w:rPr>
        <w:t xml:space="preserve">" (الوثيقة </w:t>
      </w:r>
      <w:r w:rsidRPr="00B649F4">
        <w:t>WIPO/GRTKF/IC/23/4</w:t>
      </w:r>
      <w:r w:rsidRPr="00B649F4">
        <w:rPr>
          <w:rFonts w:hint="cs"/>
          <w:rtl/>
        </w:rPr>
        <w:t>)، وشملت الوثيقة مشروعات أحكاما بشأن قواعد البيانات. وناقشت لجنة المعارف النص ومضت به قدما في دوراتها التالية (</w:t>
      </w:r>
      <w:r w:rsidRPr="00B649F4">
        <w:t>WIPO/GRTKF/IC/25/5</w:t>
      </w:r>
      <w:r w:rsidRPr="00B649F4">
        <w:rPr>
          <w:rFonts w:hint="cs"/>
          <w:rtl/>
        </w:rPr>
        <w:t xml:space="preserve"> و</w:t>
      </w:r>
      <w:r w:rsidRPr="00B649F4">
        <w:t>WIPO/GRTKF/IC/26/4</w:t>
      </w:r>
      <w:r w:rsidRPr="00B649F4">
        <w:rPr>
          <w:rFonts w:hint="cs"/>
          <w:rtl/>
        </w:rPr>
        <w:t xml:space="preserve"> و</w:t>
      </w:r>
      <w:r w:rsidRPr="00B649F4">
        <w:t>WIPO/GRTKF/IC/28/4</w:t>
      </w:r>
      <w:r w:rsidRPr="00B649F4">
        <w:rPr>
          <w:rFonts w:hint="cs"/>
          <w:rtl/>
        </w:rPr>
        <w:t xml:space="preserve"> و</w:t>
      </w:r>
      <w:r w:rsidRPr="00B649F4">
        <w:t>WIPO/GRTKF/IC/29/4</w:t>
      </w:r>
      <w:r w:rsidRPr="00B649F4">
        <w:rPr>
          <w:rFonts w:hint="cs"/>
          <w:rtl/>
        </w:rPr>
        <w:t xml:space="preserve"> و</w:t>
      </w:r>
      <w:r w:rsidRPr="00B649F4">
        <w:t>WIPO/GRTKF/IC/30/4</w:t>
      </w:r>
      <w:r w:rsidRPr="00B649F4">
        <w:rPr>
          <w:rFonts w:hint="cs"/>
          <w:rtl/>
        </w:rPr>
        <w:t xml:space="preserve"> و</w:t>
      </w:r>
      <w:r w:rsidRPr="00B649F4">
        <w:t>WIPO/GRTKF/IC/34/4</w:t>
      </w:r>
      <w:r w:rsidRPr="00B649F4">
        <w:rPr>
          <w:rFonts w:hint="cs"/>
          <w:rtl/>
        </w:rPr>
        <w:t xml:space="preserve"> و</w:t>
      </w:r>
      <w:r w:rsidRPr="00B649F4">
        <w:t>WIPO/GRTKF/IC/35/4</w:t>
      </w:r>
      <w:r>
        <w:rPr>
          <w:rFonts w:hint="cs"/>
          <w:rtl/>
        </w:rPr>
        <w:t xml:space="preserve"> </w:t>
      </w:r>
      <w:r w:rsidRPr="00B649F4">
        <w:rPr>
          <w:rFonts w:hint="cs"/>
          <w:rtl/>
        </w:rPr>
        <w:t>و</w:t>
      </w:r>
      <w:r w:rsidRPr="00B649F4">
        <w:t>WIPO/GRTKF/IC/</w:t>
      </w:r>
      <w:r>
        <w:t>36</w:t>
      </w:r>
      <w:r w:rsidRPr="00B649F4">
        <w:t>/4</w:t>
      </w:r>
      <w:r>
        <w:rPr>
          <w:rFonts w:hint="cs"/>
          <w:rtl/>
        </w:rPr>
        <w:t xml:space="preserve"> </w:t>
      </w:r>
      <w:r w:rsidRPr="00B649F4">
        <w:rPr>
          <w:rFonts w:hint="cs"/>
          <w:rtl/>
        </w:rPr>
        <w:t>و</w:t>
      </w:r>
      <w:r w:rsidRPr="00B649F4">
        <w:t>WIPO/GRTKF/IC/</w:t>
      </w:r>
      <w:r>
        <w:t>40</w:t>
      </w:r>
      <w:r w:rsidRPr="00B649F4">
        <w:t>/</w:t>
      </w:r>
      <w:r>
        <w:t>6</w:t>
      </w:r>
      <w:r>
        <w:rPr>
          <w:rFonts w:hint="cs"/>
          <w:rtl/>
        </w:rPr>
        <w:t xml:space="preserve"> </w:t>
      </w:r>
      <w:r w:rsidRPr="00B649F4">
        <w:rPr>
          <w:rFonts w:hint="cs"/>
          <w:rtl/>
        </w:rPr>
        <w:t>و</w:t>
      </w:r>
      <w:r w:rsidRPr="00B649F4">
        <w:t>WIPO/GRTKF/IC/</w:t>
      </w:r>
      <w:r>
        <w:t>42</w:t>
      </w:r>
      <w:r w:rsidRPr="00B649F4">
        <w:t>/</w:t>
      </w:r>
      <w:r>
        <w:t>4</w:t>
      </w:r>
      <w:r w:rsidRPr="00B649F4">
        <w:rPr>
          <w:rFonts w:hint="cs"/>
          <w:rtl/>
        </w:rPr>
        <w:t>).</w:t>
      </w:r>
    </w:p>
    <w:p w:rsidR="006A729E" w:rsidRDefault="006A729E" w:rsidP="006A729E">
      <w:pPr>
        <w:pStyle w:val="ONUMA"/>
      </w:pPr>
      <w:r>
        <w:rPr>
          <w:rFonts w:hint="cs"/>
          <w:rtl/>
          <w:lang w:val="fr-CH" w:bidi="ar-SY"/>
        </w:rPr>
        <w:t xml:space="preserve">وفي أبريل 2019، </w:t>
      </w:r>
      <w:r w:rsidRPr="00004DC2">
        <w:rPr>
          <w:rtl/>
        </w:rPr>
        <w:t>أعد السيد</w:t>
      </w:r>
      <w:r>
        <w:rPr>
          <w:rFonts w:hint="cs"/>
          <w:rtl/>
        </w:rPr>
        <w:t xml:space="preserve"> إيان </w:t>
      </w:r>
      <w:proofErr w:type="spellStart"/>
      <w:r>
        <w:rPr>
          <w:rFonts w:hint="cs"/>
          <w:rtl/>
        </w:rPr>
        <w:t>غوس</w:t>
      </w:r>
      <w:proofErr w:type="spellEnd"/>
      <w:r>
        <w:rPr>
          <w:rFonts w:hint="cs"/>
          <w:rtl/>
        </w:rPr>
        <w:t>،</w:t>
      </w:r>
      <w:r w:rsidRPr="00004DC2">
        <w:rPr>
          <w:rtl/>
        </w:rPr>
        <w:t xml:space="preserve"> رئيس اللجنة الحكومية </w:t>
      </w:r>
      <w:r>
        <w:rPr>
          <w:rtl/>
        </w:rPr>
        <w:t>الدولية لفترة السنتين 2018-2019، نص</w:t>
      </w:r>
      <w:r>
        <w:rPr>
          <w:rFonts w:hint="cs"/>
          <w:rtl/>
        </w:rPr>
        <w:t>اً</w:t>
      </w:r>
      <w:r>
        <w:rPr>
          <w:rtl/>
        </w:rPr>
        <w:t xml:space="preserve"> </w:t>
      </w:r>
      <w:r w:rsidRPr="00D266BA">
        <w:rPr>
          <w:i/>
          <w:iCs/>
          <w:rtl/>
        </w:rPr>
        <w:t>لمشروع</w:t>
      </w:r>
      <w:r>
        <w:rPr>
          <w:rtl/>
        </w:rPr>
        <w:t xml:space="preserve"> </w:t>
      </w:r>
      <w:r w:rsidRPr="00D87191">
        <w:rPr>
          <w:i/>
          <w:iCs/>
          <w:rtl/>
        </w:rPr>
        <w:t xml:space="preserve">صك قانوني دولي </w:t>
      </w:r>
      <w:r w:rsidRPr="00D87191">
        <w:rPr>
          <w:rFonts w:hint="cs"/>
          <w:i/>
          <w:iCs/>
          <w:rtl/>
        </w:rPr>
        <w:t xml:space="preserve">بشأن </w:t>
      </w:r>
      <w:r w:rsidRPr="00D87191">
        <w:rPr>
          <w:i/>
          <w:iCs/>
          <w:rtl/>
        </w:rPr>
        <w:t>الملكية الفكرية والموارد الوراثية والمعارف التقليدية المرتبطة بالموارد الوراثية</w:t>
      </w:r>
      <w:r w:rsidRPr="00004DC2">
        <w:rPr>
          <w:rtl/>
        </w:rPr>
        <w:t>،</w:t>
      </w:r>
      <w:r>
        <w:rPr>
          <w:rFonts w:hint="cs"/>
          <w:rtl/>
        </w:rPr>
        <w:t xml:space="preserve"> يشمل أحكاماً بشأن شروط الكشف</w:t>
      </w:r>
      <w:r w:rsidRPr="00004DC2">
        <w:rPr>
          <w:rtl/>
        </w:rPr>
        <w:t xml:space="preserve">. </w:t>
      </w:r>
      <w:r>
        <w:rPr>
          <w:rFonts w:hint="cs"/>
          <w:rtl/>
        </w:rPr>
        <w:t xml:space="preserve">ويُدرج النص في </w:t>
      </w:r>
      <w:r>
        <w:rPr>
          <w:rtl/>
        </w:rPr>
        <w:t>الوثيقة</w:t>
      </w:r>
      <w:r>
        <w:rPr>
          <w:rFonts w:hint="cs"/>
          <w:rtl/>
        </w:rPr>
        <w:t xml:space="preserve"> </w:t>
      </w:r>
      <w:r w:rsidRPr="00D87191">
        <w:t>WIPO/GRTKF/IC/4</w:t>
      </w:r>
      <w:r>
        <w:t>2</w:t>
      </w:r>
      <w:r w:rsidRPr="00D87191">
        <w:t>/5</w:t>
      </w:r>
      <w:r w:rsidRPr="00004DC2">
        <w:rPr>
          <w:rtl/>
        </w:rPr>
        <w:t>.</w:t>
      </w:r>
    </w:p>
    <w:p w:rsidR="00DB03B9" w:rsidRPr="00DB03B9" w:rsidRDefault="00DB03B9" w:rsidP="00DB03B9">
      <w:pPr>
        <w:pStyle w:val="Heading1"/>
        <w:spacing w:after="240"/>
        <w:rPr>
          <w:sz w:val="24"/>
          <w:szCs w:val="24"/>
        </w:rPr>
      </w:pPr>
      <w:r>
        <w:rPr>
          <w:rFonts w:hint="cs"/>
          <w:sz w:val="24"/>
          <w:szCs w:val="24"/>
          <w:rtl/>
        </w:rPr>
        <w:t>مواد أخرى</w:t>
      </w:r>
    </w:p>
    <w:p w:rsidR="00C2646B" w:rsidRPr="00C2646B" w:rsidRDefault="00C2646B" w:rsidP="00C2646B">
      <w:pPr>
        <w:pStyle w:val="ONUMA"/>
      </w:pPr>
      <w:r w:rsidRPr="00C2646B">
        <w:rPr>
          <w:rtl/>
        </w:rPr>
        <w:t>أعدت الأمانة في الدورة الثالثة للجنة ال</w:t>
      </w:r>
      <w:r w:rsidRPr="00C2646B">
        <w:rPr>
          <w:rFonts w:hint="cs"/>
          <w:rtl/>
        </w:rPr>
        <w:t>معارف</w:t>
      </w:r>
      <w:r w:rsidRPr="00C2646B">
        <w:rPr>
          <w:rtl/>
        </w:rPr>
        <w:t xml:space="preserve"> (يونيو 2002)</w:t>
      </w:r>
      <w:r w:rsidRPr="00C2646B">
        <w:rPr>
          <w:rFonts w:hint="cs"/>
          <w:rtl/>
        </w:rPr>
        <w:t>،</w:t>
      </w:r>
      <w:r w:rsidRPr="00C2646B">
        <w:rPr>
          <w:rtl/>
        </w:rPr>
        <w:t xml:space="preserve"> </w:t>
      </w:r>
      <w:r w:rsidRPr="00C2646B">
        <w:rPr>
          <w:rFonts w:hint="cs"/>
          <w:rtl/>
        </w:rPr>
        <w:t>و</w:t>
      </w:r>
      <w:r w:rsidRPr="00C2646B">
        <w:rPr>
          <w:rtl/>
        </w:rPr>
        <w:t>بناء على طلب الدول الأعضاء</w:t>
      </w:r>
      <w:r w:rsidRPr="00C2646B">
        <w:rPr>
          <w:rFonts w:hint="cs"/>
          <w:rtl/>
        </w:rPr>
        <w:t>،</w:t>
      </w:r>
      <w:r w:rsidRPr="00C2646B">
        <w:rPr>
          <w:rtl/>
        </w:rPr>
        <w:t xml:space="preserve"> الوثيقة</w:t>
      </w:r>
      <w:r w:rsidRPr="00C2646B">
        <w:rPr>
          <w:rFonts w:hint="eastAsia"/>
          <w:rtl/>
        </w:rPr>
        <w:t> </w:t>
      </w:r>
      <w:r w:rsidRPr="00C2646B">
        <w:t>WIPO/GRTKF/IC/3/8</w:t>
      </w:r>
      <w:r w:rsidRPr="00C2646B">
        <w:rPr>
          <w:rtl/>
        </w:rPr>
        <w:t xml:space="preserve"> المعنونة "عناصر نظام</w:t>
      </w:r>
      <w:r w:rsidRPr="00C2646B">
        <w:rPr>
          <w:rFonts w:hint="cs"/>
          <w:rtl/>
        </w:rPr>
        <w:t xml:space="preserve"> خاص </w:t>
      </w:r>
      <w:r w:rsidRPr="00C2646B">
        <w:rPr>
          <w:rtl/>
        </w:rPr>
        <w:t>لحماية المعارف التقليدية"، بما في ذلك "نظام</w:t>
      </w:r>
      <w:r w:rsidRPr="00C2646B">
        <w:rPr>
          <w:rFonts w:hint="cs"/>
          <w:rtl/>
        </w:rPr>
        <w:t xml:space="preserve"> خاص ل</w:t>
      </w:r>
      <w:r w:rsidRPr="00C2646B">
        <w:rPr>
          <w:rtl/>
        </w:rPr>
        <w:t>قواعد البيانات". وحد</w:t>
      </w:r>
      <w:r w:rsidRPr="00C2646B">
        <w:rPr>
          <w:rFonts w:hint="cs"/>
          <w:rtl/>
        </w:rPr>
        <w:t>ّ</w:t>
      </w:r>
      <w:r w:rsidRPr="00C2646B">
        <w:rPr>
          <w:rtl/>
        </w:rPr>
        <w:t>ث</w:t>
      </w:r>
      <w:r w:rsidRPr="00C2646B">
        <w:rPr>
          <w:rFonts w:hint="cs"/>
          <w:rtl/>
        </w:rPr>
        <w:t>ت</w:t>
      </w:r>
      <w:r w:rsidRPr="00C2646B">
        <w:rPr>
          <w:rtl/>
        </w:rPr>
        <w:t xml:space="preserve"> الوثيقة و</w:t>
      </w:r>
      <w:r w:rsidRPr="00C2646B">
        <w:rPr>
          <w:rFonts w:hint="cs"/>
          <w:rtl/>
        </w:rPr>
        <w:t>أ</w:t>
      </w:r>
      <w:r w:rsidRPr="00C2646B">
        <w:rPr>
          <w:rtl/>
        </w:rPr>
        <w:t>ع</w:t>
      </w:r>
      <w:r w:rsidRPr="00C2646B">
        <w:rPr>
          <w:rFonts w:hint="cs"/>
          <w:rtl/>
        </w:rPr>
        <w:t>ي</w:t>
      </w:r>
      <w:r w:rsidRPr="00C2646B">
        <w:rPr>
          <w:rtl/>
        </w:rPr>
        <w:t>د إصدارها في الوثيقة</w:t>
      </w:r>
      <w:r w:rsidRPr="00C2646B">
        <w:rPr>
          <w:rFonts w:hint="cs"/>
          <w:rtl/>
        </w:rPr>
        <w:t> </w:t>
      </w:r>
      <w:r w:rsidRPr="00C2646B">
        <w:t>WIPO/GRTKF/IC/4/8</w:t>
      </w:r>
      <w:r w:rsidRPr="00C2646B">
        <w:rPr>
          <w:rFonts w:hint="cs"/>
          <w:rtl/>
        </w:rPr>
        <w:t>.</w:t>
      </w:r>
    </w:p>
    <w:p w:rsidR="00C2646B" w:rsidRPr="00C2646B" w:rsidRDefault="00C2646B" w:rsidP="00C2646B">
      <w:pPr>
        <w:pStyle w:val="ONUMA"/>
      </w:pPr>
      <w:r w:rsidRPr="00C2646B">
        <w:rPr>
          <w:rtl/>
        </w:rPr>
        <w:t>وقد</w:t>
      </w:r>
      <w:r w:rsidRPr="00C2646B">
        <w:rPr>
          <w:rFonts w:hint="cs"/>
          <w:rtl/>
        </w:rPr>
        <w:t>ّ</w:t>
      </w:r>
      <w:r w:rsidRPr="00C2646B">
        <w:rPr>
          <w:rtl/>
        </w:rPr>
        <w:t>م وفد الاتحاد الأوروبي، نيابة عن الاتحاد الأوروبي والدول الأعضاء فيه، وجهة نظره بشأن قواعد البيانات في الوثيقة</w:t>
      </w:r>
      <w:r w:rsidRPr="00C2646B">
        <w:rPr>
          <w:rFonts w:hint="cs"/>
          <w:rtl/>
        </w:rPr>
        <w:t> </w:t>
      </w:r>
      <w:r w:rsidRPr="00C2646B">
        <w:t>WIPO/GRTKF/IC/3/16</w:t>
      </w:r>
      <w:r w:rsidRPr="00C2646B">
        <w:rPr>
          <w:rtl/>
        </w:rPr>
        <w:t>.</w:t>
      </w:r>
    </w:p>
    <w:p w:rsidR="00C2646B" w:rsidRPr="00C2646B" w:rsidRDefault="00C2646B" w:rsidP="00C2646B">
      <w:pPr>
        <w:pStyle w:val="ONUMA"/>
      </w:pPr>
      <w:r w:rsidRPr="00C2646B">
        <w:rPr>
          <w:rtl/>
        </w:rPr>
        <w:t xml:space="preserve">وفي الدورة الخامسة للجنة </w:t>
      </w:r>
      <w:r w:rsidRPr="00C2646B">
        <w:rPr>
          <w:rFonts w:hint="cs"/>
          <w:rtl/>
        </w:rPr>
        <w:t xml:space="preserve">المعارف </w:t>
      </w:r>
      <w:r w:rsidRPr="00C2646B">
        <w:rPr>
          <w:rtl/>
        </w:rPr>
        <w:t>(يوليو 2003)، أعدت الأمان</w:t>
      </w:r>
      <w:r w:rsidRPr="00C2646B">
        <w:rPr>
          <w:rFonts w:hint="cs"/>
          <w:rtl/>
        </w:rPr>
        <w:t>ة</w:t>
      </w:r>
      <w:r w:rsidRPr="00C2646B">
        <w:rPr>
          <w:rtl/>
        </w:rPr>
        <w:t xml:space="preserve"> الوثيقة</w:t>
      </w:r>
      <w:r w:rsidRPr="00C2646B">
        <w:rPr>
          <w:rFonts w:hint="cs"/>
          <w:rtl/>
        </w:rPr>
        <w:t> </w:t>
      </w:r>
      <w:r w:rsidRPr="00C2646B">
        <w:t>WIPO/GRTKF/5/12</w:t>
      </w:r>
      <w:r w:rsidRPr="00C2646B">
        <w:rPr>
          <w:rFonts w:hint="cs"/>
          <w:rtl/>
        </w:rPr>
        <w:t xml:space="preserve">، </w:t>
      </w:r>
      <w:r w:rsidRPr="00C2646B">
        <w:rPr>
          <w:rtl/>
        </w:rPr>
        <w:t xml:space="preserve">المعنونة "نظرة عامة على أنشطة </w:t>
      </w:r>
      <w:r w:rsidRPr="00C2646B">
        <w:rPr>
          <w:rFonts w:hint="cs"/>
          <w:rtl/>
        </w:rPr>
        <w:t>ل</w:t>
      </w:r>
      <w:r w:rsidRPr="00C2646B">
        <w:rPr>
          <w:rtl/>
        </w:rPr>
        <w:t xml:space="preserve">جنة </w:t>
      </w:r>
      <w:r w:rsidRPr="00C2646B">
        <w:rPr>
          <w:rFonts w:hint="cs"/>
          <w:rtl/>
        </w:rPr>
        <w:t xml:space="preserve">المعارف </w:t>
      </w:r>
      <w:r w:rsidRPr="00C2646B">
        <w:rPr>
          <w:rtl/>
        </w:rPr>
        <w:t>ونتائجها"، والتي تضمنت موجزا قصيرا للمناقشات التي</w:t>
      </w:r>
      <w:r w:rsidRPr="00C2646B">
        <w:rPr>
          <w:rFonts w:hint="cs"/>
          <w:rtl/>
        </w:rPr>
        <w:t xml:space="preserve"> أجرتها </w:t>
      </w:r>
      <w:r w:rsidRPr="00C2646B">
        <w:rPr>
          <w:rtl/>
        </w:rPr>
        <w:t>اللجنة</w:t>
      </w:r>
      <w:r w:rsidRPr="00C2646B">
        <w:rPr>
          <w:rFonts w:hint="cs"/>
          <w:rtl/>
        </w:rPr>
        <w:t xml:space="preserve"> </w:t>
      </w:r>
      <w:r w:rsidRPr="00C2646B">
        <w:rPr>
          <w:rtl/>
        </w:rPr>
        <w:t>بشأن قواعد البيانات. وصدرت في الدور</w:t>
      </w:r>
      <w:r w:rsidRPr="00C2646B">
        <w:rPr>
          <w:rFonts w:hint="cs"/>
          <w:rtl/>
        </w:rPr>
        <w:t>تين</w:t>
      </w:r>
      <w:r w:rsidRPr="00C2646B">
        <w:rPr>
          <w:rtl/>
        </w:rPr>
        <w:t xml:space="preserve"> السادسة (مارس 2004) وال</w:t>
      </w:r>
      <w:r w:rsidRPr="00C2646B">
        <w:rPr>
          <w:rFonts w:hint="cs"/>
          <w:rtl/>
        </w:rPr>
        <w:t xml:space="preserve">حادية عشرة </w:t>
      </w:r>
      <w:r w:rsidRPr="00C2646B">
        <w:rPr>
          <w:rtl/>
        </w:rPr>
        <w:t xml:space="preserve">(يوليو 2007)، نسخ محدثة </w:t>
      </w:r>
      <w:r w:rsidRPr="00C2646B">
        <w:rPr>
          <w:rFonts w:hint="cs"/>
          <w:rtl/>
        </w:rPr>
        <w:t>ل</w:t>
      </w:r>
      <w:r w:rsidRPr="00C2646B">
        <w:rPr>
          <w:rtl/>
        </w:rPr>
        <w:t>هذه الوثيقة (الوثيقتان</w:t>
      </w:r>
      <w:r w:rsidRPr="00C2646B">
        <w:rPr>
          <w:rFonts w:hint="cs"/>
          <w:rtl/>
        </w:rPr>
        <w:t> </w:t>
      </w:r>
      <w:r w:rsidRPr="00C2646B">
        <w:t>WIPO/GRTKF/IC/6/8</w:t>
      </w:r>
      <w:r w:rsidRPr="00C2646B">
        <w:rPr>
          <w:rFonts w:hint="cs"/>
          <w:rtl/>
        </w:rPr>
        <w:t xml:space="preserve"> و</w:t>
      </w:r>
      <w:r w:rsidRPr="00C2646B">
        <w:t>WIPO/GRTKF/IC/11/9</w:t>
      </w:r>
      <w:r w:rsidRPr="00C2646B">
        <w:rPr>
          <w:rtl/>
        </w:rPr>
        <w:t>).</w:t>
      </w:r>
    </w:p>
    <w:p w:rsidR="00C2646B" w:rsidRPr="00C2646B" w:rsidRDefault="00C2646B" w:rsidP="00C2646B">
      <w:pPr>
        <w:pStyle w:val="ONUMA"/>
        <w:rPr>
          <w:rtl/>
        </w:rPr>
      </w:pPr>
      <w:r w:rsidRPr="00C2646B">
        <w:rPr>
          <w:rtl/>
        </w:rPr>
        <w:t xml:space="preserve">وفي الدورة </w:t>
      </w:r>
      <w:r w:rsidRPr="00C2646B">
        <w:rPr>
          <w:rFonts w:hint="cs"/>
          <w:rtl/>
        </w:rPr>
        <w:t>السابعة والعشرين</w:t>
      </w:r>
      <w:r w:rsidRPr="00C2646B">
        <w:rPr>
          <w:rtl/>
        </w:rPr>
        <w:t xml:space="preserve"> للجنة </w:t>
      </w:r>
      <w:r w:rsidRPr="00C2646B">
        <w:rPr>
          <w:rFonts w:hint="cs"/>
          <w:rtl/>
        </w:rPr>
        <w:t xml:space="preserve">المعارف (مارس/أبريل 2014) </w:t>
      </w:r>
      <w:r w:rsidRPr="00C2646B">
        <w:rPr>
          <w:rtl/>
        </w:rPr>
        <w:t>قدمت وفود كندا واليابان والنرويج وجمهورية كوريا والولايات المتحدة الأمريكية</w:t>
      </w:r>
      <w:r w:rsidRPr="00C2646B">
        <w:rPr>
          <w:rFonts w:hint="cs"/>
          <w:rtl/>
        </w:rPr>
        <w:t xml:space="preserve"> </w:t>
      </w:r>
      <w:r w:rsidRPr="00C2646B">
        <w:rPr>
          <w:rtl/>
        </w:rPr>
        <w:t>وثيقة بعنوان "الردود على الأسئلة المتعلقة بقواعد البيانات على المستوى الوطني وبوابة دولية" كوثيقة إعلامية</w:t>
      </w:r>
      <w:r w:rsidRPr="00C2646B">
        <w:rPr>
          <w:rFonts w:hint="cs"/>
          <w:rtl/>
        </w:rPr>
        <w:t xml:space="preserve"> (الوثيقة </w:t>
      </w:r>
      <w:r w:rsidRPr="00C2646B">
        <w:t>WIPO/GRTKF/IC/27/INF/11</w:t>
      </w:r>
      <w:r w:rsidRPr="00C2646B">
        <w:rPr>
          <w:rFonts w:hint="cs"/>
          <w:rtl/>
        </w:rPr>
        <w:t>). و</w:t>
      </w:r>
      <w:r w:rsidRPr="00C2646B">
        <w:rPr>
          <w:rtl/>
        </w:rPr>
        <w:t>طرحت أسئلة في اللجنة بشأن إنشاء قواعد بيانات للموارد الوراثية والمعارف التقليدية واستخدام</w:t>
      </w:r>
      <w:r w:rsidRPr="00C2646B">
        <w:rPr>
          <w:rFonts w:hint="cs"/>
          <w:rtl/>
        </w:rPr>
        <w:t>ها</w:t>
      </w:r>
      <w:r w:rsidRPr="00C2646B">
        <w:rPr>
          <w:rtl/>
        </w:rPr>
        <w:t>.</w:t>
      </w:r>
      <w:r w:rsidRPr="00C2646B">
        <w:rPr>
          <w:rFonts w:hint="cs"/>
          <w:rtl/>
        </w:rPr>
        <w:t xml:space="preserve"> و</w:t>
      </w:r>
      <w:r w:rsidRPr="00C2646B">
        <w:rPr>
          <w:rtl/>
        </w:rPr>
        <w:t xml:space="preserve">جمعت الوثيقة تعليقات كندا واليابان والنرويج وجنوب أفريقيا وجمهورية كوريا والسويد والولايات المتحدة الأمريكية </w:t>
      </w:r>
      <w:r w:rsidRPr="00C2646B">
        <w:rPr>
          <w:rFonts w:hint="cs"/>
          <w:rtl/>
        </w:rPr>
        <w:t>و</w:t>
      </w:r>
      <w:r w:rsidRPr="00C2646B">
        <w:rPr>
          <w:rtl/>
        </w:rPr>
        <w:t>رد</w:t>
      </w:r>
      <w:r w:rsidRPr="00C2646B">
        <w:rPr>
          <w:rFonts w:hint="cs"/>
          <w:rtl/>
        </w:rPr>
        <w:t xml:space="preserve">ودها على تلك الأسئلة. </w:t>
      </w:r>
      <w:r w:rsidRPr="00C2646B">
        <w:rPr>
          <w:rtl/>
        </w:rPr>
        <w:t>وقد أعيد تقديم الوثيقة في الدورة الثامنة والعشرين للجنة (يوليو 2014) في الوثيقة</w:t>
      </w:r>
      <w:r w:rsidRPr="00C2646B">
        <w:rPr>
          <w:rFonts w:hint="cs"/>
          <w:rtl/>
        </w:rPr>
        <w:t> </w:t>
      </w:r>
      <w:r w:rsidRPr="00C2646B">
        <w:t>WIPO/GRTKF/IC/28/INF/10</w:t>
      </w:r>
      <w:r w:rsidRPr="00C2646B">
        <w:rPr>
          <w:rFonts w:hint="cs"/>
          <w:rtl/>
        </w:rPr>
        <w:t>.</w:t>
      </w:r>
    </w:p>
    <w:p w:rsidR="00C2646B" w:rsidRPr="00C2646B" w:rsidRDefault="00C2646B" w:rsidP="00C2646B">
      <w:pPr>
        <w:pStyle w:val="ONUMA"/>
      </w:pPr>
      <w:r w:rsidRPr="00C2646B">
        <w:rPr>
          <w:rFonts w:hint="cs"/>
          <w:rtl/>
        </w:rPr>
        <w:t>وفي 2015 و2016 و2017</w:t>
      </w:r>
      <w:r>
        <w:rPr>
          <w:rFonts w:hint="cs"/>
          <w:rtl/>
        </w:rPr>
        <w:t xml:space="preserve"> و2021</w:t>
      </w:r>
      <w:r w:rsidRPr="00C2646B">
        <w:rPr>
          <w:rFonts w:hint="cs"/>
          <w:rtl/>
        </w:rPr>
        <w:t>،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C2646B" w:rsidRPr="006A729E" w:rsidRDefault="00C2646B" w:rsidP="006A729E">
      <w:pPr>
        <w:pStyle w:val="ONUMA"/>
        <w:numPr>
          <w:ilvl w:val="0"/>
          <w:numId w:val="35"/>
        </w:numPr>
      </w:pPr>
      <w:r w:rsidRPr="006A729E">
        <w:rPr>
          <w:rFonts w:hint="cs"/>
          <w:rtl/>
        </w:rPr>
        <w:t xml:space="preserve">السيدة شيلي رو: </w:t>
      </w:r>
      <w:r w:rsidR="006A729E" w:rsidRPr="006A729E">
        <w:rPr>
          <w:rtl/>
        </w:rPr>
        <w:br/>
      </w:r>
      <w:hyperlink r:id="rId26" w:history="1">
        <w:r w:rsidR="006A729E" w:rsidRPr="006A729E">
          <w:rPr>
            <w:rStyle w:val="Hyperlink"/>
            <w:color w:val="auto"/>
            <w:u w:val="none"/>
          </w:rPr>
          <w:t>https://www.wipo.int/edocs/mdocs/tk/en/wipo_iptk_ge_16/wipo_iptk_ge_16_presentation_14rowe.pdf</w:t>
        </w:r>
      </w:hyperlink>
      <w:r w:rsidR="006A729E" w:rsidRPr="006A729E">
        <w:rPr>
          <w:rFonts w:hint="cs"/>
          <w:rtl/>
        </w:rPr>
        <w:t>؛</w:t>
      </w:r>
    </w:p>
    <w:p w:rsidR="00575FB0" w:rsidRPr="006A729E" w:rsidRDefault="00C2646B" w:rsidP="006A729E">
      <w:pPr>
        <w:pStyle w:val="ONUMA"/>
        <w:numPr>
          <w:ilvl w:val="0"/>
          <w:numId w:val="35"/>
        </w:numPr>
      </w:pPr>
      <w:r w:rsidRPr="006A729E">
        <w:rPr>
          <w:rFonts w:hint="cs"/>
          <w:rtl/>
        </w:rPr>
        <w:t>و</w:t>
      </w:r>
      <w:r w:rsidRPr="006A729E">
        <w:rPr>
          <w:rtl/>
        </w:rPr>
        <w:t xml:space="preserve">السيدة أروها تي </w:t>
      </w:r>
      <w:proofErr w:type="spellStart"/>
      <w:r w:rsidRPr="006A729E">
        <w:rPr>
          <w:rtl/>
        </w:rPr>
        <w:t>بارياكي</w:t>
      </w:r>
      <w:proofErr w:type="spellEnd"/>
      <w:r w:rsidRPr="006A729E">
        <w:rPr>
          <w:rtl/>
        </w:rPr>
        <w:t xml:space="preserve"> ميد</w:t>
      </w:r>
      <w:r w:rsidRPr="006A729E">
        <w:rPr>
          <w:rFonts w:hint="cs"/>
          <w:rtl/>
        </w:rPr>
        <w:t xml:space="preserve">: </w:t>
      </w:r>
      <w:hyperlink r:id="rId27" w:history="1">
        <w:r w:rsidR="006A729E" w:rsidRPr="006A729E">
          <w:rPr>
            <w:rStyle w:val="Hyperlink"/>
            <w:color w:val="auto"/>
            <w:u w:val="none"/>
          </w:rPr>
          <w:t>https://www.wipo.int/edocs/mdocs/tk/en/wipo_iptk_ge_16/wipo_iptk_ge_16_presentation_16mead.pdf</w:t>
        </w:r>
      </w:hyperlink>
      <w:r w:rsidR="00575FB0" w:rsidRPr="006A729E">
        <w:rPr>
          <w:rFonts w:hint="cs"/>
          <w:rtl/>
          <w:lang w:val="fr-CH"/>
        </w:rPr>
        <w:t>؛</w:t>
      </w:r>
    </w:p>
    <w:p w:rsidR="00575FB0" w:rsidRDefault="00A021E1" w:rsidP="006A729E">
      <w:pPr>
        <w:pStyle w:val="ONUMA"/>
        <w:numPr>
          <w:ilvl w:val="0"/>
          <w:numId w:val="35"/>
        </w:numPr>
      </w:pPr>
      <w:r>
        <w:rPr>
          <w:rFonts w:hint="cs"/>
          <w:rtl/>
        </w:rPr>
        <w:t xml:space="preserve">والسيد دومينيك </w:t>
      </w:r>
      <w:proofErr w:type="spellStart"/>
      <w:r>
        <w:rPr>
          <w:rFonts w:hint="cs"/>
          <w:rtl/>
        </w:rPr>
        <w:t>كيتينغ</w:t>
      </w:r>
      <w:proofErr w:type="spellEnd"/>
      <w:r>
        <w:rPr>
          <w:rFonts w:hint="cs"/>
          <w:rtl/>
        </w:rPr>
        <w:t>:</w:t>
      </w:r>
      <w:r>
        <w:rPr>
          <w:rtl/>
        </w:rPr>
        <w:br/>
      </w:r>
      <w:r w:rsidR="006A729E" w:rsidRPr="006A729E">
        <w:t>https://www.wipo.int/edocs/mdocs/tk/en/wipo_iptk_ge_21/wipo_iptk_ge_21_presentation_7_keating.pdf</w:t>
      </w:r>
      <w:r w:rsidR="006A729E" w:rsidRPr="006A729E">
        <w:rPr>
          <w:rFonts w:hint="cs"/>
          <w:rtl/>
        </w:rPr>
        <w:t>؛</w:t>
      </w:r>
    </w:p>
    <w:p w:rsidR="00A021E1" w:rsidRDefault="00A021E1" w:rsidP="006A729E">
      <w:pPr>
        <w:pStyle w:val="ONUMA"/>
        <w:numPr>
          <w:ilvl w:val="0"/>
          <w:numId w:val="35"/>
        </w:numPr>
      </w:pPr>
      <w:r>
        <w:rPr>
          <w:rtl/>
        </w:rPr>
        <w:t xml:space="preserve">والسيد بول </w:t>
      </w:r>
      <w:proofErr w:type="spellStart"/>
      <w:r>
        <w:rPr>
          <w:rtl/>
        </w:rPr>
        <w:t>أولدهام</w:t>
      </w:r>
      <w:proofErr w:type="spellEnd"/>
      <w:r>
        <w:rPr>
          <w:rtl/>
        </w:rPr>
        <w:t>:</w:t>
      </w:r>
      <w:r w:rsidR="006A729E">
        <w:rPr>
          <w:rtl/>
        </w:rPr>
        <w:br/>
      </w:r>
      <w:r w:rsidR="006A729E" w:rsidRPr="006A729E">
        <w:t>https://www.wipo.int/edocs/mdocs/tk/en/wipo_iptk_ge_21/wipo_iptk_ge_21_presentation_9_oldham.pdf</w:t>
      </w:r>
      <w:r w:rsidR="006A729E">
        <w:rPr>
          <w:rFonts w:hint="cs"/>
          <w:rtl/>
        </w:rPr>
        <w:t>؛</w:t>
      </w:r>
    </w:p>
    <w:p w:rsidR="00A021E1" w:rsidRPr="006A729E" w:rsidRDefault="00A021E1" w:rsidP="00A021E1">
      <w:pPr>
        <w:pStyle w:val="ONUMA"/>
        <w:numPr>
          <w:ilvl w:val="0"/>
          <w:numId w:val="35"/>
        </w:numPr>
      </w:pPr>
      <w:r w:rsidRPr="006A729E">
        <w:rPr>
          <w:rFonts w:hint="cs"/>
          <w:rtl/>
        </w:rPr>
        <w:lastRenderedPageBreak/>
        <w:t>والسيدة سو نوي:</w:t>
      </w:r>
      <w:r w:rsidRPr="006A729E">
        <w:rPr>
          <w:rtl/>
        </w:rPr>
        <w:br/>
      </w:r>
      <w:hyperlink r:id="rId28" w:history="1">
        <w:r w:rsidR="006A729E" w:rsidRPr="006A729E">
          <w:rPr>
            <w:rStyle w:val="Hyperlink"/>
            <w:color w:val="auto"/>
            <w:u w:val="none"/>
            <w:lang w:val="es-ES"/>
          </w:rPr>
          <w:t>https://www.wipo.int/edocs/mdocs/tk/en/wipo_iptk_ge_21/wipo_iptk_ge_21_presentation_10_noe.pdf</w:t>
        </w:r>
      </w:hyperlink>
      <w:r w:rsidRPr="006A729E">
        <w:rPr>
          <w:rFonts w:hint="cs"/>
          <w:rtl/>
          <w:lang w:val="es-ES"/>
        </w:rPr>
        <w:t>.</w:t>
      </w:r>
    </w:p>
    <w:p w:rsidR="00C04F3B" w:rsidRDefault="00C04F3B" w:rsidP="00B15C3A">
      <w:pPr>
        <w:pStyle w:val="ONUMA"/>
        <w:ind w:left="5530"/>
        <w:rPr>
          <w:i/>
          <w:iCs/>
        </w:rPr>
      </w:pPr>
      <w:r w:rsidRPr="00B15C3A">
        <w:rPr>
          <w:i/>
          <w:iCs/>
          <w:rtl/>
        </w:rPr>
        <w:t>إن اللجنة مدعوةٌ إلى الإحاطة علما بهذه الوثيقة، وتقديم كل ما ترغب من تعليقات، بما في ذلك تحديد أية فجوات.</w:t>
      </w:r>
    </w:p>
    <w:p w:rsidR="00B15C3A" w:rsidRPr="00B15C3A" w:rsidRDefault="00B15C3A" w:rsidP="00B15C3A">
      <w:pPr>
        <w:pStyle w:val="ONUMA"/>
        <w:numPr>
          <w:ilvl w:val="0"/>
          <w:numId w:val="0"/>
        </w:numPr>
        <w:ind w:left="5530"/>
        <w:rPr>
          <w:i/>
          <w:iCs/>
        </w:rPr>
      </w:pPr>
    </w:p>
    <w:p w:rsidR="00FE339E" w:rsidRPr="00810574" w:rsidRDefault="005875D1" w:rsidP="00C04F3B">
      <w:pPr>
        <w:pStyle w:val="Endofdocument-Annex"/>
        <w:rPr>
          <w:lang w:eastAsia="en-US"/>
        </w:rPr>
      </w:pPr>
      <w:r w:rsidRPr="005875D1">
        <w:rPr>
          <w:rtl/>
          <w:lang w:eastAsia="en-US"/>
        </w:rPr>
        <w:t>[نهاية الوثيقة]</w:t>
      </w:r>
    </w:p>
    <w:sectPr w:rsidR="00FE339E" w:rsidRPr="00810574" w:rsidSect="00EB7752">
      <w:headerReference w:type="default" r:id="rId2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80" w:rsidRDefault="009C6280">
      <w:r>
        <w:separator/>
      </w:r>
    </w:p>
  </w:endnote>
  <w:endnote w:type="continuationSeparator" w:id="0">
    <w:p w:rsidR="009C6280" w:rsidRDefault="009C6280" w:rsidP="003B38C1">
      <w:r>
        <w:separator/>
      </w:r>
    </w:p>
    <w:p w:rsidR="009C6280" w:rsidRPr="003B38C1" w:rsidRDefault="009C6280" w:rsidP="003B38C1">
      <w:pPr>
        <w:spacing w:after="60"/>
        <w:rPr>
          <w:sz w:val="17"/>
        </w:rPr>
      </w:pPr>
      <w:r>
        <w:rPr>
          <w:sz w:val="17"/>
        </w:rPr>
        <w:t>[Endnote continued from previous page]</w:t>
      </w:r>
    </w:p>
  </w:endnote>
  <w:endnote w:type="continuationNotice" w:id="1">
    <w:p w:rsidR="009C6280" w:rsidRPr="003B38C1" w:rsidRDefault="009C62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80" w:rsidRDefault="009C6280">
      <w:r>
        <w:separator/>
      </w:r>
    </w:p>
  </w:footnote>
  <w:footnote w:type="continuationSeparator" w:id="0">
    <w:p w:rsidR="009C6280" w:rsidRDefault="009C6280" w:rsidP="008B60B2">
      <w:r>
        <w:separator/>
      </w:r>
    </w:p>
    <w:p w:rsidR="009C6280" w:rsidRPr="00ED77FB" w:rsidRDefault="009C6280" w:rsidP="008B60B2">
      <w:pPr>
        <w:spacing w:after="60"/>
        <w:rPr>
          <w:sz w:val="17"/>
          <w:szCs w:val="17"/>
        </w:rPr>
      </w:pPr>
      <w:r w:rsidRPr="00ED77FB">
        <w:rPr>
          <w:sz w:val="17"/>
          <w:szCs w:val="17"/>
        </w:rPr>
        <w:t>[Footnote continued from previous page]</w:t>
      </w:r>
    </w:p>
  </w:footnote>
  <w:footnote w:type="continuationNotice" w:id="1">
    <w:p w:rsidR="009C6280" w:rsidRPr="00ED77FB" w:rsidRDefault="009C6280" w:rsidP="008B60B2">
      <w:pPr>
        <w:spacing w:before="60"/>
        <w:jc w:val="right"/>
        <w:rPr>
          <w:sz w:val="17"/>
          <w:szCs w:val="17"/>
        </w:rPr>
      </w:pPr>
      <w:r w:rsidRPr="00ED77FB">
        <w:rPr>
          <w:sz w:val="17"/>
          <w:szCs w:val="17"/>
        </w:rPr>
        <w:t>[Footnote continued on next page]</w:t>
      </w:r>
    </w:p>
  </w:footnote>
  <w:footnote w:id="2">
    <w:p w:rsidR="00DF12E1" w:rsidRDefault="00DF12E1" w:rsidP="00DF12E1">
      <w:pPr>
        <w:pStyle w:val="FootnoteText"/>
      </w:pPr>
      <w:r>
        <w:rPr>
          <w:rStyle w:val="FootnoteReference"/>
        </w:rPr>
        <w:footnoteRef/>
      </w:r>
      <w:r>
        <w:rPr>
          <w:rtl/>
        </w:rPr>
        <w:t xml:space="preserve"> </w:t>
      </w:r>
      <w:r w:rsidRPr="00C02620">
        <w:rPr>
          <w:rtl/>
        </w:rPr>
        <w:t>في حين توجد أشكال مختلفة من الوثائق، مثل السجلات وقواعد البيانات والمنصات وقوائم الجرد والكتالوجات وغيرها، تستخدم هذه الوثيقة مصطلح "قواعد البيانات" لتغطية جميع أشكال الوثائق المختلفة. ولا تتناول هذه الوثيقة قواعد البيانات أو أي شكل آخر من وثائق أشكال التعبير الثقافي التقليدي.</w:t>
      </w:r>
    </w:p>
  </w:footnote>
  <w:footnote w:id="3">
    <w:p w:rsidR="005E469E" w:rsidRDefault="005E469E" w:rsidP="005E469E">
      <w:pPr>
        <w:pStyle w:val="FootnoteText"/>
      </w:pPr>
      <w:r>
        <w:rPr>
          <w:rStyle w:val="FootnoteReference"/>
        </w:rPr>
        <w:footnoteRef/>
      </w:r>
      <w:r>
        <w:rPr>
          <w:rtl/>
        </w:rPr>
        <w:t xml:space="preserve"> </w:t>
      </w:r>
      <w:r w:rsidRPr="0024071D">
        <w:t>C. PCT 1544</w:t>
      </w:r>
      <w:r w:rsidRPr="0024071D">
        <w:rPr>
          <w:rFonts w:hint="cs"/>
          <w:rtl/>
        </w:rPr>
        <w:t xml:space="preserve"> المؤرخ 9 يوليو 2018 والمتاح على الرابط التالي: </w:t>
      </w:r>
      <w:r w:rsidRPr="004340EE">
        <w:t>https://www.wipo.int/export/sites/www/pct/en/circulars/2018/1544.pdf</w:t>
      </w:r>
      <w:r w:rsidRPr="0024071D">
        <w:rPr>
          <w:rFonts w:hint="cs"/>
          <w:rtl/>
        </w:rPr>
        <w:t>.</w:t>
      </w:r>
    </w:p>
  </w:footnote>
  <w:footnote w:id="4">
    <w:p w:rsidR="005E469E" w:rsidRDefault="005E469E" w:rsidP="005E469E">
      <w:pPr>
        <w:pStyle w:val="FootnoteText"/>
      </w:pPr>
      <w:r>
        <w:rPr>
          <w:rStyle w:val="FootnoteReference"/>
        </w:rPr>
        <w:footnoteRef/>
      </w:r>
      <w:r>
        <w:rPr>
          <w:rtl/>
        </w:rPr>
        <w:t xml:space="preserve"> </w:t>
      </w:r>
      <w:r>
        <w:rPr>
          <w:rFonts w:hint="cs"/>
          <w:rtl/>
        </w:rPr>
        <w:t xml:space="preserve">انظر الوثيقة </w:t>
      </w:r>
      <w:r w:rsidRPr="0074306F">
        <w:t>PCT/MIA/26/13</w:t>
      </w:r>
      <w:r>
        <w:rPr>
          <w:rFonts w:hint="cs"/>
          <w:rtl/>
        </w:rPr>
        <w:t>، الفقرة 76.</w:t>
      </w:r>
    </w:p>
  </w:footnote>
  <w:footnote w:id="5">
    <w:p w:rsidR="005E469E" w:rsidRDefault="005E469E" w:rsidP="005E469E">
      <w:pPr>
        <w:pStyle w:val="FootnoteText"/>
      </w:pPr>
      <w:r>
        <w:rPr>
          <w:rStyle w:val="FootnoteReference"/>
        </w:rPr>
        <w:footnoteRef/>
      </w:r>
      <w:r>
        <w:rPr>
          <w:rtl/>
        </w:rPr>
        <w:t xml:space="preserve"> </w:t>
      </w:r>
      <w:r>
        <w:rPr>
          <w:rFonts w:hint="cs"/>
          <w:rtl/>
        </w:rPr>
        <w:t xml:space="preserve"> انظر الوثيقة </w:t>
      </w:r>
      <w:r w:rsidRPr="00A57799">
        <w:rPr>
          <w:lang w:val="es-US"/>
        </w:rPr>
        <w:t>PCT/MIA/27/12</w:t>
      </w:r>
      <w:r>
        <w:rPr>
          <w:rFonts w:hint="cs"/>
          <w:rtl/>
          <w:lang w:val="es-US"/>
        </w:rPr>
        <w:t>، الفقرة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D0" w:rsidRDefault="00BD60D0" w:rsidP="00BD60D0">
    <w:pPr>
      <w:pStyle w:val="Header"/>
      <w:bidi w:val="0"/>
    </w:pPr>
    <w:r w:rsidRPr="00BD60D0">
      <w:t>WIPO/GRTKF/IC/42/</w:t>
    </w:r>
    <w:r w:rsidR="00DF12E1">
      <w:rPr>
        <w:rFonts w:hint="cs"/>
        <w:rtl/>
      </w:rPr>
      <w:t>6</w:t>
    </w:r>
  </w:p>
  <w:p w:rsidR="00BD60D0" w:rsidRDefault="00BD60D0" w:rsidP="00BD60D0">
    <w:pPr>
      <w:pStyle w:val="Header"/>
      <w:bidi w:val="0"/>
    </w:pPr>
    <w:r>
      <w:fldChar w:fldCharType="begin"/>
    </w:r>
    <w:r>
      <w:instrText xml:space="preserve"> PAGE   \* MERGEFORMAT </w:instrText>
    </w:r>
    <w:r>
      <w:fldChar w:fldCharType="separate"/>
    </w:r>
    <w:r w:rsidR="004A1F3D">
      <w:rPr>
        <w:noProof/>
      </w:rPr>
      <w:t>8</w:t>
    </w:r>
    <w:r>
      <w:rPr>
        <w:noProof/>
      </w:rPr>
      <w:fldChar w:fldCharType="end"/>
    </w:r>
  </w:p>
  <w:p w:rsidR="00BD60D0" w:rsidRPr="00BD60D0" w:rsidRDefault="00BD60D0" w:rsidP="00BD60D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7004C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0292E45"/>
    <w:multiLevelType w:val="hybridMultilevel"/>
    <w:tmpl w:val="79E483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5" w15:restartNumberingAfterBreak="0">
    <w:nsid w:val="58D77149"/>
    <w:multiLevelType w:val="hybridMultilevel"/>
    <w:tmpl w:val="86DE6B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75F3F"/>
    <w:multiLevelType w:val="multilevel"/>
    <w:tmpl w:val="35EC1E4C"/>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7B276629"/>
    <w:multiLevelType w:val="hybridMultilevel"/>
    <w:tmpl w:val="DA045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1"/>
  </w:num>
  <w:num w:numId="5">
    <w:abstractNumId w:val="1"/>
  </w:num>
  <w:num w:numId="6">
    <w:abstractNumId w:val="4"/>
  </w:num>
  <w:num w:numId="7">
    <w:abstractNumId w:val="14"/>
  </w:num>
  <w:num w:numId="8">
    <w:abstractNumId w:val="6"/>
  </w:num>
  <w:num w:numId="9">
    <w:abstractNumId w:val="10"/>
  </w:num>
  <w:num w:numId="10">
    <w:abstractNumId w:val="16"/>
  </w:num>
  <w:num w:numId="11">
    <w:abstractNumId w:val="17"/>
  </w:num>
  <w:num w:numId="12">
    <w:abstractNumId w:val="2"/>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9"/>
  </w:num>
  <w:num w:numId="24">
    <w:abstractNumId w:val="14"/>
  </w:num>
  <w:num w:numId="25">
    <w:abstractNumId w:val="14"/>
  </w:num>
  <w:num w:numId="26">
    <w:abstractNumId w:val="14"/>
  </w:num>
  <w:num w:numId="27">
    <w:abstractNumId w:val="14"/>
  </w:num>
  <w:num w:numId="28">
    <w:abstractNumId w:val="13"/>
  </w:num>
  <w:num w:numId="29">
    <w:abstractNumId w:val="15"/>
  </w:num>
  <w:num w:numId="30">
    <w:abstractNumId w:val="12"/>
  </w:num>
  <w:num w:numId="31">
    <w:abstractNumId w:val="20"/>
  </w:num>
  <w:num w:numId="32">
    <w:abstractNumId w:val="8"/>
  </w:num>
  <w:num w:numId="33">
    <w:abstractNumId w:val="5"/>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96CA1"/>
    <w:rsid w:val="000A36F0"/>
    <w:rsid w:val="000A3D97"/>
    <w:rsid w:val="000F5E56"/>
    <w:rsid w:val="00127BAD"/>
    <w:rsid w:val="001362EE"/>
    <w:rsid w:val="001406E1"/>
    <w:rsid w:val="00155D8A"/>
    <w:rsid w:val="00160172"/>
    <w:rsid w:val="001647D5"/>
    <w:rsid w:val="001832A6"/>
    <w:rsid w:val="001940A0"/>
    <w:rsid w:val="0019592A"/>
    <w:rsid w:val="00196044"/>
    <w:rsid w:val="001D4107"/>
    <w:rsid w:val="00203D24"/>
    <w:rsid w:val="00210D5F"/>
    <w:rsid w:val="0021217E"/>
    <w:rsid w:val="00212EDF"/>
    <w:rsid w:val="002326AB"/>
    <w:rsid w:val="00243430"/>
    <w:rsid w:val="0024540F"/>
    <w:rsid w:val="002634C4"/>
    <w:rsid w:val="002928D3"/>
    <w:rsid w:val="002937BA"/>
    <w:rsid w:val="002F1FE6"/>
    <w:rsid w:val="002F4E68"/>
    <w:rsid w:val="00312F7F"/>
    <w:rsid w:val="00360207"/>
    <w:rsid w:val="00361450"/>
    <w:rsid w:val="003673CF"/>
    <w:rsid w:val="003845C1"/>
    <w:rsid w:val="003A6F89"/>
    <w:rsid w:val="003B355C"/>
    <w:rsid w:val="003B38C1"/>
    <w:rsid w:val="003B76A4"/>
    <w:rsid w:val="003C34E9"/>
    <w:rsid w:val="003C687A"/>
    <w:rsid w:val="00423E3E"/>
    <w:rsid w:val="00427AF4"/>
    <w:rsid w:val="004647DA"/>
    <w:rsid w:val="00474062"/>
    <w:rsid w:val="00477D6B"/>
    <w:rsid w:val="004A1F3D"/>
    <w:rsid w:val="004E4527"/>
    <w:rsid w:val="005019FF"/>
    <w:rsid w:val="0053057A"/>
    <w:rsid w:val="00556076"/>
    <w:rsid w:val="00560A29"/>
    <w:rsid w:val="00575FB0"/>
    <w:rsid w:val="005875D1"/>
    <w:rsid w:val="005A53BE"/>
    <w:rsid w:val="005C6324"/>
    <w:rsid w:val="005C6649"/>
    <w:rsid w:val="005E469E"/>
    <w:rsid w:val="005E7B89"/>
    <w:rsid w:val="00605827"/>
    <w:rsid w:val="00615CB0"/>
    <w:rsid w:val="00646050"/>
    <w:rsid w:val="00664F4E"/>
    <w:rsid w:val="006713CA"/>
    <w:rsid w:val="00676C5C"/>
    <w:rsid w:val="006A4C55"/>
    <w:rsid w:val="006A729E"/>
    <w:rsid w:val="006B5C12"/>
    <w:rsid w:val="00720EFD"/>
    <w:rsid w:val="007854AF"/>
    <w:rsid w:val="00793A7C"/>
    <w:rsid w:val="007A398A"/>
    <w:rsid w:val="007A547D"/>
    <w:rsid w:val="007C4902"/>
    <w:rsid w:val="007D1613"/>
    <w:rsid w:val="007E4C0E"/>
    <w:rsid w:val="007F2029"/>
    <w:rsid w:val="00810574"/>
    <w:rsid w:val="008A134B"/>
    <w:rsid w:val="008B2CC1"/>
    <w:rsid w:val="008B60B2"/>
    <w:rsid w:val="008B742E"/>
    <w:rsid w:val="008F02BC"/>
    <w:rsid w:val="0090731E"/>
    <w:rsid w:val="00916EE2"/>
    <w:rsid w:val="00966A22"/>
    <w:rsid w:val="0096722F"/>
    <w:rsid w:val="00980843"/>
    <w:rsid w:val="009B0855"/>
    <w:rsid w:val="009C6280"/>
    <w:rsid w:val="009E2791"/>
    <w:rsid w:val="009E3F6F"/>
    <w:rsid w:val="009F25BA"/>
    <w:rsid w:val="009F499F"/>
    <w:rsid w:val="00A021E1"/>
    <w:rsid w:val="00A02F0F"/>
    <w:rsid w:val="00A37342"/>
    <w:rsid w:val="00A42C18"/>
    <w:rsid w:val="00A42DAF"/>
    <w:rsid w:val="00A45BD8"/>
    <w:rsid w:val="00A57799"/>
    <w:rsid w:val="00A869B7"/>
    <w:rsid w:val="00A90F0A"/>
    <w:rsid w:val="00AA4217"/>
    <w:rsid w:val="00AC205C"/>
    <w:rsid w:val="00AF0A6B"/>
    <w:rsid w:val="00B05A69"/>
    <w:rsid w:val="00B15C3A"/>
    <w:rsid w:val="00B268A1"/>
    <w:rsid w:val="00B42CA9"/>
    <w:rsid w:val="00B51FF7"/>
    <w:rsid w:val="00B75281"/>
    <w:rsid w:val="00B92B95"/>
    <w:rsid w:val="00B92F1F"/>
    <w:rsid w:val="00B9734B"/>
    <w:rsid w:val="00BA30E2"/>
    <w:rsid w:val="00BD60D0"/>
    <w:rsid w:val="00BF0574"/>
    <w:rsid w:val="00C04F3B"/>
    <w:rsid w:val="00C11BFE"/>
    <w:rsid w:val="00C2646B"/>
    <w:rsid w:val="00C5068F"/>
    <w:rsid w:val="00C54E8D"/>
    <w:rsid w:val="00C86D74"/>
    <w:rsid w:val="00CB3DBA"/>
    <w:rsid w:val="00CC3E2D"/>
    <w:rsid w:val="00CD04F1"/>
    <w:rsid w:val="00CE19F8"/>
    <w:rsid w:val="00CF681A"/>
    <w:rsid w:val="00D07C78"/>
    <w:rsid w:val="00D27931"/>
    <w:rsid w:val="00D45252"/>
    <w:rsid w:val="00D530E8"/>
    <w:rsid w:val="00D60B2C"/>
    <w:rsid w:val="00D67EAE"/>
    <w:rsid w:val="00D71B4D"/>
    <w:rsid w:val="00D90B96"/>
    <w:rsid w:val="00D93D55"/>
    <w:rsid w:val="00DA0E33"/>
    <w:rsid w:val="00DB03B9"/>
    <w:rsid w:val="00DD7B7F"/>
    <w:rsid w:val="00DF12E1"/>
    <w:rsid w:val="00E15015"/>
    <w:rsid w:val="00E319DF"/>
    <w:rsid w:val="00E335FE"/>
    <w:rsid w:val="00E542D3"/>
    <w:rsid w:val="00E66CC5"/>
    <w:rsid w:val="00E7374D"/>
    <w:rsid w:val="00E95EA0"/>
    <w:rsid w:val="00EA7D6E"/>
    <w:rsid w:val="00EB2F76"/>
    <w:rsid w:val="00EC4E49"/>
    <w:rsid w:val="00ED77FB"/>
    <w:rsid w:val="00EE066C"/>
    <w:rsid w:val="00EE45FA"/>
    <w:rsid w:val="00F043DE"/>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semiHidden/>
    <w:rsid w:val="005875D1"/>
    <w:rPr>
      <w:rFonts w:ascii="Arabic Typesetting" w:hAnsi="Arabic Typesetting" w:cs="Arabic Typesetting"/>
      <w:sz w:val="36"/>
      <w:szCs w:val="36"/>
      <w:vertAlign w:val="superscript"/>
    </w:rPr>
  </w:style>
  <w:style w:type="character" w:customStyle="1" w:styleId="FootnoteTextChar">
    <w:name w:val="Footnote Text Char"/>
    <w:basedOn w:val="DefaultParagraphFont"/>
    <w:link w:val="FootnoteText"/>
    <w:uiPriority w:val="99"/>
    <w:semiHidden/>
    <w:rsid w:val="00C04F3B"/>
    <w:rPr>
      <w:rFonts w:ascii="Arial" w:eastAsia="SimSun" w:hAnsi="Arial" w:cs="Calibri"/>
      <w:sz w:val="18"/>
      <w:szCs w:val="18"/>
      <w:lang w:val="en-US" w:eastAsia="zh-CN"/>
    </w:rPr>
  </w:style>
  <w:style w:type="character" w:styleId="Hyperlink">
    <w:name w:val="Hyperlink"/>
    <w:basedOn w:val="DefaultParagraphFont"/>
    <w:uiPriority w:val="99"/>
    <w:semiHidden/>
    <w:rsid w:val="00C04F3B"/>
    <w:rPr>
      <w:color w:val="0000FF" w:themeColor="hyperlink"/>
      <w:u w:val="single"/>
    </w:rPr>
  </w:style>
  <w:style w:type="character" w:customStyle="1" w:styleId="UnresolvedMention">
    <w:name w:val="Unresolved Mention"/>
    <w:basedOn w:val="DefaultParagraphFont"/>
    <w:uiPriority w:val="99"/>
    <w:semiHidden/>
    <w:unhideWhenUsed/>
    <w:rsid w:val="00E542D3"/>
    <w:rPr>
      <w:color w:val="605E5C"/>
      <w:shd w:val="clear" w:color="auto" w:fill="E1DFDD"/>
    </w:rPr>
  </w:style>
  <w:style w:type="character" w:styleId="FollowedHyperlink">
    <w:name w:val="FollowedHyperlink"/>
    <w:basedOn w:val="DefaultParagraphFont"/>
    <w:semiHidden/>
    <w:unhideWhenUsed/>
    <w:rsid w:val="00575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resources/db_registry.html" TargetMode="External"/><Relationship Id="rId18" Type="http://schemas.openxmlformats.org/officeDocument/2006/relationships/hyperlink" Target="https://www.wipo.int/edocs/mdocs/tk/en/wipo_iptk_ge_2_16/wipo_iptk_ge_2_16_presentation_12javed.pdf" TargetMode="External"/><Relationship Id="rId26" Type="http://schemas.openxmlformats.org/officeDocument/2006/relationships/hyperlink" Target="https://www.wipo.int/edocs/mdocs/tk/en/wipo_iptk_ge_16/wipo_iptk_ge_16_presentation_14rowe.pdf" TargetMode="External"/><Relationship Id="rId3" Type="http://schemas.openxmlformats.org/officeDocument/2006/relationships/styles" Target="styles.xml"/><Relationship Id="rId21" Type="http://schemas.openxmlformats.org/officeDocument/2006/relationships/hyperlink" Target="https://www.wipo.int/edocs/mdocs/tk/en/wipo_iptk_ge_2_15/wipo_iptk_ge_2_15_presentation_yoshinari_oyama.pdf" TargetMode="External"/><Relationship Id="rId7" Type="http://schemas.openxmlformats.org/officeDocument/2006/relationships/endnotes" Target="endnotes.xml"/><Relationship Id="rId12" Type="http://schemas.openxmlformats.org/officeDocument/2006/relationships/hyperlink" Target="https://www.wipo.int/publications/en/details.jsp?id=4235" TargetMode="External"/><Relationship Id="rId17" Type="http://schemas.openxmlformats.org/officeDocument/2006/relationships/hyperlink" Target="https://www.wipo.int/edocs/mdocs/tk/en/wipo_iptk_ge_2_15/wipo_iptk_ge_2_15_presentation_enrico_luzzatto.pdf&#1563;" TargetMode="External"/><Relationship Id="rId25" Type="http://schemas.openxmlformats.org/officeDocument/2006/relationships/hyperlink" Target="https://www.wipo.int/edocs/mdocs/tk/en/wipo_iptk_ge_21/wipo_iptk_ge_21_presentation_8_yusanti.pdf" TargetMode="Externa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enrico_luzzatto.pdf" TargetMode="External"/><Relationship Id="rId20" Type="http://schemas.openxmlformats.org/officeDocument/2006/relationships/hyperlink" Target="https://www.wipo.int/edocs/mdocs/tk/en/wipo_iptk_ge_2_16/wipo_iptk_ge2_16_presentation_12javed.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edocs/mdocs/tk/en/wipo_iptk_ge_2_15/wipo_iptk_ge_2_15_presentation_yonah_seleti.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5sackey.pdf" TargetMode="External"/><Relationship Id="rId23" Type="http://schemas.openxmlformats.org/officeDocument/2006/relationships/hyperlink" Target="https://www.wipo.int/edocs/mdocs/tk/en/wipo_iptk_ge_16/wipo_iptk_ge_16_presentation_17williams.pdf&#1563;" TargetMode="External"/><Relationship Id="rId28" Type="http://schemas.openxmlformats.org/officeDocument/2006/relationships/hyperlink" Target="https://www.wipo.int/edocs/mdocs/tk/en/wipo_iptk_ge_21/wipo_iptk_ge_21_presentation_10_noe.pdf" TargetMode="External"/><Relationship Id="rId10" Type="http://schemas.openxmlformats.org/officeDocument/2006/relationships/image" Target="media/image3.jpeg"/><Relationship Id="rId19" Type="http://schemas.openxmlformats.org/officeDocument/2006/relationships/hyperlink" Target="https://www.wipo.int/edocs/mdocs/tk/en/wipo_iptk_ge_16/wipo_iptk_ge_16_presentation_13dhar.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ipo.int/meetings/en/details.jsp?meeting_id=22423" TargetMode="External"/><Relationship Id="rId22" Type="http://schemas.openxmlformats.org/officeDocument/2006/relationships/hyperlink" Target="https://www.wipo.int/edocs/mdocs/tk/en/wipo_iptk_ge_16/wipo_iptk_ge_16_presentation_17williams.pdf" TargetMode="External"/><Relationship Id="rId27" Type="http://schemas.openxmlformats.org/officeDocument/2006/relationships/hyperlink" Target="https://www.wipo.int/edocs/mdocs/tk/en/wipo_iptk_ge_16/wipo_iptk_ge_16_presentation_16mead.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D18F-619E-447A-9D18-D8B668ED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0</TotalTime>
  <Pages>8</Pages>
  <Words>3150</Words>
  <Characters>23231</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WIPO/GRTK/IC/42/6</vt:lpstr>
    </vt:vector>
  </TitlesOfParts>
  <Company>WIPO</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WIPO/GRTK/IC/42/6</dc:title>
  <dc:creator>MERZOUK Fawzi</dc:creator>
  <cp:keywords>FOR OFFICIAL USE ONLY</cp:keywords>
  <cp:lastModifiedBy>YOUSSEF Randa</cp:lastModifiedBy>
  <cp:revision>3</cp:revision>
  <cp:lastPrinted>2022-02-18T15:59:00Z</cp:lastPrinted>
  <dcterms:created xsi:type="dcterms:W3CDTF">2022-02-18T15:59:00Z</dcterms:created>
  <dcterms:modified xsi:type="dcterms:W3CDTF">2022-02-18T15:59:00Z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