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33887336"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8B2CC1" w:rsidP="003B355C">
      <w:pPr>
        <w:bidi w:val="0"/>
        <w:rPr>
          <w:rFonts w:ascii="Arial Black" w:hAnsi="Arial Black"/>
          <w:caps/>
          <w:sz w:val="15"/>
          <w:szCs w:val="15"/>
        </w:rPr>
      </w:pPr>
    </w:p>
    <w:p w:rsidR="008B2CC1" w:rsidRPr="00CC3E2D" w:rsidRDefault="00CC3E2D" w:rsidP="00CC3E2D">
      <w:pPr>
        <w:jc w:val="right"/>
        <w:rPr>
          <w:rFonts w:asciiTheme="minorHAnsi" w:hAnsiTheme="minorHAnsi" w:cstheme="minorHAnsi"/>
          <w:caps/>
          <w:sz w:val="15"/>
          <w:szCs w:val="15"/>
        </w:rPr>
      </w:pPr>
      <w:bookmarkStart w:id="0" w:name="Original"/>
      <w:r w:rsidRPr="00CE19F8">
        <w:rPr>
          <w:rFonts w:asciiTheme="minorHAnsi" w:hAnsiTheme="minorHAnsi" w:cstheme="minorHAnsi" w:hint="cs"/>
          <w:b/>
          <w:bCs/>
          <w:caps/>
          <w:sz w:val="15"/>
          <w:szCs w:val="15"/>
          <w:rtl/>
        </w:rPr>
        <w:t>الأصل</w:t>
      </w:r>
      <w:r>
        <w:rPr>
          <w:rFonts w:asciiTheme="minorHAnsi" w:hAnsiTheme="minorHAnsi" w:cstheme="minorHAnsi" w:hint="cs"/>
          <w:caps/>
          <w:sz w:val="15"/>
          <w:szCs w:val="15"/>
          <w:rtl/>
        </w:rPr>
        <w:t xml:space="preserve">: </w:t>
      </w:r>
      <w:r w:rsidR="00EC4C6F">
        <w:rPr>
          <w:rFonts w:asciiTheme="minorHAnsi" w:hAnsiTheme="minorHAnsi" w:cstheme="minorHAnsi" w:hint="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1" w:name="Date"/>
      <w:bookmarkEnd w:id="0"/>
      <w:r>
        <w:rPr>
          <w:rFonts w:asciiTheme="minorHAnsi" w:hAnsiTheme="minorHAnsi" w:cstheme="minorHAnsi" w:hint="cs"/>
          <w:b/>
          <w:bCs/>
          <w:caps/>
          <w:sz w:val="15"/>
          <w:szCs w:val="15"/>
          <w:rtl/>
        </w:rPr>
        <w:t xml:space="preserve">التاريخ: </w:t>
      </w:r>
      <w:r w:rsidR="00EC4C6F">
        <w:rPr>
          <w:rFonts w:asciiTheme="minorHAnsi" w:hAnsiTheme="minorHAnsi" w:cstheme="minorHAnsi" w:hint="cs"/>
          <w:b/>
          <w:bCs/>
          <w:caps/>
          <w:sz w:val="15"/>
          <w:szCs w:val="15"/>
          <w:rtl/>
        </w:rPr>
        <w:t>31 أغسطس 2021</w:t>
      </w:r>
    </w:p>
    <w:bookmarkEnd w:id="1"/>
    <w:p w:rsidR="008B2CC1" w:rsidRPr="00D67EAE" w:rsidRDefault="003B355C" w:rsidP="0019592A">
      <w:pPr>
        <w:pStyle w:val="Heading1"/>
      </w:pPr>
      <w:r w:rsidRPr="00D67EAE">
        <w:rPr>
          <w:rtl/>
        </w:rPr>
        <w:t>اللجنة الحكومية الدولية المعنية بالملكية الفكرية والموارد الوراثية والمعارف التقليدية</w:t>
      </w:r>
      <w:r w:rsidR="0019592A">
        <w:rPr>
          <w:rFonts w:hint="cs"/>
          <w:rtl/>
        </w:rPr>
        <w:t> </w:t>
      </w:r>
      <w:r w:rsidRPr="00D67EAE">
        <w:rPr>
          <w:rtl/>
        </w:rPr>
        <w:t>والفولكلور</w:t>
      </w:r>
    </w:p>
    <w:p w:rsidR="00A90F0A" w:rsidRPr="00D67EAE" w:rsidRDefault="00D67EAE" w:rsidP="00A90F0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الحادية والأربعون</w:t>
      </w:r>
    </w:p>
    <w:p w:rsidR="008B2CC1" w:rsidRPr="00D67EAE" w:rsidRDefault="00D67EAE" w:rsidP="00D530E8">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D530E8">
        <w:rPr>
          <w:rFonts w:asciiTheme="minorHAnsi" w:hAnsiTheme="minorHAnsi" w:cstheme="minorHAnsi" w:hint="cs"/>
          <w:bCs/>
          <w:sz w:val="24"/>
          <w:szCs w:val="24"/>
          <w:rtl/>
        </w:rPr>
        <w:t>30 أغسطس</w:t>
      </w:r>
      <w:r w:rsidRPr="00D67EAE">
        <w:rPr>
          <w:rFonts w:asciiTheme="minorHAnsi" w:hAnsiTheme="minorHAnsi" w:cstheme="minorHAnsi" w:hint="cs"/>
          <w:bCs/>
          <w:sz w:val="24"/>
          <w:szCs w:val="24"/>
          <w:rtl/>
        </w:rPr>
        <w:t xml:space="preserve"> إلى </w:t>
      </w:r>
      <w:r w:rsidR="00D530E8">
        <w:rPr>
          <w:rFonts w:asciiTheme="minorHAnsi" w:hAnsiTheme="minorHAnsi" w:cstheme="minorHAnsi" w:hint="cs"/>
          <w:bCs/>
          <w:sz w:val="24"/>
          <w:szCs w:val="24"/>
          <w:rtl/>
        </w:rPr>
        <w:t>3</w:t>
      </w:r>
      <w:r w:rsidRPr="00D67EAE">
        <w:rPr>
          <w:rFonts w:asciiTheme="minorHAnsi" w:hAnsiTheme="minorHAnsi" w:cstheme="minorHAnsi" w:hint="cs"/>
          <w:bCs/>
          <w:sz w:val="24"/>
          <w:szCs w:val="24"/>
          <w:rtl/>
        </w:rPr>
        <w:t xml:space="preserve"> </w:t>
      </w:r>
      <w:r w:rsidR="00D530E8">
        <w:rPr>
          <w:rFonts w:asciiTheme="minorHAnsi" w:hAnsiTheme="minorHAnsi" w:cstheme="minorHAnsi" w:hint="cs"/>
          <w:bCs/>
          <w:sz w:val="24"/>
          <w:szCs w:val="24"/>
          <w:rtl/>
        </w:rPr>
        <w:t>سبتمبر</w:t>
      </w:r>
      <w:r w:rsidRPr="00D67EAE">
        <w:rPr>
          <w:rFonts w:asciiTheme="minorHAnsi" w:hAnsiTheme="minorHAnsi" w:cstheme="minorHAnsi" w:hint="cs"/>
          <w:bCs/>
          <w:sz w:val="24"/>
          <w:szCs w:val="24"/>
          <w:rtl/>
        </w:rPr>
        <w:t xml:space="preserve"> 2021</w:t>
      </w:r>
    </w:p>
    <w:p w:rsidR="008B2CC1" w:rsidRPr="00D67EAE" w:rsidRDefault="00A53EA9" w:rsidP="00DD7B7F">
      <w:pPr>
        <w:spacing w:after="360"/>
        <w:outlineLvl w:val="0"/>
        <w:rPr>
          <w:rFonts w:asciiTheme="minorHAnsi" w:hAnsiTheme="minorHAnsi" w:cstheme="minorHAnsi"/>
          <w:caps/>
          <w:sz w:val="24"/>
        </w:rPr>
      </w:pPr>
      <w:bookmarkStart w:id="2" w:name="TitleOfDoc"/>
      <w:r>
        <w:rPr>
          <w:rFonts w:asciiTheme="minorHAnsi" w:hAnsiTheme="minorHAnsi" w:cstheme="minorHAnsi" w:hint="cs"/>
          <w:caps/>
          <w:sz w:val="28"/>
          <w:szCs w:val="24"/>
          <w:rtl/>
        </w:rPr>
        <w:t>قرارات الدورة الحادية والأربعين للجنة</w:t>
      </w:r>
    </w:p>
    <w:p w:rsidR="002928D3" w:rsidRDefault="00C3683E" w:rsidP="001D4107">
      <w:pPr>
        <w:spacing w:after="1040"/>
        <w:rPr>
          <w:rFonts w:asciiTheme="minorHAnsi" w:hAnsiTheme="minorHAnsi" w:cstheme="minorHAnsi"/>
          <w:iCs/>
        </w:rPr>
      </w:pPr>
      <w:bookmarkStart w:id="3" w:name="Prepared"/>
      <w:bookmarkEnd w:id="2"/>
      <w:bookmarkEnd w:id="3"/>
      <w:r>
        <w:rPr>
          <w:rFonts w:asciiTheme="minorHAnsi" w:hAnsiTheme="minorHAnsi" w:cstheme="minorHAnsi" w:hint="cs"/>
          <w:iCs/>
          <w:rtl/>
        </w:rPr>
        <w:t>التي اعتمدتها اللجنة</w:t>
      </w:r>
      <w:bookmarkStart w:id="4" w:name="_GoBack"/>
      <w:bookmarkEnd w:id="4"/>
    </w:p>
    <w:p w:rsidR="00A53EA9" w:rsidRDefault="00A53EA9">
      <w:pPr>
        <w:bidi w:val="0"/>
        <w:rPr>
          <w:rtl/>
          <w:lang w:bidi="ar-EG"/>
        </w:rPr>
      </w:pPr>
      <w:r>
        <w:rPr>
          <w:rtl/>
          <w:lang w:bidi="ar-EG"/>
        </w:rPr>
        <w:br w:type="page"/>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lastRenderedPageBreak/>
        <w:t>قرار بشأن البند 2 من جدول الأعمال:</w:t>
      </w:r>
    </w:p>
    <w:p w:rsidR="00A53EA9" w:rsidRPr="00A53EA9" w:rsidRDefault="00A53EA9" w:rsidP="00FA0BD3">
      <w:pPr>
        <w:keepNext/>
        <w:spacing w:after="220"/>
        <w:rPr>
          <w:sz w:val="24"/>
          <w:szCs w:val="24"/>
          <w:rtl/>
          <w:lang w:bidi="ar-EG"/>
        </w:rPr>
      </w:pPr>
      <w:r w:rsidRPr="00A53EA9">
        <w:rPr>
          <w:rFonts w:hint="cs"/>
          <w:sz w:val="24"/>
          <w:szCs w:val="24"/>
          <w:rtl/>
          <w:lang w:bidi="ar-EG"/>
        </w:rPr>
        <w:t>انتخاب أعضاء المكتب</w:t>
      </w:r>
    </w:p>
    <w:p w:rsidR="00A53EA9" w:rsidRPr="00C00446" w:rsidRDefault="00A53EA9" w:rsidP="00EC4C6F">
      <w:pPr>
        <w:spacing w:after="220"/>
        <w:rPr>
          <w:rtl/>
          <w:lang w:bidi="ar-EG"/>
        </w:rPr>
      </w:pPr>
      <w:r w:rsidRPr="00C00446">
        <w:rPr>
          <w:rFonts w:hint="cs"/>
          <w:rtl/>
          <w:lang w:bidi="ar-EG"/>
        </w:rPr>
        <w:t xml:space="preserve">بناءً على </w:t>
      </w:r>
      <w:r w:rsidR="00EC4C6F">
        <w:rPr>
          <w:rFonts w:hint="cs"/>
          <w:rtl/>
          <w:lang w:bidi="ar-EG"/>
        </w:rPr>
        <w:t>ال</w:t>
      </w:r>
      <w:r w:rsidRPr="00C00446">
        <w:rPr>
          <w:rFonts w:hint="cs"/>
          <w:rtl/>
          <w:lang w:bidi="ar-EG"/>
        </w:rPr>
        <w:t xml:space="preserve">اقتراح </w:t>
      </w:r>
      <w:r w:rsidR="00EC4C6F">
        <w:rPr>
          <w:rFonts w:hint="cs"/>
          <w:rtl/>
          <w:lang w:bidi="ar-EG"/>
        </w:rPr>
        <w:t xml:space="preserve">الذي قدمه </w:t>
      </w:r>
      <w:r w:rsidRPr="00C00446">
        <w:rPr>
          <w:rFonts w:hint="cs"/>
          <w:rtl/>
          <w:lang w:bidi="ar-EG"/>
        </w:rPr>
        <w:t xml:space="preserve">وفد </w:t>
      </w:r>
      <w:r w:rsidR="00EC4C6F">
        <w:rPr>
          <w:rFonts w:hint="cs"/>
          <w:rtl/>
          <w:lang w:bidi="ar-EG"/>
        </w:rPr>
        <w:t>المملكة المتحدة، باسم المجموعة باء، وأيد</w:t>
      </w:r>
      <w:r w:rsidRPr="00C00446">
        <w:rPr>
          <w:rFonts w:hint="cs"/>
          <w:rtl/>
          <w:lang w:bidi="ar-EG"/>
        </w:rPr>
        <w:t xml:space="preserve">ه </w:t>
      </w:r>
      <w:r w:rsidR="00EC4C6F">
        <w:rPr>
          <w:rFonts w:hint="cs"/>
          <w:rtl/>
          <w:lang w:bidi="ar-EG"/>
        </w:rPr>
        <w:t>وفد جنوب أفريقيا، باسم المجموعة الأفريقية</w:t>
      </w:r>
      <w:r w:rsidRPr="00C00446">
        <w:rPr>
          <w:rFonts w:hint="cs"/>
          <w:rtl/>
          <w:lang w:bidi="ar-EG"/>
        </w:rPr>
        <w:t xml:space="preserve">، </w:t>
      </w:r>
      <w:r w:rsidR="00EC4C6F">
        <w:rPr>
          <w:rFonts w:hint="cs"/>
          <w:rtl/>
          <w:lang w:bidi="ar-EG"/>
        </w:rPr>
        <w:t xml:space="preserve">ووفد باراغواي، باسم مجموعة بلدان أمريكا اللاتينية والكاريبي، </w:t>
      </w:r>
      <w:r w:rsidRPr="00C00446">
        <w:rPr>
          <w:rFonts w:hint="cs"/>
          <w:rtl/>
          <w:lang w:bidi="ar-EG"/>
        </w:rPr>
        <w:t>انتخبت اللجنة، بالإجماع والتزكية، السيد إيان غوس من أستراليا رئيساً لها</w:t>
      </w:r>
      <w:r w:rsidR="00EC4C6F">
        <w:rPr>
          <w:rFonts w:hint="cs"/>
          <w:rtl/>
          <w:lang w:bidi="ar-EG"/>
        </w:rPr>
        <w:t xml:space="preserve"> </w:t>
      </w:r>
      <w:r w:rsidR="00EC4C6F" w:rsidRPr="00EC4C6F">
        <w:rPr>
          <w:rFonts w:hint="cs"/>
          <w:rtl/>
          <w:lang w:bidi="ar-EG"/>
        </w:rPr>
        <w:t>للثنائية 2020-2021</w:t>
      </w:r>
      <w:r w:rsidRPr="00C00446">
        <w:rPr>
          <w:rFonts w:hint="cs"/>
          <w:rtl/>
          <w:lang w:bidi="ar-EG"/>
        </w:rPr>
        <w:t xml:space="preserve">، </w:t>
      </w:r>
      <w:r w:rsidR="00EC4C6F">
        <w:rPr>
          <w:rFonts w:hint="cs"/>
          <w:rtl/>
          <w:lang w:bidi="ar-EG"/>
        </w:rPr>
        <w:t>و</w:t>
      </w:r>
      <w:r w:rsidRPr="00C00446">
        <w:rPr>
          <w:rFonts w:hint="cs"/>
          <w:rtl/>
          <w:lang w:bidi="ar-EG"/>
        </w:rPr>
        <w:t>انتخبت السيدة ليليكلير بيلامي من جامايكا، والسيد جوكا ليديس من فنلندا، والسيد يوناه سيليتي من جنوب أفريقيا، نواباً ل</w:t>
      </w:r>
      <w:r w:rsidR="00EC4C6F">
        <w:rPr>
          <w:rFonts w:hint="cs"/>
          <w:rtl/>
          <w:lang w:bidi="ar-EG"/>
        </w:rPr>
        <w:t>ل</w:t>
      </w:r>
      <w:r w:rsidRPr="00C00446">
        <w:rPr>
          <w:rFonts w:hint="cs"/>
          <w:rtl/>
          <w:lang w:bidi="ar-EG"/>
        </w:rPr>
        <w:t>رئيس للفترة ذاتها.</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قرار بشأن البند 3 من جدول الأعمال:</w:t>
      </w:r>
    </w:p>
    <w:p w:rsidR="00A53EA9" w:rsidRPr="00C047F5" w:rsidRDefault="00A53EA9" w:rsidP="00FA0BD3">
      <w:pPr>
        <w:keepNext/>
        <w:spacing w:after="220"/>
        <w:rPr>
          <w:sz w:val="24"/>
          <w:szCs w:val="24"/>
          <w:rtl/>
          <w:lang w:bidi="ar-EG"/>
        </w:rPr>
      </w:pPr>
      <w:r w:rsidRPr="00C047F5">
        <w:rPr>
          <w:rFonts w:hint="cs"/>
          <w:sz w:val="24"/>
          <w:szCs w:val="24"/>
          <w:rtl/>
          <w:lang w:bidi="ar-EG"/>
        </w:rPr>
        <w:t>اعتماد جدول الأعمال</w:t>
      </w:r>
    </w:p>
    <w:p w:rsidR="00A53EA9" w:rsidRDefault="00A53EA9" w:rsidP="00C047F5">
      <w:pPr>
        <w:spacing w:after="220"/>
        <w:rPr>
          <w:rtl/>
          <w:lang w:bidi="ar-EG"/>
        </w:rPr>
      </w:pPr>
      <w:r w:rsidRPr="00C00446">
        <w:rPr>
          <w:rFonts w:hint="cs"/>
          <w:rtl/>
          <w:lang w:bidi="ar-EG"/>
        </w:rPr>
        <w:t xml:space="preserve">قدَّم الرئيس مشروع جدول الأعمال المُعمَّم في الوثيقة </w:t>
      </w:r>
      <w:r w:rsidR="00C047F5" w:rsidRPr="00C047F5">
        <w:rPr>
          <w:lang w:bidi="ar-EG"/>
        </w:rPr>
        <w:t>WIPO/GRTKF/IC/41/1 Prov. 2</w:t>
      </w:r>
      <w:r w:rsidR="00C047F5">
        <w:rPr>
          <w:rFonts w:hint="cs"/>
          <w:rtl/>
          <w:lang w:bidi="ar-EG"/>
        </w:rPr>
        <w:t xml:space="preserve"> </w:t>
      </w:r>
      <w:r w:rsidRPr="00C00446">
        <w:rPr>
          <w:rFonts w:hint="cs"/>
          <w:rtl/>
          <w:lang w:bidi="ar-EG"/>
        </w:rPr>
        <w:t>كي</w:t>
      </w:r>
      <w:r>
        <w:rPr>
          <w:rFonts w:hint="eastAsia"/>
          <w:rtl/>
          <w:lang w:bidi="ar-EG"/>
        </w:rPr>
        <w:t> </w:t>
      </w:r>
      <w:r w:rsidRPr="00C00446">
        <w:rPr>
          <w:rFonts w:hint="cs"/>
          <w:rtl/>
          <w:lang w:bidi="ar-EG"/>
        </w:rPr>
        <w:t>يُعتمد، وتم اعتماده.</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قرار بشأن البند 4 من جدول الأعمال:</w:t>
      </w:r>
    </w:p>
    <w:p w:rsidR="00A53EA9" w:rsidRPr="00C047F5" w:rsidRDefault="00A53EA9" w:rsidP="00FA0BD3">
      <w:pPr>
        <w:keepNext/>
        <w:spacing w:after="220"/>
        <w:rPr>
          <w:sz w:val="24"/>
          <w:szCs w:val="24"/>
          <w:rtl/>
          <w:lang w:bidi="ar-EG"/>
        </w:rPr>
      </w:pPr>
      <w:r w:rsidRPr="00C047F5">
        <w:rPr>
          <w:rFonts w:hint="cs"/>
          <w:sz w:val="24"/>
          <w:szCs w:val="24"/>
          <w:rtl/>
          <w:lang w:bidi="ar-EG"/>
        </w:rPr>
        <w:t>اعتماد تقرير الدورة الأربعين</w:t>
      </w:r>
    </w:p>
    <w:p w:rsidR="00A53EA9" w:rsidRPr="00C00446" w:rsidRDefault="00A53EA9" w:rsidP="00C047F5">
      <w:pPr>
        <w:spacing w:after="220"/>
        <w:rPr>
          <w:rtl/>
          <w:lang w:bidi="ar-EG"/>
        </w:rPr>
      </w:pPr>
      <w:r w:rsidRPr="00C00446">
        <w:rPr>
          <w:rFonts w:hint="cs"/>
          <w:rtl/>
          <w:lang w:bidi="ar-EG"/>
        </w:rPr>
        <w:t>قدَّم الرئيس مشروع تقرير الدورة الأربعين للجنة (</w:t>
      </w:r>
      <w:r w:rsidRPr="00C00446">
        <w:rPr>
          <w:lang w:bidi="ar-EG"/>
        </w:rPr>
        <w:t>WIPO/GRTKF/IC/40/20 Prov.2</w:t>
      </w:r>
      <w:r w:rsidRPr="00C00446">
        <w:rPr>
          <w:rFonts w:hint="cs"/>
          <w:rtl/>
          <w:lang w:bidi="ar-EG"/>
        </w:rPr>
        <w:t>) كي</w:t>
      </w:r>
      <w:r>
        <w:rPr>
          <w:rFonts w:hint="eastAsia"/>
          <w:rtl/>
          <w:lang w:bidi="ar-EG"/>
        </w:rPr>
        <w:t> </w:t>
      </w:r>
      <w:r w:rsidRPr="00C00446">
        <w:rPr>
          <w:rFonts w:hint="cs"/>
          <w:rtl/>
          <w:lang w:bidi="ar-EG"/>
        </w:rPr>
        <w:t>يُعتمد، وتم اعتماده.</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5 من جدول الأعمال:</w:t>
      </w:r>
    </w:p>
    <w:p w:rsidR="00A53EA9" w:rsidRPr="00460FEA" w:rsidRDefault="00A53EA9" w:rsidP="00FA0BD3">
      <w:pPr>
        <w:keepNext/>
        <w:spacing w:after="220"/>
        <w:rPr>
          <w:sz w:val="24"/>
          <w:szCs w:val="24"/>
          <w:lang w:bidi="ar-EG"/>
        </w:rPr>
      </w:pPr>
      <w:r w:rsidRPr="00460FEA">
        <w:rPr>
          <w:rFonts w:hint="cs"/>
          <w:sz w:val="24"/>
          <w:szCs w:val="24"/>
          <w:rtl/>
          <w:lang w:bidi="ar-EG"/>
        </w:rPr>
        <w:t>اعتماد بعض المنظمات</w:t>
      </w:r>
    </w:p>
    <w:p w:rsidR="00A53EA9" w:rsidRDefault="00A53EA9" w:rsidP="00217E57">
      <w:pPr>
        <w:spacing w:after="220"/>
        <w:rPr>
          <w:rtl/>
          <w:lang w:bidi="ar-EG"/>
        </w:rPr>
      </w:pPr>
      <w:r w:rsidRPr="00C00446">
        <w:rPr>
          <w:rFonts w:hint="cs"/>
          <w:rtl/>
          <w:lang w:bidi="ar-EG"/>
        </w:rPr>
        <w:t xml:space="preserve">وافقت اللجنة بالإجماع على اعتماد </w:t>
      </w:r>
      <w:r w:rsidR="00460FEA" w:rsidRPr="00460FEA">
        <w:rPr>
          <w:rFonts w:hint="cs"/>
          <w:rtl/>
          <w:lang w:bidi="ar-EG"/>
        </w:rPr>
        <w:t>جمعية النهوض بالشعوب الأصلية ومعارفها الأصلية (</w:t>
      </w:r>
      <w:r w:rsidR="00460FEA" w:rsidRPr="00460FEA">
        <w:rPr>
          <w:lang w:bidi="ar-EG"/>
        </w:rPr>
        <w:t>ADACO</w:t>
      </w:r>
      <w:r w:rsidR="00460FEA" w:rsidRPr="00460FEA">
        <w:rPr>
          <w:rFonts w:hint="cs"/>
          <w:rtl/>
          <w:lang w:bidi="ar-EG"/>
        </w:rPr>
        <w:t>)؛ وجمعية النهوض بالتراث الثقافي لبلديات الكاميرون (</w:t>
      </w:r>
      <w:r w:rsidR="00460FEA" w:rsidRPr="00460FEA">
        <w:rPr>
          <w:lang w:bidi="ar-EG"/>
        </w:rPr>
        <w:t>AVP3C</w:t>
      </w:r>
      <w:r w:rsidR="00460FEA" w:rsidRPr="00460FEA">
        <w:rPr>
          <w:rFonts w:hint="cs"/>
          <w:rtl/>
          <w:lang w:bidi="ar-EG"/>
        </w:rPr>
        <w:t>)؛ والمجلس المعني بأراضي الأجداد (</w:t>
      </w:r>
      <w:r w:rsidR="00460FEA" w:rsidRPr="00460FEA">
        <w:rPr>
          <w:lang w:bidi="ar-EG"/>
        </w:rPr>
        <w:t>CTA</w:t>
      </w:r>
      <w:r w:rsidR="00460FEA" w:rsidRPr="00460FEA">
        <w:rPr>
          <w:rFonts w:hint="cs"/>
          <w:rtl/>
          <w:lang w:bidi="ar-EG"/>
        </w:rPr>
        <w:t>)؛ وجمعية شيويار بلا حدود (</w:t>
      </w:r>
      <w:r w:rsidR="00460FEA" w:rsidRPr="00460FEA">
        <w:rPr>
          <w:lang w:bidi="ar-EG"/>
        </w:rPr>
        <w:t>FUNSSIF</w:t>
      </w:r>
      <w:r w:rsidR="00460FEA" w:rsidRPr="00460FEA">
        <w:rPr>
          <w:rFonts w:hint="cs"/>
          <w:rtl/>
          <w:lang w:bidi="ar-EG"/>
        </w:rPr>
        <w:t>)؛ ومؤسسة كوسودوم الخاصة المحدودة للرعاية؛ وجمعية إنارة طريق الأطفال المحرومين (</w:t>
      </w:r>
      <w:r w:rsidR="00460FEA" w:rsidRPr="00460FEA">
        <w:rPr>
          <w:lang w:bidi="ar-EG"/>
        </w:rPr>
        <w:t>VED</w:t>
      </w:r>
      <w:r w:rsidR="00460FEA" w:rsidRPr="00460FEA">
        <w:rPr>
          <w:rFonts w:hint="cs"/>
          <w:rtl/>
          <w:lang w:bidi="ar-EG"/>
        </w:rPr>
        <w:t>)</w:t>
      </w:r>
      <w:r w:rsidR="00460FEA">
        <w:rPr>
          <w:rFonts w:hint="cs"/>
          <w:rtl/>
          <w:lang w:bidi="ar-EG"/>
        </w:rPr>
        <w:t xml:space="preserve">، </w:t>
      </w:r>
      <w:r w:rsidRPr="00C00446">
        <w:rPr>
          <w:rFonts w:hint="cs"/>
          <w:rtl/>
          <w:lang w:bidi="ar-EG"/>
        </w:rPr>
        <w:t>بصفة مراقب مؤقت.</w:t>
      </w:r>
    </w:p>
    <w:p w:rsidR="00217E57" w:rsidRPr="00C00446" w:rsidRDefault="00217E57" w:rsidP="00217E57">
      <w:pPr>
        <w:spacing w:after="220"/>
        <w:rPr>
          <w:rtl/>
          <w:lang w:bidi="ar-EG"/>
        </w:rPr>
      </w:pPr>
      <w:r>
        <w:rPr>
          <w:rFonts w:hint="cs"/>
          <w:rtl/>
          <w:lang w:bidi="ar-EG"/>
        </w:rPr>
        <w:t xml:space="preserve">وأُجِّل النظر في اعتماد </w:t>
      </w:r>
      <w:r w:rsidRPr="00217E57">
        <w:rPr>
          <w:rFonts w:hint="cs"/>
          <w:rtl/>
          <w:lang w:bidi="ar-EG"/>
        </w:rPr>
        <w:t>جمعية الشعوب الأصلية والأقليات من أجل شعوب العالم (</w:t>
      </w:r>
      <w:r w:rsidRPr="00217E57">
        <w:rPr>
          <w:lang w:bidi="ar-EG"/>
        </w:rPr>
        <w:t>APPAM</w:t>
      </w:r>
      <w:r>
        <w:rPr>
          <w:rFonts w:hint="cs"/>
          <w:rtl/>
          <w:lang w:bidi="ar-EG"/>
        </w:rPr>
        <w:t>) إلى الدورة المقبلة للجنة.</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6 من جدول الأعمال:</w:t>
      </w:r>
    </w:p>
    <w:p w:rsidR="00A53EA9" w:rsidRPr="00460FEA" w:rsidRDefault="00A53EA9" w:rsidP="00FA0BD3">
      <w:pPr>
        <w:keepNext/>
        <w:spacing w:after="220"/>
        <w:rPr>
          <w:sz w:val="24"/>
          <w:szCs w:val="24"/>
          <w:lang w:bidi="ar-EG"/>
        </w:rPr>
      </w:pPr>
      <w:r w:rsidRPr="00460FEA">
        <w:rPr>
          <w:rFonts w:hint="cs"/>
          <w:sz w:val="24"/>
          <w:szCs w:val="24"/>
          <w:rtl/>
          <w:lang w:bidi="ar-EG"/>
        </w:rPr>
        <w:t>مشاركة الجماعات الأصلية والمحلية</w:t>
      </w:r>
    </w:p>
    <w:p w:rsidR="00A53EA9" w:rsidRDefault="00A53EA9" w:rsidP="00460FEA">
      <w:pPr>
        <w:spacing w:after="120"/>
        <w:rPr>
          <w:lang w:bidi="ar-EG"/>
        </w:rPr>
      </w:pPr>
      <w:r w:rsidRPr="00C00446">
        <w:rPr>
          <w:rFonts w:hint="cs"/>
          <w:rtl/>
          <w:lang w:bidi="ar-EG"/>
        </w:rPr>
        <w:t xml:space="preserve">أحاطت اللجنة علماً بالوثيقتين </w:t>
      </w:r>
      <w:r w:rsidRPr="00C00446">
        <w:rPr>
          <w:lang w:bidi="ar-EG"/>
        </w:rPr>
        <w:t>WIPO/GRTKF/IC/41/3</w:t>
      </w:r>
      <w:r w:rsidRPr="00C00446">
        <w:rPr>
          <w:rFonts w:hint="cs"/>
          <w:rtl/>
          <w:lang w:bidi="ar-EG"/>
        </w:rPr>
        <w:t xml:space="preserve"> و</w:t>
      </w:r>
      <w:r w:rsidRPr="00C00446">
        <w:rPr>
          <w:lang w:bidi="ar-EG"/>
        </w:rPr>
        <w:t>WIPO/GRTKF/IC/41/INF/4</w:t>
      </w:r>
      <w:r w:rsidRPr="00C00446">
        <w:rPr>
          <w:rFonts w:hint="cs"/>
          <w:rtl/>
          <w:lang w:bidi="ar-EG"/>
        </w:rPr>
        <w:t>.</w:t>
      </w:r>
    </w:p>
    <w:p w:rsidR="00A53EA9" w:rsidRDefault="00A53EA9" w:rsidP="00460FEA">
      <w:pPr>
        <w:spacing w:after="220"/>
        <w:rPr>
          <w:lang w:bidi="ar-EG"/>
        </w:rPr>
      </w:pPr>
      <w:r w:rsidRPr="00C00446">
        <w:rPr>
          <w:rFonts w:hint="cs"/>
          <w:rtl/>
          <w:lang w:bidi="ar-EG"/>
        </w:rPr>
        <w:t>وشجَّعت بشدة أعضاءها وجميع الهيئات المهتمة في القطاعين العام والخاص وحثَّتها على الإسهام في صندوق الويبو للتبرعات لفائدة الجماعات الأصلية والمحلية المعتمدة.</w:t>
      </w:r>
    </w:p>
    <w:p w:rsidR="00A53EA9" w:rsidRDefault="00A53EA9" w:rsidP="00460FEA">
      <w:pPr>
        <w:spacing w:after="220"/>
        <w:rPr>
          <w:lang w:bidi="ar-EG"/>
        </w:rPr>
      </w:pPr>
      <w:r w:rsidRPr="00C00446">
        <w:rPr>
          <w:rFonts w:hint="cs"/>
          <w:rtl/>
          <w:lang w:bidi="ar-EG"/>
        </w:rPr>
        <w:t>وذكَّرت اللجنة بالقرارات الصادرة عن الجمعية العامة للويبو 2019، وشجَّعت أعضاءها أيضاً على النظر في ترتيبات تمويل بديلة.</w:t>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t xml:space="preserve">قرار بشأن البند </w:t>
      </w:r>
      <w:r w:rsidR="00460FEA" w:rsidRPr="00251F1D">
        <w:rPr>
          <w:rFonts w:hint="cs"/>
          <w:i/>
          <w:iCs w:val="0"/>
          <w:sz w:val="24"/>
          <w:szCs w:val="24"/>
          <w:rtl/>
          <w:lang w:bidi="ar-EG"/>
        </w:rPr>
        <w:t>7</w:t>
      </w:r>
      <w:r w:rsidRPr="00251F1D">
        <w:rPr>
          <w:rFonts w:hint="cs"/>
          <w:i/>
          <w:iCs w:val="0"/>
          <w:sz w:val="24"/>
          <w:szCs w:val="24"/>
          <w:rtl/>
          <w:lang w:bidi="ar-EG"/>
        </w:rPr>
        <w:t xml:space="preserve"> من جدول الأعمال:</w:t>
      </w:r>
    </w:p>
    <w:p w:rsidR="00A53EA9" w:rsidRPr="00460FEA" w:rsidRDefault="00A53EA9" w:rsidP="00FA0BD3">
      <w:pPr>
        <w:keepNext/>
        <w:spacing w:after="220"/>
        <w:rPr>
          <w:sz w:val="24"/>
          <w:szCs w:val="24"/>
          <w:rtl/>
          <w:lang w:bidi="ar-EG"/>
        </w:rPr>
      </w:pPr>
      <w:r w:rsidRPr="00460FEA">
        <w:rPr>
          <w:rFonts w:hint="cs"/>
          <w:sz w:val="24"/>
          <w:szCs w:val="24"/>
          <w:rtl/>
          <w:lang w:bidi="ar-EG"/>
        </w:rPr>
        <w:t>توجيه توصية إلى الجمعية العامة</w:t>
      </w:r>
    </w:p>
    <w:p w:rsidR="00A53EA9" w:rsidRPr="00C00446" w:rsidRDefault="00A53EA9" w:rsidP="00460FEA">
      <w:pPr>
        <w:spacing w:after="220"/>
        <w:rPr>
          <w:rtl/>
          <w:lang w:bidi="ar-EG"/>
        </w:rPr>
      </w:pPr>
      <w:r w:rsidRPr="00C00446">
        <w:rPr>
          <w:rFonts w:hint="cs"/>
          <w:rtl/>
          <w:lang w:bidi="ar-EG"/>
        </w:rPr>
        <w:t>وافقت اللجنة على أن توصي الجمعية العامة للويبو لعام 2021 بتجديد ولاية اللجنة للثنائية 2022-2023. ووافقت اللجنة أيضاً على أن توصي الجمعية العامة لعام 2021 بأن تكون شروط ولاية اللجنة وبرنامج عملها للثنائية 2022-2023 كما يلي:</w:t>
      </w:r>
    </w:p>
    <w:p w:rsidR="00A53EA9" w:rsidRDefault="00A53EA9" w:rsidP="00FA0BD3">
      <w:pPr>
        <w:spacing w:after="220"/>
        <w:ind w:left="566"/>
        <w:rPr>
          <w:lang w:bidi="ar-EG"/>
        </w:rPr>
      </w:pPr>
      <w:r w:rsidRPr="00C00446">
        <w:rPr>
          <w:rFonts w:hint="cs"/>
          <w:rtl/>
          <w:lang w:bidi="ar-EG"/>
        </w:rPr>
        <w:t>"إنّ الجمعية العامة للويبو، إذ تضع في اعتبارها توصيات أجندة التنمية، وتؤكد مجدداً أهمية لجنة الويبو الحكومية الدولية المعنية بالملكية الفكرية والموارد الوراثية والمعارف التقليدية والفولكلور (اللجنة)، وتلاحظ الطبيعة المختلفة لتلك القضايا وتقرّ بالتقدم المحرز، توافق على تجديد ولاية اللجنة، دون الإخلال بالعمل الجاري في محافل أخرى، على النحو التالي:</w:t>
      </w:r>
    </w:p>
    <w:p w:rsidR="00A53EA9" w:rsidRDefault="00A53EA9" w:rsidP="00FA0BD3">
      <w:pPr>
        <w:numPr>
          <w:ilvl w:val="0"/>
          <w:numId w:val="9"/>
        </w:numPr>
        <w:spacing w:after="220"/>
        <w:ind w:left="1700" w:hanging="567"/>
        <w:rPr>
          <w:lang w:bidi="ar-EG"/>
        </w:rPr>
      </w:pPr>
      <w:r w:rsidRPr="00C00446">
        <w:rPr>
          <w:rFonts w:hint="cs"/>
          <w:rtl/>
          <w:lang w:bidi="ar-EG"/>
        </w:rPr>
        <w:t>ستواصل اللجنة، خلال ثنائية الميزانية المقبلة 2022/2023، تسريع عملها بهدف استكمال اتفاق حول صك قانوني دولي (صكوك قانونية دولية)،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A53EA9" w:rsidRDefault="00A53EA9" w:rsidP="00FA0BD3">
      <w:pPr>
        <w:numPr>
          <w:ilvl w:val="0"/>
          <w:numId w:val="9"/>
        </w:numPr>
        <w:spacing w:after="220"/>
        <w:ind w:left="1700" w:hanging="567"/>
        <w:rPr>
          <w:lang w:bidi="ar-EG"/>
        </w:rPr>
      </w:pPr>
      <w:r w:rsidRPr="00C00446">
        <w:rPr>
          <w:rFonts w:hint="cs"/>
          <w:rtl/>
          <w:lang w:bidi="ar-EG"/>
        </w:rPr>
        <w:lastRenderedPageBreak/>
        <w:t>وسيكون عمل اللجنة خلال الثنائية 2022/2023 مستنداً إلى ما أنجزته من عمل، بما في ذلك المفاوضات القائمة على النصوص، مع التركيز الرئيسي على تضييق الفجوات القائمة والتوصل إلى تفاهم حول القضايا الجوهرية</w:t>
      </w:r>
      <w:r w:rsidRPr="00C00446">
        <w:rPr>
          <w:vertAlign w:val="superscript"/>
          <w:lang w:bidi="ar-EG"/>
        </w:rPr>
        <w:footnoteReference w:id="2"/>
      </w:r>
      <w:r w:rsidRPr="00C00446">
        <w:rPr>
          <w:rFonts w:hint="cs"/>
          <w:rtl/>
          <w:lang w:bidi="ar-EG"/>
        </w:rPr>
        <w:t>.</w:t>
      </w:r>
    </w:p>
    <w:p w:rsidR="00A53EA9" w:rsidRDefault="00A53EA9" w:rsidP="00FA0BD3">
      <w:pPr>
        <w:numPr>
          <w:ilvl w:val="0"/>
          <w:numId w:val="9"/>
        </w:numPr>
        <w:spacing w:after="220"/>
        <w:ind w:left="1700" w:hanging="567"/>
        <w:rPr>
          <w:lang w:bidi="ar-EG"/>
        </w:rPr>
      </w:pPr>
      <w:r w:rsidRPr="00C00446">
        <w:rPr>
          <w:rFonts w:hint="cs"/>
          <w:rtl/>
          <w:lang w:bidi="ar-EG"/>
        </w:rPr>
        <w:t>وستتّبع اللجنة، كما هو مبيَّن في الجدول أدناه، برنامج عمل يقوم على أساليب عمل مفتوحة وشاملة، للثنائية 2022/2023، بما في ذلك منهج قائم على الأدلة كما هو مبيَّن في الفقرة (د). ويكفل هذا البرنامج تنظيم 6 دورات للجنة في 2022/2023، بما في ذلك دورات مواضيعية ومتداخلة وتقييمية. ويجوز للجنة إنشاء فريق (أفرقة) خبراء مخصّص لمعالجة مسألة قانونية أو سياسية أو تقنية محدّدة</w:t>
      </w:r>
      <w:r w:rsidRPr="00C00446">
        <w:rPr>
          <w:vertAlign w:val="superscript"/>
          <w:lang w:bidi="ar-EG"/>
        </w:rPr>
        <w:footnoteReference w:id="3"/>
      </w:r>
      <w:r w:rsidRPr="00C00446">
        <w:rPr>
          <w:rFonts w:hint="cs"/>
          <w:rtl/>
          <w:lang w:bidi="ar-EG"/>
        </w:rPr>
        <w:t>. وستُعرض نتائج عمل الفريق (الأفرقة) على اللجنة للنظر فيها.</w:t>
      </w:r>
    </w:p>
    <w:p w:rsidR="00A53EA9" w:rsidRDefault="00A53EA9" w:rsidP="00FA0BD3">
      <w:pPr>
        <w:numPr>
          <w:ilvl w:val="0"/>
          <w:numId w:val="9"/>
        </w:numPr>
        <w:spacing w:after="220"/>
        <w:ind w:left="1700" w:hanging="567"/>
        <w:rPr>
          <w:lang w:bidi="ar-EG"/>
        </w:rPr>
      </w:pPr>
      <w:r w:rsidRPr="00C00446">
        <w:rPr>
          <w:rFonts w:hint="cs"/>
          <w:rtl/>
          <w:lang w:bidi="ar-EG"/>
        </w:rPr>
        <w:t xml:space="preserve">وستستخدم اللجنة جميع وثائق عمل الويبو، بما فيها </w:t>
      </w:r>
      <w:r w:rsidRPr="00C00446">
        <w:rPr>
          <w:lang w:bidi="ar-EG"/>
        </w:rPr>
        <w:t>WIPO/GRTKF/IC/40/6</w:t>
      </w:r>
      <w:r w:rsidRPr="00C00446">
        <w:rPr>
          <w:rFonts w:hint="cs"/>
          <w:rtl/>
          <w:lang w:bidi="ar-EG"/>
        </w:rPr>
        <w:t xml:space="preserve"> و</w:t>
      </w:r>
      <w:r w:rsidRPr="00C00446">
        <w:rPr>
          <w:lang w:bidi="ar-EG"/>
        </w:rPr>
        <w:t>WIPO/GRTKF/IC/40/18</w:t>
      </w:r>
      <w:r w:rsidRPr="00C00446">
        <w:rPr>
          <w:rFonts w:hint="cs"/>
          <w:rtl/>
          <w:lang w:bidi="ar-EG"/>
        </w:rPr>
        <w:t xml:space="preserve"> و</w:t>
      </w:r>
      <w:r w:rsidRPr="00C00446">
        <w:rPr>
          <w:lang w:bidi="ar-EG"/>
        </w:rPr>
        <w:t>WIPO/GRTKF/IC/40/19</w:t>
      </w:r>
      <w:r w:rsidRPr="00C00446">
        <w:rPr>
          <w:rFonts w:hint="cs"/>
          <w:rtl/>
          <w:lang w:bidi="ar-EG"/>
        </w:rPr>
        <w:t xml:space="preserve"> ونص الرئيس عن </w:t>
      </w:r>
      <w:r w:rsidR="00E60EA7">
        <w:rPr>
          <w:rFonts w:hint="cs"/>
          <w:rtl/>
          <w:lang w:bidi="ar-EG"/>
        </w:rPr>
        <w:t xml:space="preserve">مشروع </w:t>
      </w:r>
      <w:r w:rsidRPr="00C00446">
        <w:rPr>
          <w:rFonts w:hint="cs"/>
          <w:i/>
          <w:iCs/>
          <w:rtl/>
          <w:lang w:bidi="ar-EG"/>
        </w:rPr>
        <w:t>صك قانوني دولي بشأن الملكية الفكرية والموارد الوراثية والمعارف التقليدية المرتبطة بالموارد الوراثية</w:t>
      </w:r>
      <w:r w:rsidRPr="00C00446">
        <w:rPr>
          <w:rFonts w:hint="cs"/>
          <w:rtl/>
          <w:lang w:bidi="ar-EG"/>
        </w:rPr>
        <w:t>، فضلاً عن أي مساهمات أخرى من الدول الأعضاء، مثل إعداد/تحديث الدراسات التي تغطي جوانب من بينها الأمثلة المتعلقة بالتجارب الوطنية، بما فيها التشريعات المحلية، وتقييم الوقع، وقواعد البيانات، والأمثلة الخاصة بالموضوع القابل للحماية والموضوع الذي لا تُطلب حمايته؛ ونتائج عمل أي فريق (أفرقة) خبراء أنشأته اللجنة وما يتصل بذلك من أنشطة منجزة في إطار البرنامج 4. ويُلتمس من الأمانة مواصلة تحديث الدراسات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بغية تحديد أي فجوات. ويُلتمس من الأمانة أيضا أن تستمر في جمع معلومات عن الأنظمة الوطنية والإقليمية الخاصة لحماية الملكية الفكرية المرتبطة بالمعارف التقليدية وأشكال التعبير الثقافي التقليدي، وتجميعها وإتاحتها على الإنترنت. ولا يجوز لتلك الدراسات أو الأنشطة الإضافية أن تؤخّر التقدم أو تضع شروطاً مسبقة للمفاوضات.</w:t>
      </w:r>
    </w:p>
    <w:p w:rsidR="00A53EA9" w:rsidRDefault="00A53EA9" w:rsidP="00FA0BD3">
      <w:pPr>
        <w:numPr>
          <w:ilvl w:val="0"/>
          <w:numId w:val="9"/>
        </w:numPr>
        <w:spacing w:after="220"/>
        <w:ind w:left="1700" w:hanging="567"/>
        <w:rPr>
          <w:rtl/>
          <w:lang w:bidi="ar-EG"/>
        </w:rPr>
      </w:pPr>
      <w:r w:rsidRPr="00C00446">
        <w:rPr>
          <w:rFonts w:hint="cs"/>
          <w:rtl/>
          <w:lang w:bidi="ar-EG"/>
        </w:rPr>
        <w:t>ويُلتمس من اللجنة أن تقدِّم إلى الجمـعية العامة، في عام 2022، تقريراً وقائعياً وأحدث النصوص المتاحة عن عملها حتى ذلك الوقت، وأن تشفع ذلك بتوصيات، وأن تقدِّم إليها، في عام 2023، نتائج عملها طبقا للهدف المبيّن في الفقرة (أ). وستقوم الجمعية العامة، في عام 2023، بتقييم التقدم المحرز، والبتّ في الدعوة إلى عقد مؤتمر دبلوماسي و/أو مواصلة المفاوضات بالنظر إلى مستوى نضج النصوص، بما في ذلك مستويات الاتفاق على الأهداف والنطاق وطبيعة الصك (الصكوك).</w:t>
      </w:r>
    </w:p>
    <w:p w:rsidR="00A53EA9" w:rsidRDefault="00A53EA9" w:rsidP="00FA0BD3">
      <w:pPr>
        <w:numPr>
          <w:ilvl w:val="0"/>
          <w:numId w:val="9"/>
        </w:numPr>
        <w:spacing w:after="220"/>
        <w:ind w:left="1700" w:hanging="567"/>
        <w:rPr>
          <w:lang w:bidi="ar-EG"/>
        </w:rPr>
      </w:pPr>
      <w:r w:rsidRPr="00C00446">
        <w:rPr>
          <w:rFonts w:hint="cs"/>
          <w:rtl/>
          <w:lang w:bidi="ar-EG"/>
        </w:rPr>
        <w:t>وتلتمس الجمعية العامة من الأمانة أن تستمر في مساعدة اللجنة بتزويد الدول الأعضاء بما يلزم من خبرة وبتمويل مشاركة الخبراء من البلدان النامية والبلدان الأقل نموا بالطريقة الأكثر كفاءة، مع مراعاة الصيغة المعتاد اعتمادها في لجنة المعارف</w:t>
      </w:r>
      <w:r>
        <w:rPr>
          <w:rFonts w:hint="eastAsia"/>
          <w:rtl/>
          <w:lang w:bidi="ar-EG"/>
        </w:rPr>
        <w:t> </w:t>
      </w:r>
      <w:r w:rsidRPr="00C00446">
        <w:rPr>
          <w:rFonts w:hint="cs"/>
          <w:rtl/>
          <w:lang w:bidi="ar-EG"/>
        </w:rPr>
        <w:t>التقليدية.</w:t>
      </w:r>
    </w:p>
    <w:p w:rsidR="001D0F83" w:rsidRDefault="001D0F83">
      <w:pPr>
        <w:bidi w:val="0"/>
        <w:rPr>
          <w:rtl/>
          <w:lang w:bidi="ar-EG"/>
        </w:rPr>
      </w:pPr>
      <w:r>
        <w:rPr>
          <w:rtl/>
          <w:lang w:bidi="ar-EG"/>
        </w:rPr>
        <w:br w:type="page"/>
      </w:r>
    </w:p>
    <w:p w:rsidR="00A53EA9" w:rsidRPr="00251F1D" w:rsidRDefault="00A53EA9" w:rsidP="00251F1D">
      <w:pPr>
        <w:pStyle w:val="Heading2"/>
        <w:rPr>
          <w:i/>
          <w:iCs w:val="0"/>
          <w:sz w:val="24"/>
          <w:szCs w:val="24"/>
          <w:rtl/>
          <w:lang w:bidi="ar-EG"/>
        </w:rPr>
      </w:pPr>
      <w:r w:rsidRPr="00251F1D">
        <w:rPr>
          <w:rFonts w:hint="cs"/>
          <w:i/>
          <w:iCs w:val="0"/>
          <w:sz w:val="24"/>
          <w:szCs w:val="24"/>
          <w:rtl/>
          <w:lang w:bidi="ar-EG"/>
        </w:rPr>
        <w:lastRenderedPageBreak/>
        <w:t>برنامج العمل - 6 دورات</w:t>
      </w:r>
    </w:p>
    <w:tbl>
      <w:tblPr>
        <w:tblStyle w:val="TableGrid"/>
        <w:bidiVisual/>
        <w:tblW w:w="9387" w:type="dxa"/>
        <w:tblInd w:w="-32" w:type="dxa"/>
        <w:tblCellMar>
          <w:top w:w="8" w:type="dxa"/>
          <w:left w:w="108" w:type="dxa"/>
          <w:right w:w="82" w:type="dxa"/>
        </w:tblCellMar>
        <w:tblLook w:val="04A0" w:firstRow="1" w:lastRow="0" w:firstColumn="1" w:lastColumn="0" w:noHBand="0" w:noVBand="1"/>
      </w:tblPr>
      <w:tblGrid>
        <w:gridCol w:w="2281"/>
        <w:gridCol w:w="7106"/>
      </w:tblGrid>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b/>
                <w:bCs/>
                <w:rtl/>
              </w:rPr>
              <w:t>التواريخ المؤقتة</w:t>
            </w:r>
          </w:p>
        </w:tc>
        <w:tc>
          <w:tcPr>
            <w:tcW w:w="7106"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b/>
                <w:bCs/>
                <w:rtl/>
              </w:rPr>
              <w:t>النشاط</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jc w:val="both"/>
              <w:rPr>
                <w:rtl/>
              </w:rPr>
            </w:pPr>
            <w:r w:rsidRPr="00C00446">
              <w:rPr>
                <w:rFonts w:hint="cs"/>
                <w:rtl/>
              </w:rPr>
              <w:t>فبراير/مارس 2022</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42)</w:t>
            </w:r>
          </w:p>
          <w:p w:rsidR="00A53EA9" w:rsidRDefault="00A53EA9" w:rsidP="00F0726E">
            <w:pPr>
              <w:spacing w:after="220"/>
            </w:pPr>
            <w:r w:rsidRPr="00C00446">
              <w:rPr>
                <w:rFonts w:hint="cs"/>
                <w:rtl/>
              </w:rPr>
              <w:t>إجراء مفاوضات بشأن الموارد الوراثية مع التركيز على معالجة القضايا العالقة والنظر في الخيارات لمشروع صك قانوني</w:t>
            </w:r>
          </w:p>
          <w:p w:rsidR="00A53EA9" w:rsidRPr="00C00446" w:rsidRDefault="00A53EA9" w:rsidP="00F0726E">
            <w:pPr>
              <w:spacing w:after="100"/>
              <w:rPr>
                <w:rtl/>
              </w:rPr>
            </w:pPr>
            <w:r w:rsidRPr="00C00446">
              <w:rPr>
                <w:rFonts w:hint="cs"/>
                <w:rtl/>
              </w:rPr>
              <w:t>المدة: 5 أيام.</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مايو/يونيو 2022</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43)</w:t>
            </w:r>
          </w:p>
          <w:p w:rsidR="00A53EA9" w:rsidRDefault="00A53EA9" w:rsidP="00F0726E">
            <w:pPr>
              <w:spacing w:after="220"/>
            </w:pPr>
            <w:r w:rsidRPr="00C00446">
              <w:rPr>
                <w:rFonts w:hint="cs"/>
                <w:rtl/>
              </w:rPr>
              <w:t>إجراء مفاوضات بشأن الموارد الوراثية مع التركيز على معالجة القضايا العالقة والنظر في الخيارات لمشروع صك قانوني</w:t>
            </w:r>
          </w:p>
          <w:p w:rsidR="00A53EA9" w:rsidRPr="00C00446" w:rsidRDefault="00A53EA9" w:rsidP="00F0726E">
            <w:pPr>
              <w:spacing w:after="100"/>
              <w:rPr>
                <w:rtl/>
              </w:rPr>
            </w:pPr>
            <w:r w:rsidRPr="00C00446">
              <w:rPr>
                <w:rFonts w:hint="cs"/>
                <w:rtl/>
              </w:rPr>
              <w:t>المدة: 5 أيام زائد يوم واحد إذا قُرِّر عقد اجتماع فريق خبراء مخصص.</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سبتمبر 2022</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44)</w:t>
            </w:r>
          </w:p>
          <w:p w:rsidR="00A53EA9" w:rsidRDefault="00A53EA9" w:rsidP="00F0726E">
            <w:pPr>
              <w:spacing w:after="100"/>
            </w:pPr>
            <w:r w:rsidRPr="00C004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53EA9" w:rsidRDefault="00A53EA9" w:rsidP="00F0726E">
            <w:pPr>
              <w:spacing w:after="220"/>
            </w:pPr>
            <w:r w:rsidRPr="00C00446">
              <w:rPr>
                <w:rFonts w:hint="cs"/>
                <w:rtl/>
              </w:rPr>
              <w:t>إمكانية إصدار توصيات كما هو مذكور في الفقرة (ه)</w:t>
            </w:r>
          </w:p>
          <w:p w:rsidR="00A53EA9" w:rsidRPr="00C00446" w:rsidRDefault="00A53EA9" w:rsidP="00F0726E">
            <w:pPr>
              <w:spacing w:after="100"/>
              <w:ind w:right="42"/>
              <w:rPr>
                <w:rtl/>
              </w:rPr>
            </w:pPr>
            <w:r w:rsidRPr="00C00446">
              <w:rPr>
                <w:rFonts w:hint="cs"/>
                <w:rtl/>
              </w:rPr>
              <w:t>المدة: 5 أيام.</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أكتوبر 2022</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pPr>
              <w:spacing w:after="100"/>
            </w:pPr>
            <w:r w:rsidRPr="00C00446">
              <w:rPr>
                <w:rFonts w:hint="cs"/>
                <w:rtl/>
              </w:rPr>
              <w:t>الجمعية العامة للويبو</w:t>
            </w:r>
          </w:p>
          <w:p w:rsidR="00A53EA9" w:rsidRPr="00C00446" w:rsidRDefault="00A53EA9" w:rsidP="00F0726E">
            <w:pPr>
              <w:spacing w:after="100"/>
              <w:rPr>
                <w:rtl/>
              </w:rPr>
            </w:pPr>
            <w:r w:rsidRPr="00C00446">
              <w:rPr>
                <w:rFonts w:hint="cs"/>
                <w:rtl/>
              </w:rPr>
              <w:t>تقرير وقائعي والنظر في التوصيات</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نوفمبر/ديسمبر 2022</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45)</w:t>
            </w:r>
          </w:p>
          <w:p w:rsidR="00A53EA9" w:rsidRDefault="00A53EA9" w:rsidP="00F0726E">
            <w:pPr>
              <w:spacing w:after="220"/>
            </w:pPr>
            <w:r w:rsidRPr="00C004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53EA9" w:rsidRPr="00C00446" w:rsidRDefault="00A53EA9" w:rsidP="00F0726E">
            <w:pPr>
              <w:spacing w:after="100"/>
              <w:rPr>
                <w:rtl/>
              </w:rPr>
            </w:pPr>
            <w:r w:rsidRPr="00C00446">
              <w:rPr>
                <w:rFonts w:hint="cs"/>
                <w:rtl/>
              </w:rPr>
              <w:t>المدة: 5 أيام زائد يوم واحد إذا تقرر عقد اجتماع فريق خبراء مخصص.</w:t>
            </w:r>
            <w:r w:rsidRPr="00C00446">
              <w:t xml:space="preserve"> </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مارس/أبريل 2023</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46)</w:t>
            </w:r>
          </w:p>
          <w:p w:rsidR="00A53EA9" w:rsidRDefault="00A53EA9" w:rsidP="00F0726E">
            <w:pPr>
              <w:spacing w:after="220"/>
            </w:pPr>
            <w:r w:rsidRPr="00C004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53EA9" w:rsidRPr="00C00446" w:rsidRDefault="00A53EA9" w:rsidP="00F0726E">
            <w:pPr>
              <w:spacing w:after="100"/>
              <w:ind w:right="214"/>
              <w:rPr>
                <w:rtl/>
              </w:rPr>
            </w:pPr>
            <w:r w:rsidRPr="00C00446">
              <w:rPr>
                <w:rFonts w:hint="cs"/>
                <w:rtl/>
              </w:rPr>
              <w:t>المدة: 5 أيام زائد يوم واحد إذا تقرر عقد اجتماع فريق خبراء مخصص.</w:t>
            </w:r>
            <w:r w:rsidRPr="00C00446">
              <w:t xml:space="preserve"> </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يونيو/يوليو 2023</w:t>
            </w:r>
          </w:p>
        </w:tc>
        <w:tc>
          <w:tcPr>
            <w:tcW w:w="7106" w:type="dxa"/>
            <w:tcBorders>
              <w:top w:val="single" w:sz="4" w:space="0" w:color="000000"/>
              <w:left w:val="single" w:sz="4" w:space="0" w:color="000000"/>
              <w:bottom w:val="single" w:sz="4" w:space="0" w:color="000000"/>
              <w:right w:val="single" w:sz="4" w:space="0" w:color="000000"/>
            </w:tcBorders>
          </w:tcPr>
          <w:p w:rsidR="00A53EA9" w:rsidRDefault="00A53EA9" w:rsidP="00F0726E">
            <w:r w:rsidRPr="00C00446">
              <w:rPr>
                <w:rFonts w:hint="cs"/>
                <w:rtl/>
              </w:rPr>
              <w:t>(الدورة 47)</w:t>
            </w:r>
          </w:p>
          <w:p w:rsidR="00A53EA9" w:rsidRDefault="00A53EA9" w:rsidP="00F0726E">
            <w:pPr>
              <w:spacing w:after="100"/>
            </w:pPr>
            <w:r w:rsidRPr="00C00446">
              <w:rPr>
                <w:rFonts w:hint="cs"/>
                <w:rtl/>
              </w:rPr>
              <w:t>إجراء مفاوضات بشأن المعارف التقليدية و/أو أشكال التعبير الثقافي التقليدي مع التركيز على معالجة القضايا العالقة والمتداخلة والنظر في الخيارات لمشروع صك قانوني (صكوك قانونية)</w:t>
            </w:r>
          </w:p>
          <w:p w:rsidR="00A53EA9" w:rsidRDefault="00A53EA9" w:rsidP="00F0726E">
            <w:pPr>
              <w:spacing w:after="220"/>
            </w:pPr>
            <w:r w:rsidRPr="00C00446">
              <w:rPr>
                <w:rFonts w:hint="cs"/>
                <w:rtl/>
              </w:rPr>
              <w:t>تقييم بشأن الموارد الوراثية/المعارف التقليدية/أشكال التعبير الثقافي التقليدي وإصدار توصية</w:t>
            </w:r>
          </w:p>
          <w:p w:rsidR="00A53EA9" w:rsidRPr="00C00446" w:rsidRDefault="00A53EA9" w:rsidP="00F0726E">
            <w:pPr>
              <w:spacing w:after="100"/>
              <w:rPr>
                <w:rtl/>
              </w:rPr>
            </w:pPr>
            <w:r w:rsidRPr="00C00446">
              <w:rPr>
                <w:rFonts w:hint="cs"/>
                <w:rtl/>
              </w:rPr>
              <w:t>المدة: 5 أيام.</w:t>
            </w:r>
          </w:p>
        </w:tc>
      </w:tr>
      <w:tr w:rsidR="00A53EA9" w:rsidRPr="00C00446" w:rsidTr="00F0726E">
        <w:trPr>
          <w:trHeight w:val="20"/>
        </w:trPr>
        <w:tc>
          <w:tcPr>
            <w:tcW w:w="2281"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أكتوبر 2023</w:t>
            </w:r>
          </w:p>
        </w:tc>
        <w:tc>
          <w:tcPr>
            <w:tcW w:w="7106" w:type="dxa"/>
            <w:tcBorders>
              <w:top w:val="single" w:sz="4" w:space="0" w:color="000000"/>
              <w:left w:val="single" w:sz="4" w:space="0" w:color="000000"/>
              <w:bottom w:val="single" w:sz="4" w:space="0" w:color="000000"/>
              <w:right w:val="single" w:sz="4" w:space="0" w:color="000000"/>
            </w:tcBorders>
          </w:tcPr>
          <w:p w:rsidR="00A53EA9" w:rsidRPr="00C00446" w:rsidRDefault="00A53EA9" w:rsidP="00F0726E">
            <w:pPr>
              <w:spacing w:after="100"/>
              <w:rPr>
                <w:rtl/>
              </w:rPr>
            </w:pPr>
            <w:r w:rsidRPr="00C00446">
              <w:rPr>
                <w:rFonts w:hint="cs"/>
                <w:rtl/>
              </w:rPr>
              <w:t>ستقيِّم الجمعية العامة للويبو التقدم المحرز وتنظر في النص (النصوص) وتتخذ القرار اللازم (القرارات اللازمة)."</w:t>
            </w:r>
          </w:p>
        </w:tc>
      </w:tr>
    </w:tbl>
    <w:p w:rsidR="00A53EA9" w:rsidRPr="00C00446" w:rsidRDefault="00A53EA9" w:rsidP="009D2162">
      <w:pPr>
        <w:spacing w:before="220" w:after="220"/>
        <w:rPr>
          <w:rtl/>
          <w:lang w:bidi="ar-EG"/>
        </w:rPr>
      </w:pPr>
      <w:r w:rsidRPr="00C00446">
        <w:rPr>
          <w:rFonts w:hint="cs"/>
          <w:rtl/>
          <w:lang w:bidi="ar-EG"/>
        </w:rPr>
        <w:t>وذكَّرت اللجنة بالقرارات الصادرة عن الجمعية العامة للويبو لعام 2019 في هذا الصدد، وأوصت بأن تعترف الجمعية العامة للويبو لعام 2021 بأهمية مشاركة الشعوب الأصلية والجماعات المحلية في عمل اللجنة، وتشير إلى استنفاد صندوق الويبو للتبرعات لفائدة الجماعات الأصلية والمحلية المعتمدة، وتشجِّع الدول الأعضاء على النظر في إمكانية المساهمة في الصندوق، وتدعو الدول الأعضاء إلى النظر في ترتيبات تمويل بديلة.</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t>قرار بشأن البند 8 من جدول الأعمال:</w:t>
      </w:r>
    </w:p>
    <w:p w:rsidR="00A53EA9" w:rsidRPr="009D2162" w:rsidRDefault="00A53EA9" w:rsidP="009D2162">
      <w:pPr>
        <w:keepNext/>
        <w:spacing w:after="220"/>
        <w:rPr>
          <w:sz w:val="24"/>
          <w:szCs w:val="24"/>
          <w:lang w:bidi="ar-EG"/>
        </w:rPr>
      </w:pPr>
      <w:r w:rsidRPr="009D2162">
        <w:rPr>
          <w:rFonts w:hint="cs"/>
          <w:sz w:val="24"/>
          <w:szCs w:val="24"/>
          <w:rtl/>
          <w:lang w:bidi="ar-EG"/>
        </w:rPr>
        <w:t>أية مسائل أخرى</w:t>
      </w:r>
    </w:p>
    <w:p w:rsidR="00A53EA9" w:rsidRDefault="00A53EA9" w:rsidP="009D2162">
      <w:pPr>
        <w:spacing w:after="220"/>
        <w:rPr>
          <w:lang w:bidi="ar-EG"/>
        </w:rPr>
      </w:pPr>
      <w:r w:rsidRPr="00C00446">
        <w:rPr>
          <w:rFonts w:hint="cs"/>
          <w:rtl/>
          <w:lang w:bidi="ar-EG"/>
        </w:rPr>
        <w:t>لم تُجرَ أية مناقشات في إطار هذا البند.</w:t>
      </w:r>
    </w:p>
    <w:p w:rsidR="00A53EA9" w:rsidRPr="00251F1D" w:rsidRDefault="00A53EA9" w:rsidP="00251F1D">
      <w:pPr>
        <w:pStyle w:val="Heading2"/>
        <w:rPr>
          <w:i/>
          <w:iCs w:val="0"/>
          <w:sz w:val="24"/>
          <w:szCs w:val="24"/>
          <w:lang w:bidi="ar-EG"/>
        </w:rPr>
      </w:pPr>
      <w:r w:rsidRPr="00251F1D">
        <w:rPr>
          <w:rFonts w:hint="cs"/>
          <w:i/>
          <w:iCs w:val="0"/>
          <w:sz w:val="24"/>
          <w:szCs w:val="24"/>
          <w:rtl/>
          <w:lang w:bidi="ar-EG"/>
        </w:rPr>
        <w:lastRenderedPageBreak/>
        <w:t>قرار بشأن البند 9 من جدول الأعمال:</w:t>
      </w:r>
    </w:p>
    <w:p w:rsidR="00A53EA9" w:rsidRPr="009D2162" w:rsidRDefault="00A53EA9" w:rsidP="00FA0BD3">
      <w:pPr>
        <w:keepNext/>
        <w:spacing w:after="220"/>
        <w:rPr>
          <w:sz w:val="24"/>
          <w:szCs w:val="24"/>
          <w:lang w:bidi="ar-EG"/>
        </w:rPr>
      </w:pPr>
      <w:r w:rsidRPr="009D2162">
        <w:rPr>
          <w:rFonts w:hint="cs"/>
          <w:sz w:val="24"/>
          <w:szCs w:val="24"/>
          <w:rtl/>
          <w:lang w:bidi="ar-EG"/>
        </w:rPr>
        <w:t>اختتام الدورة</w:t>
      </w:r>
    </w:p>
    <w:p w:rsidR="00A53EA9" w:rsidRPr="00C00446" w:rsidRDefault="00A53EA9" w:rsidP="00FA0BD3">
      <w:pPr>
        <w:spacing w:after="440"/>
        <w:rPr>
          <w:rtl/>
          <w:lang w:bidi="ar-EG"/>
        </w:rPr>
      </w:pPr>
      <w:r w:rsidRPr="00C00446">
        <w:rPr>
          <w:rFonts w:hint="cs"/>
          <w:rtl/>
          <w:lang w:bidi="ar-EG"/>
        </w:rPr>
        <w:t>اعتمدت اللجنة قراراتها بشأن البنود 2</w:t>
      </w:r>
      <w:r>
        <w:rPr>
          <w:rFonts w:hint="cs"/>
          <w:rtl/>
          <w:lang w:bidi="ar-EG"/>
        </w:rPr>
        <w:t xml:space="preserve"> و</w:t>
      </w:r>
      <w:r w:rsidRPr="00C00446">
        <w:rPr>
          <w:rFonts w:hint="cs"/>
          <w:rtl/>
          <w:lang w:bidi="ar-EG"/>
        </w:rPr>
        <w:t>3</w:t>
      </w:r>
      <w:r>
        <w:rPr>
          <w:rFonts w:hint="cs"/>
          <w:rtl/>
          <w:lang w:bidi="ar-EG"/>
        </w:rPr>
        <w:t xml:space="preserve"> و</w:t>
      </w:r>
      <w:r w:rsidRPr="00C00446">
        <w:rPr>
          <w:rFonts w:hint="cs"/>
          <w:rtl/>
          <w:lang w:bidi="ar-EG"/>
        </w:rPr>
        <w:t>4</w:t>
      </w:r>
      <w:r>
        <w:rPr>
          <w:rFonts w:hint="cs"/>
          <w:rtl/>
          <w:lang w:bidi="ar-EG"/>
        </w:rPr>
        <w:t xml:space="preserve"> و</w:t>
      </w:r>
      <w:r w:rsidRPr="00C00446">
        <w:rPr>
          <w:rFonts w:hint="cs"/>
          <w:rtl/>
          <w:lang w:bidi="ar-EG"/>
        </w:rPr>
        <w:t>5</w:t>
      </w:r>
      <w:r>
        <w:rPr>
          <w:rFonts w:hint="cs"/>
          <w:rtl/>
          <w:lang w:bidi="ar-EG"/>
        </w:rPr>
        <w:t xml:space="preserve"> و</w:t>
      </w:r>
      <w:r w:rsidRPr="00C00446">
        <w:rPr>
          <w:rFonts w:hint="cs"/>
          <w:rtl/>
          <w:lang w:bidi="ar-EG"/>
        </w:rPr>
        <w:t>6</w:t>
      </w:r>
      <w:r>
        <w:rPr>
          <w:rFonts w:hint="cs"/>
          <w:rtl/>
          <w:lang w:bidi="ar-EG"/>
        </w:rPr>
        <w:t xml:space="preserve"> و</w:t>
      </w:r>
      <w:r w:rsidRPr="00C00446">
        <w:rPr>
          <w:rFonts w:hint="cs"/>
          <w:rtl/>
          <w:lang w:bidi="ar-EG"/>
        </w:rPr>
        <w:t xml:space="preserve">7 من جدول الأعمال في </w:t>
      </w:r>
      <w:r w:rsidR="00FA0BD3">
        <w:rPr>
          <w:rFonts w:hint="cs"/>
          <w:rtl/>
          <w:lang w:bidi="ar-EG"/>
        </w:rPr>
        <w:t>31</w:t>
      </w:r>
      <w:r w:rsidRPr="00C00446">
        <w:rPr>
          <w:rFonts w:hint="cs"/>
          <w:rtl/>
          <w:lang w:bidi="ar-EG"/>
        </w:rPr>
        <w:t xml:space="preserve"> </w:t>
      </w:r>
      <w:r w:rsidR="00FA0BD3">
        <w:rPr>
          <w:rFonts w:hint="cs"/>
          <w:rtl/>
          <w:lang w:bidi="ar-EG"/>
        </w:rPr>
        <w:t>أغسطس</w:t>
      </w:r>
      <w:r w:rsidRPr="00C00446">
        <w:rPr>
          <w:rFonts w:hint="cs"/>
          <w:rtl/>
          <w:lang w:bidi="ar-EG"/>
        </w:rPr>
        <w:t xml:space="preserve"> 2021. ووافقت على إعداد مشروع تقرير خطي يتضمن النص المتفق عليه لهذه القرارات وجميع المداخلات التي قُدِّمت إلى اللجنة، وتعميمه بحلول 15 أكتوبر 2021. وسيُدعى المشاركون في اللجنة إلى تقديم تصويبات كتابية لمداخلاتهم كما هي مدرجة في مشروع التقرير قبل أن تعمَّم الصيغة النهائية لمشروع التقرير على المشاركين في اللجنة لاعتمادها إبّان الدورة المقبلة للجنة.</w:t>
      </w:r>
    </w:p>
    <w:p w:rsidR="00A53EA9" w:rsidRPr="00C00446" w:rsidRDefault="00A53EA9" w:rsidP="00A53EA9">
      <w:pPr>
        <w:pStyle w:val="Endofdocument-Annex"/>
        <w:rPr>
          <w:rtl/>
          <w:lang w:bidi="ar-EG"/>
        </w:rPr>
      </w:pPr>
      <w:r w:rsidRPr="00C00446">
        <w:rPr>
          <w:rFonts w:hint="cs"/>
          <w:rtl/>
          <w:lang w:bidi="ar-EG"/>
        </w:rPr>
        <w:t>[نهاية الوثيقة]</w:t>
      </w:r>
    </w:p>
    <w:sectPr w:rsidR="00A53EA9" w:rsidRPr="00C00446"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3D8A" w:rsidRDefault="000B3D8A">
      <w:r>
        <w:separator/>
      </w:r>
    </w:p>
  </w:endnote>
  <w:endnote w:type="continuationSeparator" w:id="0">
    <w:p w:rsidR="000B3D8A" w:rsidRDefault="000B3D8A" w:rsidP="003B38C1">
      <w:r>
        <w:separator/>
      </w:r>
    </w:p>
    <w:p w:rsidR="000B3D8A" w:rsidRPr="003B38C1" w:rsidRDefault="000B3D8A" w:rsidP="003B38C1">
      <w:pPr>
        <w:spacing w:after="60"/>
        <w:rPr>
          <w:sz w:val="17"/>
        </w:rPr>
      </w:pPr>
      <w:r>
        <w:rPr>
          <w:sz w:val="17"/>
        </w:rPr>
        <w:t>[Endnote continued from previous page]</w:t>
      </w:r>
    </w:p>
  </w:endnote>
  <w:endnote w:type="continuationNotice" w:id="1">
    <w:p w:rsidR="000B3D8A" w:rsidRPr="003B38C1" w:rsidRDefault="000B3D8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3D8A" w:rsidRDefault="000B3D8A">
      <w:r>
        <w:separator/>
      </w:r>
    </w:p>
  </w:footnote>
  <w:footnote w:type="continuationSeparator" w:id="0">
    <w:p w:rsidR="000B3D8A" w:rsidRDefault="000B3D8A" w:rsidP="008B60B2">
      <w:r>
        <w:separator/>
      </w:r>
    </w:p>
    <w:p w:rsidR="000B3D8A" w:rsidRPr="00ED77FB" w:rsidRDefault="000B3D8A" w:rsidP="008B60B2">
      <w:pPr>
        <w:spacing w:after="60"/>
        <w:rPr>
          <w:sz w:val="17"/>
          <w:szCs w:val="17"/>
        </w:rPr>
      </w:pPr>
      <w:r w:rsidRPr="00ED77FB">
        <w:rPr>
          <w:sz w:val="17"/>
          <w:szCs w:val="17"/>
        </w:rPr>
        <w:t>[Footnote continued from previous page]</w:t>
      </w:r>
    </w:p>
  </w:footnote>
  <w:footnote w:type="continuationNotice" w:id="1">
    <w:p w:rsidR="000B3D8A" w:rsidRPr="00ED77FB" w:rsidRDefault="000B3D8A" w:rsidP="008B60B2">
      <w:pPr>
        <w:spacing w:before="60"/>
        <w:jc w:val="right"/>
        <w:rPr>
          <w:sz w:val="17"/>
          <w:szCs w:val="17"/>
        </w:rPr>
      </w:pPr>
      <w:r w:rsidRPr="00ED77FB">
        <w:rPr>
          <w:sz w:val="17"/>
          <w:szCs w:val="17"/>
        </w:rPr>
        <w:t>[Footnote continued on next page]</w:t>
      </w:r>
    </w:p>
  </w:footnote>
  <w:footnote w:id="2">
    <w:p w:rsidR="00A53EA9" w:rsidRPr="004C17EE" w:rsidRDefault="00A53EA9" w:rsidP="00A53EA9">
      <w:pPr>
        <w:pStyle w:val="FootnoteText"/>
        <w:rPr>
          <w:rtl/>
        </w:rPr>
      </w:pPr>
      <w:r>
        <w:rPr>
          <w:rStyle w:val="FootnoteReference"/>
        </w:rPr>
        <w:footnoteRef/>
      </w:r>
      <w:r>
        <w:rPr>
          <w:rFonts w:hint="cs"/>
          <w:rtl/>
        </w:rPr>
        <w:t xml:space="preserve"> تشمل القضايا الجوهرية، بحسب الاقتضاء، التعاريف والمستفيدين وموضوع الحماية والأهداف ونطاق الحماية، وما هي مواضيع المعارف التقليدية/أشكال التعبير الثقافي التقليدي المؤهلة للحماية على الصعيد الدولي، بما في ذلك النظر في الاستثناءات والتقييدات والعلاقة بالملك العام.</w:t>
      </w:r>
    </w:p>
  </w:footnote>
  <w:footnote w:id="3">
    <w:p w:rsidR="00A53EA9" w:rsidRPr="004C17EE" w:rsidRDefault="00A53EA9" w:rsidP="00A53EA9">
      <w:pPr>
        <w:pStyle w:val="footnotedescription"/>
        <w:bidi/>
        <w:rPr>
          <w:sz w:val="18"/>
          <w:szCs w:val="18"/>
          <w:rtl/>
        </w:rPr>
      </w:pPr>
      <w:r>
        <w:rPr>
          <w:rStyle w:val="footnotemark"/>
          <w:sz w:val="18"/>
          <w:szCs w:val="18"/>
        </w:rPr>
        <w:footnoteRef/>
      </w:r>
      <w:r>
        <w:rPr>
          <w:rFonts w:hint="cs"/>
          <w:sz w:val="18"/>
          <w:szCs w:val="18"/>
          <w:rtl/>
        </w:rPr>
        <w:t xml:space="preserve"> سيكون لفريق (أفرقة) الخبراء تمثيل إقليمي متوازن وسيستخدم منهجية عمل فعالة. وسيعمل فريق (أفرقة) الخبراء خلال أسابيع دورات لجنة المعارف التقليدية.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210D5F">
    <w:pPr>
      <w:bidi w:val="0"/>
    </w:pPr>
    <w:r>
      <w:fldChar w:fldCharType="begin"/>
    </w:r>
    <w:r>
      <w:instrText xml:space="preserve"> PAGE  \* MERGEFORMAT </w:instrText>
    </w:r>
    <w:r>
      <w:fldChar w:fldCharType="separate"/>
    </w:r>
    <w:r w:rsidR="00C022D3">
      <w:rPr>
        <w:noProof/>
      </w:rPr>
      <w:t>2</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6C321042"/>
    <w:multiLevelType w:val="hybridMultilevel"/>
    <w:tmpl w:val="5E3E0DF0"/>
    <w:lvl w:ilvl="0" w:tplc="C3B6CA14">
      <w:start w:val="1"/>
      <w:numFmt w:val="arabicAbjad"/>
      <w:lvlText w:val="(%1)"/>
      <w:lvlJc w:val="left"/>
      <w:pPr>
        <w:ind w:left="927"/>
      </w:pPr>
      <w:rPr>
        <w:rFonts w:hint="default"/>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EG" w:vendorID="64" w:dllVersion="131078" w:nlCheck="1" w:checkStyle="0"/>
  <w:activeWritingStyle w:appName="MSWord" w:lang="ar-SA"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D8A"/>
    <w:rsid w:val="00043CAA"/>
    <w:rsid w:val="00056816"/>
    <w:rsid w:val="00075432"/>
    <w:rsid w:val="000968ED"/>
    <w:rsid w:val="000A3D97"/>
    <w:rsid w:val="000B3D8A"/>
    <w:rsid w:val="000F5E56"/>
    <w:rsid w:val="001226D1"/>
    <w:rsid w:val="001362EE"/>
    <w:rsid w:val="001406E1"/>
    <w:rsid w:val="00155D8A"/>
    <w:rsid w:val="001647D5"/>
    <w:rsid w:val="001832A6"/>
    <w:rsid w:val="0019592A"/>
    <w:rsid w:val="001D0F83"/>
    <w:rsid w:val="001D4107"/>
    <w:rsid w:val="00203D24"/>
    <w:rsid w:val="00210D5F"/>
    <w:rsid w:val="0021217E"/>
    <w:rsid w:val="00217E57"/>
    <w:rsid w:val="002326AB"/>
    <w:rsid w:val="00243430"/>
    <w:rsid w:val="00251F1D"/>
    <w:rsid w:val="002634C4"/>
    <w:rsid w:val="00265531"/>
    <w:rsid w:val="002928D3"/>
    <w:rsid w:val="002A09FD"/>
    <w:rsid w:val="002F1FE6"/>
    <w:rsid w:val="002F4E68"/>
    <w:rsid w:val="00312F7F"/>
    <w:rsid w:val="00361450"/>
    <w:rsid w:val="003673CF"/>
    <w:rsid w:val="003845C1"/>
    <w:rsid w:val="003A6F89"/>
    <w:rsid w:val="003B355C"/>
    <w:rsid w:val="003B38C1"/>
    <w:rsid w:val="003C34E9"/>
    <w:rsid w:val="00423E3E"/>
    <w:rsid w:val="00427AF4"/>
    <w:rsid w:val="00460FEA"/>
    <w:rsid w:val="004647DA"/>
    <w:rsid w:val="00474062"/>
    <w:rsid w:val="00477D6B"/>
    <w:rsid w:val="005019FF"/>
    <w:rsid w:val="0053057A"/>
    <w:rsid w:val="00556076"/>
    <w:rsid w:val="00560A29"/>
    <w:rsid w:val="00596040"/>
    <w:rsid w:val="005A6D95"/>
    <w:rsid w:val="005C6649"/>
    <w:rsid w:val="005E7B89"/>
    <w:rsid w:val="00605827"/>
    <w:rsid w:val="00646050"/>
    <w:rsid w:val="006713CA"/>
    <w:rsid w:val="00676C5C"/>
    <w:rsid w:val="006B5C12"/>
    <w:rsid w:val="00720EFD"/>
    <w:rsid w:val="007854AF"/>
    <w:rsid w:val="00793A7C"/>
    <w:rsid w:val="007A398A"/>
    <w:rsid w:val="007C4902"/>
    <w:rsid w:val="007D1613"/>
    <w:rsid w:val="007E4C0E"/>
    <w:rsid w:val="007F2029"/>
    <w:rsid w:val="008A134B"/>
    <w:rsid w:val="008B2CC1"/>
    <w:rsid w:val="008B60B2"/>
    <w:rsid w:val="0090731E"/>
    <w:rsid w:val="00916EE2"/>
    <w:rsid w:val="00966A22"/>
    <w:rsid w:val="0096722F"/>
    <w:rsid w:val="00980843"/>
    <w:rsid w:val="009B0855"/>
    <w:rsid w:val="009B2FCE"/>
    <w:rsid w:val="009D2162"/>
    <w:rsid w:val="009E2791"/>
    <w:rsid w:val="009E3F6F"/>
    <w:rsid w:val="009F499F"/>
    <w:rsid w:val="00A37342"/>
    <w:rsid w:val="00A42DAF"/>
    <w:rsid w:val="00A45BD8"/>
    <w:rsid w:val="00A53EA9"/>
    <w:rsid w:val="00A869B7"/>
    <w:rsid w:val="00A90F0A"/>
    <w:rsid w:val="00AC205C"/>
    <w:rsid w:val="00AF0A6B"/>
    <w:rsid w:val="00B05A69"/>
    <w:rsid w:val="00B42CA9"/>
    <w:rsid w:val="00B51FF7"/>
    <w:rsid w:val="00B75281"/>
    <w:rsid w:val="00B92F1F"/>
    <w:rsid w:val="00B9734B"/>
    <w:rsid w:val="00BA30E2"/>
    <w:rsid w:val="00C022D3"/>
    <w:rsid w:val="00C047F5"/>
    <w:rsid w:val="00C11BFE"/>
    <w:rsid w:val="00C3683E"/>
    <w:rsid w:val="00C5068F"/>
    <w:rsid w:val="00C86D74"/>
    <w:rsid w:val="00CB3DBA"/>
    <w:rsid w:val="00CC3E2D"/>
    <w:rsid w:val="00CD04F1"/>
    <w:rsid w:val="00CE19F8"/>
    <w:rsid w:val="00CF681A"/>
    <w:rsid w:val="00D07C78"/>
    <w:rsid w:val="00D45252"/>
    <w:rsid w:val="00D530E8"/>
    <w:rsid w:val="00D60B2C"/>
    <w:rsid w:val="00D67EAE"/>
    <w:rsid w:val="00D71B4D"/>
    <w:rsid w:val="00D90B96"/>
    <w:rsid w:val="00D93D55"/>
    <w:rsid w:val="00DD7B7F"/>
    <w:rsid w:val="00E15015"/>
    <w:rsid w:val="00E202DF"/>
    <w:rsid w:val="00E319DF"/>
    <w:rsid w:val="00E335FE"/>
    <w:rsid w:val="00E60EA7"/>
    <w:rsid w:val="00E66CC5"/>
    <w:rsid w:val="00E7374D"/>
    <w:rsid w:val="00EA7D6E"/>
    <w:rsid w:val="00EB2F76"/>
    <w:rsid w:val="00EC4C6F"/>
    <w:rsid w:val="00EC4E49"/>
    <w:rsid w:val="00ED77FB"/>
    <w:rsid w:val="00EE066C"/>
    <w:rsid w:val="00EE45FA"/>
    <w:rsid w:val="00F043DE"/>
    <w:rsid w:val="00F66152"/>
    <w:rsid w:val="00F9165B"/>
    <w:rsid w:val="00FA0BD3"/>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E428330"/>
  <w15:docId w15:val="{89CB7061-E2C6-4D49-BABD-8095AB2EA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FootnoteTextChar">
    <w:name w:val="Footnote Text Char"/>
    <w:basedOn w:val="DefaultParagraphFont"/>
    <w:link w:val="FootnoteText"/>
    <w:semiHidden/>
    <w:rsid w:val="00A53EA9"/>
    <w:rPr>
      <w:rFonts w:ascii="Arial" w:eastAsia="SimSun" w:hAnsi="Arial" w:cs="Calibri"/>
      <w:sz w:val="18"/>
      <w:szCs w:val="18"/>
      <w:lang w:val="en-US" w:eastAsia="zh-CN"/>
    </w:rPr>
  </w:style>
  <w:style w:type="character" w:styleId="FootnoteReference">
    <w:name w:val="footnote reference"/>
    <w:basedOn w:val="DefaultParagraphFont"/>
    <w:uiPriority w:val="99"/>
    <w:semiHidden/>
    <w:unhideWhenUsed/>
    <w:rsid w:val="00A53EA9"/>
    <w:rPr>
      <w:vertAlign w:val="superscript"/>
    </w:rPr>
  </w:style>
  <w:style w:type="paragraph" w:customStyle="1" w:styleId="footnotedescription">
    <w:name w:val="footnote description"/>
    <w:next w:val="Normal"/>
    <w:link w:val="footnotedescriptionChar"/>
    <w:hidden/>
    <w:rsid w:val="00A53EA9"/>
    <w:pPr>
      <w:spacing w:line="253" w:lineRule="auto"/>
    </w:pPr>
    <w:rPr>
      <w:rFonts w:ascii="Arial" w:eastAsia="Arial" w:hAnsi="Arial" w:cs="Calibri"/>
      <w:color w:val="000000"/>
      <w:szCs w:val="22"/>
      <w:lang w:val="en-AU" w:eastAsia="en-AU" w:bidi="ar-EG"/>
    </w:rPr>
  </w:style>
  <w:style w:type="character" w:customStyle="1" w:styleId="footnotedescriptionChar">
    <w:name w:val="footnote description Char"/>
    <w:link w:val="footnotedescription"/>
    <w:rsid w:val="00A53EA9"/>
    <w:rPr>
      <w:rFonts w:ascii="Arial" w:eastAsia="Arial" w:hAnsi="Arial" w:cs="Calibri"/>
      <w:color w:val="000000"/>
      <w:szCs w:val="22"/>
      <w:lang w:val="en-AU" w:eastAsia="en-AU" w:bidi="ar-EG"/>
    </w:rPr>
  </w:style>
  <w:style w:type="character" w:customStyle="1" w:styleId="footnotemark">
    <w:name w:val="footnote mark"/>
    <w:hidden/>
    <w:rsid w:val="00A53EA9"/>
    <w:rPr>
      <w:rFonts w:ascii="Arial" w:eastAsia="Arial" w:hAnsi="Arial" w:cs="Calibri"/>
      <w:color w:val="000000"/>
      <w:sz w:val="20"/>
      <w:vertAlign w:val="superscript"/>
    </w:rPr>
  </w:style>
  <w:style w:type="table" w:customStyle="1" w:styleId="TableGrid">
    <w:name w:val="TableGrid"/>
    <w:rsid w:val="00A53EA9"/>
    <w:rPr>
      <w:rFonts w:ascii="Calibri" w:eastAsia="SimSun" w:hAnsi="Calibri" w:cs="Calibri"/>
      <w:sz w:val="22"/>
      <w:szCs w:val="22"/>
      <w:lang w:val="en-AU" w:eastAsia="en-AU" w:bidi="ar-EG"/>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IGC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FD317D-ED43-4CEC-9F72-0D57EEFB0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IGC_41_AR.dotx</Template>
  <TotalTime>0</TotalTime>
  <Pages>5</Pages>
  <Words>1223</Words>
  <Characters>6733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WIPO/GRTK/IC/41</vt:lpstr>
    </vt:vector>
  </TitlesOfParts>
  <Company>WIPO</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WIPO/GRTK/IC/41</dc:title>
  <dc:creator>MERZOUK Fawzi</dc:creator>
  <cp:keywords>FOR OFFICIAL USE ONLY</cp:keywords>
  <cp:lastModifiedBy>MERZOUK Fawzi</cp:lastModifiedBy>
  <cp:revision>5</cp:revision>
  <cp:lastPrinted>2021-08-31T16:22:00Z</cp:lastPrinted>
  <dcterms:created xsi:type="dcterms:W3CDTF">2021-08-31T16:22:00Z</dcterms:created>
  <dcterms:modified xsi:type="dcterms:W3CDTF">2021-08-31T16:22:00Z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